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E9F25">
      <w:pPr>
        <w:rPr>
          <w:rFonts w:eastAsia="黑体"/>
          <w:sz w:val="32"/>
          <w:szCs w:val="32"/>
        </w:rPr>
      </w:pPr>
      <w:r>
        <w:rPr>
          <w:rFonts w:eastAsia="黑体"/>
          <w:sz w:val="32"/>
          <w:szCs w:val="32"/>
        </w:rPr>
        <w:t>附件3</w:t>
      </w:r>
    </w:p>
    <w:p w14:paraId="2DD00C58">
      <w:pPr>
        <w:spacing w:line="600" w:lineRule="exact"/>
        <w:rPr>
          <w:rFonts w:eastAsia="黑体"/>
          <w:sz w:val="32"/>
          <w:szCs w:val="32"/>
        </w:rPr>
      </w:pPr>
    </w:p>
    <w:p w14:paraId="20E0A9C6">
      <w:pPr>
        <w:jc w:val="center"/>
        <w:rPr>
          <w:rFonts w:ascii="方正小标宋简体" w:eastAsia="方正小标宋简体"/>
          <w:sz w:val="52"/>
          <w:szCs w:val="52"/>
        </w:rPr>
      </w:pPr>
      <w:bookmarkStart w:id="0" w:name="_GoBack"/>
      <w:r>
        <w:rPr>
          <w:rFonts w:hint="eastAsia" w:ascii="方正小标宋简体" w:eastAsia="方正小标宋简体"/>
          <w:sz w:val="52"/>
          <w:szCs w:val="52"/>
        </w:rPr>
        <w:t>202</w:t>
      </w:r>
      <w:r>
        <w:rPr>
          <w:rFonts w:ascii="方正小标宋简体" w:eastAsia="方正小标宋简体"/>
          <w:sz w:val="52"/>
          <w:szCs w:val="52"/>
          <w:lang w:val="en"/>
        </w:rPr>
        <w:t>4</w:t>
      </w:r>
      <w:r>
        <w:rPr>
          <w:rFonts w:hint="eastAsia" w:ascii="方正小标宋简体" w:eastAsia="方正小标宋简体"/>
          <w:sz w:val="52"/>
          <w:szCs w:val="52"/>
        </w:rPr>
        <w:t>年度零陵区工伤保险服务中心</w:t>
      </w:r>
    </w:p>
    <w:p w14:paraId="0D48AF8F">
      <w:pPr>
        <w:jc w:val="center"/>
        <w:rPr>
          <w:rFonts w:hint="eastAsia" w:ascii="方正小标宋简体" w:eastAsia="方正小标宋简体"/>
          <w:sz w:val="52"/>
          <w:szCs w:val="52"/>
        </w:rPr>
      </w:pPr>
      <w:r>
        <w:rPr>
          <w:rFonts w:hint="eastAsia" w:ascii="方正小标宋简体" w:eastAsia="方正小标宋简体"/>
          <w:sz w:val="52"/>
          <w:szCs w:val="52"/>
        </w:rPr>
        <w:t>整体支出绩效自评报告</w:t>
      </w:r>
    </w:p>
    <w:bookmarkEnd w:id="0"/>
    <w:p w14:paraId="38468433">
      <w:pPr>
        <w:jc w:val="center"/>
        <w:rPr>
          <w:rFonts w:eastAsia="方正小标宋_GBK"/>
          <w:b/>
          <w:sz w:val="52"/>
          <w:szCs w:val="52"/>
        </w:rPr>
      </w:pPr>
    </w:p>
    <w:p w14:paraId="09F5B56F">
      <w:pPr>
        <w:jc w:val="center"/>
        <w:rPr>
          <w:rFonts w:eastAsia="楷体_GB2312"/>
          <w:b/>
          <w:sz w:val="32"/>
          <w:szCs w:val="32"/>
        </w:rPr>
      </w:pPr>
    </w:p>
    <w:p w14:paraId="3DC56361">
      <w:pPr>
        <w:rPr>
          <w:rFonts w:eastAsia="楷体_GB2312"/>
          <w:b/>
          <w:sz w:val="32"/>
          <w:szCs w:val="32"/>
        </w:rPr>
      </w:pPr>
    </w:p>
    <w:p w14:paraId="5FC23625">
      <w:pPr>
        <w:jc w:val="center"/>
        <w:rPr>
          <w:rFonts w:eastAsia="黑体"/>
          <w:sz w:val="32"/>
          <w:szCs w:val="32"/>
        </w:rPr>
      </w:pPr>
    </w:p>
    <w:p w14:paraId="153537BC">
      <w:pPr>
        <w:jc w:val="center"/>
        <w:rPr>
          <w:rFonts w:eastAsia="黑体"/>
          <w:sz w:val="32"/>
          <w:szCs w:val="32"/>
        </w:rPr>
      </w:pPr>
    </w:p>
    <w:p w14:paraId="2E985756">
      <w:pPr>
        <w:jc w:val="center"/>
        <w:rPr>
          <w:rFonts w:eastAsia="黑体"/>
          <w:sz w:val="32"/>
          <w:szCs w:val="32"/>
        </w:rPr>
      </w:pPr>
    </w:p>
    <w:p w14:paraId="5D72A9A5">
      <w:pPr>
        <w:jc w:val="center"/>
        <w:rPr>
          <w:rFonts w:eastAsia="黑体"/>
          <w:sz w:val="32"/>
          <w:szCs w:val="32"/>
        </w:rPr>
      </w:pPr>
    </w:p>
    <w:p w14:paraId="2585C9D7">
      <w:pPr>
        <w:rPr>
          <w:rFonts w:eastAsia="黑体"/>
          <w:sz w:val="32"/>
          <w:szCs w:val="32"/>
        </w:rPr>
      </w:pPr>
    </w:p>
    <w:p w14:paraId="5D00238D">
      <w:pPr>
        <w:jc w:val="center"/>
        <w:rPr>
          <w:rFonts w:eastAsia="黑体"/>
          <w:sz w:val="32"/>
          <w:szCs w:val="32"/>
        </w:rPr>
      </w:pPr>
    </w:p>
    <w:p w14:paraId="2B6D71C7">
      <w:pPr>
        <w:jc w:val="center"/>
        <w:rPr>
          <w:rFonts w:eastAsia="黑体"/>
          <w:sz w:val="32"/>
          <w:szCs w:val="32"/>
        </w:rPr>
      </w:pPr>
    </w:p>
    <w:p w14:paraId="7CEEDAD3">
      <w:pPr>
        <w:jc w:val="center"/>
        <w:rPr>
          <w:rFonts w:eastAsia="黑体"/>
          <w:sz w:val="32"/>
          <w:szCs w:val="32"/>
        </w:rPr>
      </w:pPr>
    </w:p>
    <w:p w14:paraId="5D7BF7FA">
      <w:pPr>
        <w:spacing w:line="600" w:lineRule="exact"/>
        <w:ind w:firstLine="1920" w:firstLineChars="600"/>
        <w:rPr>
          <w:rFonts w:eastAsia="仿宋_GB2312"/>
          <w:sz w:val="32"/>
          <w:szCs w:val="32"/>
          <w:u w:val="single"/>
        </w:rPr>
      </w:pPr>
      <w:r>
        <w:rPr>
          <w:rFonts w:eastAsia="仿宋_GB2312"/>
          <w:sz w:val="32"/>
          <w:szCs w:val="32"/>
        </w:rPr>
        <w:t>单位名称：</w:t>
      </w:r>
      <w:r>
        <w:rPr>
          <w:rFonts w:eastAsia="仿宋_GB2312"/>
          <w:sz w:val="32"/>
          <w:szCs w:val="32"/>
          <w:u w:val="single"/>
        </w:rPr>
        <w:t xml:space="preserve">（盖章）        </w:t>
      </w:r>
    </w:p>
    <w:p w14:paraId="79D426EE">
      <w:pPr>
        <w:spacing w:line="600" w:lineRule="exact"/>
        <w:ind w:firstLine="2240" w:firstLineChars="700"/>
        <w:rPr>
          <w:rFonts w:eastAsia="楷体_GB2312"/>
          <w:sz w:val="32"/>
          <w:szCs w:val="32"/>
        </w:rPr>
      </w:pPr>
      <w:r>
        <w:rPr>
          <w:rFonts w:hint="eastAsia" w:eastAsia="楷体_GB2312"/>
          <w:sz w:val="32"/>
          <w:szCs w:val="32"/>
        </w:rPr>
        <w:t>2</w:t>
      </w:r>
      <w:r>
        <w:rPr>
          <w:rFonts w:eastAsia="楷体_GB2312"/>
          <w:sz w:val="32"/>
          <w:szCs w:val="32"/>
        </w:rPr>
        <w:t>025年  7月 18 日</w:t>
      </w:r>
    </w:p>
    <w:p w14:paraId="302B83DA">
      <w:pPr>
        <w:jc w:val="center"/>
        <w:rPr>
          <w:rFonts w:eastAsia="黑体"/>
          <w:sz w:val="32"/>
          <w:szCs w:val="32"/>
        </w:rPr>
      </w:pPr>
    </w:p>
    <w:p w14:paraId="51B8D048">
      <w:pPr>
        <w:jc w:val="center"/>
        <w:rPr>
          <w:rFonts w:eastAsia="仿宋_GB2312"/>
          <w:sz w:val="32"/>
          <w:szCs w:val="32"/>
        </w:rPr>
      </w:pPr>
      <w:r>
        <w:rPr>
          <w:rFonts w:eastAsia="仿宋_GB2312"/>
          <w:sz w:val="32"/>
          <w:szCs w:val="32"/>
        </w:rPr>
        <w:t>（此页为封面）</w:t>
      </w:r>
    </w:p>
    <w:p w14:paraId="7251430A">
      <w:pPr>
        <w:spacing w:line="570" w:lineRule="exact"/>
        <w:ind w:firstLine="640" w:firstLineChars="200"/>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14:paraId="5DB064CC">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hAnsi="仿宋" w:eastAsia="仿宋_GB2312"/>
          <w:sz w:val="32"/>
          <w:szCs w:val="32"/>
        </w:rPr>
        <w:t>1．主要职能。</w:t>
      </w:r>
    </w:p>
    <w:p w14:paraId="5FED5C3A">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承办全区工伤保险参保登记、转移接续、个人权益记录管理、参保单位费率管理工作。承办全区工伤伤残工亡待遇审核、长期待遇享受人员的待遇发放及生存认证、住院伙食补助费以及统筹地区以外就医的交通食宿费用结算。承办全区老工伤纳入统筹管理工作，推进补充工伤保险工作。</w:t>
      </w:r>
    </w:p>
    <w:p w14:paraId="66916796">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(2).承办全区新增工伤医疗、康复、辅助器具协议机构确定，工伤医疗、康复、辅助器具配置费用结算，监督检查协议医院履行协议情况。</w:t>
      </w:r>
    </w:p>
    <w:p w14:paraId="5E9C60A5">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(3).负责全区工伤保险基金的财务管理、预决算、财务报表等工作。</w:t>
      </w:r>
    </w:p>
    <w:p w14:paraId="1DE64B17">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(4).负责全区工伤保险基金风险防控管理和内部审计工作，制定工伤保险基金监督和内控制度并组织实施。</w:t>
      </w:r>
    </w:p>
    <w:p w14:paraId="0FED849E">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(5).承办全区工伤保险信息系统建设。</w:t>
      </w:r>
    </w:p>
    <w:p w14:paraId="341FE5DB">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(6).承办零陵区人力资源和社会保障局交办的有关事项。</w:t>
      </w:r>
    </w:p>
    <w:p w14:paraId="0528DF8B">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2．机构情况，包括当年变动情况及原因。</w:t>
      </w:r>
    </w:p>
    <w:p w14:paraId="0DA5E961">
      <w:pPr>
        <w:snapToGrid w:val="0"/>
        <w:spacing w:line="520" w:lineRule="exact"/>
        <w:ind w:firstLine="640" w:firstLineChars="200"/>
        <w:rPr>
          <w:rFonts w:ascii="仿宋_GB2312" w:hAnsi="仿宋" w:eastAsia="仿宋_GB2312"/>
          <w:sz w:val="32"/>
          <w:szCs w:val="32"/>
        </w:rPr>
      </w:pPr>
      <w:r>
        <w:rPr>
          <w:rFonts w:hint="eastAsia" w:ascii="仿宋_GB2312" w:hAnsi="仿宋_GB2312" w:eastAsia="仿宋_GB2312" w:cs="仿宋_GB2312"/>
          <w:bCs/>
          <w:sz w:val="32"/>
          <w:szCs w:val="32"/>
        </w:rPr>
        <w:t>我单位共有内设股室5个：办公室、参保登记股、待遇审核股、基金稽核股、财务股。</w:t>
      </w:r>
    </w:p>
    <w:p w14:paraId="2ED70A81">
      <w:pPr>
        <w:snapToGrid w:val="0"/>
        <w:spacing w:line="520" w:lineRule="exact"/>
        <w:ind w:firstLine="640" w:firstLineChars="200"/>
        <w:rPr>
          <w:rFonts w:ascii="仿宋_GB2312" w:hAnsi="仿宋" w:eastAsia="仿宋_GB2312"/>
          <w:sz w:val="32"/>
          <w:szCs w:val="32"/>
        </w:rPr>
      </w:pPr>
    </w:p>
    <w:p w14:paraId="4AB11FCA">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3．人员情况，包括当年变动情况及原因。</w:t>
      </w:r>
    </w:p>
    <w:p w14:paraId="69F415D2">
      <w:pPr>
        <w:snapToGrid w:val="0"/>
        <w:spacing w:line="52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本单位核定编制数</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名，全额编制8人，实有人数9名，其中4名是区人社局内部借调人员。</w:t>
      </w:r>
    </w:p>
    <w:p w14:paraId="4761E7F2">
      <w:pPr>
        <w:shd w:val="clear" w:color="auto" w:fill="FFFFFF"/>
        <w:spacing w:line="570" w:lineRule="exact"/>
        <w:ind w:firstLine="640" w:firstLineChars="200"/>
        <w:rPr>
          <w:rFonts w:hint="eastAsia" w:ascii="仿宋_GB2312" w:eastAsia="仿宋_GB2312"/>
          <w:sz w:val="32"/>
          <w:szCs w:val="32"/>
        </w:rPr>
      </w:pPr>
    </w:p>
    <w:p w14:paraId="3F7CE5E3">
      <w:pPr>
        <w:spacing w:line="570" w:lineRule="exact"/>
        <w:ind w:firstLine="640" w:firstLineChars="200"/>
        <w:rPr>
          <w:rFonts w:eastAsia="仿宋_GB2312"/>
          <w:color w:val="000000"/>
          <w:sz w:val="32"/>
          <w:szCs w:val="32"/>
        </w:rPr>
      </w:pPr>
      <w:r>
        <w:rPr>
          <w:rFonts w:hint="eastAsia" w:ascii="仿宋_GB2312" w:eastAsia="仿宋_GB2312"/>
          <w:sz w:val="32"/>
          <w:szCs w:val="32"/>
        </w:rPr>
        <w:t>（二）部门（单位）整体支出规模</w:t>
      </w:r>
      <w:r>
        <w:rPr>
          <w:rFonts w:hint="eastAsia" w:ascii="仿宋_GB2312" w:hAnsi="仿宋_GB2312" w:eastAsia="仿宋_GB2312" w:cs="仿宋_GB2312"/>
          <w:sz w:val="32"/>
          <w:szCs w:val="32"/>
        </w:rPr>
        <w:t>，</w:t>
      </w:r>
      <w:r>
        <w:rPr>
          <w:rFonts w:hint="eastAsia" w:eastAsia="仿宋_GB2312"/>
          <w:color w:val="000000"/>
          <w:sz w:val="32"/>
          <w:szCs w:val="32"/>
        </w:rPr>
        <w:t>包括但不限于部门整体支出情况、部门预算收支决算情况及“三公经费”支出使用和管理情况。</w:t>
      </w:r>
    </w:p>
    <w:p w14:paraId="7797F8D6">
      <w:pPr>
        <w:snapToGrid w:val="0"/>
        <w:spacing w:line="520" w:lineRule="exact"/>
        <w:ind w:firstLine="640" w:firstLineChars="200"/>
        <w:outlineLvl w:val="0"/>
        <w:rPr>
          <w:rFonts w:hint="eastAsia" w:ascii="仿宋_GB2312" w:hAnsi="仿宋" w:eastAsia="仿宋_GB2312"/>
          <w:sz w:val="32"/>
          <w:szCs w:val="32"/>
        </w:rPr>
      </w:pPr>
      <w:r>
        <w:rPr>
          <w:rFonts w:hint="eastAsia" w:ascii="仿宋_GB2312" w:hAnsi="仿宋" w:eastAsia="仿宋_GB2312"/>
          <w:sz w:val="32"/>
          <w:szCs w:val="32"/>
        </w:rPr>
        <w:t>2023年初预算总收入89.8万元，2024年初预算总收入69.16万元，2024年年初预算相较上年相比减少了20.64万元，减少了22.9%，主要原因是压缩开支。2023年决算总支出为86.9万元，2024年决算支出为74.13万元，2024年相较上年减少12.77万元，减少了14.7%，主要原因是压缩开支。</w:t>
      </w:r>
    </w:p>
    <w:p w14:paraId="793DD43F">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（1）“三公”经费支出情况：</w:t>
      </w:r>
    </w:p>
    <w:p w14:paraId="7D7FEC97">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2024年本单位“三公”经费支出为0.41万元，2023年本单位“三公”经费支出为0.22万元,与上年相比较增加0.19万元，主要用于公务接待。</w:t>
      </w:r>
    </w:p>
    <w:p w14:paraId="531EE49F">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（2）会议费支出情况：</w:t>
      </w:r>
    </w:p>
    <w:p w14:paraId="3CE9AAD9">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无</w:t>
      </w:r>
    </w:p>
    <w:p w14:paraId="6CDE5AF0">
      <w:pPr>
        <w:numPr>
          <w:ilvl w:val="0"/>
          <w:numId w:val="1"/>
        </w:numPr>
        <w:snapToGrid w:val="0"/>
        <w:spacing w:line="520" w:lineRule="exact"/>
        <w:ind w:firstLine="640"/>
        <w:rPr>
          <w:rFonts w:ascii="仿宋_GB2312" w:hAnsi="仿宋" w:eastAsia="仿宋_GB2312"/>
          <w:sz w:val="32"/>
          <w:szCs w:val="32"/>
        </w:rPr>
      </w:pPr>
      <w:r>
        <w:rPr>
          <w:rFonts w:hint="eastAsia" w:ascii="仿宋_GB2312" w:hAnsi="仿宋" w:eastAsia="仿宋_GB2312"/>
          <w:sz w:val="32"/>
          <w:szCs w:val="32"/>
        </w:rPr>
        <w:t>培训费支出情况：</w:t>
      </w:r>
    </w:p>
    <w:p w14:paraId="1C5A47DE">
      <w:pPr>
        <w:snapToGrid w:val="0"/>
        <w:spacing w:line="520" w:lineRule="exact"/>
        <w:ind w:firstLine="960" w:firstLineChars="300"/>
        <w:rPr>
          <w:rFonts w:ascii="仿宋_GB2312" w:hAnsi="仿宋" w:eastAsia="仿宋_GB2312"/>
          <w:sz w:val="32"/>
          <w:szCs w:val="32"/>
        </w:rPr>
      </w:pPr>
      <w:r>
        <w:rPr>
          <w:rFonts w:hint="eastAsia" w:ascii="仿宋_GB2312" w:hAnsi="仿宋" w:eastAsia="仿宋_GB2312"/>
          <w:sz w:val="32"/>
          <w:szCs w:val="32"/>
        </w:rPr>
        <w:t>无</w:t>
      </w:r>
    </w:p>
    <w:p w14:paraId="47A74483">
      <w:pPr>
        <w:numPr>
          <w:ilvl w:val="0"/>
          <w:numId w:val="1"/>
        </w:numPr>
        <w:snapToGrid w:val="0"/>
        <w:spacing w:line="520" w:lineRule="exact"/>
        <w:ind w:firstLine="640"/>
        <w:rPr>
          <w:rFonts w:ascii="仿宋_GB2312" w:hAnsi="仿宋" w:eastAsia="仿宋_GB2312"/>
          <w:sz w:val="32"/>
          <w:szCs w:val="32"/>
        </w:rPr>
      </w:pPr>
      <w:r>
        <w:rPr>
          <w:rFonts w:hint="eastAsia" w:ascii="仿宋_GB2312" w:hAnsi="仿宋" w:eastAsia="仿宋_GB2312"/>
          <w:sz w:val="32"/>
          <w:szCs w:val="32"/>
        </w:rPr>
        <w:t>其他对单位影响较大的支出情况。</w:t>
      </w:r>
    </w:p>
    <w:p w14:paraId="246C7D2F">
      <w:pPr>
        <w:snapToGrid w:val="0"/>
        <w:spacing w:line="520" w:lineRule="exact"/>
        <w:ind w:left="420" w:leftChars="200" w:firstLine="640" w:firstLineChars="200"/>
        <w:rPr>
          <w:rFonts w:ascii="仿宋_GB2312" w:hAnsi="仿宋" w:eastAsia="仿宋_GB2312"/>
          <w:sz w:val="32"/>
          <w:szCs w:val="32"/>
        </w:rPr>
      </w:pPr>
      <w:r>
        <w:rPr>
          <w:rFonts w:hint="eastAsia" w:ascii="仿宋_GB2312" w:hAnsi="仿宋" w:eastAsia="仿宋_GB2312"/>
          <w:sz w:val="32"/>
          <w:szCs w:val="32"/>
        </w:rPr>
        <w:t>无</w:t>
      </w:r>
    </w:p>
    <w:p w14:paraId="0614EA7A">
      <w:pPr>
        <w:numPr>
          <w:ilvl w:val="0"/>
          <w:numId w:val="1"/>
        </w:numPr>
        <w:snapToGrid w:val="0"/>
        <w:spacing w:line="520" w:lineRule="exact"/>
        <w:ind w:firstLine="640"/>
        <w:rPr>
          <w:rFonts w:ascii="仿宋_GB2312" w:hAnsi="仿宋" w:eastAsia="仿宋_GB2312"/>
          <w:sz w:val="32"/>
          <w:szCs w:val="32"/>
        </w:rPr>
      </w:pPr>
      <w:r>
        <w:rPr>
          <w:rFonts w:hint="eastAsia" w:ascii="仿宋_GB2312" w:hAnsi="仿宋" w:eastAsia="仿宋_GB2312"/>
          <w:sz w:val="32"/>
          <w:szCs w:val="32"/>
        </w:rPr>
        <w:t>重点经济分类支出中存在的问题及改进措施。</w:t>
      </w:r>
    </w:p>
    <w:p w14:paraId="196B9E75">
      <w:pPr>
        <w:snapToGrid w:val="0"/>
        <w:spacing w:line="520" w:lineRule="exact"/>
        <w:ind w:left="420" w:leftChars="200" w:firstLine="640" w:firstLineChars="200"/>
        <w:rPr>
          <w:rFonts w:eastAsia="仿宋_GB2312"/>
          <w:color w:val="000000"/>
          <w:sz w:val="32"/>
          <w:szCs w:val="32"/>
        </w:rPr>
      </w:pPr>
      <w:r>
        <w:rPr>
          <w:rFonts w:hint="eastAsia" w:ascii="仿宋_GB2312" w:hAnsi="仿宋" w:eastAsia="仿宋_GB2312"/>
          <w:sz w:val="32"/>
          <w:szCs w:val="32"/>
        </w:rPr>
        <w:t>无</w:t>
      </w:r>
    </w:p>
    <w:p w14:paraId="78789996">
      <w:pPr>
        <w:spacing w:line="570" w:lineRule="exact"/>
        <w:ind w:firstLine="640" w:firstLineChars="200"/>
        <w:rPr>
          <w:rFonts w:hint="eastAsia" w:eastAsia="仿宋_GB2312"/>
          <w:color w:val="000000"/>
          <w:sz w:val="32"/>
          <w:szCs w:val="32"/>
        </w:rPr>
      </w:pPr>
    </w:p>
    <w:p w14:paraId="13F06121">
      <w:pPr>
        <w:pStyle w:val="4"/>
        <w:spacing w:line="57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681CF46B">
      <w:pPr>
        <w:pStyle w:val="4"/>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（一）基本支出情况</w:t>
      </w:r>
    </w:p>
    <w:p w14:paraId="07AEAC7A">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202</w:t>
      </w:r>
      <w:r>
        <w:rPr>
          <w:rFonts w:ascii="仿宋_GB2312" w:hAnsi="仿宋" w:eastAsia="仿宋_GB2312"/>
          <w:sz w:val="32"/>
          <w:szCs w:val="32"/>
        </w:rPr>
        <w:t>4</w:t>
      </w:r>
      <w:r>
        <w:rPr>
          <w:rFonts w:hint="eastAsia" w:ascii="仿宋_GB2312" w:hAnsi="仿宋" w:eastAsia="仿宋_GB2312"/>
          <w:sz w:val="32"/>
          <w:szCs w:val="32"/>
        </w:rPr>
        <w:t>年基本支出为</w:t>
      </w:r>
      <w:r>
        <w:rPr>
          <w:rFonts w:ascii="仿宋_GB2312" w:hAnsi="仿宋" w:eastAsia="仿宋_GB2312"/>
          <w:sz w:val="32"/>
          <w:szCs w:val="32"/>
        </w:rPr>
        <w:t>61.86</w:t>
      </w:r>
      <w:r>
        <w:rPr>
          <w:rFonts w:hint="eastAsia" w:ascii="仿宋_GB2312" w:hAnsi="仿宋" w:eastAsia="仿宋_GB2312"/>
          <w:sz w:val="32"/>
          <w:szCs w:val="32"/>
        </w:rPr>
        <w:t>万元，是指为保障单位机构正常运转、完成日常工作任务而发生的各项支出</w:t>
      </w:r>
      <w:r>
        <w:rPr>
          <w:rFonts w:hint="eastAsia" w:ascii="宋体" w:hAnsi="宋体" w:cs="宋体"/>
          <w:color w:val="000000"/>
          <w:kern w:val="0"/>
          <w:sz w:val="30"/>
          <w:szCs w:val="30"/>
        </w:rPr>
        <w:t>，</w:t>
      </w:r>
      <w:r>
        <w:rPr>
          <w:rFonts w:hint="eastAsia" w:ascii="仿宋_GB2312" w:hAnsi="仿宋" w:eastAsia="仿宋_GB2312"/>
          <w:sz w:val="32"/>
          <w:szCs w:val="32"/>
        </w:rPr>
        <w:t>其中人员经费为</w:t>
      </w:r>
      <w:r>
        <w:rPr>
          <w:rFonts w:ascii="仿宋_GB2312" w:hAnsi="仿宋" w:eastAsia="仿宋_GB2312"/>
          <w:sz w:val="32"/>
          <w:szCs w:val="32"/>
        </w:rPr>
        <w:t>55.38</w:t>
      </w:r>
      <w:r>
        <w:rPr>
          <w:rFonts w:hint="eastAsia" w:ascii="仿宋_GB2312" w:hAnsi="仿宋" w:eastAsia="仿宋_GB2312"/>
          <w:sz w:val="32"/>
          <w:szCs w:val="32"/>
        </w:rPr>
        <w:t>万元，公用经费为</w:t>
      </w:r>
      <w:r>
        <w:rPr>
          <w:rFonts w:ascii="仿宋_GB2312" w:hAnsi="仿宋" w:eastAsia="仿宋_GB2312"/>
          <w:sz w:val="32"/>
          <w:szCs w:val="32"/>
        </w:rPr>
        <w:t>6.48</w:t>
      </w:r>
      <w:r>
        <w:rPr>
          <w:rFonts w:hint="eastAsia" w:ascii="仿宋_GB2312" w:hAnsi="仿宋" w:eastAsia="仿宋_GB2312"/>
          <w:sz w:val="32"/>
          <w:szCs w:val="32"/>
        </w:rPr>
        <w:t>万元。</w:t>
      </w:r>
    </w:p>
    <w:p w14:paraId="57D61523">
      <w:pPr>
        <w:pStyle w:val="4"/>
        <w:spacing w:line="570" w:lineRule="exact"/>
        <w:ind w:firstLine="640"/>
        <w:rPr>
          <w:rFonts w:hint="eastAsia" w:ascii="Times New Roman" w:hAnsi="Times New Roman" w:eastAsia="仿宋_GB2312"/>
          <w:sz w:val="32"/>
          <w:szCs w:val="32"/>
        </w:rPr>
      </w:pPr>
    </w:p>
    <w:p w14:paraId="697F60AE">
      <w:pPr>
        <w:pStyle w:val="4"/>
        <w:spacing w:line="570" w:lineRule="exact"/>
        <w:ind w:firstLine="640"/>
        <w:rPr>
          <w:rFonts w:ascii="Times New Roman" w:hAnsi="Times New Roman" w:eastAsia="仿宋_GB2312"/>
          <w:sz w:val="32"/>
          <w:szCs w:val="32"/>
        </w:rPr>
      </w:pPr>
      <w:r>
        <w:rPr>
          <w:rFonts w:ascii="Times New Roman" w:hAnsi="Times New Roman" w:eastAsia="仿宋_GB2312"/>
          <w:sz w:val="32"/>
          <w:szCs w:val="32"/>
        </w:rPr>
        <w:t>（二）项目支出情况</w:t>
      </w:r>
    </w:p>
    <w:p w14:paraId="3463894D">
      <w:pPr>
        <w:pStyle w:val="4"/>
        <w:spacing w:line="460" w:lineRule="exact"/>
        <w:ind w:firstLine="640"/>
        <w:rPr>
          <w:rFonts w:ascii="仿宋_GB2312" w:hAnsi="仿宋" w:eastAsia="仿宋_GB2312"/>
          <w:kern w:val="2"/>
          <w:sz w:val="32"/>
          <w:szCs w:val="32"/>
        </w:rPr>
      </w:pPr>
      <w:r>
        <w:rPr>
          <w:rFonts w:hint="eastAsia" w:ascii="仿宋_GB2312" w:hAnsi="仿宋" w:eastAsia="仿宋_GB2312"/>
          <w:kern w:val="2"/>
          <w:sz w:val="32"/>
          <w:szCs w:val="32"/>
        </w:rPr>
        <w:t>202</w:t>
      </w:r>
      <w:r>
        <w:rPr>
          <w:rFonts w:ascii="仿宋_GB2312" w:hAnsi="仿宋" w:eastAsia="仿宋_GB2312"/>
          <w:kern w:val="2"/>
          <w:sz w:val="32"/>
          <w:szCs w:val="32"/>
        </w:rPr>
        <w:t>4</w:t>
      </w:r>
      <w:r>
        <w:rPr>
          <w:rFonts w:hint="eastAsia" w:ascii="仿宋_GB2312" w:hAnsi="仿宋" w:eastAsia="仿宋_GB2312"/>
          <w:kern w:val="2"/>
          <w:sz w:val="32"/>
          <w:szCs w:val="32"/>
        </w:rPr>
        <w:t>年项目支出</w:t>
      </w:r>
      <w:r>
        <w:rPr>
          <w:rFonts w:ascii="仿宋_GB2312" w:hAnsi="仿宋" w:eastAsia="仿宋_GB2312"/>
          <w:kern w:val="2"/>
          <w:sz w:val="32"/>
          <w:szCs w:val="32"/>
        </w:rPr>
        <w:t>12.28</w:t>
      </w:r>
      <w:r>
        <w:rPr>
          <w:rFonts w:hint="eastAsia" w:ascii="仿宋_GB2312" w:hAnsi="仿宋" w:eastAsia="仿宋_GB2312"/>
          <w:kern w:val="2"/>
          <w:sz w:val="32"/>
          <w:szCs w:val="32"/>
        </w:rPr>
        <w:t>万元，主要用于工伤政策宣传、工伤保险参保扩面工作和老工伤待遇拨付。</w:t>
      </w:r>
    </w:p>
    <w:p w14:paraId="1EF35768">
      <w:pPr>
        <w:pStyle w:val="4"/>
        <w:spacing w:line="570" w:lineRule="exact"/>
        <w:ind w:firstLine="640"/>
        <w:rPr>
          <w:rFonts w:hint="eastAsia" w:ascii="Times New Roman" w:hAnsi="Times New Roman" w:eastAsia="仿宋_GB2312"/>
          <w:sz w:val="32"/>
          <w:szCs w:val="32"/>
        </w:rPr>
      </w:pPr>
    </w:p>
    <w:p w14:paraId="29D98180">
      <w:pPr>
        <w:pStyle w:val="4"/>
        <w:spacing w:line="57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r>
        <w:rPr>
          <w:rFonts w:hint="eastAsia" w:ascii="Times New Roman" w:hAnsi="Times New Roman" w:eastAsia="黑体"/>
          <w:sz w:val="32"/>
          <w:szCs w:val="32"/>
        </w:rPr>
        <w:t>。</w:t>
      </w:r>
    </w:p>
    <w:p w14:paraId="1B391C78">
      <w:pPr>
        <w:pStyle w:val="4"/>
        <w:spacing w:line="57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我单位无政府性基金预算支出情况</w:t>
      </w:r>
    </w:p>
    <w:p w14:paraId="3223DE80">
      <w:pPr>
        <w:pStyle w:val="4"/>
        <w:spacing w:line="57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r>
        <w:rPr>
          <w:rFonts w:hint="eastAsia" w:ascii="Times New Roman" w:hAnsi="Times New Roman" w:eastAsia="黑体"/>
          <w:sz w:val="32"/>
          <w:szCs w:val="32"/>
        </w:rPr>
        <w:t>。</w:t>
      </w:r>
    </w:p>
    <w:p w14:paraId="19852319">
      <w:pPr>
        <w:pStyle w:val="4"/>
        <w:spacing w:line="460" w:lineRule="exact"/>
        <w:ind w:firstLine="640"/>
        <w:rPr>
          <w:rFonts w:ascii="Times New Roman" w:hAnsi="Times New Roman" w:eastAsia="黑体"/>
          <w:sz w:val="32"/>
          <w:szCs w:val="32"/>
        </w:rPr>
      </w:pPr>
      <w:r>
        <w:rPr>
          <w:rFonts w:hint="eastAsia" w:ascii="Times New Roman" w:hAnsi="Times New Roman" w:eastAsia="仿宋_GB2312"/>
          <w:color w:val="000000"/>
          <w:sz w:val="32"/>
          <w:szCs w:val="32"/>
        </w:rPr>
        <w:t>我单位无国有资本经营预算支出情况</w:t>
      </w:r>
    </w:p>
    <w:p w14:paraId="31FE1100">
      <w:pPr>
        <w:pStyle w:val="4"/>
        <w:spacing w:line="570" w:lineRule="exact"/>
        <w:ind w:firstLine="640"/>
        <w:rPr>
          <w:rFonts w:ascii="Times New Roman" w:hAnsi="Times New Roman" w:eastAsia="仿宋_GB2312"/>
          <w:color w:val="000000"/>
          <w:sz w:val="32"/>
          <w:szCs w:val="32"/>
        </w:rPr>
      </w:pPr>
      <w:r>
        <w:rPr>
          <w:rFonts w:ascii="Times New Roman" w:hAnsi="Times New Roman" w:eastAsia="黑体"/>
          <w:sz w:val="32"/>
          <w:szCs w:val="32"/>
        </w:rPr>
        <w:t>五、社会保险基金预算支出情况</w:t>
      </w:r>
      <w:r>
        <w:rPr>
          <w:rFonts w:hint="eastAsia" w:ascii="Times New Roman" w:hAnsi="Times New Roman" w:eastAsia="黑体"/>
          <w:sz w:val="32"/>
          <w:szCs w:val="32"/>
        </w:rPr>
        <w:t>。</w:t>
      </w:r>
    </w:p>
    <w:p w14:paraId="08C13B69">
      <w:pPr>
        <w:pStyle w:val="4"/>
        <w:spacing w:line="460" w:lineRule="exact"/>
        <w:ind w:left="420" w:leftChars="200" w:firstLine="0" w:firstLineChars="0"/>
        <w:rPr>
          <w:rFonts w:hint="eastAsia" w:ascii="Times New Roman" w:hAnsi="Times New Roman" w:eastAsia="黑体"/>
          <w:sz w:val="32"/>
          <w:szCs w:val="32"/>
        </w:rPr>
      </w:pPr>
      <w:r>
        <w:rPr>
          <w:rFonts w:hint="eastAsia" w:ascii="Times New Roman" w:hAnsi="Times New Roman" w:eastAsia="仿宋_GB2312"/>
          <w:color w:val="000000"/>
          <w:sz w:val="32"/>
          <w:szCs w:val="32"/>
        </w:rPr>
        <w:t>我单位无社会保险基金预算支出情况</w:t>
      </w:r>
    </w:p>
    <w:p w14:paraId="25CA4464">
      <w:pPr>
        <w:spacing w:line="570" w:lineRule="exact"/>
        <w:ind w:firstLine="640" w:firstLineChars="200"/>
        <w:rPr>
          <w:rFonts w:eastAsia="黑体"/>
          <w:sz w:val="32"/>
          <w:szCs w:val="32"/>
        </w:rPr>
      </w:pPr>
      <w:r>
        <w:rPr>
          <w:rFonts w:eastAsia="黑体"/>
          <w:sz w:val="32"/>
          <w:szCs w:val="32"/>
        </w:rPr>
        <w:t>六、部门整体支出绩效情况</w:t>
      </w:r>
    </w:p>
    <w:p w14:paraId="49AC06ED">
      <w:pPr>
        <w:spacing w:line="570" w:lineRule="exact"/>
        <w:ind w:firstLine="640" w:firstLineChars="200"/>
        <w:rPr>
          <w:rFonts w:hint="eastAsia" w:eastAsia="仿宋_GB2312"/>
          <w:color w:val="000000"/>
          <w:sz w:val="32"/>
          <w:szCs w:val="32"/>
        </w:rPr>
      </w:pPr>
      <w:r>
        <w:rPr>
          <w:rFonts w:hint="eastAsia" w:eastAsia="仿宋_GB2312"/>
          <w:color w:val="000000"/>
          <w:sz w:val="32"/>
          <w:szCs w:val="32"/>
        </w:rPr>
        <w:t>2</w:t>
      </w:r>
      <w:r>
        <w:rPr>
          <w:rFonts w:eastAsia="仿宋_GB2312"/>
          <w:color w:val="000000"/>
          <w:sz w:val="32"/>
          <w:szCs w:val="32"/>
        </w:rPr>
        <w:t>024年，我单位积极履职，强化管理，较好的完成了年度工作目标。通过加强预算收支管理，不断建立健全内部管理制度，梳理内部管理流程，注重工作效率，严格控制成本，厉行节约，部门整体支出管理水平得到提升。与此同时资金使用及时，有效性高，部门整体支出绩效目标完成率高，可持续性好。</w:t>
      </w:r>
    </w:p>
    <w:p w14:paraId="6FE21C3D">
      <w:pPr>
        <w:pStyle w:val="4"/>
        <w:spacing w:line="57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2A5997EE">
      <w:pPr>
        <w:spacing w:line="460" w:lineRule="exact"/>
        <w:ind w:firstLine="640" w:firstLineChars="200"/>
        <w:rPr>
          <w:rFonts w:eastAsia="仿宋_GB2312"/>
          <w:color w:val="000000"/>
          <w:sz w:val="32"/>
          <w:szCs w:val="32"/>
        </w:rPr>
      </w:pPr>
      <w:r>
        <w:rPr>
          <w:rFonts w:hint="eastAsia" w:eastAsia="仿宋_GB2312"/>
          <w:color w:val="000000"/>
          <w:sz w:val="32"/>
          <w:szCs w:val="32"/>
        </w:rPr>
        <w:t>本年度我中心整体支出预算取得了一定的成效，同时也存在一定的问题:一是在资产管理上,制度和规定建立还不够健全和规范，对于资产的登记、入档、核销等工作不够及时。二是从绩效管理上看对整体支出绩效设定的目标和各项指标理解认识不够，细化量化不够，体现充分的服务效果不够。三是财务管理方面看，对财务专业人员的专业能力培养不够，难以适应新形势财务管理不断深化发展的需要。</w:t>
      </w:r>
    </w:p>
    <w:p w14:paraId="11D1C72A">
      <w:pPr>
        <w:spacing w:line="570" w:lineRule="exact"/>
        <w:ind w:firstLine="640" w:firstLineChars="200"/>
        <w:rPr>
          <w:rFonts w:eastAsia="黑体"/>
          <w:sz w:val="32"/>
          <w:szCs w:val="32"/>
        </w:rPr>
      </w:pPr>
      <w:r>
        <w:rPr>
          <w:rFonts w:eastAsia="黑体"/>
          <w:sz w:val="32"/>
          <w:szCs w:val="32"/>
        </w:rPr>
        <w:t>八、下一步改进措施</w:t>
      </w:r>
    </w:p>
    <w:p w14:paraId="16473DD5">
      <w:pPr>
        <w:spacing w:line="600" w:lineRule="exact"/>
        <w:ind w:firstLine="640" w:firstLineChars="200"/>
        <w:rPr>
          <w:rFonts w:eastAsia="黑体"/>
          <w:sz w:val="32"/>
          <w:szCs w:val="32"/>
        </w:rPr>
      </w:pPr>
      <w:r>
        <w:rPr>
          <w:rFonts w:hint="eastAsia" w:eastAsia="仿宋_GB2312"/>
          <w:color w:val="000000"/>
          <w:sz w:val="32"/>
          <w:szCs w:val="32"/>
        </w:rPr>
        <w:t>科学合理编制预算，严格执行预算 。加强预算编制的前瞻性，按照《预算法》及其实施条例的相关规定，结合上一年度预算执行情况和本年度预算收支变化因素，科学、合理地编制本年预算，执行中确需调整预算的，按规定程序报经批准。</w:t>
      </w:r>
    </w:p>
    <w:p w14:paraId="5B468C18">
      <w:pPr>
        <w:spacing w:line="570" w:lineRule="exact"/>
        <w:ind w:firstLine="640" w:firstLineChars="200"/>
        <w:rPr>
          <w:rFonts w:hint="eastAsia" w:eastAsia="黑体"/>
          <w:sz w:val="32"/>
          <w:szCs w:val="32"/>
        </w:rPr>
      </w:pPr>
    </w:p>
    <w:p w14:paraId="495E60C3">
      <w:pPr>
        <w:spacing w:line="570" w:lineRule="exact"/>
        <w:ind w:firstLine="640" w:firstLineChars="200"/>
        <w:rPr>
          <w:rFonts w:eastAsia="黑体"/>
          <w:sz w:val="32"/>
          <w:szCs w:val="32"/>
        </w:rPr>
      </w:pPr>
      <w:r>
        <w:rPr>
          <w:rFonts w:eastAsia="黑体"/>
          <w:sz w:val="32"/>
          <w:szCs w:val="32"/>
        </w:rPr>
        <w:t>九、部门整体支出绩效自评结果拟应用和公开情况</w:t>
      </w:r>
    </w:p>
    <w:p w14:paraId="4EB6304B">
      <w:pPr>
        <w:spacing w:line="600" w:lineRule="exact"/>
        <w:ind w:firstLine="640" w:firstLineChars="200"/>
        <w:rPr>
          <w:rFonts w:eastAsia="仿宋_GB2312"/>
          <w:color w:val="000000"/>
          <w:sz w:val="32"/>
          <w:szCs w:val="32"/>
        </w:rPr>
      </w:pPr>
      <w:r>
        <w:rPr>
          <w:rFonts w:hint="eastAsia" w:eastAsia="仿宋_GB2312"/>
          <w:color w:val="000000"/>
          <w:sz w:val="32"/>
          <w:szCs w:val="32"/>
        </w:rPr>
        <w:t>按财政局文件要求在相关的平台进行公开。本次绩效自评结果将为加强资金管理、完善相关制度建设提供依据，力争不断提高预算管理水平，为预算资金使用效益提高基础保障。</w:t>
      </w:r>
    </w:p>
    <w:p w14:paraId="74A0CC6E">
      <w:pPr>
        <w:spacing w:line="570" w:lineRule="exact"/>
        <w:ind w:firstLine="640" w:firstLineChars="200"/>
        <w:rPr>
          <w:rFonts w:hint="eastAsia" w:eastAsia="黑体"/>
          <w:sz w:val="32"/>
          <w:szCs w:val="32"/>
        </w:rPr>
      </w:pPr>
    </w:p>
    <w:p w14:paraId="6F51503B">
      <w:pPr>
        <w:spacing w:line="570" w:lineRule="exact"/>
        <w:ind w:firstLine="640" w:firstLineChars="200"/>
        <w:rPr>
          <w:rFonts w:eastAsia="黑体"/>
          <w:sz w:val="32"/>
          <w:szCs w:val="32"/>
        </w:rPr>
      </w:pPr>
      <w:r>
        <w:rPr>
          <w:rFonts w:hint="eastAsia" w:eastAsia="黑体"/>
          <w:sz w:val="32"/>
          <w:szCs w:val="32"/>
        </w:rPr>
        <w:t>十、</w:t>
      </w:r>
      <w:r>
        <w:rPr>
          <w:rFonts w:eastAsia="黑体"/>
          <w:sz w:val="32"/>
          <w:szCs w:val="32"/>
        </w:rPr>
        <w:t>其他需要说明的情况</w:t>
      </w:r>
    </w:p>
    <w:p w14:paraId="56F1389D">
      <w:pPr>
        <w:tabs>
          <w:tab w:val="left" w:pos="949"/>
        </w:tabs>
        <w:spacing w:after="156" w:afterLines="50" w:line="600" w:lineRule="exact"/>
        <w:rPr>
          <w:rFonts w:eastAsia="黑体"/>
          <w:sz w:val="32"/>
          <w:szCs w:val="32"/>
        </w:rPr>
      </w:pPr>
      <w:r>
        <w:rPr>
          <w:rFonts w:eastAsia="黑体"/>
          <w:sz w:val="32"/>
          <w:szCs w:val="32"/>
        </w:rPr>
        <w:tab/>
      </w:r>
      <w:r>
        <w:rPr>
          <w:rFonts w:eastAsia="黑体"/>
          <w:sz w:val="32"/>
          <w:szCs w:val="32"/>
        </w:rPr>
        <w:t>无</w:t>
      </w:r>
    </w:p>
    <w:p w14:paraId="70486C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Microsoft YaHei UI"/>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D4F5D"/>
    <w:multiLevelType w:val="singleLevel"/>
    <w:tmpl w:val="153D4F5D"/>
    <w:lvl w:ilvl="0" w:tentative="0">
      <w:start w:val="3"/>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EB7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kern w:val="0"/>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2025-09-16T01:35:16Z</dcterms:created>
  <dc:creator>GSBX2</dc:creator>
  <cp:lastModifiedBy>寒风</cp:lastModifiedBy>
  <dcterms:modified xsi:type="dcterms:W3CDTF">2025-09-16T01:35:32Z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eyJoZGlkIjoiNTIwY2JiNDM2ZGMxYTM0NjcyMTcwMzBhZmJmMmVjMWEiLCJ1c2VySWQiOiIxNDY4MjY2MTI3In0=</vt:lpwstr>
  </property>
  <property fmtid="{D5CDD505-2E9C-101B-9397-08002B2CF9AE}" pid="4" name="ICV">
    <vt:lpwstr>B38889B9E256487E9871D0F201EF0D7C_12</vt:lpwstr>
  </property>
</Properties>
</file>