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ED9D1">
      <w:pPr>
        <w:spacing w:line="4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2023年零陵区就业服务中心部门整体绩效自评报告</w:t>
      </w:r>
    </w:p>
    <w:p w14:paraId="4278052A">
      <w:pPr>
        <w:spacing w:line="4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24279969">
      <w:p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370CD3A3"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（一）基</w:t>
      </w:r>
      <w:bookmarkStart w:id="0" w:name="_GoBack"/>
      <w:bookmarkEnd w:id="0"/>
      <w:r>
        <w:rPr>
          <w:rFonts w:hint="eastAsia" w:ascii="楷体_GB2312" w:hAnsi="仿宋" w:eastAsia="楷体_GB2312"/>
          <w:b/>
          <w:sz w:val="32"/>
          <w:szCs w:val="32"/>
        </w:rPr>
        <w:t>本情况。</w:t>
      </w:r>
    </w:p>
    <w:p w14:paraId="17315FD5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 w14:paraId="08AC002A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(1)、贯彻执行党和政府的就业方针、政策和法规，统筹做好城乡各类劳动者就业服务工作；</w:t>
      </w:r>
    </w:p>
    <w:p w14:paraId="7F7B2842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(2)、落实就业创业优惠政策，并提供就业政策、法规咨询服务；</w:t>
      </w:r>
    </w:p>
    <w:p w14:paraId="086D3C9E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(3)、开展就业登记、失业登记、就业援助、创业担保贷款等服务；</w:t>
      </w:r>
    </w:p>
    <w:p w14:paraId="18CF82F8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(4)、负责乡镇（街道）、社区就业服务机构的业务指导；</w:t>
      </w:r>
    </w:p>
    <w:p w14:paraId="0CA4556C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(5)、负责失业保险的发放、管理等业务；</w:t>
      </w:r>
    </w:p>
    <w:p w14:paraId="2D12F838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(6)、在行政主管部门领导下，编制就业资金的预、决算；</w:t>
      </w:r>
    </w:p>
    <w:p w14:paraId="56CEFABB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(7)、承担劳动就业、失业保险信息的统计分析、汇总上报；</w:t>
      </w:r>
    </w:p>
    <w:p w14:paraId="341A11A4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(8)、承办行政主管部门有关行政委托事项和交办的其他工作。</w:t>
      </w:r>
    </w:p>
    <w:p w14:paraId="57DE2B5F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2．机构情况，包括当年变动情况及原因。</w:t>
      </w:r>
    </w:p>
    <w:p w14:paraId="1DAAD53C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（一）内设机构设置。零陵区就业服务管理局单位内设机构包括：办公室、就业创业股、创业贷款担保中心、失业保险股5个职能股室。</w:t>
      </w:r>
    </w:p>
    <w:p w14:paraId="4A1A4B92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（二）决算单位构成。零陵区就业服务管理局单位202</w:t>
      </w: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年部门决算汇总公开单位构成包括：零陵区就业服务中心单位本级。</w:t>
      </w:r>
    </w:p>
    <w:p w14:paraId="230E139C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3．人员情况。</w:t>
      </w:r>
    </w:p>
    <w:p w14:paraId="6B24E2DF"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单位年底在职在编11人员，较上年减少1人。因组织调动，本年2023年12月调出一人，调入2人，退休2人。</w:t>
      </w:r>
    </w:p>
    <w:p w14:paraId="4D2314A2"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</w:t>
      </w:r>
      <w:r>
        <w:rPr>
          <w:rFonts w:hint="eastAsia" w:ascii="仿宋_GB2312" w:eastAsia="仿宋_GB2312"/>
          <w:sz w:val="32"/>
          <w:szCs w:val="32"/>
        </w:rPr>
        <w:t>部门（单位）整体支出情况</w:t>
      </w:r>
    </w:p>
    <w:p w14:paraId="71A4ACA6">
      <w:pPr>
        <w:pStyle w:val="5"/>
        <w:wordWrap w:val="0"/>
        <w:spacing w:after="2"/>
        <w:ind w:firstLine="641"/>
        <w:rPr>
          <w:rFonts w:hint="default" w:ascii="仿宋_GB2312"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2023年我单位</w:t>
      </w:r>
      <w:r>
        <w:rPr>
          <w:rFonts w:ascii="仿宋_GB2312" w:eastAsia="仿宋_GB2312"/>
          <w:sz w:val="32"/>
          <w:szCs w:val="32"/>
        </w:rPr>
        <w:t>预算收入1837.04万元，预算支出1837.04万元。</w:t>
      </w:r>
      <w:r>
        <w:rPr>
          <w:rFonts w:eastAsia="仿宋_GB2312"/>
          <w:color w:val="000000"/>
          <w:sz w:val="32"/>
          <w:szCs w:val="32"/>
        </w:rPr>
        <w:t>决算收入</w:t>
      </w:r>
      <w:r>
        <w:rPr>
          <w:rFonts w:ascii="仿宋_GB2312" w:eastAsia="仿宋_GB2312"/>
          <w:sz w:val="32"/>
          <w:szCs w:val="32"/>
        </w:rPr>
        <w:t>2682.63万元，</w:t>
      </w:r>
      <w:r>
        <w:rPr>
          <w:rFonts w:eastAsia="仿宋_GB2312"/>
          <w:color w:val="000000"/>
          <w:sz w:val="32"/>
          <w:szCs w:val="32"/>
        </w:rPr>
        <w:t>决算</w:t>
      </w:r>
      <w:r>
        <w:rPr>
          <w:rFonts w:ascii="仿宋_GB2312" w:eastAsia="仿宋_GB2312"/>
          <w:sz w:val="32"/>
          <w:szCs w:val="32"/>
        </w:rPr>
        <w:t>支出2682.63万元。其中一般公共预算拨款收入2671.93万元，其他收入10.70万元。</w:t>
      </w:r>
    </w:p>
    <w:p w14:paraId="12EBB41A">
      <w:pPr>
        <w:pStyle w:val="5"/>
        <w:wordWrap w:val="0"/>
        <w:spacing w:after="2"/>
        <w:ind w:firstLine="641"/>
        <w:rPr>
          <w:rFonts w:hint="default"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2023年度“三公”经费财政拨款支出预算为2万元，支出决算为1.21万元。公务接待费支出决算为1.21万元，全年共接待来访团组16个、来宾151人次，与上年相比减少0.28万元，下降18.79%。下降的主要原因是厉行节俭，减少了公务接待次数。</w:t>
      </w:r>
    </w:p>
    <w:p w14:paraId="00F1441F">
      <w:pPr>
        <w:pStyle w:val="4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3BA752D6">
      <w:pPr>
        <w:pStyle w:val="4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 w14:paraId="2C53E226">
      <w:pPr>
        <w:pStyle w:val="4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2023年基本支出18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.17万元，其中人员经费176.05万元，占基本支出9</w:t>
      </w:r>
      <w:r>
        <w:rPr>
          <w:rFonts w:ascii="仿宋_GB2312" w:eastAsia="仿宋_GB2312"/>
          <w:sz w:val="32"/>
          <w:szCs w:val="32"/>
        </w:rPr>
        <w:t>6.1</w:t>
      </w:r>
      <w:r>
        <w:rPr>
          <w:rFonts w:hint="eastAsia" w:ascii="仿宋_GB2312" w:eastAsia="仿宋_GB2312"/>
          <w:sz w:val="32"/>
          <w:szCs w:val="32"/>
        </w:rPr>
        <w:t>%，较上年增加20%,主要是新增抚恤金支出、工资上调以及退休人员节日慰问支出增多。公用经费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.12万元，占基本支出</w:t>
      </w:r>
      <w:r>
        <w:rPr>
          <w:rFonts w:ascii="仿宋_GB2312" w:eastAsia="仿宋_GB2312"/>
          <w:sz w:val="32"/>
          <w:szCs w:val="32"/>
        </w:rPr>
        <w:t>3.9</w:t>
      </w:r>
      <w:r>
        <w:rPr>
          <w:rFonts w:hint="eastAsia" w:ascii="仿宋_GB2312" w:eastAsia="仿宋_GB2312"/>
          <w:sz w:val="32"/>
          <w:szCs w:val="32"/>
        </w:rPr>
        <w:t>%，主要是减少了工会经费、办公费和印刷费支出。</w:t>
      </w:r>
    </w:p>
    <w:p w14:paraId="05A163E0">
      <w:pPr>
        <w:pStyle w:val="4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（二）项目支出情况</w:t>
      </w:r>
    </w:p>
    <w:p w14:paraId="116CCD42">
      <w:pPr>
        <w:pStyle w:val="4"/>
        <w:spacing w:line="4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2023年项目支出249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46</w:t>
      </w:r>
      <w:r>
        <w:rPr>
          <w:rFonts w:hint="eastAsia" w:ascii="仿宋_GB2312" w:eastAsia="仿宋_GB2312"/>
          <w:sz w:val="32"/>
          <w:szCs w:val="32"/>
        </w:rPr>
        <w:t>万元。</w:t>
      </w:r>
    </w:p>
    <w:p w14:paraId="4ADB6855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1、就业资金项目支出2</w:t>
      </w:r>
      <w:r>
        <w:rPr>
          <w:rFonts w:ascii="仿宋_GB2312" w:eastAsia="仿宋_GB2312"/>
          <w:sz w:val="32"/>
          <w:szCs w:val="32"/>
        </w:rPr>
        <w:t>485.46万元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其中</w:t>
      </w:r>
      <w:r>
        <w:rPr>
          <w:rFonts w:hint="eastAsia" w:ascii="仿宋_GB2312" w:eastAsia="仿宋_GB2312"/>
          <w:sz w:val="32"/>
          <w:szCs w:val="32"/>
        </w:rPr>
        <w:t>社保补贴（含企业社保补贴）1</w:t>
      </w:r>
      <w:r>
        <w:rPr>
          <w:rFonts w:ascii="仿宋_GB2312" w:eastAsia="仿宋_GB2312"/>
          <w:sz w:val="32"/>
          <w:szCs w:val="32"/>
        </w:rPr>
        <w:t>549.16万元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公益性岗位补贴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78.3万元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见习补贴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30万元</w:t>
      </w:r>
      <w:r>
        <w:rPr>
          <w:rFonts w:hint="eastAsia" w:ascii="仿宋_GB2312" w:eastAsia="仿宋_GB2312"/>
          <w:sz w:val="32"/>
          <w:szCs w:val="32"/>
        </w:rPr>
        <w:t>，就业</w:t>
      </w:r>
      <w:r>
        <w:rPr>
          <w:rFonts w:ascii="仿宋_GB2312" w:eastAsia="仿宋_GB2312"/>
          <w:sz w:val="32"/>
          <w:szCs w:val="32"/>
        </w:rPr>
        <w:t>创业服务补助8</w:t>
      </w:r>
      <w:r>
        <w:rPr>
          <w:rFonts w:hint="eastAsia" w:ascii="仿宋_GB2312" w:eastAsia="仿宋_GB2312"/>
          <w:sz w:val="32"/>
          <w:szCs w:val="32"/>
        </w:rPr>
        <w:t>万元，担保贷款担保费2</w:t>
      </w:r>
      <w:r>
        <w:rPr>
          <w:rFonts w:ascii="仿宋_GB2312" w:eastAsia="仿宋_GB2312"/>
          <w:sz w:val="32"/>
          <w:szCs w:val="32"/>
        </w:rPr>
        <w:t>0万元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7701D121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2、担保贷款奖补资金1</w:t>
      </w:r>
      <w:r>
        <w:rPr>
          <w:rFonts w:ascii="仿宋_GB2312" w:eastAsia="仿宋_GB2312"/>
          <w:sz w:val="32"/>
          <w:szCs w:val="32"/>
        </w:rPr>
        <w:t>0万元</w:t>
      </w:r>
      <w:r>
        <w:rPr>
          <w:rFonts w:hint="eastAsia" w:ascii="仿宋_GB2312" w:eastAsia="仿宋_GB2312"/>
          <w:sz w:val="32"/>
          <w:szCs w:val="32"/>
        </w:rPr>
        <w:t>， 奖补资金属于单位经费，主要用于单位开支。</w:t>
      </w:r>
    </w:p>
    <w:p w14:paraId="2E116B43">
      <w:pPr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3、失业保险工作经费支出4万元，主要是用于</w:t>
      </w:r>
      <w:r>
        <w:rPr>
          <w:rFonts w:hint="eastAsia" w:eastAsia="仿宋_GB2312"/>
          <w:color w:val="000000"/>
          <w:sz w:val="32"/>
          <w:szCs w:val="32"/>
        </w:rPr>
        <w:t>实现失业动态监测（失业预警）工作和失业保险稳定就业工作良性互动所产生的支出。包括印刷费、维修费等支出。</w:t>
      </w:r>
    </w:p>
    <w:p w14:paraId="5F7E3740">
      <w:pPr>
        <w:pStyle w:val="4"/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5723B0CC">
      <w:pPr>
        <w:pStyle w:val="4"/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我单位无政府性基金预算支出情况。</w:t>
      </w:r>
    </w:p>
    <w:p w14:paraId="20DAF5DA">
      <w:pPr>
        <w:pStyle w:val="4"/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12F78A6F">
      <w:pPr>
        <w:pStyle w:val="4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我单位无国有资本经营预算支出情况。</w:t>
      </w:r>
    </w:p>
    <w:p w14:paraId="56E1D092">
      <w:pPr>
        <w:pStyle w:val="4"/>
        <w:spacing w:line="46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 w14:paraId="1F7CEB6D">
      <w:pPr>
        <w:pStyle w:val="4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我单位无社会保险基金预算支出情况。</w:t>
      </w:r>
    </w:p>
    <w:p w14:paraId="56ACB9EB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6D66AF2C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本单位今年继续进一步开展就业培训、落实就业创业优惠政策，开展小额担保贷款，做好失业保险征征缴、发放和管理。在今年收支预算内，完成了以下绩效指标：</w:t>
      </w:r>
    </w:p>
    <w:p w14:paraId="1AC9D44B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新增发放创业担保贷款</w:t>
      </w:r>
      <w:r>
        <w:rPr>
          <w:rFonts w:eastAsia="仿宋_GB2312"/>
          <w:color w:val="000000"/>
          <w:sz w:val="32"/>
          <w:szCs w:val="32"/>
        </w:rPr>
        <w:t>4725</w:t>
      </w:r>
      <w:r>
        <w:rPr>
          <w:rFonts w:hint="eastAsia" w:eastAsia="仿宋_GB2312"/>
          <w:color w:val="000000"/>
          <w:sz w:val="32"/>
          <w:szCs w:val="32"/>
        </w:rPr>
        <w:t>元，完成1</w:t>
      </w:r>
      <w:r>
        <w:rPr>
          <w:rFonts w:eastAsia="仿宋_GB2312"/>
          <w:color w:val="000000"/>
          <w:sz w:val="32"/>
          <w:szCs w:val="32"/>
        </w:rPr>
        <w:t>57</w:t>
      </w:r>
      <w:r>
        <w:rPr>
          <w:rFonts w:hint="eastAsia" w:eastAsia="仿宋_GB2312"/>
          <w:color w:val="000000"/>
          <w:sz w:val="32"/>
          <w:szCs w:val="32"/>
        </w:rPr>
        <w:t xml:space="preserve"> %；新增农村劳动力转移就业达到</w:t>
      </w:r>
      <w:r>
        <w:rPr>
          <w:rFonts w:eastAsia="仿宋_GB2312"/>
          <w:color w:val="000000"/>
          <w:sz w:val="32"/>
          <w:szCs w:val="32"/>
        </w:rPr>
        <w:t>5000</w:t>
      </w:r>
      <w:r>
        <w:rPr>
          <w:rFonts w:hint="eastAsia" w:eastAsia="仿宋_GB2312"/>
          <w:color w:val="000000"/>
          <w:sz w:val="32"/>
          <w:szCs w:val="32"/>
        </w:rPr>
        <w:t>人，完成100%；城镇登记失业率2.25%，完成100%；失业保险参保总人数2292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</w:rPr>
        <w:t>人，完成100%。</w:t>
      </w:r>
    </w:p>
    <w:p w14:paraId="283EAC4C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严格落实发放见习补贴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社保补贴以及公益性岗位补贴的规定</w:t>
      </w:r>
      <w:r>
        <w:rPr>
          <w:rFonts w:hint="eastAsia" w:ascii="仿宋" w:hAnsi="仿宋" w:eastAsia="仿宋"/>
          <w:sz w:val="32"/>
          <w:szCs w:val="32"/>
        </w:rPr>
        <w:t>，实现</w:t>
      </w:r>
      <w:r>
        <w:rPr>
          <w:rFonts w:ascii="仿宋" w:hAnsi="仿宋" w:eastAsia="仿宋"/>
          <w:sz w:val="32"/>
          <w:szCs w:val="32"/>
        </w:rPr>
        <w:t>发放准确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发放及时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公共服务满意度高等目标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eastAsia="仿宋_GB2312"/>
          <w:color w:val="000000"/>
          <w:sz w:val="32"/>
          <w:szCs w:val="32"/>
        </w:rPr>
        <w:t>落实各项就业扶持政策，稳定就业情况，保障了各项就业创业政策的工作开展。</w:t>
      </w:r>
    </w:p>
    <w:p w14:paraId="58E5690D">
      <w:pPr>
        <w:pStyle w:val="4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2CB31BC6">
      <w:pPr>
        <w:spacing w:line="4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本年度我中心整体支出取得了一定的成效，同时也存在就业资金决算数与预算数差距较大的情况，主要是补贴资金由个人申请，补贴对像是否申请较难预测准确。</w:t>
      </w:r>
    </w:p>
    <w:p w14:paraId="248CCB80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704F2F1E">
      <w:pPr>
        <w:spacing w:line="4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在下一阶段工作中，结合往年预算执行情况和本年预算收支变化因素，科学合理编制预算，执行中确需调整预算的，按规定程序报经批准。</w:t>
      </w:r>
    </w:p>
    <w:p w14:paraId="1F39CF49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 w14:paraId="3558B807">
      <w:pPr>
        <w:spacing w:line="4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我单位2023年整体部门绩效自评得分100分，就业资金项目自评得分100分，失业保险工作经费得分100分，担保贷款奖补资金项目自评得分100分。与当年决算报告一同公开。</w:t>
      </w:r>
    </w:p>
    <w:p w14:paraId="40750C96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614AF802">
      <w:pPr>
        <w:spacing w:line="4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无。</w:t>
      </w:r>
    </w:p>
    <w:p w14:paraId="13C25EE4"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</w:p>
    <w:p w14:paraId="6416C8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yYTRlMjRhMTU3MzY1NmRlZTNlOGE0MGE3NjM2ZjIifQ=="/>
  </w:docVars>
  <w:rsids>
    <w:rsidRoot w:val="00F93296"/>
    <w:rsid w:val="002F24D8"/>
    <w:rsid w:val="005E7A3C"/>
    <w:rsid w:val="00785B3E"/>
    <w:rsid w:val="007C5ADC"/>
    <w:rsid w:val="00A1303B"/>
    <w:rsid w:val="00AD08EA"/>
    <w:rsid w:val="00C448E2"/>
    <w:rsid w:val="00D52046"/>
    <w:rsid w:val="00DB5531"/>
    <w:rsid w:val="00E240E5"/>
    <w:rsid w:val="00F47CC1"/>
    <w:rsid w:val="00F93296"/>
    <w:rsid w:val="088A1DE1"/>
    <w:rsid w:val="0B6F3E8A"/>
    <w:rsid w:val="1E875215"/>
    <w:rsid w:val="7986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5">
    <w:name w:val="18"/>
    <w:basedOn w:val="1"/>
    <w:qFormat/>
    <w:uiPriority w:val="0"/>
    <w:rPr>
      <w:rFonts w:hint="eastAsia"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1521</Words>
  <Characters>1693</Characters>
  <Lines>12</Lines>
  <Paragraphs>3</Paragraphs>
  <TotalTime>18</TotalTime>
  <ScaleCrop>false</ScaleCrop>
  <LinksUpToDate>false</LinksUpToDate>
  <CharactersWithSpaces>1695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2024-05-09T08:12:00Z</dcterms:created>
  <dc:creator>Administrator</dc:creator>
  <cp:lastModifiedBy>腐草为萤</cp:lastModifiedBy>
  <cp:lastPrinted>2024-05-10T08:34:00Z</cp:lastPrinted>
  <dcterms:modified xsi:type="dcterms:W3CDTF">2024-09-29T08:56:34Z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798C4A45B04046308267008EA3457EEC_12</vt:lpwstr>
  </property>
</Properties>
</file>