
<file path=[Content_Types].xml><?xml version="1.0" encoding="utf-8"?>
<Types xmlns="http://schemas.openxmlformats.org/package/2006/content-types">
  <Default Extension="xml" ContentType="application/xml"/>
  <Default Extension="bin" ContentType="application/vnd.openxmlformats-officedocument.oleObject"/>
  <Default Extension="jpeg" ContentType="image/jpeg"/>
  <Default Extension="wmf" ContentType="image/x-wmf"/>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288" w:lineRule="auto"/>
        <w:jc w:val="center"/>
        <w:rPr>
          <w:rFonts w:hint="eastAsia" w:ascii="Times New Roman" w:hAnsi="Times New Roman" w:eastAsia="楷体_GB2312" w:cs="Times New Roman"/>
          <w:color w:val="000000"/>
          <w:sz w:val="36"/>
          <w:szCs w:val="36"/>
          <w:lang w:eastAsia="zh-CN"/>
        </w:rPr>
      </w:pPr>
      <w:r>
        <w:rPr>
          <w:rFonts w:hint="eastAsia" w:ascii="Times New Roman" w:hAnsi="Times New Roman" w:eastAsia="楷体_GB2312" w:cs="Times New Roman"/>
          <w:color w:val="000000"/>
          <w:sz w:val="36"/>
          <w:szCs w:val="36"/>
          <w:lang w:eastAsia="zh-CN"/>
        </w:rPr>
        <w:drawing>
          <wp:inline distT="0" distB="0" distL="114300" distR="114300">
            <wp:extent cx="5358765" cy="6950075"/>
            <wp:effectExtent l="0" t="0" r="13335" b="3175"/>
            <wp:docPr id="28" name="图片 28" descr="3b28f791101dbe18690e3f07569d5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8" descr="3b28f791101dbe18690e3f07569d582"/>
                    <pic:cNvPicPr>
                      <a:picLocks noChangeAspect="1"/>
                    </pic:cNvPicPr>
                  </pic:nvPicPr>
                  <pic:blipFill>
                    <a:blip r:embed="rId6"/>
                    <a:srcRect t="8196" b="18254"/>
                    <a:stretch>
                      <a:fillRect/>
                    </a:stretch>
                  </pic:blipFill>
                  <pic:spPr>
                    <a:xfrm>
                      <a:off x="0" y="0"/>
                      <a:ext cx="5358765" cy="6950075"/>
                    </a:xfrm>
                    <a:prstGeom prst="rect">
                      <a:avLst/>
                    </a:prstGeom>
                  </pic:spPr>
                </pic:pic>
              </a:graphicData>
            </a:graphic>
          </wp:inline>
        </w:drawing>
      </w:r>
    </w:p>
    <w:p>
      <w:pPr>
        <w:adjustRightInd w:val="0"/>
        <w:snapToGrid w:val="0"/>
        <w:spacing w:line="288" w:lineRule="auto"/>
        <w:jc w:val="center"/>
        <w:rPr>
          <w:rFonts w:hint="eastAsia" w:ascii="Times New Roman" w:hAnsi="Times New Roman" w:eastAsia="楷体_GB2312" w:cs="Times New Roman"/>
          <w:color w:val="000000"/>
          <w:sz w:val="36"/>
          <w:szCs w:val="36"/>
          <w:lang w:eastAsia="zh-CN"/>
        </w:rPr>
      </w:pPr>
      <w:r>
        <w:rPr>
          <w:rFonts w:hint="eastAsia" w:ascii="Times New Roman" w:hAnsi="Times New Roman" w:eastAsia="楷体_GB2312" w:cs="Times New Roman"/>
          <w:color w:val="000000"/>
          <w:sz w:val="36"/>
          <w:szCs w:val="36"/>
          <w:lang w:eastAsia="zh-CN"/>
        </w:rPr>
        <w:drawing>
          <wp:inline distT="0" distB="0" distL="114300" distR="114300">
            <wp:extent cx="5111115" cy="7524750"/>
            <wp:effectExtent l="0" t="0" r="13335" b="0"/>
            <wp:docPr id="19" name="图片 19" descr="5010520abfa02df8cee5de86401cb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descr="5010520abfa02df8cee5de86401cb47"/>
                    <pic:cNvPicPr>
                      <a:picLocks noChangeAspect="1"/>
                    </pic:cNvPicPr>
                  </pic:nvPicPr>
                  <pic:blipFill>
                    <a:blip r:embed="rId7"/>
                    <a:srcRect t="14000" b="3189"/>
                    <a:stretch>
                      <a:fillRect/>
                    </a:stretch>
                  </pic:blipFill>
                  <pic:spPr>
                    <a:xfrm>
                      <a:off x="0" y="0"/>
                      <a:ext cx="5111115" cy="7524750"/>
                    </a:xfrm>
                    <a:prstGeom prst="rect">
                      <a:avLst/>
                    </a:prstGeom>
                  </pic:spPr>
                </pic:pic>
              </a:graphicData>
            </a:graphic>
          </wp:inline>
        </w:drawing>
      </w:r>
    </w:p>
    <w:p>
      <w:pPr>
        <w:adjustRightInd w:val="0"/>
        <w:snapToGrid w:val="0"/>
        <w:spacing w:line="288" w:lineRule="auto"/>
        <w:jc w:val="center"/>
        <w:rPr>
          <w:rFonts w:hint="eastAsia" w:ascii="Times New Roman" w:hAnsi="Times New Roman" w:eastAsia="楷体_GB2312" w:cs="Times New Roman"/>
          <w:color w:val="000000"/>
          <w:sz w:val="36"/>
          <w:szCs w:val="36"/>
          <w:lang w:eastAsia="zh-CN"/>
        </w:rPr>
      </w:pPr>
      <w:r>
        <w:rPr>
          <w:rFonts w:hint="eastAsia" w:ascii="Times New Roman" w:hAnsi="Times New Roman" w:eastAsia="楷体_GB2312" w:cs="Times New Roman"/>
          <w:color w:val="000000"/>
          <w:sz w:val="36"/>
          <w:szCs w:val="36"/>
          <w:lang w:eastAsia="zh-CN"/>
        </w:rPr>
        <w:drawing>
          <wp:inline distT="0" distB="0" distL="114300" distR="114300">
            <wp:extent cx="5615305" cy="7941310"/>
            <wp:effectExtent l="0" t="0" r="4445" b="2540"/>
            <wp:docPr id="11" name="图片 11" descr="Page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Page0001"/>
                    <pic:cNvPicPr>
                      <a:picLocks noChangeAspect="1"/>
                    </pic:cNvPicPr>
                  </pic:nvPicPr>
                  <pic:blipFill>
                    <a:blip r:embed="rId8"/>
                    <a:stretch>
                      <a:fillRect/>
                    </a:stretch>
                  </pic:blipFill>
                  <pic:spPr>
                    <a:xfrm>
                      <a:off x="0" y="0"/>
                      <a:ext cx="5615305" cy="7941310"/>
                    </a:xfrm>
                    <a:prstGeom prst="rect">
                      <a:avLst/>
                    </a:prstGeom>
                  </pic:spPr>
                </pic:pic>
              </a:graphicData>
            </a:graphic>
          </wp:inline>
        </w:drawing>
      </w:r>
      <w:r>
        <w:rPr>
          <w:rFonts w:hint="eastAsia" w:ascii="Times New Roman" w:hAnsi="Times New Roman" w:eastAsia="楷体_GB2312" w:cs="Times New Roman"/>
          <w:color w:val="000000"/>
          <w:sz w:val="36"/>
          <w:szCs w:val="36"/>
          <w:lang w:eastAsia="zh-CN"/>
        </w:rPr>
        <w:drawing>
          <wp:inline distT="0" distB="0" distL="114300" distR="114300">
            <wp:extent cx="5615305" cy="7941310"/>
            <wp:effectExtent l="0" t="0" r="4445" b="2540"/>
            <wp:docPr id="10" name="图片 10" descr="Page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Page0001"/>
                    <pic:cNvPicPr>
                      <a:picLocks noChangeAspect="1"/>
                    </pic:cNvPicPr>
                  </pic:nvPicPr>
                  <pic:blipFill>
                    <a:blip r:embed="rId9"/>
                    <a:stretch>
                      <a:fillRect/>
                    </a:stretch>
                  </pic:blipFill>
                  <pic:spPr>
                    <a:xfrm>
                      <a:off x="0" y="0"/>
                      <a:ext cx="5615305" cy="7941310"/>
                    </a:xfrm>
                    <a:prstGeom prst="rect">
                      <a:avLst/>
                    </a:prstGeom>
                  </pic:spPr>
                </pic:pic>
              </a:graphicData>
            </a:graphic>
          </wp:inline>
        </w:drawing>
      </w:r>
      <w:r>
        <w:rPr>
          <w:rFonts w:hint="eastAsia" w:ascii="Times New Roman" w:hAnsi="Times New Roman" w:eastAsia="楷体_GB2312" w:cs="Times New Roman"/>
          <w:color w:val="000000"/>
          <w:sz w:val="36"/>
          <w:szCs w:val="36"/>
          <w:lang w:eastAsia="zh-CN"/>
        </w:rPr>
        <w:drawing>
          <wp:inline distT="0" distB="0" distL="114300" distR="114300">
            <wp:extent cx="5615305" cy="7941310"/>
            <wp:effectExtent l="0" t="0" r="4445" b="2540"/>
            <wp:docPr id="9" name="图片 9" descr="Page0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Page0002"/>
                    <pic:cNvPicPr>
                      <a:picLocks noChangeAspect="1"/>
                    </pic:cNvPicPr>
                  </pic:nvPicPr>
                  <pic:blipFill>
                    <a:blip r:embed="rId10"/>
                    <a:stretch>
                      <a:fillRect/>
                    </a:stretch>
                  </pic:blipFill>
                  <pic:spPr>
                    <a:xfrm>
                      <a:off x="0" y="0"/>
                      <a:ext cx="5615305" cy="7941310"/>
                    </a:xfrm>
                    <a:prstGeom prst="rect">
                      <a:avLst/>
                    </a:prstGeom>
                  </pic:spPr>
                </pic:pic>
              </a:graphicData>
            </a:graphic>
          </wp:inline>
        </w:drawing>
      </w:r>
      <w:r>
        <w:rPr>
          <w:rFonts w:hint="eastAsia" w:ascii="Times New Roman" w:hAnsi="Times New Roman" w:eastAsia="楷体_GB2312" w:cs="Times New Roman"/>
          <w:color w:val="000000"/>
          <w:sz w:val="36"/>
          <w:szCs w:val="36"/>
          <w:lang w:eastAsia="zh-CN"/>
        </w:rPr>
        <w:drawing>
          <wp:inline distT="0" distB="0" distL="114300" distR="114300">
            <wp:extent cx="5615305" cy="7941310"/>
            <wp:effectExtent l="0" t="0" r="4445" b="2540"/>
            <wp:docPr id="8" name="图片 8" descr="Page0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Page0003"/>
                    <pic:cNvPicPr>
                      <a:picLocks noChangeAspect="1"/>
                    </pic:cNvPicPr>
                  </pic:nvPicPr>
                  <pic:blipFill>
                    <a:blip r:embed="rId11"/>
                    <a:stretch>
                      <a:fillRect/>
                    </a:stretch>
                  </pic:blipFill>
                  <pic:spPr>
                    <a:xfrm>
                      <a:off x="0" y="0"/>
                      <a:ext cx="5615305" cy="7941310"/>
                    </a:xfrm>
                    <a:prstGeom prst="rect">
                      <a:avLst/>
                    </a:prstGeom>
                  </pic:spPr>
                </pic:pic>
              </a:graphicData>
            </a:graphic>
          </wp:inline>
        </w:drawing>
      </w:r>
      <w:r>
        <w:rPr>
          <w:rFonts w:hint="eastAsia" w:ascii="Times New Roman" w:hAnsi="Times New Roman" w:eastAsia="楷体_GB2312" w:cs="Times New Roman"/>
          <w:color w:val="000000"/>
          <w:sz w:val="36"/>
          <w:szCs w:val="36"/>
          <w:lang w:eastAsia="zh-CN"/>
        </w:rPr>
        <w:drawing>
          <wp:inline distT="0" distB="0" distL="114300" distR="114300">
            <wp:extent cx="5615305" cy="7941310"/>
            <wp:effectExtent l="0" t="0" r="4445" b="2540"/>
            <wp:docPr id="4" name="图片 4" descr="Page0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Page0004"/>
                    <pic:cNvPicPr>
                      <a:picLocks noChangeAspect="1"/>
                    </pic:cNvPicPr>
                  </pic:nvPicPr>
                  <pic:blipFill>
                    <a:blip r:embed="rId12"/>
                    <a:stretch>
                      <a:fillRect/>
                    </a:stretch>
                  </pic:blipFill>
                  <pic:spPr>
                    <a:xfrm>
                      <a:off x="0" y="0"/>
                      <a:ext cx="5615305" cy="7941310"/>
                    </a:xfrm>
                    <a:prstGeom prst="rect">
                      <a:avLst/>
                    </a:prstGeom>
                  </pic:spPr>
                </pic:pic>
              </a:graphicData>
            </a:graphic>
          </wp:inline>
        </w:drawing>
      </w:r>
    </w:p>
    <w:p>
      <w:pPr>
        <w:rPr>
          <w:rFonts w:hint="eastAsia" w:ascii="Times New Roman" w:hAnsi="Times New Roman" w:eastAsia="楷体_GB2312" w:cs="Times New Roman"/>
          <w:color w:val="000000"/>
          <w:sz w:val="36"/>
          <w:szCs w:val="36"/>
          <w:lang w:eastAsia="zh-CN"/>
        </w:rPr>
      </w:pPr>
      <w:r>
        <w:rPr>
          <w:rFonts w:hint="eastAsia" w:ascii="Times New Roman" w:hAnsi="Times New Roman" w:eastAsia="楷体_GB2312" w:cs="Times New Roman"/>
          <w:color w:val="000000"/>
          <w:sz w:val="36"/>
          <w:szCs w:val="36"/>
          <w:lang w:eastAsia="zh-CN"/>
        </w:rPr>
        <w:br w:type="page"/>
      </w:r>
    </w:p>
    <w:p>
      <w:pPr>
        <w:spacing w:line="360" w:lineRule="auto"/>
        <w:jc w:val="center"/>
        <w:rPr>
          <w:rFonts w:hint="eastAsia" w:ascii="Times New Roman" w:hAnsi="Times New Roman" w:eastAsia="宋体" w:cs="Times New Roman"/>
          <w:b/>
          <w:bCs/>
          <w:sz w:val="24"/>
          <w:szCs w:val="24"/>
          <w:lang w:val="en-US" w:eastAsia="zh-CN"/>
        </w:rPr>
      </w:pPr>
      <w:r>
        <w:rPr>
          <w:rFonts w:hint="eastAsia" w:ascii="Times New Roman" w:hAnsi="Times New Roman" w:eastAsia="宋体" w:cs="Times New Roman"/>
          <w:b/>
          <w:bCs/>
          <w:sz w:val="24"/>
          <w:szCs w:val="24"/>
          <w:lang w:val="en-US" w:eastAsia="zh-CN"/>
        </w:rPr>
        <w:t>永州市零陵区羊轱岭矿区年开采120万吨石灰岩建设项目（重大变动）</w:t>
      </w:r>
    </w:p>
    <w:p>
      <w:pPr>
        <w:spacing w:line="360" w:lineRule="auto"/>
        <w:jc w:val="center"/>
        <w:rPr>
          <w:rFonts w:hint="eastAsia" w:ascii="Times New Roman" w:hAnsi="Times New Roman" w:eastAsia="宋体" w:cs="Times New Roman"/>
          <w:b/>
          <w:bCs/>
          <w:sz w:val="24"/>
          <w:szCs w:val="24"/>
          <w:lang w:val="en-US" w:eastAsia="zh-CN"/>
        </w:rPr>
      </w:pPr>
      <w:r>
        <w:rPr>
          <w:rFonts w:hint="eastAsia" w:ascii="Times New Roman" w:hAnsi="Times New Roman" w:eastAsia="宋体" w:cs="Times New Roman"/>
          <w:b/>
          <w:bCs/>
          <w:sz w:val="24"/>
          <w:szCs w:val="24"/>
          <w:lang w:val="en-US" w:eastAsia="zh-CN"/>
        </w:rPr>
        <w:t>环境影响报告表修改清单</w:t>
      </w:r>
    </w:p>
    <w:tbl>
      <w:tblPr>
        <w:tblStyle w:val="21"/>
        <w:tblW w:w="881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3"/>
        <w:gridCol w:w="4226"/>
        <w:gridCol w:w="38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773"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left="0" w:leftChars="0" w:right="0" w:rightChars="0"/>
              <w:jc w:val="center"/>
              <w:textAlignment w:val="auto"/>
              <w:outlineLvl w:val="9"/>
              <w:rPr>
                <w:rFonts w:ascii="Times New Roman" w:hAnsi="Times New Roman"/>
                <w:b/>
                <w:bCs/>
                <w:color w:val="auto"/>
                <w:sz w:val="24"/>
                <w:szCs w:val="24"/>
              </w:rPr>
            </w:pPr>
            <w:r>
              <w:rPr>
                <w:rFonts w:ascii="Times New Roman" w:hAnsi="Times New Roman"/>
                <w:b/>
                <w:bCs/>
                <w:color w:val="auto"/>
                <w:sz w:val="24"/>
                <w:szCs w:val="24"/>
              </w:rPr>
              <w:t>编号</w:t>
            </w:r>
          </w:p>
        </w:tc>
        <w:tc>
          <w:tcPr>
            <w:tcW w:w="4226"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left="0" w:leftChars="0" w:right="0" w:rightChars="0"/>
              <w:jc w:val="center"/>
              <w:textAlignment w:val="auto"/>
              <w:outlineLvl w:val="9"/>
              <w:rPr>
                <w:rFonts w:ascii="Times New Roman" w:hAnsi="Times New Roman"/>
                <w:b/>
                <w:bCs/>
                <w:color w:val="auto"/>
                <w:sz w:val="24"/>
                <w:szCs w:val="24"/>
              </w:rPr>
            </w:pPr>
            <w:r>
              <w:rPr>
                <w:rFonts w:ascii="Times New Roman" w:hAnsi="Times New Roman"/>
                <w:b/>
                <w:bCs/>
                <w:color w:val="auto"/>
                <w:sz w:val="24"/>
                <w:szCs w:val="24"/>
              </w:rPr>
              <w:t>评审意见</w:t>
            </w:r>
          </w:p>
        </w:tc>
        <w:tc>
          <w:tcPr>
            <w:tcW w:w="3812"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left="0" w:leftChars="0" w:right="0" w:rightChars="0"/>
              <w:jc w:val="center"/>
              <w:textAlignment w:val="auto"/>
              <w:outlineLvl w:val="9"/>
              <w:rPr>
                <w:rFonts w:ascii="Times New Roman" w:hAnsi="Times New Roman"/>
                <w:b/>
                <w:bCs/>
                <w:color w:val="auto"/>
                <w:sz w:val="24"/>
                <w:szCs w:val="24"/>
              </w:rPr>
            </w:pPr>
            <w:r>
              <w:rPr>
                <w:rFonts w:ascii="Times New Roman" w:hAnsi="Times New Roman"/>
                <w:b/>
                <w:bCs/>
                <w:color w:val="auto"/>
                <w:sz w:val="24"/>
                <w:szCs w:val="24"/>
              </w:rPr>
              <w:t>修改说明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773"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left="0" w:leftChars="0" w:right="0" w:rightChars="0"/>
              <w:jc w:val="center"/>
              <w:textAlignment w:val="auto"/>
              <w:outlineLvl w:val="9"/>
              <w:rPr>
                <w:rFonts w:hint="eastAsia" w:ascii="Times New Roman" w:hAnsi="Times New Roman" w:eastAsia="宋体"/>
                <w:color w:val="auto"/>
                <w:sz w:val="24"/>
                <w:szCs w:val="24"/>
                <w:lang w:val="en-US" w:eastAsia="zh-CN"/>
              </w:rPr>
            </w:pPr>
            <w:r>
              <w:rPr>
                <w:rFonts w:hint="eastAsia" w:ascii="Times New Roman" w:hAnsi="Times New Roman"/>
                <w:color w:val="auto"/>
                <w:sz w:val="24"/>
                <w:szCs w:val="24"/>
                <w:lang w:val="en-US" w:eastAsia="zh-CN"/>
              </w:rPr>
              <w:t>1</w:t>
            </w:r>
          </w:p>
        </w:tc>
        <w:tc>
          <w:tcPr>
            <w:tcW w:w="4226" w:type="dxa"/>
            <w:noWrap w:val="0"/>
            <w:vAlign w:val="center"/>
          </w:tcPr>
          <w:p>
            <w:pPr>
              <w:keepNext/>
              <w:keepLines/>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outlineLvl w:val="9"/>
              <w:rPr>
                <w:rFonts w:ascii="Times New Roman" w:hAnsi="Times New Roman"/>
                <w:color w:val="auto"/>
                <w:sz w:val="24"/>
                <w:szCs w:val="24"/>
              </w:rPr>
            </w:pPr>
            <w:r>
              <w:rPr>
                <w:rFonts w:hint="default" w:ascii="Times New Roman" w:hAnsi="Times New Roman" w:eastAsia="宋体" w:cs="Times New Roman"/>
                <w:b w:val="0"/>
                <w:bCs/>
                <w:sz w:val="24"/>
                <w:szCs w:val="24"/>
              </w:rPr>
              <w:t>核实新增建设内容用地面积及管理部门批复，明确新增用地面积数据来源的相关用地文件支撑。</w:t>
            </w:r>
          </w:p>
        </w:tc>
        <w:tc>
          <w:tcPr>
            <w:tcW w:w="3812"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left="0" w:leftChars="0" w:right="0" w:rightChars="0"/>
              <w:jc w:val="center"/>
              <w:textAlignment w:val="auto"/>
              <w:outlineLvl w:val="9"/>
              <w:rPr>
                <w:rFonts w:hint="default" w:ascii="Times New Roman" w:hAnsi="Times New Roman" w:eastAsia="宋体"/>
                <w:color w:val="0000FF"/>
                <w:sz w:val="24"/>
                <w:szCs w:val="24"/>
                <w:lang w:val="en-US" w:eastAsia="zh-CN"/>
              </w:rPr>
            </w:pPr>
            <w:r>
              <w:rPr>
                <w:rFonts w:hint="eastAsia" w:ascii="Times New Roman" w:hAnsi="Times New Roman" w:eastAsia="宋体" w:cs="Times New Roman"/>
                <w:b w:val="0"/>
                <w:bCs/>
                <w:sz w:val="24"/>
                <w:szCs w:val="24"/>
                <w:lang w:val="en-US" w:eastAsia="zh-CN"/>
              </w:rPr>
              <w:t>已核实，附件十一、附图二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773"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left="0" w:leftChars="0" w:right="0" w:rightChars="0"/>
              <w:jc w:val="center"/>
              <w:textAlignment w:val="auto"/>
              <w:outlineLvl w:val="9"/>
              <w:rPr>
                <w:rFonts w:hint="eastAsia" w:ascii="Times New Roman" w:hAnsi="Times New Roman"/>
                <w:color w:val="auto"/>
                <w:sz w:val="24"/>
                <w:szCs w:val="24"/>
                <w:lang w:val="en-US" w:eastAsia="zh-CN"/>
              </w:rPr>
            </w:pPr>
            <w:r>
              <w:rPr>
                <w:rFonts w:hint="eastAsia" w:ascii="Times New Roman" w:hAnsi="Times New Roman"/>
                <w:color w:val="auto"/>
                <w:sz w:val="24"/>
                <w:szCs w:val="24"/>
                <w:lang w:val="en-US" w:eastAsia="zh-CN"/>
              </w:rPr>
              <w:t>2</w:t>
            </w:r>
          </w:p>
        </w:tc>
        <w:tc>
          <w:tcPr>
            <w:tcW w:w="4226" w:type="dxa"/>
            <w:noWrap w:val="0"/>
            <w:vAlign w:val="center"/>
          </w:tcPr>
          <w:p>
            <w:pPr>
              <w:keepNext/>
              <w:keepLines/>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outlineLvl w:val="9"/>
              <w:rPr>
                <w:rFonts w:hint="eastAsia" w:ascii="Times New Roman" w:hAnsi="Times New Roman"/>
                <w:color w:val="auto"/>
                <w:sz w:val="24"/>
                <w:szCs w:val="24"/>
              </w:rPr>
            </w:pPr>
            <w:r>
              <w:rPr>
                <w:rFonts w:hint="default" w:ascii="Times New Roman" w:hAnsi="Times New Roman" w:eastAsia="宋体" w:cs="Times New Roman"/>
                <w:b w:val="0"/>
                <w:bCs/>
                <w:sz w:val="24"/>
                <w:szCs w:val="24"/>
              </w:rPr>
              <w:t>工业广场建设情况与原环评批复不一致，补充调整情况以及原因，核实项目内容变动前后的情况。</w:t>
            </w:r>
          </w:p>
        </w:tc>
        <w:tc>
          <w:tcPr>
            <w:tcW w:w="3812"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left="0" w:leftChars="0" w:right="0" w:rightChars="0"/>
              <w:jc w:val="center"/>
              <w:textAlignment w:val="auto"/>
              <w:outlineLvl w:val="9"/>
              <w:rPr>
                <w:rFonts w:hint="default" w:ascii="Times New Roman" w:hAnsi="Times New Roman" w:eastAsia="宋体"/>
                <w:color w:val="auto"/>
                <w:sz w:val="24"/>
                <w:szCs w:val="24"/>
                <w:lang w:val="en-US" w:eastAsia="zh-CN"/>
              </w:rPr>
            </w:pPr>
            <w:r>
              <w:rPr>
                <w:rFonts w:hint="eastAsia" w:ascii="Times New Roman" w:hAnsi="Times New Roman" w:eastAsia="宋体"/>
                <w:color w:val="auto"/>
                <w:sz w:val="24"/>
                <w:szCs w:val="24"/>
                <w:lang w:val="en-US" w:eastAsia="zh-CN"/>
              </w:rPr>
              <w:t>已核实，工业广场生产线建设内容未发生变化，仅布局有调整，但仍在已审批用地范围内</w:t>
            </w:r>
            <w:r>
              <w:rPr>
                <w:rFonts w:hint="eastAsia"/>
                <w:color w:val="auto"/>
                <w:sz w:val="24"/>
                <w:szCs w:val="24"/>
                <w:lang w:val="en-US" w:eastAsia="zh-CN"/>
              </w:rPr>
              <w:t>P17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773"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left="0" w:leftChars="0" w:right="0" w:rightChars="0"/>
              <w:jc w:val="center"/>
              <w:textAlignment w:val="auto"/>
              <w:outlineLvl w:val="9"/>
              <w:rPr>
                <w:rFonts w:hint="eastAsia" w:ascii="Times New Roman" w:hAnsi="Times New Roman" w:eastAsia="宋体"/>
                <w:color w:val="auto"/>
                <w:sz w:val="24"/>
                <w:szCs w:val="24"/>
                <w:lang w:val="en-US" w:eastAsia="zh-CN"/>
              </w:rPr>
            </w:pPr>
            <w:r>
              <w:rPr>
                <w:rFonts w:hint="eastAsia" w:ascii="Times New Roman" w:hAnsi="Times New Roman"/>
                <w:color w:val="auto"/>
                <w:sz w:val="24"/>
                <w:szCs w:val="24"/>
                <w:lang w:val="en-US" w:eastAsia="zh-CN"/>
              </w:rPr>
              <w:t>3</w:t>
            </w:r>
          </w:p>
        </w:tc>
        <w:tc>
          <w:tcPr>
            <w:tcW w:w="4226" w:type="dxa"/>
            <w:noWrap w:val="0"/>
            <w:vAlign w:val="center"/>
          </w:tcPr>
          <w:p>
            <w:pPr>
              <w:keepNext/>
              <w:keepLines/>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outlineLvl w:val="9"/>
              <w:rPr>
                <w:rFonts w:hint="eastAsia" w:ascii="Times New Roman" w:hAnsi="Times New Roman"/>
                <w:color w:val="auto"/>
                <w:sz w:val="24"/>
                <w:szCs w:val="24"/>
                <w:u w:val="none" w:color="auto"/>
              </w:rPr>
            </w:pPr>
            <w:r>
              <w:rPr>
                <w:rFonts w:hint="default" w:ascii="Times New Roman" w:hAnsi="Times New Roman" w:eastAsia="宋体" w:cs="Times New Roman"/>
                <w:b w:val="0"/>
                <w:bCs/>
                <w:sz w:val="24"/>
                <w:szCs w:val="24"/>
              </w:rPr>
              <w:t>环境质量现状数据引用生态环境主管部门发布的最新数据；核实明确项目爆破影响范围内居民搬迁情况，核实项目变动后评价范围内环境保护目标的变化情况。</w:t>
            </w:r>
          </w:p>
        </w:tc>
        <w:tc>
          <w:tcPr>
            <w:tcW w:w="3812"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left="0" w:leftChars="0" w:right="0" w:rightChars="0"/>
              <w:jc w:val="center"/>
              <w:textAlignment w:val="auto"/>
              <w:outlineLvl w:val="9"/>
              <w:rPr>
                <w:rFonts w:hint="default" w:ascii="Times New Roman" w:hAnsi="Times New Roman" w:eastAsia="宋体"/>
                <w:color w:val="0000FF"/>
                <w:sz w:val="24"/>
                <w:szCs w:val="24"/>
                <w:lang w:val="en-US" w:eastAsia="zh-CN"/>
              </w:rPr>
            </w:pPr>
            <w:r>
              <w:rPr>
                <w:rFonts w:hint="eastAsia" w:ascii="Times New Roman" w:hAnsi="Times New Roman" w:eastAsia="宋体"/>
                <w:color w:val="auto"/>
                <w:sz w:val="24"/>
                <w:szCs w:val="24"/>
                <w:lang w:val="en-US" w:eastAsia="zh-CN"/>
              </w:rPr>
              <w:t>已采用最新环境质量现状数据P30；已核实爆破范围内居民搬迁工作正在进行；已核实环境保护目标P34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773"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left="0" w:leftChars="0" w:right="0" w:rightChars="0"/>
              <w:jc w:val="center"/>
              <w:textAlignment w:val="auto"/>
              <w:outlineLvl w:val="9"/>
              <w:rPr>
                <w:rFonts w:hint="eastAsia" w:ascii="Times New Roman" w:hAnsi="Times New Roman" w:eastAsia="宋体"/>
                <w:color w:val="auto"/>
                <w:sz w:val="24"/>
                <w:szCs w:val="24"/>
                <w:lang w:val="en-US" w:eastAsia="zh-CN"/>
              </w:rPr>
            </w:pPr>
            <w:r>
              <w:rPr>
                <w:rFonts w:hint="eastAsia" w:ascii="Times New Roman" w:hAnsi="Times New Roman"/>
                <w:color w:val="auto"/>
                <w:sz w:val="24"/>
                <w:szCs w:val="24"/>
                <w:lang w:val="en-US" w:eastAsia="zh-CN"/>
              </w:rPr>
              <w:t>4</w:t>
            </w:r>
          </w:p>
        </w:tc>
        <w:tc>
          <w:tcPr>
            <w:tcW w:w="4226" w:type="dxa"/>
            <w:noWrap w:val="0"/>
            <w:vAlign w:val="center"/>
          </w:tcPr>
          <w:p>
            <w:pPr>
              <w:keepNext/>
              <w:keepLines/>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outlineLvl w:val="9"/>
              <w:rPr>
                <w:rFonts w:hint="eastAsia" w:ascii="Times New Roman" w:hAnsi="Times New Roman"/>
                <w:color w:val="auto"/>
                <w:sz w:val="24"/>
                <w:szCs w:val="24"/>
              </w:rPr>
            </w:pPr>
            <w:r>
              <w:rPr>
                <w:rFonts w:hint="default" w:ascii="Times New Roman" w:hAnsi="Times New Roman" w:eastAsia="宋体" w:cs="Times New Roman"/>
                <w:b w:val="0"/>
                <w:bCs/>
                <w:sz w:val="24"/>
                <w:szCs w:val="24"/>
              </w:rPr>
              <w:t>细化补充新增表土堆场、</w:t>
            </w:r>
            <w:r>
              <w:rPr>
                <w:rFonts w:hint="eastAsia" w:cs="Times New Roman"/>
                <w:b w:val="0"/>
                <w:bCs/>
                <w:sz w:val="24"/>
                <w:szCs w:val="24"/>
                <w:lang w:eastAsia="zh-CN"/>
              </w:rPr>
              <w:t>成品中转堆场</w:t>
            </w:r>
            <w:r>
              <w:rPr>
                <w:rFonts w:hint="default" w:ascii="Times New Roman" w:hAnsi="Times New Roman" w:eastAsia="宋体" w:cs="Times New Roman"/>
                <w:b w:val="0"/>
                <w:bCs/>
                <w:sz w:val="24"/>
                <w:szCs w:val="24"/>
              </w:rPr>
              <w:t>周边围挡、截排洪沟、场内淋滤水收集处理设施等设计及建设内容；完善补充新增用地后续生态修复方案。</w:t>
            </w:r>
          </w:p>
        </w:tc>
        <w:tc>
          <w:tcPr>
            <w:tcW w:w="3812"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left="0" w:leftChars="0" w:right="0" w:rightChars="0"/>
              <w:jc w:val="center"/>
              <w:textAlignment w:val="auto"/>
              <w:outlineLvl w:val="9"/>
              <w:rPr>
                <w:rFonts w:hint="default" w:ascii="Times New Roman" w:hAnsi="Times New Roman" w:eastAsia="宋体"/>
                <w:color w:val="auto"/>
                <w:sz w:val="24"/>
                <w:szCs w:val="24"/>
                <w:lang w:val="en-US" w:eastAsia="zh-CN"/>
              </w:rPr>
            </w:pPr>
            <w:r>
              <w:rPr>
                <w:rFonts w:hint="eastAsia" w:ascii="Times New Roman" w:hAnsi="Times New Roman"/>
                <w:color w:val="auto"/>
                <w:sz w:val="24"/>
                <w:szCs w:val="24"/>
                <w:lang w:val="en-US" w:eastAsia="zh-CN"/>
              </w:rPr>
              <w:t>已补充新增表土堆场、</w:t>
            </w:r>
            <w:r>
              <w:rPr>
                <w:rFonts w:hint="eastAsia"/>
                <w:color w:val="auto"/>
                <w:sz w:val="24"/>
                <w:szCs w:val="24"/>
                <w:lang w:val="en-US" w:eastAsia="zh-CN"/>
              </w:rPr>
              <w:t>成品中转堆场</w:t>
            </w:r>
            <w:r>
              <w:rPr>
                <w:rFonts w:hint="eastAsia" w:ascii="Times New Roman" w:hAnsi="Times New Roman"/>
                <w:color w:val="auto"/>
                <w:sz w:val="24"/>
                <w:szCs w:val="24"/>
                <w:lang w:val="en-US" w:eastAsia="zh-CN"/>
              </w:rPr>
              <w:t>周边围挡、截排洪沟、场内淋滤水收集处理设施等设计以及态修复方案，P75-P77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773"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left="0" w:leftChars="0" w:right="0" w:rightChars="0"/>
              <w:jc w:val="center"/>
              <w:textAlignment w:val="auto"/>
              <w:outlineLvl w:val="9"/>
              <w:rPr>
                <w:rFonts w:hint="eastAsia" w:ascii="Times New Roman" w:hAnsi="Times New Roman"/>
                <w:color w:val="auto"/>
                <w:sz w:val="24"/>
                <w:szCs w:val="24"/>
                <w:lang w:val="en-US" w:eastAsia="zh-CN"/>
              </w:rPr>
            </w:pPr>
            <w:r>
              <w:rPr>
                <w:rFonts w:hint="eastAsia" w:ascii="Times New Roman" w:hAnsi="Times New Roman"/>
                <w:color w:val="auto"/>
                <w:sz w:val="24"/>
                <w:szCs w:val="24"/>
                <w:lang w:val="en-US" w:eastAsia="zh-CN"/>
              </w:rPr>
              <w:t>5</w:t>
            </w:r>
          </w:p>
        </w:tc>
        <w:tc>
          <w:tcPr>
            <w:tcW w:w="4226" w:type="dxa"/>
            <w:noWrap w:val="0"/>
            <w:vAlign w:val="center"/>
          </w:tcPr>
          <w:p>
            <w:pPr>
              <w:keepNext/>
              <w:keepLines/>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outlineLvl w:val="9"/>
              <w:rPr>
                <w:rFonts w:hint="eastAsia" w:ascii="Times New Roman" w:hAnsi="Times New Roman"/>
                <w:color w:val="auto"/>
                <w:sz w:val="24"/>
                <w:szCs w:val="24"/>
              </w:rPr>
            </w:pPr>
            <w:r>
              <w:rPr>
                <w:rFonts w:hint="default" w:ascii="Times New Roman" w:hAnsi="Times New Roman" w:eastAsia="宋体" w:cs="Times New Roman"/>
                <w:b w:val="0"/>
                <w:bCs/>
                <w:sz w:val="24"/>
                <w:szCs w:val="24"/>
              </w:rPr>
              <w:t>核实项目储油罐是否采用双层储罐，是否有泄漏报警装置等，完善风险防范措施；完善危险废物管理要求。</w:t>
            </w:r>
          </w:p>
        </w:tc>
        <w:tc>
          <w:tcPr>
            <w:tcW w:w="3812"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left="0" w:leftChars="0" w:right="0" w:rightChars="0"/>
              <w:jc w:val="center"/>
              <w:textAlignment w:val="auto"/>
              <w:outlineLvl w:val="9"/>
              <w:rPr>
                <w:rFonts w:hint="default" w:ascii="Times New Roman" w:hAnsi="Times New Roman" w:eastAsia="宋体"/>
                <w:color w:val="auto"/>
                <w:sz w:val="24"/>
                <w:szCs w:val="24"/>
                <w:lang w:val="en-US" w:eastAsia="zh-CN"/>
              </w:rPr>
            </w:pPr>
            <w:r>
              <w:rPr>
                <w:rFonts w:hint="eastAsia" w:ascii="Times New Roman" w:hAnsi="Times New Roman" w:eastAsia="宋体"/>
                <w:color w:val="auto"/>
                <w:sz w:val="24"/>
                <w:szCs w:val="24"/>
                <w:lang w:val="en-US" w:eastAsia="zh-CN"/>
              </w:rPr>
              <w:t>已核实原环评储罐未建设P18；已完善风险防范措施P65、P79；已完善危险废物管理要求P73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773"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left="0" w:leftChars="0" w:right="0" w:rightChars="0"/>
              <w:jc w:val="center"/>
              <w:textAlignment w:val="auto"/>
              <w:outlineLvl w:val="9"/>
              <w:rPr>
                <w:rFonts w:hint="default" w:ascii="Times New Roman" w:hAnsi="Times New Roman"/>
                <w:color w:val="auto"/>
                <w:sz w:val="24"/>
                <w:szCs w:val="24"/>
                <w:lang w:val="en-US" w:eastAsia="zh-CN"/>
              </w:rPr>
            </w:pPr>
            <w:r>
              <w:rPr>
                <w:rFonts w:hint="eastAsia" w:ascii="Times New Roman" w:hAnsi="Times New Roman"/>
                <w:color w:val="auto"/>
                <w:sz w:val="24"/>
                <w:szCs w:val="24"/>
                <w:lang w:val="en-US" w:eastAsia="zh-CN"/>
              </w:rPr>
              <w:t>6</w:t>
            </w:r>
          </w:p>
        </w:tc>
        <w:tc>
          <w:tcPr>
            <w:tcW w:w="4226" w:type="dxa"/>
            <w:noWrap w:val="0"/>
            <w:vAlign w:val="center"/>
          </w:tcPr>
          <w:p>
            <w:pPr>
              <w:keepNext/>
              <w:keepLines/>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outlineLvl w:val="9"/>
              <w:rPr>
                <w:rFonts w:hint="default" w:ascii="Times New Roman" w:hAnsi="Times New Roman" w:eastAsia="宋体" w:cs="Times New Roman"/>
                <w:b w:val="0"/>
                <w:bCs/>
                <w:sz w:val="24"/>
                <w:szCs w:val="24"/>
              </w:rPr>
            </w:pPr>
            <w:r>
              <w:rPr>
                <w:rFonts w:hint="default" w:ascii="Times New Roman" w:hAnsi="Times New Roman" w:eastAsia="宋体" w:cs="Times New Roman"/>
                <w:b w:val="0"/>
                <w:bCs/>
                <w:sz w:val="24"/>
                <w:szCs w:val="24"/>
              </w:rPr>
              <w:t>补充现场照片和完善附图、附件。</w:t>
            </w:r>
          </w:p>
        </w:tc>
        <w:tc>
          <w:tcPr>
            <w:tcW w:w="3812"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left="0" w:leftChars="0" w:right="0" w:rightChars="0"/>
              <w:jc w:val="center"/>
              <w:textAlignment w:val="auto"/>
              <w:outlineLvl w:val="9"/>
              <w:rPr>
                <w:rFonts w:hint="default" w:ascii="Times New Roman" w:hAnsi="Times New Roman" w:eastAsia="宋体"/>
                <w:color w:val="auto"/>
                <w:sz w:val="24"/>
                <w:szCs w:val="24"/>
                <w:lang w:val="en-US" w:eastAsia="zh-CN"/>
              </w:rPr>
            </w:pPr>
            <w:r>
              <w:rPr>
                <w:rFonts w:hint="eastAsia" w:ascii="Times New Roman" w:hAnsi="Times New Roman" w:eastAsia="宋体"/>
                <w:color w:val="auto"/>
                <w:sz w:val="24"/>
                <w:szCs w:val="24"/>
                <w:lang w:val="en-US" w:eastAsia="zh-CN"/>
              </w:rPr>
              <w:t>已补充，附图八、附图九、附图十二</w:t>
            </w:r>
          </w:p>
        </w:tc>
      </w:tr>
    </w:tbl>
    <w:p>
      <w:pPr>
        <w:pStyle w:val="6"/>
        <w:keepNext w:val="0"/>
        <w:keepLines w:val="0"/>
        <w:pageBreakBefore w:val="0"/>
        <w:widowControl w:val="0"/>
        <w:kinsoku/>
        <w:wordWrap/>
        <w:overflowPunct/>
        <w:topLinePunct w:val="0"/>
        <w:autoSpaceDE/>
        <w:autoSpaceDN/>
        <w:bidi w:val="0"/>
        <w:adjustRightInd/>
        <w:snapToGrid/>
        <w:spacing w:before="312" w:beforeLines="100" w:after="0" w:afterLines="0" w:line="240" w:lineRule="auto"/>
        <w:ind w:left="0" w:leftChars="0" w:right="0" w:rightChars="0" w:firstLine="0" w:firstLineChars="0"/>
        <w:jc w:val="both"/>
        <w:textAlignment w:val="auto"/>
        <w:outlineLvl w:val="9"/>
        <w:rPr>
          <w:color w:val="0000FF"/>
        </w:rPr>
      </w:pPr>
      <w:r>
        <w:rPr>
          <w:rFonts w:hint="eastAsia"/>
          <w:b/>
          <w:bCs/>
          <w:color w:val="0000FF"/>
          <w:sz w:val="32"/>
          <w:szCs w:val="32"/>
        </w:rPr>
        <w:t xml:space="preserve">              </w:t>
      </w:r>
      <w:r>
        <w:rPr>
          <w:rFonts w:hint="eastAsia"/>
          <w:b/>
          <w:bCs/>
          <w:color w:val="auto"/>
          <w:sz w:val="32"/>
          <w:szCs w:val="32"/>
        </w:rPr>
        <w:t xml:space="preserve">                 </w:t>
      </w:r>
    </w:p>
    <w:p>
      <w:pPr>
        <w:adjustRightInd w:val="0"/>
        <w:snapToGrid w:val="0"/>
        <w:spacing w:line="288" w:lineRule="auto"/>
        <w:jc w:val="center"/>
        <w:rPr>
          <w:rFonts w:hint="eastAsia" w:ascii="Times New Roman" w:hAnsi="Times New Roman" w:eastAsia="楷体_GB2312" w:cs="Times New Roman"/>
          <w:color w:val="000000"/>
          <w:sz w:val="36"/>
          <w:szCs w:val="36"/>
          <w:lang w:eastAsia="zh-CN"/>
        </w:rPr>
        <w:sectPr>
          <w:footerReference r:id="rId3" w:type="default"/>
          <w:pgSz w:w="11906" w:h="16838"/>
          <w:pgMar w:top="1701" w:right="1531" w:bottom="1701" w:left="1531" w:header="851" w:footer="1077" w:gutter="0"/>
          <w:pgBorders>
            <w:top w:val="none" w:sz="0" w:space="0"/>
            <w:left w:val="none" w:sz="0" w:space="0"/>
            <w:bottom w:val="none" w:sz="0" w:space="0"/>
            <w:right w:val="none" w:sz="0" w:space="0"/>
          </w:pgBorders>
          <w:pgNumType w:fmt="numberInDash" w:start="21"/>
          <w:cols w:space="720" w:num="1"/>
          <w:docGrid w:linePitch="312" w:charSpace="0"/>
        </w:sectPr>
      </w:pPr>
    </w:p>
    <w:p>
      <w:pPr>
        <w:spacing w:before="0" w:beforeLines="0" w:after="0" w:afterLines="0" w:line="240" w:lineRule="auto"/>
        <w:ind w:left="0" w:leftChars="0" w:right="0" w:rightChars="0" w:firstLine="0" w:firstLineChars="0"/>
        <w:jc w:val="center"/>
        <w:rPr>
          <w:color w:val="000000"/>
          <w:sz w:val="44"/>
          <w:szCs w:val="44"/>
        </w:rPr>
      </w:pPr>
      <w:r>
        <w:rPr>
          <w:rFonts w:ascii="宋体" w:hAnsi="宋体" w:eastAsia="宋体"/>
          <w:color w:val="000000"/>
          <w:sz w:val="44"/>
          <w:szCs w:val="44"/>
        </w:rPr>
        <w:t>目录</w:t>
      </w:r>
    </w:p>
    <w:p>
      <w:pPr>
        <w:pStyle w:val="14"/>
        <w:tabs>
          <w:tab w:val="right" w:leader="dot" w:pos="8844"/>
        </w:tabs>
      </w:pPr>
      <w:r>
        <w:rPr>
          <w:rFonts w:hint="default" w:ascii="Times New Roman" w:hAnsi="Times New Roman" w:eastAsia="宋体" w:cs="Times New Roman"/>
          <w:color w:val="000000"/>
          <w:sz w:val="24"/>
          <w:szCs w:val="24"/>
        </w:rPr>
        <w:fldChar w:fldCharType="begin"/>
      </w:r>
      <w:r>
        <w:rPr>
          <w:rFonts w:hint="default" w:ascii="Times New Roman" w:hAnsi="Times New Roman" w:eastAsia="宋体" w:cs="Times New Roman"/>
          <w:color w:val="000000"/>
          <w:sz w:val="24"/>
          <w:szCs w:val="24"/>
        </w:rPr>
        <w:instrText xml:space="preserve">TOC \o "1-1" \h \u </w:instrText>
      </w:r>
      <w:r>
        <w:rPr>
          <w:rFonts w:hint="default" w:ascii="Times New Roman" w:hAnsi="Times New Roman" w:eastAsia="宋体" w:cs="Times New Roman"/>
          <w:color w:val="000000"/>
          <w:sz w:val="24"/>
          <w:szCs w:val="24"/>
        </w:rPr>
        <w:fldChar w:fldCharType="separate"/>
      </w:r>
      <w:r>
        <w:rPr>
          <w:rFonts w:hint="default" w:ascii="Times New Roman" w:hAnsi="Times New Roman" w:eastAsia="宋体" w:cs="Times New Roman"/>
          <w:color w:val="000000"/>
          <w:szCs w:val="24"/>
        </w:rPr>
        <w:fldChar w:fldCharType="begin"/>
      </w:r>
      <w:r>
        <w:rPr>
          <w:rFonts w:hint="default" w:ascii="Times New Roman" w:hAnsi="Times New Roman" w:eastAsia="宋体" w:cs="Times New Roman"/>
          <w:szCs w:val="24"/>
        </w:rPr>
        <w:instrText xml:space="preserve"> HYPERLINK \l _Toc10904 </w:instrText>
      </w:r>
      <w:r>
        <w:rPr>
          <w:rFonts w:hint="default" w:ascii="Times New Roman" w:hAnsi="Times New Roman" w:eastAsia="宋体" w:cs="Times New Roman"/>
          <w:szCs w:val="24"/>
        </w:rPr>
        <w:fldChar w:fldCharType="separate"/>
      </w:r>
      <w:r>
        <w:rPr>
          <w:rFonts w:hint="default" w:ascii="Times New Roman" w:hAnsi="Times New Roman" w:eastAsia="黑体" w:cs="Times New Roman"/>
          <w:snapToGrid w:val="0"/>
          <w:szCs w:val="30"/>
        </w:rPr>
        <w:t>一、建设项目基本情况</w:t>
      </w:r>
      <w:r>
        <w:tab/>
      </w:r>
      <w:r>
        <w:fldChar w:fldCharType="begin"/>
      </w:r>
      <w:r>
        <w:instrText xml:space="preserve"> PAGEREF _Toc10904 \h </w:instrText>
      </w:r>
      <w:r>
        <w:fldChar w:fldCharType="separate"/>
      </w:r>
      <w:r>
        <w:t>1</w:t>
      </w:r>
      <w:r>
        <w:fldChar w:fldCharType="end"/>
      </w:r>
      <w:r>
        <w:rPr>
          <w:rFonts w:hint="default" w:ascii="Times New Roman" w:hAnsi="Times New Roman" w:eastAsia="宋体" w:cs="Times New Roman"/>
          <w:color w:val="000000"/>
          <w:szCs w:val="24"/>
        </w:rPr>
        <w:fldChar w:fldCharType="end"/>
      </w:r>
    </w:p>
    <w:p>
      <w:pPr>
        <w:pStyle w:val="14"/>
        <w:tabs>
          <w:tab w:val="right" w:leader="dot" w:pos="8844"/>
        </w:tabs>
      </w:pPr>
      <w:r>
        <w:rPr>
          <w:rFonts w:hint="default" w:ascii="Times New Roman" w:hAnsi="Times New Roman" w:eastAsia="宋体" w:cs="Times New Roman"/>
          <w:color w:val="000000"/>
          <w:szCs w:val="24"/>
        </w:rPr>
        <w:fldChar w:fldCharType="begin"/>
      </w:r>
      <w:r>
        <w:rPr>
          <w:rFonts w:hint="default" w:ascii="Times New Roman" w:hAnsi="Times New Roman" w:eastAsia="宋体" w:cs="Times New Roman"/>
          <w:szCs w:val="24"/>
        </w:rPr>
        <w:instrText xml:space="preserve"> HYPERLINK \l _Toc109 </w:instrText>
      </w:r>
      <w:r>
        <w:rPr>
          <w:rFonts w:hint="default" w:ascii="Times New Roman" w:hAnsi="Times New Roman" w:eastAsia="宋体" w:cs="Times New Roman"/>
          <w:szCs w:val="24"/>
        </w:rPr>
        <w:fldChar w:fldCharType="separate"/>
      </w:r>
      <w:r>
        <w:rPr>
          <w:rFonts w:hint="default" w:ascii="Times New Roman" w:hAnsi="Times New Roman" w:eastAsia="黑体" w:cs="Times New Roman"/>
          <w:snapToGrid w:val="0"/>
          <w:szCs w:val="30"/>
        </w:rPr>
        <w:t>二、建设内容</w:t>
      </w:r>
      <w:r>
        <w:tab/>
      </w:r>
      <w:r>
        <w:fldChar w:fldCharType="begin"/>
      </w:r>
      <w:r>
        <w:instrText xml:space="preserve"> PAGEREF _Toc109 \h </w:instrText>
      </w:r>
      <w:r>
        <w:fldChar w:fldCharType="separate"/>
      </w:r>
      <w:r>
        <w:t>16</w:t>
      </w:r>
      <w:r>
        <w:fldChar w:fldCharType="end"/>
      </w:r>
      <w:r>
        <w:rPr>
          <w:rFonts w:hint="default" w:ascii="Times New Roman" w:hAnsi="Times New Roman" w:eastAsia="宋体" w:cs="Times New Roman"/>
          <w:color w:val="000000"/>
          <w:szCs w:val="24"/>
        </w:rPr>
        <w:fldChar w:fldCharType="end"/>
      </w:r>
    </w:p>
    <w:p>
      <w:pPr>
        <w:pStyle w:val="14"/>
        <w:tabs>
          <w:tab w:val="right" w:leader="dot" w:pos="8844"/>
        </w:tabs>
      </w:pPr>
      <w:r>
        <w:rPr>
          <w:rFonts w:hint="default" w:ascii="Times New Roman" w:hAnsi="Times New Roman" w:eastAsia="宋体" w:cs="Times New Roman"/>
          <w:color w:val="000000"/>
          <w:szCs w:val="24"/>
        </w:rPr>
        <w:fldChar w:fldCharType="begin"/>
      </w:r>
      <w:r>
        <w:rPr>
          <w:rFonts w:hint="default" w:ascii="Times New Roman" w:hAnsi="Times New Roman" w:eastAsia="宋体" w:cs="Times New Roman"/>
          <w:szCs w:val="24"/>
        </w:rPr>
        <w:instrText xml:space="preserve"> HYPERLINK \l _Toc1080 </w:instrText>
      </w:r>
      <w:r>
        <w:rPr>
          <w:rFonts w:hint="default" w:ascii="Times New Roman" w:hAnsi="Times New Roman" w:eastAsia="宋体" w:cs="Times New Roman"/>
          <w:szCs w:val="24"/>
        </w:rPr>
        <w:fldChar w:fldCharType="separate"/>
      </w:r>
      <w:r>
        <w:rPr>
          <w:rFonts w:hint="default" w:ascii="Times New Roman" w:hAnsi="Times New Roman" w:eastAsia="黑体" w:cs="Times New Roman"/>
          <w:snapToGrid w:val="0"/>
          <w:szCs w:val="30"/>
        </w:rPr>
        <w:t>三、生态环境现状、保护目标及评价标准</w:t>
      </w:r>
      <w:r>
        <w:tab/>
      </w:r>
      <w:r>
        <w:fldChar w:fldCharType="begin"/>
      </w:r>
      <w:r>
        <w:instrText xml:space="preserve"> PAGEREF _Toc1080 \h </w:instrText>
      </w:r>
      <w:r>
        <w:fldChar w:fldCharType="separate"/>
      </w:r>
      <w:r>
        <w:t>30</w:t>
      </w:r>
      <w:r>
        <w:fldChar w:fldCharType="end"/>
      </w:r>
      <w:r>
        <w:rPr>
          <w:rFonts w:hint="default" w:ascii="Times New Roman" w:hAnsi="Times New Roman" w:eastAsia="宋体" w:cs="Times New Roman"/>
          <w:color w:val="000000"/>
          <w:szCs w:val="24"/>
        </w:rPr>
        <w:fldChar w:fldCharType="end"/>
      </w:r>
    </w:p>
    <w:p>
      <w:pPr>
        <w:pStyle w:val="14"/>
        <w:tabs>
          <w:tab w:val="right" w:leader="dot" w:pos="8844"/>
        </w:tabs>
      </w:pPr>
      <w:r>
        <w:rPr>
          <w:rFonts w:hint="default" w:ascii="Times New Roman" w:hAnsi="Times New Roman" w:eastAsia="宋体" w:cs="Times New Roman"/>
          <w:color w:val="000000"/>
          <w:szCs w:val="24"/>
        </w:rPr>
        <w:fldChar w:fldCharType="begin"/>
      </w:r>
      <w:r>
        <w:rPr>
          <w:rFonts w:hint="default" w:ascii="Times New Roman" w:hAnsi="Times New Roman" w:eastAsia="宋体" w:cs="Times New Roman"/>
          <w:szCs w:val="24"/>
        </w:rPr>
        <w:instrText xml:space="preserve"> HYPERLINK \l _Toc30437 </w:instrText>
      </w:r>
      <w:r>
        <w:rPr>
          <w:rFonts w:hint="default" w:ascii="Times New Roman" w:hAnsi="Times New Roman" w:eastAsia="宋体" w:cs="Times New Roman"/>
          <w:szCs w:val="24"/>
        </w:rPr>
        <w:fldChar w:fldCharType="separate"/>
      </w:r>
      <w:r>
        <w:rPr>
          <w:rFonts w:hint="default" w:ascii="Times New Roman" w:hAnsi="Times New Roman" w:eastAsia="黑体" w:cs="Times New Roman"/>
          <w:snapToGrid w:val="0"/>
          <w:szCs w:val="30"/>
        </w:rPr>
        <w:t>四、生态环境影响分析</w:t>
      </w:r>
      <w:r>
        <w:tab/>
      </w:r>
      <w:r>
        <w:fldChar w:fldCharType="begin"/>
      </w:r>
      <w:r>
        <w:instrText xml:space="preserve"> PAGEREF _Toc30437 \h </w:instrText>
      </w:r>
      <w:r>
        <w:fldChar w:fldCharType="separate"/>
      </w:r>
      <w:r>
        <w:t>38</w:t>
      </w:r>
      <w:r>
        <w:fldChar w:fldCharType="end"/>
      </w:r>
      <w:r>
        <w:rPr>
          <w:rFonts w:hint="default" w:ascii="Times New Roman" w:hAnsi="Times New Roman" w:eastAsia="宋体" w:cs="Times New Roman"/>
          <w:color w:val="000000"/>
          <w:szCs w:val="24"/>
        </w:rPr>
        <w:fldChar w:fldCharType="end"/>
      </w:r>
    </w:p>
    <w:p>
      <w:pPr>
        <w:pStyle w:val="14"/>
        <w:tabs>
          <w:tab w:val="right" w:leader="dot" w:pos="8844"/>
        </w:tabs>
      </w:pPr>
      <w:r>
        <w:rPr>
          <w:rFonts w:hint="default" w:ascii="Times New Roman" w:hAnsi="Times New Roman" w:eastAsia="宋体" w:cs="Times New Roman"/>
          <w:color w:val="000000"/>
          <w:szCs w:val="24"/>
        </w:rPr>
        <w:fldChar w:fldCharType="begin"/>
      </w:r>
      <w:r>
        <w:rPr>
          <w:rFonts w:hint="default" w:ascii="Times New Roman" w:hAnsi="Times New Roman" w:eastAsia="宋体" w:cs="Times New Roman"/>
          <w:szCs w:val="24"/>
        </w:rPr>
        <w:instrText xml:space="preserve"> HYPERLINK \l _Toc15072 </w:instrText>
      </w:r>
      <w:r>
        <w:rPr>
          <w:rFonts w:hint="default" w:ascii="Times New Roman" w:hAnsi="Times New Roman" w:eastAsia="宋体" w:cs="Times New Roman"/>
          <w:szCs w:val="24"/>
        </w:rPr>
        <w:fldChar w:fldCharType="separate"/>
      </w:r>
      <w:r>
        <w:rPr>
          <w:rFonts w:hint="default" w:ascii="Times New Roman" w:hAnsi="Times New Roman" w:eastAsia="黑体" w:cs="Times New Roman"/>
          <w:snapToGrid w:val="0"/>
          <w:szCs w:val="30"/>
        </w:rPr>
        <w:t>五、主要生态环境保护措施</w:t>
      </w:r>
      <w:r>
        <w:tab/>
      </w:r>
      <w:r>
        <w:fldChar w:fldCharType="begin"/>
      </w:r>
      <w:r>
        <w:instrText xml:space="preserve"> PAGEREF _Toc15072 \h </w:instrText>
      </w:r>
      <w:r>
        <w:fldChar w:fldCharType="separate"/>
      </w:r>
      <w:r>
        <w:t>68</w:t>
      </w:r>
      <w:r>
        <w:fldChar w:fldCharType="end"/>
      </w:r>
      <w:r>
        <w:rPr>
          <w:rFonts w:hint="default" w:ascii="Times New Roman" w:hAnsi="Times New Roman" w:eastAsia="宋体" w:cs="Times New Roman"/>
          <w:color w:val="000000"/>
          <w:szCs w:val="24"/>
        </w:rPr>
        <w:fldChar w:fldCharType="end"/>
      </w:r>
    </w:p>
    <w:p>
      <w:pPr>
        <w:pStyle w:val="14"/>
        <w:tabs>
          <w:tab w:val="right" w:leader="dot" w:pos="8844"/>
        </w:tabs>
      </w:pPr>
      <w:r>
        <w:rPr>
          <w:rFonts w:hint="default" w:ascii="Times New Roman" w:hAnsi="Times New Roman" w:eastAsia="宋体" w:cs="Times New Roman"/>
          <w:color w:val="000000"/>
          <w:szCs w:val="24"/>
        </w:rPr>
        <w:fldChar w:fldCharType="begin"/>
      </w:r>
      <w:r>
        <w:rPr>
          <w:rFonts w:hint="default" w:ascii="Times New Roman" w:hAnsi="Times New Roman" w:eastAsia="宋体" w:cs="Times New Roman"/>
          <w:szCs w:val="24"/>
        </w:rPr>
        <w:instrText xml:space="preserve"> HYPERLINK \l _Toc6236 </w:instrText>
      </w:r>
      <w:r>
        <w:rPr>
          <w:rFonts w:hint="default" w:ascii="Times New Roman" w:hAnsi="Times New Roman" w:eastAsia="宋体" w:cs="Times New Roman"/>
          <w:szCs w:val="24"/>
        </w:rPr>
        <w:fldChar w:fldCharType="separate"/>
      </w:r>
      <w:r>
        <w:rPr>
          <w:rFonts w:hint="default" w:ascii="Times New Roman" w:hAnsi="Times New Roman" w:eastAsia="黑体" w:cs="Times New Roman"/>
          <w:snapToGrid w:val="0"/>
          <w:szCs w:val="30"/>
        </w:rPr>
        <w:t>六、生态环境保护措施监督检查清单</w:t>
      </w:r>
      <w:r>
        <w:tab/>
      </w:r>
      <w:r>
        <w:fldChar w:fldCharType="begin"/>
      </w:r>
      <w:r>
        <w:instrText xml:space="preserve"> PAGEREF _Toc6236 \h </w:instrText>
      </w:r>
      <w:r>
        <w:fldChar w:fldCharType="separate"/>
      </w:r>
      <w:r>
        <w:t>83</w:t>
      </w:r>
      <w:r>
        <w:fldChar w:fldCharType="end"/>
      </w:r>
      <w:r>
        <w:rPr>
          <w:rFonts w:hint="default" w:ascii="Times New Roman" w:hAnsi="Times New Roman" w:eastAsia="宋体" w:cs="Times New Roman"/>
          <w:color w:val="000000"/>
          <w:szCs w:val="24"/>
        </w:rPr>
        <w:fldChar w:fldCharType="end"/>
      </w:r>
    </w:p>
    <w:p>
      <w:pPr>
        <w:pStyle w:val="14"/>
        <w:tabs>
          <w:tab w:val="right" w:leader="dot" w:pos="8844"/>
        </w:tabs>
      </w:pPr>
      <w:r>
        <w:rPr>
          <w:rFonts w:hint="default" w:ascii="Times New Roman" w:hAnsi="Times New Roman" w:eastAsia="宋体" w:cs="Times New Roman"/>
          <w:color w:val="000000"/>
          <w:szCs w:val="24"/>
        </w:rPr>
        <w:fldChar w:fldCharType="begin"/>
      </w:r>
      <w:r>
        <w:rPr>
          <w:rFonts w:hint="default" w:ascii="Times New Roman" w:hAnsi="Times New Roman" w:eastAsia="宋体" w:cs="Times New Roman"/>
          <w:szCs w:val="24"/>
        </w:rPr>
        <w:instrText xml:space="preserve"> HYPERLINK \l _Toc25702 </w:instrText>
      </w:r>
      <w:r>
        <w:rPr>
          <w:rFonts w:hint="default" w:ascii="Times New Roman" w:hAnsi="Times New Roman" w:eastAsia="宋体" w:cs="Times New Roman"/>
          <w:szCs w:val="24"/>
        </w:rPr>
        <w:fldChar w:fldCharType="separate"/>
      </w:r>
      <w:r>
        <w:rPr>
          <w:rFonts w:hint="default" w:ascii="Times New Roman" w:hAnsi="Times New Roman" w:eastAsia="黑体" w:cs="Times New Roman"/>
          <w:snapToGrid w:val="0"/>
          <w:szCs w:val="30"/>
        </w:rPr>
        <w:t>七、结论</w:t>
      </w:r>
      <w:r>
        <w:tab/>
      </w:r>
      <w:r>
        <w:fldChar w:fldCharType="begin"/>
      </w:r>
      <w:r>
        <w:instrText xml:space="preserve"> PAGEREF _Toc25702 \h </w:instrText>
      </w:r>
      <w:r>
        <w:fldChar w:fldCharType="separate"/>
      </w:r>
      <w:r>
        <w:t>87</w:t>
      </w:r>
      <w:r>
        <w:fldChar w:fldCharType="end"/>
      </w:r>
      <w:r>
        <w:rPr>
          <w:rFonts w:hint="default" w:ascii="Times New Roman" w:hAnsi="Times New Roman" w:eastAsia="宋体" w:cs="Times New Roman"/>
          <w:color w:val="000000"/>
          <w:szCs w:val="24"/>
        </w:rPr>
        <w:fldChar w:fldCharType="end"/>
      </w:r>
    </w:p>
    <w:p>
      <w:pPr>
        <w:pStyle w:val="14"/>
        <w:tabs>
          <w:tab w:val="right" w:leader="dot" w:pos="8844"/>
        </w:tabs>
      </w:pPr>
      <w:r>
        <w:rPr>
          <w:rFonts w:hint="default" w:ascii="Times New Roman" w:hAnsi="Times New Roman" w:eastAsia="宋体" w:cs="Times New Roman"/>
          <w:color w:val="000000"/>
          <w:szCs w:val="24"/>
        </w:rPr>
        <w:fldChar w:fldCharType="begin"/>
      </w:r>
      <w:r>
        <w:rPr>
          <w:rFonts w:hint="default" w:ascii="Times New Roman" w:hAnsi="Times New Roman" w:eastAsia="宋体" w:cs="Times New Roman"/>
          <w:szCs w:val="24"/>
        </w:rPr>
        <w:instrText xml:space="preserve"> HYPERLINK \l _Toc27129 </w:instrText>
      </w:r>
      <w:r>
        <w:rPr>
          <w:rFonts w:hint="default" w:ascii="Times New Roman" w:hAnsi="Times New Roman" w:eastAsia="宋体" w:cs="Times New Roman"/>
          <w:szCs w:val="24"/>
        </w:rPr>
        <w:fldChar w:fldCharType="separate"/>
      </w:r>
      <w:r>
        <w:rPr>
          <w:rFonts w:hint="default" w:ascii="Times New Roman" w:hAnsi="Times New Roman" w:eastAsia="宋体" w:cs="Times New Roman"/>
          <w:szCs w:val="24"/>
          <w:lang w:val="en-US" w:eastAsia="zh-CN"/>
        </w:rPr>
        <w:t>附件：</w:t>
      </w:r>
      <w:r>
        <w:tab/>
      </w:r>
      <w:r>
        <w:fldChar w:fldCharType="begin"/>
      </w:r>
      <w:r>
        <w:instrText xml:space="preserve"> PAGEREF _Toc27129 \h </w:instrText>
      </w:r>
      <w:r>
        <w:fldChar w:fldCharType="separate"/>
      </w:r>
      <w:r>
        <w:t>88</w:t>
      </w:r>
      <w:r>
        <w:fldChar w:fldCharType="end"/>
      </w:r>
      <w:r>
        <w:rPr>
          <w:rFonts w:hint="default" w:ascii="Times New Roman" w:hAnsi="Times New Roman" w:eastAsia="宋体" w:cs="Times New Roman"/>
          <w:color w:val="000000"/>
          <w:szCs w:val="24"/>
        </w:rPr>
        <w:fldChar w:fldCharType="end"/>
      </w:r>
    </w:p>
    <w:p>
      <w:pPr>
        <w:pStyle w:val="14"/>
        <w:tabs>
          <w:tab w:val="right" w:leader="dot" w:pos="8844"/>
        </w:tabs>
      </w:pPr>
      <w:r>
        <w:rPr>
          <w:rFonts w:hint="default" w:ascii="Times New Roman" w:hAnsi="Times New Roman" w:eastAsia="宋体" w:cs="Times New Roman"/>
          <w:color w:val="000000"/>
          <w:szCs w:val="24"/>
        </w:rPr>
        <w:fldChar w:fldCharType="begin"/>
      </w:r>
      <w:r>
        <w:rPr>
          <w:rFonts w:hint="default" w:ascii="Times New Roman" w:hAnsi="Times New Roman" w:eastAsia="宋体" w:cs="Times New Roman"/>
          <w:szCs w:val="24"/>
        </w:rPr>
        <w:instrText xml:space="preserve"> HYPERLINK \l _Toc3207 </w:instrText>
      </w:r>
      <w:r>
        <w:rPr>
          <w:rFonts w:hint="default" w:ascii="Times New Roman" w:hAnsi="Times New Roman" w:eastAsia="宋体" w:cs="Times New Roman"/>
          <w:szCs w:val="24"/>
        </w:rPr>
        <w:fldChar w:fldCharType="separate"/>
      </w:r>
      <w:r>
        <w:rPr>
          <w:rFonts w:hint="default" w:ascii="Times New Roman" w:hAnsi="Times New Roman" w:eastAsia="宋体" w:cs="Times New Roman"/>
          <w:szCs w:val="24"/>
          <w:lang w:val="en-US" w:eastAsia="zh-CN"/>
        </w:rPr>
        <w:t>附件一：环评委托书</w:t>
      </w:r>
      <w:r>
        <w:tab/>
      </w:r>
      <w:r>
        <w:fldChar w:fldCharType="begin"/>
      </w:r>
      <w:r>
        <w:instrText xml:space="preserve"> PAGEREF _Toc3207 \h </w:instrText>
      </w:r>
      <w:r>
        <w:fldChar w:fldCharType="separate"/>
      </w:r>
      <w:r>
        <w:t>88</w:t>
      </w:r>
      <w:r>
        <w:fldChar w:fldCharType="end"/>
      </w:r>
      <w:r>
        <w:rPr>
          <w:rFonts w:hint="default" w:ascii="Times New Roman" w:hAnsi="Times New Roman" w:eastAsia="宋体" w:cs="Times New Roman"/>
          <w:color w:val="000000"/>
          <w:szCs w:val="24"/>
        </w:rPr>
        <w:fldChar w:fldCharType="end"/>
      </w:r>
    </w:p>
    <w:p>
      <w:pPr>
        <w:pStyle w:val="14"/>
        <w:tabs>
          <w:tab w:val="right" w:leader="dot" w:pos="8844"/>
        </w:tabs>
      </w:pPr>
      <w:r>
        <w:rPr>
          <w:rFonts w:hint="default" w:ascii="Times New Roman" w:hAnsi="Times New Roman" w:eastAsia="宋体" w:cs="Times New Roman"/>
          <w:color w:val="000000"/>
          <w:szCs w:val="24"/>
        </w:rPr>
        <w:fldChar w:fldCharType="begin"/>
      </w:r>
      <w:r>
        <w:rPr>
          <w:rFonts w:hint="default" w:ascii="Times New Roman" w:hAnsi="Times New Roman" w:eastAsia="宋体" w:cs="Times New Roman"/>
          <w:szCs w:val="24"/>
        </w:rPr>
        <w:instrText xml:space="preserve"> HYPERLINK \l _Toc29049 </w:instrText>
      </w:r>
      <w:r>
        <w:rPr>
          <w:rFonts w:hint="default" w:ascii="Times New Roman" w:hAnsi="Times New Roman" w:eastAsia="宋体" w:cs="Times New Roman"/>
          <w:szCs w:val="24"/>
        </w:rPr>
        <w:fldChar w:fldCharType="separate"/>
      </w:r>
      <w:r>
        <w:rPr>
          <w:rFonts w:hint="default" w:ascii="Times New Roman" w:hAnsi="Times New Roman" w:eastAsia="宋体" w:cs="Times New Roman"/>
          <w:szCs w:val="24"/>
          <w:lang w:val="en-US" w:eastAsia="zh-CN"/>
        </w:rPr>
        <w:t>附件</w:t>
      </w:r>
      <w:r>
        <w:rPr>
          <w:rFonts w:hint="eastAsia" w:ascii="Times New Roman" w:hAnsi="Times New Roman" w:eastAsia="宋体" w:cs="Times New Roman"/>
          <w:szCs w:val="24"/>
          <w:lang w:val="en-US" w:eastAsia="zh-CN"/>
        </w:rPr>
        <w:t>二</w:t>
      </w:r>
      <w:r>
        <w:rPr>
          <w:rFonts w:hint="default" w:ascii="Times New Roman" w:hAnsi="Times New Roman" w:eastAsia="宋体" w:cs="Times New Roman"/>
          <w:szCs w:val="24"/>
          <w:lang w:val="en-US" w:eastAsia="zh-CN"/>
        </w:rPr>
        <w:t>：</w:t>
      </w:r>
      <w:r>
        <w:rPr>
          <w:rFonts w:hint="eastAsia" w:ascii="Times New Roman" w:hAnsi="Times New Roman" w:eastAsia="宋体" w:cs="Times New Roman"/>
          <w:szCs w:val="24"/>
          <w:lang w:val="en-US" w:eastAsia="zh-CN"/>
        </w:rPr>
        <w:t>建设单位营业执照</w:t>
      </w:r>
      <w:r>
        <w:tab/>
      </w:r>
      <w:r>
        <w:fldChar w:fldCharType="begin"/>
      </w:r>
      <w:r>
        <w:instrText xml:space="preserve"> PAGEREF _Toc29049 \h </w:instrText>
      </w:r>
      <w:r>
        <w:fldChar w:fldCharType="separate"/>
      </w:r>
      <w:r>
        <w:t>89</w:t>
      </w:r>
      <w:r>
        <w:fldChar w:fldCharType="end"/>
      </w:r>
      <w:r>
        <w:rPr>
          <w:rFonts w:hint="default" w:ascii="Times New Roman" w:hAnsi="Times New Roman" w:eastAsia="宋体" w:cs="Times New Roman"/>
          <w:color w:val="000000"/>
          <w:szCs w:val="24"/>
        </w:rPr>
        <w:fldChar w:fldCharType="end"/>
      </w:r>
    </w:p>
    <w:p>
      <w:pPr>
        <w:pStyle w:val="14"/>
        <w:tabs>
          <w:tab w:val="right" w:leader="dot" w:pos="8844"/>
        </w:tabs>
      </w:pPr>
      <w:r>
        <w:rPr>
          <w:rFonts w:hint="default" w:ascii="Times New Roman" w:hAnsi="Times New Roman" w:eastAsia="宋体" w:cs="Times New Roman"/>
          <w:color w:val="000000"/>
          <w:szCs w:val="24"/>
        </w:rPr>
        <w:fldChar w:fldCharType="begin"/>
      </w:r>
      <w:r>
        <w:rPr>
          <w:rFonts w:hint="default" w:ascii="Times New Roman" w:hAnsi="Times New Roman" w:eastAsia="宋体" w:cs="Times New Roman"/>
          <w:szCs w:val="24"/>
        </w:rPr>
        <w:instrText xml:space="preserve"> HYPERLINK \l _Toc27008 </w:instrText>
      </w:r>
      <w:r>
        <w:rPr>
          <w:rFonts w:hint="default" w:ascii="Times New Roman" w:hAnsi="Times New Roman" w:eastAsia="宋体" w:cs="Times New Roman"/>
          <w:szCs w:val="24"/>
        </w:rPr>
        <w:fldChar w:fldCharType="separate"/>
      </w:r>
      <w:r>
        <w:rPr>
          <w:rFonts w:hint="default" w:ascii="Times New Roman" w:hAnsi="Times New Roman" w:eastAsia="宋体" w:cs="Times New Roman"/>
          <w:szCs w:val="24"/>
          <w:lang w:val="en-US" w:eastAsia="zh-CN"/>
        </w:rPr>
        <w:t>附件</w:t>
      </w:r>
      <w:r>
        <w:rPr>
          <w:rFonts w:hint="eastAsia" w:ascii="Times New Roman" w:hAnsi="Times New Roman" w:eastAsia="宋体" w:cs="Times New Roman"/>
          <w:szCs w:val="24"/>
          <w:lang w:val="en-US" w:eastAsia="zh-CN"/>
        </w:rPr>
        <w:t>三</w:t>
      </w:r>
      <w:r>
        <w:rPr>
          <w:rFonts w:hint="default" w:ascii="Times New Roman" w:hAnsi="Times New Roman" w:eastAsia="宋体" w:cs="Times New Roman"/>
          <w:szCs w:val="24"/>
          <w:lang w:val="en-US" w:eastAsia="zh-CN"/>
        </w:rPr>
        <w:t>：</w:t>
      </w:r>
      <w:r>
        <w:rPr>
          <w:rFonts w:hint="eastAsia" w:eastAsia="宋体" w:cs="Times New Roman"/>
          <w:szCs w:val="24"/>
          <w:lang w:val="en-US" w:eastAsia="zh-CN"/>
        </w:rPr>
        <w:t>原环评批复</w:t>
      </w:r>
      <w:r>
        <w:tab/>
      </w:r>
      <w:r>
        <w:fldChar w:fldCharType="begin"/>
      </w:r>
      <w:r>
        <w:instrText xml:space="preserve"> PAGEREF _Toc27008 \h </w:instrText>
      </w:r>
      <w:r>
        <w:fldChar w:fldCharType="separate"/>
      </w:r>
      <w:r>
        <w:t>90</w:t>
      </w:r>
      <w:r>
        <w:fldChar w:fldCharType="end"/>
      </w:r>
      <w:r>
        <w:rPr>
          <w:rFonts w:hint="default" w:ascii="Times New Roman" w:hAnsi="Times New Roman" w:eastAsia="宋体" w:cs="Times New Roman"/>
          <w:color w:val="000000"/>
          <w:szCs w:val="24"/>
        </w:rPr>
        <w:fldChar w:fldCharType="end"/>
      </w:r>
    </w:p>
    <w:p>
      <w:pPr>
        <w:pStyle w:val="14"/>
        <w:tabs>
          <w:tab w:val="right" w:leader="dot" w:pos="8844"/>
        </w:tabs>
      </w:pPr>
      <w:r>
        <w:rPr>
          <w:rFonts w:hint="default" w:ascii="Times New Roman" w:hAnsi="Times New Roman" w:eastAsia="宋体" w:cs="Times New Roman"/>
          <w:color w:val="000000"/>
          <w:szCs w:val="24"/>
        </w:rPr>
        <w:fldChar w:fldCharType="begin"/>
      </w:r>
      <w:r>
        <w:rPr>
          <w:rFonts w:hint="default" w:ascii="Times New Roman" w:hAnsi="Times New Roman" w:eastAsia="宋体" w:cs="Times New Roman"/>
          <w:szCs w:val="24"/>
        </w:rPr>
        <w:instrText xml:space="preserve"> HYPERLINK \l _Toc9922 </w:instrText>
      </w:r>
      <w:r>
        <w:rPr>
          <w:rFonts w:hint="default" w:ascii="Times New Roman" w:hAnsi="Times New Roman" w:eastAsia="宋体" w:cs="Times New Roman"/>
          <w:szCs w:val="24"/>
        </w:rPr>
        <w:fldChar w:fldCharType="separate"/>
      </w:r>
      <w:r>
        <w:rPr>
          <w:rFonts w:hint="default" w:ascii="Times New Roman" w:hAnsi="Times New Roman" w:eastAsia="宋体" w:cs="Times New Roman"/>
          <w:bCs/>
          <w:szCs w:val="24"/>
          <w:lang w:val="en-US" w:eastAsia="zh-CN"/>
        </w:rPr>
        <w:t>附件</w:t>
      </w:r>
      <w:r>
        <w:rPr>
          <w:rFonts w:hint="eastAsia" w:ascii="Times New Roman" w:hAnsi="Times New Roman" w:eastAsia="宋体" w:cs="Times New Roman"/>
          <w:bCs/>
          <w:szCs w:val="24"/>
          <w:lang w:val="en-US" w:eastAsia="zh-CN"/>
        </w:rPr>
        <w:t>四</w:t>
      </w:r>
      <w:r>
        <w:rPr>
          <w:rFonts w:hint="default" w:ascii="Times New Roman" w:hAnsi="Times New Roman" w:eastAsia="宋体" w:cs="Times New Roman"/>
          <w:bCs/>
          <w:szCs w:val="24"/>
          <w:lang w:val="en-US" w:eastAsia="zh-CN"/>
        </w:rPr>
        <w:t>：</w:t>
      </w:r>
      <w:r>
        <w:rPr>
          <w:rFonts w:hint="eastAsia" w:cs="Times New Roman"/>
          <w:bCs/>
          <w:szCs w:val="24"/>
          <w:lang w:val="en-US" w:eastAsia="zh-CN"/>
        </w:rPr>
        <w:t>备案证明</w:t>
      </w:r>
      <w:r>
        <w:tab/>
      </w:r>
      <w:r>
        <w:fldChar w:fldCharType="begin"/>
      </w:r>
      <w:r>
        <w:instrText xml:space="preserve"> PAGEREF _Toc9922 \h </w:instrText>
      </w:r>
      <w:r>
        <w:fldChar w:fldCharType="separate"/>
      </w:r>
      <w:r>
        <w:t>94</w:t>
      </w:r>
      <w:r>
        <w:fldChar w:fldCharType="end"/>
      </w:r>
      <w:r>
        <w:rPr>
          <w:rFonts w:hint="default" w:ascii="Times New Roman" w:hAnsi="Times New Roman" w:eastAsia="宋体" w:cs="Times New Roman"/>
          <w:color w:val="000000"/>
          <w:szCs w:val="24"/>
        </w:rPr>
        <w:fldChar w:fldCharType="end"/>
      </w:r>
    </w:p>
    <w:p>
      <w:pPr>
        <w:pStyle w:val="14"/>
        <w:tabs>
          <w:tab w:val="right" w:leader="dot" w:pos="8844"/>
        </w:tabs>
      </w:pPr>
      <w:r>
        <w:rPr>
          <w:rFonts w:hint="default" w:ascii="Times New Roman" w:hAnsi="Times New Roman" w:eastAsia="宋体" w:cs="Times New Roman"/>
          <w:color w:val="000000"/>
          <w:szCs w:val="24"/>
        </w:rPr>
        <w:fldChar w:fldCharType="begin"/>
      </w:r>
      <w:r>
        <w:rPr>
          <w:rFonts w:hint="default" w:ascii="Times New Roman" w:hAnsi="Times New Roman" w:eastAsia="宋体" w:cs="Times New Roman"/>
          <w:szCs w:val="24"/>
        </w:rPr>
        <w:instrText xml:space="preserve"> HYPERLINK \l _Toc28968 </w:instrText>
      </w:r>
      <w:r>
        <w:rPr>
          <w:rFonts w:hint="default" w:ascii="Times New Roman" w:hAnsi="Times New Roman" w:eastAsia="宋体" w:cs="Times New Roman"/>
          <w:szCs w:val="24"/>
        </w:rPr>
        <w:fldChar w:fldCharType="separate"/>
      </w:r>
      <w:r>
        <w:rPr>
          <w:rFonts w:hint="default" w:ascii="Times New Roman" w:hAnsi="Times New Roman" w:eastAsia="宋体" w:cs="Times New Roman"/>
          <w:bCs/>
          <w:szCs w:val="24"/>
          <w:lang w:val="en-US" w:eastAsia="zh-CN"/>
        </w:rPr>
        <w:t>附件</w:t>
      </w:r>
      <w:r>
        <w:rPr>
          <w:rFonts w:hint="eastAsia" w:ascii="Times New Roman" w:hAnsi="Times New Roman" w:eastAsia="宋体" w:cs="Times New Roman"/>
          <w:bCs/>
          <w:szCs w:val="24"/>
          <w:lang w:val="en-US" w:eastAsia="zh-CN"/>
        </w:rPr>
        <w:t>五</w:t>
      </w:r>
      <w:r>
        <w:rPr>
          <w:rFonts w:hint="default" w:ascii="Times New Roman" w:hAnsi="Times New Roman" w:eastAsia="宋体" w:cs="Times New Roman"/>
          <w:bCs/>
          <w:szCs w:val="24"/>
          <w:lang w:val="en-US" w:eastAsia="zh-CN"/>
        </w:rPr>
        <w:t>：</w:t>
      </w:r>
      <w:r>
        <w:rPr>
          <w:rFonts w:hint="eastAsia" w:ascii="Times New Roman" w:hAnsi="Times New Roman" w:eastAsia="宋体" w:cs="Times New Roman"/>
          <w:bCs/>
          <w:szCs w:val="24"/>
          <w:lang w:val="en-US" w:eastAsia="zh-CN"/>
        </w:rPr>
        <w:t>永州市零陵区水利局关于零陵区羊轱岭矿区项目选址意见的函</w:t>
      </w:r>
      <w:r>
        <w:tab/>
      </w:r>
      <w:r>
        <w:fldChar w:fldCharType="begin"/>
      </w:r>
      <w:r>
        <w:instrText xml:space="preserve"> PAGEREF _Toc28968 \h </w:instrText>
      </w:r>
      <w:r>
        <w:fldChar w:fldCharType="separate"/>
      </w:r>
      <w:r>
        <w:t>96</w:t>
      </w:r>
      <w:r>
        <w:fldChar w:fldCharType="end"/>
      </w:r>
      <w:r>
        <w:rPr>
          <w:rFonts w:hint="default" w:ascii="Times New Roman" w:hAnsi="Times New Roman" w:eastAsia="宋体" w:cs="Times New Roman"/>
          <w:color w:val="000000"/>
          <w:szCs w:val="24"/>
        </w:rPr>
        <w:fldChar w:fldCharType="end"/>
      </w:r>
    </w:p>
    <w:p>
      <w:pPr>
        <w:pStyle w:val="14"/>
        <w:tabs>
          <w:tab w:val="right" w:leader="dot" w:pos="8844"/>
        </w:tabs>
      </w:pPr>
      <w:r>
        <w:rPr>
          <w:rFonts w:hint="default" w:ascii="Times New Roman" w:hAnsi="Times New Roman" w:eastAsia="宋体" w:cs="Times New Roman"/>
          <w:color w:val="000000"/>
          <w:szCs w:val="24"/>
        </w:rPr>
        <w:fldChar w:fldCharType="begin"/>
      </w:r>
      <w:r>
        <w:rPr>
          <w:rFonts w:hint="default" w:ascii="Times New Roman" w:hAnsi="Times New Roman" w:eastAsia="宋体" w:cs="Times New Roman"/>
          <w:szCs w:val="24"/>
        </w:rPr>
        <w:instrText xml:space="preserve"> HYPERLINK \l _Toc29924 </w:instrText>
      </w:r>
      <w:r>
        <w:rPr>
          <w:rFonts w:hint="default" w:ascii="Times New Roman" w:hAnsi="Times New Roman" w:eastAsia="宋体" w:cs="Times New Roman"/>
          <w:szCs w:val="24"/>
        </w:rPr>
        <w:fldChar w:fldCharType="separate"/>
      </w:r>
      <w:r>
        <w:rPr>
          <w:rFonts w:hint="default" w:ascii="Times New Roman" w:hAnsi="Times New Roman" w:eastAsia="宋体" w:cs="Times New Roman"/>
          <w:bCs/>
          <w:szCs w:val="24"/>
          <w:lang w:val="en-US" w:eastAsia="zh-CN"/>
        </w:rPr>
        <w:t>附件</w:t>
      </w:r>
      <w:r>
        <w:rPr>
          <w:rFonts w:hint="eastAsia" w:eastAsia="宋体" w:cs="Times New Roman"/>
          <w:bCs/>
          <w:szCs w:val="24"/>
          <w:lang w:val="en-US" w:eastAsia="zh-CN"/>
        </w:rPr>
        <w:t>六</w:t>
      </w:r>
      <w:r>
        <w:rPr>
          <w:rFonts w:hint="default" w:ascii="Times New Roman" w:hAnsi="Times New Roman" w:eastAsia="宋体" w:cs="Times New Roman"/>
          <w:bCs/>
          <w:szCs w:val="24"/>
          <w:lang w:val="en-US" w:eastAsia="zh-CN"/>
        </w:rPr>
        <w:t>：</w:t>
      </w:r>
      <w:r>
        <w:rPr>
          <w:rFonts w:hint="eastAsia" w:ascii="Times New Roman" w:hAnsi="Times New Roman" w:eastAsia="宋体" w:cs="Times New Roman"/>
          <w:bCs/>
          <w:szCs w:val="24"/>
          <w:lang w:val="en-US" w:eastAsia="zh-CN"/>
        </w:rPr>
        <w:t>关于《湖南省永州市零陵区羊轱岭矿区建筑石料用灰岩矿勘查报告》矿产资源储量评审备案证明</w:t>
      </w:r>
      <w:r>
        <w:tab/>
      </w:r>
      <w:r>
        <w:fldChar w:fldCharType="begin"/>
      </w:r>
      <w:r>
        <w:instrText xml:space="preserve"> PAGEREF _Toc29924 \h </w:instrText>
      </w:r>
      <w:r>
        <w:fldChar w:fldCharType="separate"/>
      </w:r>
      <w:r>
        <w:t>97</w:t>
      </w:r>
      <w:r>
        <w:fldChar w:fldCharType="end"/>
      </w:r>
      <w:r>
        <w:rPr>
          <w:rFonts w:hint="default" w:ascii="Times New Roman" w:hAnsi="Times New Roman" w:eastAsia="宋体" w:cs="Times New Roman"/>
          <w:color w:val="000000"/>
          <w:szCs w:val="24"/>
        </w:rPr>
        <w:fldChar w:fldCharType="end"/>
      </w:r>
    </w:p>
    <w:p>
      <w:pPr>
        <w:pStyle w:val="14"/>
        <w:tabs>
          <w:tab w:val="right" w:leader="dot" w:pos="8844"/>
        </w:tabs>
      </w:pPr>
      <w:r>
        <w:rPr>
          <w:rFonts w:hint="default" w:ascii="Times New Roman" w:hAnsi="Times New Roman" w:eastAsia="宋体" w:cs="Times New Roman"/>
          <w:color w:val="000000"/>
          <w:szCs w:val="24"/>
        </w:rPr>
        <w:fldChar w:fldCharType="begin"/>
      </w:r>
      <w:r>
        <w:rPr>
          <w:rFonts w:hint="default" w:ascii="Times New Roman" w:hAnsi="Times New Roman" w:eastAsia="宋体" w:cs="Times New Roman"/>
          <w:szCs w:val="24"/>
        </w:rPr>
        <w:instrText xml:space="preserve"> HYPERLINK \l _Toc17560 </w:instrText>
      </w:r>
      <w:r>
        <w:rPr>
          <w:rFonts w:hint="default" w:ascii="Times New Roman" w:hAnsi="Times New Roman" w:eastAsia="宋体" w:cs="Times New Roman"/>
          <w:szCs w:val="24"/>
        </w:rPr>
        <w:fldChar w:fldCharType="separate"/>
      </w:r>
      <w:r>
        <w:rPr>
          <w:rFonts w:hint="eastAsia" w:ascii="Times New Roman" w:hAnsi="Times New Roman" w:eastAsia="宋体" w:cs="Times New Roman"/>
          <w:bCs/>
          <w:szCs w:val="24"/>
          <w:lang w:val="en-US" w:eastAsia="zh-CN"/>
        </w:rPr>
        <w:t>附件</w:t>
      </w:r>
      <w:r>
        <w:rPr>
          <w:rFonts w:hint="eastAsia" w:eastAsia="宋体" w:cs="Times New Roman"/>
          <w:bCs/>
          <w:szCs w:val="24"/>
          <w:lang w:val="en-US" w:eastAsia="zh-CN"/>
        </w:rPr>
        <w:t>七</w:t>
      </w:r>
      <w:r>
        <w:rPr>
          <w:rFonts w:hint="default" w:ascii="Times New Roman" w:hAnsi="Times New Roman" w:eastAsia="宋体" w:cs="Times New Roman"/>
          <w:bCs/>
          <w:szCs w:val="24"/>
          <w:lang w:val="en-US" w:eastAsia="zh-CN"/>
        </w:rPr>
        <w:t>：</w:t>
      </w:r>
      <w:r>
        <w:rPr>
          <w:rFonts w:hint="eastAsia" w:ascii="Times New Roman" w:hAnsi="Times New Roman" w:eastAsia="宋体" w:cs="Times New Roman"/>
          <w:bCs/>
          <w:szCs w:val="24"/>
          <w:lang w:val="en-US" w:eastAsia="zh-CN"/>
        </w:rPr>
        <w:t>永州市零陵区羊轱岭矿区建筑用石灰岩矿采矿权申请范围核查报告</w:t>
      </w:r>
      <w:r>
        <w:tab/>
      </w:r>
      <w:r>
        <w:fldChar w:fldCharType="begin"/>
      </w:r>
      <w:r>
        <w:instrText xml:space="preserve"> PAGEREF _Toc17560 \h </w:instrText>
      </w:r>
      <w:r>
        <w:fldChar w:fldCharType="separate"/>
      </w:r>
      <w:r>
        <w:t>105</w:t>
      </w:r>
      <w:r>
        <w:fldChar w:fldCharType="end"/>
      </w:r>
      <w:r>
        <w:rPr>
          <w:rFonts w:hint="default" w:ascii="Times New Roman" w:hAnsi="Times New Roman" w:eastAsia="宋体" w:cs="Times New Roman"/>
          <w:color w:val="000000"/>
          <w:szCs w:val="24"/>
        </w:rPr>
        <w:fldChar w:fldCharType="end"/>
      </w:r>
    </w:p>
    <w:p>
      <w:pPr>
        <w:pStyle w:val="14"/>
        <w:tabs>
          <w:tab w:val="right" w:leader="dot" w:pos="8844"/>
        </w:tabs>
      </w:pPr>
      <w:r>
        <w:rPr>
          <w:rFonts w:hint="default" w:ascii="Times New Roman" w:hAnsi="Times New Roman" w:eastAsia="宋体" w:cs="Times New Roman"/>
          <w:color w:val="000000"/>
          <w:szCs w:val="24"/>
        </w:rPr>
        <w:fldChar w:fldCharType="begin"/>
      </w:r>
      <w:r>
        <w:rPr>
          <w:rFonts w:hint="default" w:ascii="Times New Roman" w:hAnsi="Times New Roman" w:eastAsia="宋体" w:cs="Times New Roman"/>
          <w:szCs w:val="24"/>
        </w:rPr>
        <w:instrText xml:space="preserve"> HYPERLINK \l _Toc31155 </w:instrText>
      </w:r>
      <w:r>
        <w:rPr>
          <w:rFonts w:hint="default" w:ascii="Times New Roman" w:hAnsi="Times New Roman" w:eastAsia="宋体" w:cs="Times New Roman"/>
          <w:szCs w:val="24"/>
        </w:rPr>
        <w:fldChar w:fldCharType="separate"/>
      </w:r>
      <w:r>
        <w:rPr>
          <w:rFonts w:hint="default" w:ascii="Times New Roman" w:hAnsi="Times New Roman" w:eastAsia="宋体" w:cs="Times New Roman"/>
          <w:bCs/>
          <w:szCs w:val="24"/>
          <w:lang w:val="en-US" w:eastAsia="zh-CN"/>
        </w:rPr>
        <w:t>附件</w:t>
      </w:r>
      <w:r>
        <w:rPr>
          <w:rFonts w:hint="eastAsia" w:eastAsia="宋体" w:cs="Times New Roman"/>
          <w:bCs/>
          <w:szCs w:val="24"/>
          <w:lang w:val="en-US" w:eastAsia="zh-CN"/>
        </w:rPr>
        <w:t>八</w:t>
      </w:r>
      <w:r>
        <w:rPr>
          <w:rFonts w:hint="default" w:ascii="Times New Roman" w:hAnsi="Times New Roman" w:eastAsia="宋体" w:cs="Times New Roman"/>
          <w:bCs/>
          <w:szCs w:val="24"/>
          <w:lang w:val="en-US" w:eastAsia="zh-CN"/>
        </w:rPr>
        <w:t>：</w:t>
      </w:r>
      <w:r>
        <w:rPr>
          <w:rFonts w:hint="eastAsia" w:eastAsia="宋体" w:cs="Times New Roman"/>
          <w:bCs/>
          <w:szCs w:val="24"/>
          <w:lang w:val="en-US" w:eastAsia="zh-CN"/>
        </w:rPr>
        <w:t>《</w:t>
      </w:r>
      <w:r>
        <w:rPr>
          <w:rFonts w:hint="eastAsia" w:ascii="Times New Roman" w:hAnsi="Times New Roman" w:eastAsia="宋体" w:cs="Times New Roman"/>
          <w:bCs/>
          <w:szCs w:val="24"/>
          <w:lang w:val="en-US" w:eastAsia="zh-CN"/>
        </w:rPr>
        <w:t>湖南省永州市零陵区羊轱岭矿区建筑石料用灰岩矿资源开发利用方案》评审意见书</w:t>
      </w:r>
      <w:r>
        <w:tab/>
      </w:r>
      <w:r>
        <w:fldChar w:fldCharType="begin"/>
      </w:r>
      <w:r>
        <w:instrText xml:space="preserve"> PAGEREF _Toc31155 \h </w:instrText>
      </w:r>
      <w:r>
        <w:fldChar w:fldCharType="separate"/>
      </w:r>
      <w:r>
        <w:t>108</w:t>
      </w:r>
      <w:r>
        <w:fldChar w:fldCharType="end"/>
      </w:r>
      <w:r>
        <w:rPr>
          <w:rFonts w:hint="default" w:ascii="Times New Roman" w:hAnsi="Times New Roman" w:eastAsia="宋体" w:cs="Times New Roman"/>
          <w:color w:val="000000"/>
          <w:szCs w:val="24"/>
        </w:rPr>
        <w:fldChar w:fldCharType="end"/>
      </w:r>
    </w:p>
    <w:p>
      <w:pPr>
        <w:pStyle w:val="14"/>
        <w:tabs>
          <w:tab w:val="right" w:leader="dot" w:pos="8844"/>
        </w:tabs>
      </w:pPr>
      <w:r>
        <w:rPr>
          <w:rFonts w:hint="default" w:ascii="Times New Roman" w:hAnsi="Times New Roman" w:eastAsia="宋体" w:cs="Times New Roman"/>
          <w:color w:val="000000"/>
          <w:szCs w:val="24"/>
        </w:rPr>
        <w:fldChar w:fldCharType="begin"/>
      </w:r>
      <w:r>
        <w:rPr>
          <w:rFonts w:hint="default" w:ascii="Times New Roman" w:hAnsi="Times New Roman" w:eastAsia="宋体" w:cs="Times New Roman"/>
          <w:szCs w:val="24"/>
        </w:rPr>
        <w:instrText xml:space="preserve"> HYPERLINK \l _Toc3821 </w:instrText>
      </w:r>
      <w:r>
        <w:rPr>
          <w:rFonts w:hint="default" w:ascii="Times New Roman" w:hAnsi="Times New Roman" w:eastAsia="宋体" w:cs="Times New Roman"/>
          <w:szCs w:val="24"/>
        </w:rPr>
        <w:fldChar w:fldCharType="separate"/>
      </w:r>
      <w:r>
        <w:rPr>
          <w:rFonts w:hint="default" w:ascii="Times New Roman" w:hAnsi="Times New Roman" w:eastAsia="宋体" w:cs="Times New Roman"/>
          <w:bCs/>
          <w:szCs w:val="24"/>
          <w:lang w:val="en-US" w:eastAsia="zh-CN"/>
        </w:rPr>
        <w:t>附件</w:t>
      </w:r>
      <w:r>
        <w:rPr>
          <w:rFonts w:hint="eastAsia" w:eastAsia="宋体" w:cs="Times New Roman"/>
          <w:bCs/>
          <w:szCs w:val="24"/>
          <w:lang w:val="en-US" w:eastAsia="zh-CN"/>
        </w:rPr>
        <w:t>九</w:t>
      </w:r>
      <w:r>
        <w:rPr>
          <w:rFonts w:hint="default" w:ascii="Times New Roman" w:hAnsi="Times New Roman" w:eastAsia="宋体" w:cs="Times New Roman"/>
          <w:bCs/>
          <w:szCs w:val="24"/>
          <w:lang w:val="en-US" w:eastAsia="zh-CN"/>
        </w:rPr>
        <w:t>：</w:t>
      </w:r>
      <w:r>
        <w:rPr>
          <w:rFonts w:hint="eastAsia" w:ascii="Times New Roman" w:hAnsi="Times New Roman" w:eastAsia="宋体" w:cs="Times New Roman"/>
          <w:bCs/>
          <w:szCs w:val="24"/>
          <w:lang w:val="en-US" w:eastAsia="zh-CN"/>
        </w:rPr>
        <w:t>采矿权设置范围相关信息分析结果简报</w:t>
      </w:r>
      <w:r>
        <w:tab/>
      </w:r>
      <w:r>
        <w:fldChar w:fldCharType="begin"/>
      </w:r>
      <w:r>
        <w:instrText xml:space="preserve"> PAGEREF _Toc3821 \h </w:instrText>
      </w:r>
      <w:r>
        <w:fldChar w:fldCharType="separate"/>
      </w:r>
      <w:r>
        <w:t>112</w:t>
      </w:r>
      <w:r>
        <w:fldChar w:fldCharType="end"/>
      </w:r>
      <w:r>
        <w:rPr>
          <w:rFonts w:hint="default" w:ascii="Times New Roman" w:hAnsi="Times New Roman" w:eastAsia="宋体" w:cs="Times New Roman"/>
          <w:color w:val="000000"/>
          <w:szCs w:val="24"/>
        </w:rPr>
        <w:fldChar w:fldCharType="end"/>
      </w:r>
    </w:p>
    <w:p>
      <w:pPr>
        <w:pStyle w:val="14"/>
        <w:tabs>
          <w:tab w:val="right" w:leader="dot" w:pos="8844"/>
        </w:tabs>
      </w:pPr>
      <w:r>
        <w:rPr>
          <w:rFonts w:hint="default" w:ascii="Times New Roman" w:hAnsi="Times New Roman" w:eastAsia="宋体" w:cs="Times New Roman"/>
          <w:color w:val="000000"/>
          <w:szCs w:val="24"/>
        </w:rPr>
        <w:fldChar w:fldCharType="begin"/>
      </w:r>
      <w:r>
        <w:rPr>
          <w:rFonts w:hint="default" w:ascii="Times New Roman" w:hAnsi="Times New Roman" w:eastAsia="宋体" w:cs="Times New Roman"/>
          <w:szCs w:val="24"/>
        </w:rPr>
        <w:instrText xml:space="preserve"> HYPERLINK \l _Toc3595 </w:instrText>
      </w:r>
      <w:r>
        <w:rPr>
          <w:rFonts w:hint="default" w:ascii="Times New Roman" w:hAnsi="Times New Roman" w:eastAsia="宋体" w:cs="Times New Roman"/>
          <w:szCs w:val="24"/>
        </w:rPr>
        <w:fldChar w:fldCharType="separate"/>
      </w:r>
      <w:r>
        <w:rPr>
          <w:rFonts w:hint="default" w:ascii="Times New Roman" w:hAnsi="Times New Roman" w:eastAsia="宋体" w:cs="Times New Roman"/>
          <w:bCs/>
          <w:szCs w:val="24"/>
          <w:lang w:val="en-US" w:eastAsia="zh-CN"/>
        </w:rPr>
        <w:t>附件</w:t>
      </w:r>
      <w:r>
        <w:rPr>
          <w:rFonts w:hint="eastAsia" w:eastAsia="宋体" w:cs="Times New Roman"/>
          <w:bCs/>
          <w:szCs w:val="24"/>
          <w:lang w:val="en-US" w:eastAsia="zh-CN"/>
        </w:rPr>
        <w:t>十</w:t>
      </w:r>
      <w:r>
        <w:rPr>
          <w:rFonts w:hint="default" w:ascii="Times New Roman" w:hAnsi="Times New Roman" w:eastAsia="宋体" w:cs="Times New Roman"/>
          <w:bCs/>
          <w:szCs w:val="24"/>
          <w:lang w:val="en-US" w:eastAsia="zh-CN"/>
        </w:rPr>
        <w:t>：</w:t>
      </w:r>
      <w:r>
        <w:rPr>
          <w:rFonts w:hint="eastAsia" w:ascii="Times New Roman" w:hAnsi="Times New Roman" w:eastAsia="宋体" w:cs="Times New Roman"/>
          <w:bCs/>
          <w:szCs w:val="24"/>
          <w:lang w:val="en-US" w:eastAsia="zh-CN"/>
        </w:rPr>
        <w:t>永州市零陵区自然资源局</w:t>
      </w:r>
      <w:r>
        <w:rPr>
          <w:rFonts w:hint="eastAsia" w:eastAsia="宋体" w:cs="Times New Roman"/>
          <w:bCs/>
          <w:szCs w:val="24"/>
          <w:lang w:val="en-US" w:eastAsia="zh-CN"/>
        </w:rPr>
        <w:t>关于</w:t>
      </w:r>
      <w:r>
        <w:rPr>
          <w:rFonts w:hint="eastAsia" w:ascii="Times New Roman" w:hAnsi="Times New Roman" w:eastAsia="宋体" w:cs="Times New Roman"/>
          <w:bCs/>
          <w:szCs w:val="24"/>
          <w:lang w:val="en-US" w:eastAsia="zh-CN"/>
        </w:rPr>
        <w:t>《湖南省永州市零陵区羊牯岭矿区矿山生态保护修复方案》实地核查意见</w:t>
      </w:r>
      <w:r>
        <w:tab/>
      </w:r>
      <w:r>
        <w:fldChar w:fldCharType="begin"/>
      </w:r>
      <w:r>
        <w:instrText xml:space="preserve"> PAGEREF _Toc3595 \h </w:instrText>
      </w:r>
      <w:r>
        <w:fldChar w:fldCharType="separate"/>
      </w:r>
      <w:r>
        <w:t>114</w:t>
      </w:r>
      <w:r>
        <w:fldChar w:fldCharType="end"/>
      </w:r>
      <w:r>
        <w:rPr>
          <w:rFonts w:hint="default" w:ascii="Times New Roman" w:hAnsi="Times New Roman" w:eastAsia="宋体" w:cs="Times New Roman"/>
          <w:color w:val="000000"/>
          <w:szCs w:val="24"/>
        </w:rPr>
        <w:fldChar w:fldCharType="end"/>
      </w:r>
    </w:p>
    <w:p>
      <w:pPr>
        <w:pStyle w:val="14"/>
        <w:tabs>
          <w:tab w:val="right" w:leader="dot" w:pos="8844"/>
        </w:tabs>
      </w:pPr>
      <w:r>
        <w:rPr>
          <w:rFonts w:hint="default" w:ascii="Times New Roman" w:hAnsi="Times New Roman" w:eastAsia="宋体" w:cs="Times New Roman"/>
          <w:color w:val="000000"/>
          <w:szCs w:val="24"/>
        </w:rPr>
        <w:fldChar w:fldCharType="begin"/>
      </w:r>
      <w:r>
        <w:rPr>
          <w:rFonts w:hint="default" w:ascii="Times New Roman" w:hAnsi="Times New Roman" w:eastAsia="宋体" w:cs="Times New Roman"/>
          <w:szCs w:val="24"/>
        </w:rPr>
        <w:instrText xml:space="preserve"> HYPERLINK \l _Toc32511 </w:instrText>
      </w:r>
      <w:r>
        <w:rPr>
          <w:rFonts w:hint="default" w:ascii="Times New Roman" w:hAnsi="Times New Roman" w:eastAsia="宋体" w:cs="Times New Roman"/>
          <w:szCs w:val="24"/>
        </w:rPr>
        <w:fldChar w:fldCharType="separate"/>
      </w:r>
      <w:r>
        <w:rPr>
          <w:rFonts w:hint="default" w:ascii="Times New Roman" w:hAnsi="Times New Roman" w:eastAsia="宋体" w:cs="Times New Roman"/>
          <w:bCs/>
          <w:szCs w:val="24"/>
          <w:lang w:val="en-US" w:eastAsia="zh-CN"/>
        </w:rPr>
        <w:t>附件</w:t>
      </w:r>
      <w:r>
        <w:rPr>
          <w:rFonts w:hint="eastAsia" w:eastAsia="宋体" w:cs="Times New Roman"/>
          <w:bCs/>
          <w:szCs w:val="24"/>
          <w:lang w:val="en-US" w:eastAsia="zh-CN"/>
        </w:rPr>
        <w:t>十一</w:t>
      </w:r>
      <w:r>
        <w:rPr>
          <w:rFonts w:hint="default" w:ascii="Times New Roman" w:hAnsi="Times New Roman" w:eastAsia="宋体" w:cs="Times New Roman"/>
          <w:bCs/>
          <w:szCs w:val="24"/>
          <w:lang w:val="en-US" w:eastAsia="zh-CN"/>
        </w:rPr>
        <w:t>：永州市自然资源和规划局</w:t>
      </w:r>
      <w:r>
        <w:rPr>
          <w:rFonts w:hint="eastAsia" w:ascii="Times New Roman" w:hAnsi="Times New Roman" w:eastAsia="宋体" w:cs="Times New Roman"/>
          <w:bCs/>
          <w:szCs w:val="24"/>
          <w:lang w:val="en-US" w:eastAsia="zh-CN"/>
        </w:rPr>
        <w:t>关于永州市零陵区羊牯岭矿山年开采量120万吨石灰岩建设项目堆料场临时用地士地复垦方案的批复</w:t>
      </w:r>
      <w:r>
        <w:tab/>
      </w:r>
      <w:r>
        <w:fldChar w:fldCharType="begin"/>
      </w:r>
      <w:r>
        <w:instrText xml:space="preserve"> PAGEREF _Toc32511 \h </w:instrText>
      </w:r>
      <w:r>
        <w:fldChar w:fldCharType="separate"/>
      </w:r>
      <w:r>
        <w:t>119</w:t>
      </w:r>
      <w:r>
        <w:fldChar w:fldCharType="end"/>
      </w:r>
      <w:r>
        <w:rPr>
          <w:rFonts w:hint="default" w:ascii="Times New Roman" w:hAnsi="Times New Roman" w:eastAsia="宋体" w:cs="Times New Roman"/>
          <w:color w:val="000000"/>
          <w:szCs w:val="24"/>
        </w:rPr>
        <w:fldChar w:fldCharType="end"/>
      </w:r>
    </w:p>
    <w:p>
      <w:pPr>
        <w:pStyle w:val="14"/>
        <w:tabs>
          <w:tab w:val="right" w:leader="dot" w:pos="8844"/>
        </w:tabs>
      </w:pPr>
      <w:r>
        <w:rPr>
          <w:rFonts w:hint="default" w:ascii="Times New Roman" w:hAnsi="Times New Roman" w:eastAsia="宋体" w:cs="Times New Roman"/>
          <w:color w:val="000000"/>
          <w:szCs w:val="24"/>
        </w:rPr>
        <w:fldChar w:fldCharType="begin"/>
      </w:r>
      <w:r>
        <w:rPr>
          <w:rFonts w:hint="default" w:ascii="Times New Roman" w:hAnsi="Times New Roman" w:eastAsia="宋体" w:cs="Times New Roman"/>
          <w:szCs w:val="24"/>
        </w:rPr>
        <w:instrText xml:space="preserve"> HYPERLINK \l _Toc8486 </w:instrText>
      </w:r>
      <w:r>
        <w:rPr>
          <w:rFonts w:hint="default" w:ascii="Times New Roman" w:hAnsi="Times New Roman" w:eastAsia="宋体" w:cs="Times New Roman"/>
          <w:szCs w:val="24"/>
        </w:rPr>
        <w:fldChar w:fldCharType="separate"/>
      </w:r>
      <w:r>
        <w:rPr>
          <w:rFonts w:hint="default" w:ascii="Times New Roman" w:hAnsi="Times New Roman" w:eastAsia="宋体" w:cs="Times New Roman"/>
          <w:bCs/>
          <w:szCs w:val="24"/>
          <w:lang w:val="en-US" w:eastAsia="zh-CN"/>
        </w:rPr>
        <w:t>附件</w:t>
      </w:r>
      <w:r>
        <w:rPr>
          <w:rFonts w:hint="eastAsia" w:eastAsia="宋体" w:cs="Times New Roman"/>
          <w:bCs/>
          <w:szCs w:val="24"/>
          <w:lang w:val="en-US" w:eastAsia="zh-CN"/>
        </w:rPr>
        <w:t>十二</w:t>
      </w:r>
      <w:r>
        <w:rPr>
          <w:rFonts w:hint="default" w:ascii="Times New Roman" w:hAnsi="Times New Roman" w:eastAsia="宋体" w:cs="Times New Roman"/>
          <w:bCs/>
          <w:szCs w:val="24"/>
          <w:lang w:val="en-US" w:eastAsia="zh-CN"/>
        </w:rPr>
        <w:t>：永州市零陵区林业局关于永州市零陵区羊轱岭矿山年开采量120万吨石灰岩建设项目临时使用林地的批复</w:t>
      </w:r>
      <w:r>
        <w:tab/>
      </w:r>
      <w:r>
        <w:fldChar w:fldCharType="begin"/>
      </w:r>
      <w:r>
        <w:instrText xml:space="preserve"> PAGEREF _Toc8486 \h </w:instrText>
      </w:r>
      <w:r>
        <w:fldChar w:fldCharType="separate"/>
      </w:r>
      <w:r>
        <w:t>121</w:t>
      </w:r>
      <w:r>
        <w:fldChar w:fldCharType="end"/>
      </w:r>
      <w:r>
        <w:rPr>
          <w:rFonts w:hint="default" w:ascii="Times New Roman" w:hAnsi="Times New Roman" w:eastAsia="宋体" w:cs="Times New Roman"/>
          <w:color w:val="000000"/>
          <w:szCs w:val="24"/>
        </w:rPr>
        <w:fldChar w:fldCharType="end"/>
      </w:r>
    </w:p>
    <w:p>
      <w:pPr>
        <w:pStyle w:val="14"/>
        <w:tabs>
          <w:tab w:val="right" w:leader="dot" w:pos="8844"/>
        </w:tabs>
      </w:pPr>
      <w:r>
        <w:rPr>
          <w:rFonts w:hint="default" w:ascii="Times New Roman" w:hAnsi="Times New Roman" w:eastAsia="宋体" w:cs="Times New Roman"/>
          <w:color w:val="000000"/>
          <w:szCs w:val="24"/>
        </w:rPr>
        <w:fldChar w:fldCharType="begin"/>
      </w:r>
      <w:r>
        <w:rPr>
          <w:rFonts w:hint="default" w:ascii="Times New Roman" w:hAnsi="Times New Roman" w:eastAsia="宋体" w:cs="Times New Roman"/>
          <w:szCs w:val="24"/>
        </w:rPr>
        <w:instrText xml:space="preserve"> HYPERLINK \l _Toc23515 </w:instrText>
      </w:r>
      <w:r>
        <w:rPr>
          <w:rFonts w:hint="default" w:ascii="Times New Roman" w:hAnsi="Times New Roman" w:eastAsia="宋体" w:cs="Times New Roman"/>
          <w:szCs w:val="24"/>
        </w:rPr>
        <w:fldChar w:fldCharType="separate"/>
      </w:r>
      <w:r>
        <w:rPr>
          <w:rFonts w:hint="eastAsia" w:ascii="Times New Roman" w:hAnsi="Times New Roman" w:eastAsia="宋体" w:cs="Times New Roman"/>
          <w:bCs/>
          <w:szCs w:val="24"/>
          <w:lang w:val="en-US" w:eastAsia="zh-CN"/>
        </w:rPr>
        <w:t>附件十</w:t>
      </w:r>
      <w:r>
        <w:rPr>
          <w:rFonts w:hint="eastAsia" w:eastAsia="宋体" w:cs="Times New Roman"/>
          <w:bCs/>
          <w:szCs w:val="24"/>
          <w:lang w:val="en-US" w:eastAsia="zh-CN"/>
        </w:rPr>
        <w:t>三</w:t>
      </w:r>
      <w:r>
        <w:rPr>
          <w:rFonts w:hint="eastAsia" w:ascii="Times New Roman" w:hAnsi="Times New Roman" w:eastAsia="宋体" w:cs="Times New Roman"/>
          <w:bCs/>
          <w:szCs w:val="24"/>
          <w:lang w:val="en-US" w:eastAsia="zh-CN"/>
        </w:rPr>
        <w:t>：关于《永州市零陵区普通建筑材料用砂石土矿专项规划(2019-2025年)》的公示公告</w:t>
      </w:r>
      <w:r>
        <w:tab/>
      </w:r>
      <w:r>
        <w:fldChar w:fldCharType="begin"/>
      </w:r>
      <w:r>
        <w:instrText xml:space="preserve"> PAGEREF _Toc23515 \h </w:instrText>
      </w:r>
      <w:r>
        <w:fldChar w:fldCharType="separate"/>
      </w:r>
      <w:r>
        <w:t>122</w:t>
      </w:r>
      <w:r>
        <w:fldChar w:fldCharType="end"/>
      </w:r>
      <w:r>
        <w:rPr>
          <w:rFonts w:hint="default" w:ascii="Times New Roman" w:hAnsi="Times New Roman" w:eastAsia="宋体" w:cs="Times New Roman"/>
          <w:color w:val="000000"/>
          <w:szCs w:val="24"/>
        </w:rPr>
        <w:fldChar w:fldCharType="end"/>
      </w:r>
    </w:p>
    <w:p>
      <w:pPr>
        <w:pStyle w:val="14"/>
        <w:tabs>
          <w:tab w:val="right" w:leader="dot" w:pos="8844"/>
        </w:tabs>
      </w:pPr>
      <w:r>
        <w:rPr>
          <w:rFonts w:hint="default" w:ascii="Times New Roman" w:hAnsi="Times New Roman" w:eastAsia="宋体" w:cs="Times New Roman"/>
          <w:color w:val="000000"/>
          <w:szCs w:val="24"/>
        </w:rPr>
        <w:fldChar w:fldCharType="begin"/>
      </w:r>
      <w:r>
        <w:rPr>
          <w:rFonts w:hint="default" w:ascii="Times New Roman" w:hAnsi="Times New Roman" w:eastAsia="宋体" w:cs="Times New Roman"/>
          <w:szCs w:val="24"/>
        </w:rPr>
        <w:instrText xml:space="preserve"> HYPERLINK \l _Toc1968 </w:instrText>
      </w:r>
      <w:r>
        <w:rPr>
          <w:rFonts w:hint="default" w:ascii="Times New Roman" w:hAnsi="Times New Roman" w:eastAsia="宋体" w:cs="Times New Roman"/>
          <w:szCs w:val="24"/>
        </w:rPr>
        <w:fldChar w:fldCharType="separate"/>
      </w:r>
      <w:r>
        <w:rPr>
          <w:rFonts w:hint="eastAsia" w:ascii="Times New Roman" w:hAnsi="Times New Roman" w:eastAsia="宋体" w:cs="Times New Roman"/>
          <w:bCs/>
          <w:szCs w:val="24"/>
          <w:lang w:val="en-US" w:eastAsia="zh-CN"/>
        </w:rPr>
        <w:t>附件十</w:t>
      </w:r>
      <w:r>
        <w:rPr>
          <w:rFonts w:hint="eastAsia" w:eastAsia="宋体" w:cs="Times New Roman"/>
          <w:bCs/>
          <w:szCs w:val="24"/>
          <w:lang w:val="en-US" w:eastAsia="zh-CN"/>
        </w:rPr>
        <w:t>四</w:t>
      </w:r>
      <w:r>
        <w:rPr>
          <w:rFonts w:hint="eastAsia" w:ascii="Times New Roman" w:hAnsi="Times New Roman" w:eastAsia="宋体" w:cs="Times New Roman"/>
          <w:bCs/>
          <w:szCs w:val="24"/>
          <w:lang w:val="en-US" w:eastAsia="zh-CN"/>
        </w:rPr>
        <w:t>：检测报告</w:t>
      </w:r>
      <w:r>
        <w:tab/>
      </w:r>
      <w:r>
        <w:fldChar w:fldCharType="begin"/>
      </w:r>
      <w:r>
        <w:instrText xml:space="preserve"> PAGEREF _Toc1968 \h </w:instrText>
      </w:r>
      <w:r>
        <w:fldChar w:fldCharType="separate"/>
      </w:r>
      <w:r>
        <w:t>126</w:t>
      </w:r>
      <w:r>
        <w:fldChar w:fldCharType="end"/>
      </w:r>
      <w:r>
        <w:rPr>
          <w:rFonts w:hint="default" w:ascii="Times New Roman" w:hAnsi="Times New Roman" w:eastAsia="宋体" w:cs="Times New Roman"/>
          <w:color w:val="000000"/>
          <w:szCs w:val="24"/>
        </w:rPr>
        <w:fldChar w:fldCharType="end"/>
      </w:r>
    </w:p>
    <w:p>
      <w:pPr>
        <w:pStyle w:val="14"/>
        <w:tabs>
          <w:tab w:val="right" w:leader="dot" w:pos="8844"/>
        </w:tabs>
      </w:pPr>
      <w:r>
        <w:rPr>
          <w:rFonts w:hint="default" w:ascii="Times New Roman" w:hAnsi="Times New Roman" w:eastAsia="宋体" w:cs="Times New Roman"/>
          <w:color w:val="000000"/>
          <w:szCs w:val="24"/>
        </w:rPr>
        <w:fldChar w:fldCharType="begin"/>
      </w:r>
      <w:r>
        <w:rPr>
          <w:rFonts w:hint="default" w:ascii="Times New Roman" w:hAnsi="Times New Roman" w:eastAsia="宋体" w:cs="Times New Roman"/>
          <w:szCs w:val="24"/>
        </w:rPr>
        <w:instrText xml:space="preserve"> HYPERLINK \l _Toc29187 </w:instrText>
      </w:r>
      <w:r>
        <w:rPr>
          <w:rFonts w:hint="default" w:ascii="Times New Roman" w:hAnsi="Times New Roman" w:eastAsia="宋体" w:cs="Times New Roman"/>
          <w:szCs w:val="24"/>
        </w:rPr>
        <w:fldChar w:fldCharType="separate"/>
      </w:r>
      <w:r>
        <w:rPr>
          <w:rFonts w:hint="eastAsia" w:ascii="Times New Roman" w:hAnsi="Times New Roman" w:eastAsia="宋体" w:cs="Times New Roman"/>
          <w:bCs/>
          <w:szCs w:val="24"/>
          <w:lang w:val="en-US" w:eastAsia="zh-CN"/>
        </w:rPr>
        <w:t>附件十</w:t>
      </w:r>
      <w:r>
        <w:rPr>
          <w:rFonts w:hint="eastAsia" w:eastAsia="宋体" w:cs="Times New Roman"/>
          <w:bCs/>
          <w:szCs w:val="24"/>
          <w:lang w:val="en-US" w:eastAsia="zh-CN"/>
        </w:rPr>
        <w:t>五</w:t>
      </w:r>
      <w:r>
        <w:rPr>
          <w:rFonts w:hint="eastAsia" w:ascii="Times New Roman" w:hAnsi="Times New Roman" w:eastAsia="宋体" w:cs="Times New Roman"/>
          <w:bCs/>
          <w:szCs w:val="24"/>
          <w:lang w:val="en-US" w:eastAsia="zh-CN"/>
        </w:rPr>
        <w:t>：</w:t>
      </w:r>
      <w:r>
        <w:rPr>
          <w:rFonts w:hint="eastAsia" w:eastAsia="宋体" w:cs="Times New Roman"/>
          <w:bCs/>
          <w:szCs w:val="24"/>
          <w:lang w:val="en-US" w:eastAsia="zh-CN"/>
        </w:rPr>
        <w:t>专家意见</w:t>
      </w:r>
      <w:r>
        <w:tab/>
      </w:r>
      <w:r>
        <w:fldChar w:fldCharType="begin"/>
      </w:r>
      <w:r>
        <w:instrText xml:space="preserve"> PAGEREF _Toc29187 \h </w:instrText>
      </w:r>
      <w:r>
        <w:fldChar w:fldCharType="separate"/>
      </w:r>
      <w:r>
        <w:t>132</w:t>
      </w:r>
      <w:r>
        <w:fldChar w:fldCharType="end"/>
      </w:r>
      <w:r>
        <w:rPr>
          <w:rFonts w:hint="default" w:ascii="Times New Roman" w:hAnsi="Times New Roman" w:eastAsia="宋体" w:cs="Times New Roman"/>
          <w:color w:val="000000"/>
          <w:szCs w:val="24"/>
        </w:rPr>
        <w:fldChar w:fldCharType="end"/>
      </w:r>
    </w:p>
    <w:p>
      <w:pPr>
        <w:pStyle w:val="14"/>
        <w:tabs>
          <w:tab w:val="right" w:leader="dot" w:pos="8844"/>
        </w:tabs>
      </w:pPr>
      <w:r>
        <w:rPr>
          <w:rFonts w:hint="default" w:ascii="Times New Roman" w:hAnsi="Times New Roman" w:eastAsia="宋体" w:cs="Times New Roman"/>
          <w:color w:val="000000"/>
          <w:szCs w:val="24"/>
        </w:rPr>
        <w:fldChar w:fldCharType="begin"/>
      </w:r>
      <w:r>
        <w:rPr>
          <w:rFonts w:hint="default" w:ascii="Times New Roman" w:hAnsi="Times New Roman" w:eastAsia="宋体" w:cs="Times New Roman"/>
          <w:szCs w:val="24"/>
        </w:rPr>
        <w:instrText xml:space="preserve"> HYPERLINK \l _Toc9348 </w:instrText>
      </w:r>
      <w:r>
        <w:rPr>
          <w:rFonts w:hint="default" w:ascii="Times New Roman" w:hAnsi="Times New Roman" w:eastAsia="宋体" w:cs="Times New Roman"/>
          <w:szCs w:val="24"/>
        </w:rPr>
        <w:fldChar w:fldCharType="separate"/>
      </w:r>
      <w:r>
        <w:rPr>
          <w:rFonts w:hint="eastAsia" w:ascii="Times New Roman" w:hAnsi="Times New Roman" w:eastAsia="宋体" w:cs="Times New Roman"/>
          <w:bCs/>
          <w:szCs w:val="24"/>
          <w:lang w:val="en-US" w:eastAsia="zh-CN"/>
        </w:rPr>
        <w:t>附图：</w:t>
      </w:r>
      <w:r>
        <w:tab/>
      </w:r>
      <w:r>
        <w:fldChar w:fldCharType="begin"/>
      </w:r>
      <w:r>
        <w:instrText xml:space="preserve"> PAGEREF _Toc9348 \h </w:instrText>
      </w:r>
      <w:r>
        <w:fldChar w:fldCharType="separate"/>
      </w:r>
      <w:r>
        <w:t>141</w:t>
      </w:r>
      <w:r>
        <w:fldChar w:fldCharType="end"/>
      </w:r>
      <w:r>
        <w:rPr>
          <w:rFonts w:hint="default" w:ascii="Times New Roman" w:hAnsi="Times New Roman" w:eastAsia="宋体" w:cs="Times New Roman"/>
          <w:color w:val="000000"/>
          <w:szCs w:val="24"/>
        </w:rPr>
        <w:fldChar w:fldCharType="end"/>
      </w:r>
    </w:p>
    <w:p>
      <w:pPr>
        <w:pStyle w:val="14"/>
        <w:tabs>
          <w:tab w:val="right" w:leader="dot" w:pos="8844"/>
        </w:tabs>
      </w:pPr>
      <w:r>
        <w:rPr>
          <w:rFonts w:hint="default" w:ascii="Times New Roman" w:hAnsi="Times New Roman" w:eastAsia="宋体" w:cs="Times New Roman"/>
          <w:color w:val="000000"/>
          <w:szCs w:val="24"/>
        </w:rPr>
        <w:fldChar w:fldCharType="begin"/>
      </w:r>
      <w:r>
        <w:rPr>
          <w:rFonts w:hint="default" w:ascii="Times New Roman" w:hAnsi="Times New Roman" w:eastAsia="宋体" w:cs="Times New Roman"/>
          <w:szCs w:val="24"/>
        </w:rPr>
        <w:instrText xml:space="preserve"> HYPERLINK \l _Toc18372 </w:instrText>
      </w:r>
      <w:r>
        <w:rPr>
          <w:rFonts w:hint="default" w:ascii="Times New Roman" w:hAnsi="Times New Roman" w:eastAsia="宋体" w:cs="Times New Roman"/>
          <w:szCs w:val="24"/>
        </w:rPr>
        <w:fldChar w:fldCharType="separate"/>
      </w:r>
      <w:r>
        <w:rPr>
          <w:rFonts w:hint="eastAsia" w:ascii="Times New Roman" w:hAnsi="Times New Roman" w:eastAsia="宋体" w:cs="Times New Roman"/>
          <w:bCs/>
          <w:szCs w:val="24"/>
          <w:lang w:val="en-US" w:eastAsia="zh-CN"/>
        </w:rPr>
        <w:t>附图一：项目地理位置图</w:t>
      </w:r>
      <w:r>
        <w:tab/>
      </w:r>
      <w:r>
        <w:fldChar w:fldCharType="begin"/>
      </w:r>
      <w:r>
        <w:instrText xml:space="preserve"> PAGEREF _Toc18372 \h </w:instrText>
      </w:r>
      <w:r>
        <w:fldChar w:fldCharType="separate"/>
      </w:r>
      <w:r>
        <w:t>141</w:t>
      </w:r>
      <w:r>
        <w:fldChar w:fldCharType="end"/>
      </w:r>
      <w:r>
        <w:rPr>
          <w:rFonts w:hint="default" w:ascii="Times New Roman" w:hAnsi="Times New Roman" w:eastAsia="宋体" w:cs="Times New Roman"/>
          <w:color w:val="000000"/>
          <w:szCs w:val="24"/>
        </w:rPr>
        <w:fldChar w:fldCharType="end"/>
      </w:r>
    </w:p>
    <w:p>
      <w:pPr>
        <w:pStyle w:val="14"/>
        <w:tabs>
          <w:tab w:val="right" w:leader="dot" w:pos="8844"/>
        </w:tabs>
      </w:pPr>
      <w:r>
        <w:rPr>
          <w:rFonts w:hint="default" w:ascii="Times New Roman" w:hAnsi="Times New Roman" w:eastAsia="宋体" w:cs="Times New Roman"/>
          <w:color w:val="000000"/>
          <w:szCs w:val="24"/>
        </w:rPr>
        <w:fldChar w:fldCharType="begin"/>
      </w:r>
      <w:r>
        <w:rPr>
          <w:rFonts w:hint="default" w:ascii="Times New Roman" w:hAnsi="Times New Roman" w:eastAsia="宋体" w:cs="Times New Roman"/>
          <w:szCs w:val="24"/>
        </w:rPr>
        <w:instrText xml:space="preserve"> HYPERLINK \l _Toc16431 </w:instrText>
      </w:r>
      <w:r>
        <w:rPr>
          <w:rFonts w:hint="default" w:ascii="Times New Roman" w:hAnsi="Times New Roman" w:eastAsia="宋体" w:cs="Times New Roman"/>
          <w:szCs w:val="24"/>
        </w:rPr>
        <w:fldChar w:fldCharType="separate"/>
      </w:r>
      <w:r>
        <w:rPr>
          <w:rFonts w:hint="eastAsia" w:ascii="Times New Roman" w:hAnsi="Times New Roman" w:eastAsia="宋体" w:cs="Times New Roman"/>
          <w:bCs/>
          <w:szCs w:val="24"/>
          <w:lang w:val="en-US" w:eastAsia="zh-CN"/>
        </w:rPr>
        <w:t>附图二：</w:t>
      </w:r>
      <w:r>
        <w:rPr>
          <w:rFonts w:hint="eastAsia" w:cs="Times New Roman"/>
          <w:bCs/>
          <w:szCs w:val="24"/>
          <w:lang w:val="en-US" w:eastAsia="zh-CN"/>
        </w:rPr>
        <w:t>矿区</w:t>
      </w:r>
      <w:r>
        <w:rPr>
          <w:rFonts w:hint="eastAsia" w:ascii="Times New Roman" w:hAnsi="Times New Roman" w:eastAsia="宋体" w:cs="Times New Roman"/>
          <w:bCs/>
          <w:szCs w:val="24"/>
          <w:lang w:val="en-US" w:eastAsia="zh-CN"/>
        </w:rPr>
        <w:t>总平面布图</w:t>
      </w:r>
      <w:r>
        <w:tab/>
      </w:r>
      <w:r>
        <w:fldChar w:fldCharType="begin"/>
      </w:r>
      <w:r>
        <w:instrText xml:space="preserve"> PAGEREF _Toc16431 \h </w:instrText>
      </w:r>
      <w:r>
        <w:fldChar w:fldCharType="separate"/>
      </w:r>
      <w:r>
        <w:t>142</w:t>
      </w:r>
      <w:r>
        <w:fldChar w:fldCharType="end"/>
      </w:r>
      <w:r>
        <w:rPr>
          <w:rFonts w:hint="default" w:ascii="Times New Roman" w:hAnsi="Times New Roman" w:eastAsia="宋体" w:cs="Times New Roman"/>
          <w:color w:val="000000"/>
          <w:szCs w:val="24"/>
        </w:rPr>
        <w:fldChar w:fldCharType="end"/>
      </w:r>
    </w:p>
    <w:p>
      <w:pPr>
        <w:pStyle w:val="14"/>
        <w:tabs>
          <w:tab w:val="right" w:leader="dot" w:pos="8844"/>
        </w:tabs>
      </w:pPr>
      <w:r>
        <w:rPr>
          <w:rFonts w:hint="default" w:ascii="Times New Roman" w:hAnsi="Times New Roman" w:eastAsia="宋体" w:cs="Times New Roman"/>
          <w:color w:val="000000"/>
          <w:szCs w:val="24"/>
        </w:rPr>
        <w:fldChar w:fldCharType="begin"/>
      </w:r>
      <w:r>
        <w:rPr>
          <w:rFonts w:hint="default" w:ascii="Times New Roman" w:hAnsi="Times New Roman" w:eastAsia="宋体" w:cs="Times New Roman"/>
          <w:szCs w:val="24"/>
        </w:rPr>
        <w:instrText xml:space="preserve"> HYPERLINK \l _Toc14622 </w:instrText>
      </w:r>
      <w:r>
        <w:rPr>
          <w:rFonts w:hint="default" w:ascii="Times New Roman" w:hAnsi="Times New Roman" w:eastAsia="宋体" w:cs="Times New Roman"/>
          <w:szCs w:val="24"/>
        </w:rPr>
        <w:fldChar w:fldCharType="separate"/>
      </w:r>
      <w:r>
        <w:rPr>
          <w:rFonts w:hint="eastAsia" w:ascii="Times New Roman" w:hAnsi="Times New Roman" w:eastAsia="宋体" w:cs="Times New Roman"/>
          <w:bCs/>
          <w:szCs w:val="24"/>
          <w:lang w:val="en-US" w:eastAsia="zh-CN"/>
        </w:rPr>
        <w:t>附图三：</w:t>
      </w:r>
      <w:r>
        <w:rPr>
          <w:rFonts w:hint="eastAsia" w:cs="Times New Roman"/>
          <w:bCs/>
          <w:szCs w:val="24"/>
          <w:lang w:val="en-US" w:eastAsia="zh-CN"/>
        </w:rPr>
        <w:t>生产厂房</w:t>
      </w:r>
      <w:r>
        <w:rPr>
          <w:rFonts w:hint="eastAsia" w:ascii="Times New Roman" w:hAnsi="Times New Roman" w:eastAsia="宋体" w:cs="Times New Roman"/>
          <w:bCs/>
          <w:szCs w:val="24"/>
          <w:lang w:val="en-US" w:eastAsia="zh-CN"/>
        </w:rPr>
        <w:t>平面布图</w:t>
      </w:r>
      <w:r>
        <w:tab/>
      </w:r>
      <w:r>
        <w:fldChar w:fldCharType="begin"/>
      </w:r>
      <w:r>
        <w:instrText xml:space="preserve"> PAGEREF _Toc14622 \h </w:instrText>
      </w:r>
      <w:r>
        <w:fldChar w:fldCharType="separate"/>
      </w:r>
      <w:r>
        <w:t>143</w:t>
      </w:r>
      <w:r>
        <w:fldChar w:fldCharType="end"/>
      </w:r>
      <w:r>
        <w:rPr>
          <w:rFonts w:hint="default" w:ascii="Times New Roman" w:hAnsi="Times New Roman" w:eastAsia="宋体" w:cs="Times New Roman"/>
          <w:color w:val="000000"/>
          <w:szCs w:val="24"/>
        </w:rPr>
        <w:fldChar w:fldCharType="end"/>
      </w:r>
    </w:p>
    <w:p>
      <w:pPr>
        <w:pStyle w:val="14"/>
        <w:tabs>
          <w:tab w:val="right" w:leader="dot" w:pos="8844"/>
        </w:tabs>
      </w:pPr>
      <w:r>
        <w:rPr>
          <w:rFonts w:hint="default" w:ascii="Times New Roman" w:hAnsi="Times New Roman" w:eastAsia="宋体" w:cs="Times New Roman"/>
          <w:color w:val="000000"/>
          <w:szCs w:val="24"/>
        </w:rPr>
        <w:fldChar w:fldCharType="begin"/>
      </w:r>
      <w:r>
        <w:rPr>
          <w:rFonts w:hint="default" w:ascii="Times New Roman" w:hAnsi="Times New Roman" w:eastAsia="宋体" w:cs="Times New Roman"/>
          <w:szCs w:val="24"/>
        </w:rPr>
        <w:instrText xml:space="preserve"> HYPERLINK \l _Toc19885 </w:instrText>
      </w:r>
      <w:r>
        <w:rPr>
          <w:rFonts w:hint="default" w:ascii="Times New Roman" w:hAnsi="Times New Roman" w:eastAsia="宋体" w:cs="Times New Roman"/>
          <w:szCs w:val="24"/>
        </w:rPr>
        <w:fldChar w:fldCharType="separate"/>
      </w:r>
      <w:r>
        <w:rPr>
          <w:rFonts w:hint="eastAsia" w:ascii="Times New Roman" w:hAnsi="Times New Roman" w:eastAsia="宋体" w:cs="Times New Roman"/>
          <w:bCs/>
          <w:szCs w:val="24"/>
          <w:lang w:val="en-US" w:eastAsia="zh-CN"/>
        </w:rPr>
        <w:t>附图四：地形地质及总平面布置图</w:t>
      </w:r>
      <w:r>
        <w:tab/>
      </w:r>
      <w:r>
        <w:fldChar w:fldCharType="begin"/>
      </w:r>
      <w:r>
        <w:instrText xml:space="preserve"> PAGEREF _Toc19885 \h </w:instrText>
      </w:r>
      <w:r>
        <w:fldChar w:fldCharType="separate"/>
      </w:r>
      <w:r>
        <w:t>144</w:t>
      </w:r>
      <w:r>
        <w:fldChar w:fldCharType="end"/>
      </w:r>
      <w:r>
        <w:rPr>
          <w:rFonts w:hint="default" w:ascii="Times New Roman" w:hAnsi="Times New Roman" w:eastAsia="宋体" w:cs="Times New Roman"/>
          <w:color w:val="000000"/>
          <w:szCs w:val="24"/>
        </w:rPr>
        <w:fldChar w:fldCharType="end"/>
      </w:r>
    </w:p>
    <w:p>
      <w:pPr>
        <w:pStyle w:val="14"/>
        <w:tabs>
          <w:tab w:val="right" w:leader="dot" w:pos="8844"/>
        </w:tabs>
      </w:pPr>
      <w:r>
        <w:rPr>
          <w:rFonts w:hint="default" w:ascii="Times New Roman" w:hAnsi="Times New Roman" w:eastAsia="宋体" w:cs="Times New Roman"/>
          <w:color w:val="000000"/>
          <w:szCs w:val="24"/>
        </w:rPr>
        <w:fldChar w:fldCharType="begin"/>
      </w:r>
      <w:r>
        <w:rPr>
          <w:rFonts w:hint="default" w:ascii="Times New Roman" w:hAnsi="Times New Roman" w:eastAsia="宋体" w:cs="Times New Roman"/>
          <w:szCs w:val="24"/>
        </w:rPr>
        <w:instrText xml:space="preserve"> HYPERLINK \l _Toc24600 </w:instrText>
      </w:r>
      <w:r>
        <w:rPr>
          <w:rFonts w:hint="default" w:ascii="Times New Roman" w:hAnsi="Times New Roman" w:eastAsia="宋体" w:cs="Times New Roman"/>
          <w:szCs w:val="24"/>
        </w:rPr>
        <w:fldChar w:fldCharType="separate"/>
      </w:r>
      <w:r>
        <w:rPr>
          <w:rFonts w:hint="eastAsia" w:ascii="Times New Roman" w:hAnsi="Times New Roman" w:eastAsia="宋体" w:cs="Times New Roman"/>
          <w:bCs/>
          <w:szCs w:val="24"/>
          <w:lang w:val="en-US" w:eastAsia="zh-CN"/>
        </w:rPr>
        <w:t>附图五：开采终了平面图</w:t>
      </w:r>
      <w:r>
        <w:tab/>
      </w:r>
      <w:r>
        <w:fldChar w:fldCharType="begin"/>
      </w:r>
      <w:r>
        <w:instrText xml:space="preserve"> PAGEREF _Toc24600 \h </w:instrText>
      </w:r>
      <w:r>
        <w:fldChar w:fldCharType="separate"/>
      </w:r>
      <w:r>
        <w:t>145</w:t>
      </w:r>
      <w:r>
        <w:fldChar w:fldCharType="end"/>
      </w:r>
      <w:r>
        <w:rPr>
          <w:rFonts w:hint="default" w:ascii="Times New Roman" w:hAnsi="Times New Roman" w:eastAsia="宋体" w:cs="Times New Roman"/>
          <w:color w:val="000000"/>
          <w:szCs w:val="24"/>
        </w:rPr>
        <w:fldChar w:fldCharType="end"/>
      </w:r>
    </w:p>
    <w:p>
      <w:pPr>
        <w:pStyle w:val="14"/>
        <w:tabs>
          <w:tab w:val="right" w:leader="dot" w:pos="8844"/>
        </w:tabs>
      </w:pPr>
      <w:r>
        <w:rPr>
          <w:rFonts w:hint="default" w:ascii="Times New Roman" w:hAnsi="Times New Roman" w:eastAsia="宋体" w:cs="Times New Roman"/>
          <w:color w:val="000000"/>
          <w:szCs w:val="24"/>
        </w:rPr>
        <w:fldChar w:fldCharType="begin"/>
      </w:r>
      <w:r>
        <w:rPr>
          <w:rFonts w:hint="default" w:ascii="Times New Roman" w:hAnsi="Times New Roman" w:eastAsia="宋体" w:cs="Times New Roman"/>
          <w:szCs w:val="24"/>
        </w:rPr>
        <w:instrText xml:space="preserve"> HYPERLINK \l _Toc3587 </w:instrText>
      </w:r>
      <w:r>
        <w:rPr>
          <w:rFonts w:hint="default" w:ascii="Times New Roman" w:hAnsi="Times New Roman" w:eastAsia="宋体" w:cs="Times New Roman"/>
          <w:szCs w:val="24"/>
        </w:rPr>
        <w:fldChar w:fldCharType="separate"/>
      </w:r>
      <w:r>
        <w:rPr>
          <w:rFonts w:hint="eastAsia" w:ascii="Times New Roman" w:hAnsi="Times New Roman" w:eastAsia="宋体" w:cs="Times New Roman"/>
          <w:bCs/>
          <w:szCs w:val="24"/>
          <w:lang w:val="en-US" w:eastAsia="zh-CN"/>
        </w:rPr>
        <w:t>附图六：采矿方法示意图</w:t>
      </w:r>
      <w:r>
        <w:tab/>
      </w:r>
      <w:r>
        <w:fldChar w:fldCharType="begin"/>
      </w:r>
      <w:r>
        <w:instrText xml:space="preserve"> PAGEREF _Toc3587 \h </w:instrText>
      </w:r>
      <w:r>
        <w:fldChar w:fldCharType="separate"/>
      </w:r>
      <w:r>
        <w:t>146</w:t>
      </w:r>
      <w:r>
        <w:fldChar w:fldCharType="end"/>
      </w:r>
      <w:r>
        <w:rPr>
          <w:rFonts w:hint="default" w:ascii="Times New Roman" w:hAnsi="Times New Roman" w:eastAsia="宋体" w:cs="Times New Roman"/>
          <w:color w:val="000000"/>
          <w:szCs w:val="24"/>
        </w:rPr>
        <w:fldChar w:fldCharType="end"/>
      </w:r>
    </w:p>
    <w:p>
      <w:pPr>
        <w:pStyle w:val="14"/>
        <w:tabs>
          <w:tab w:val="right" w:leader="dot" w:pos="8844"/>
        </w:tabs>
      </w:pPr>
      <w:r>
        <w:rPr>
          <w:rFonts w:hint="default" w:ascii="Times New Roman" w:hAnsi="Times New Roman" w:eastAsia="宋体" w:cs="Times New Roman"/>
          <w:color w:val="000000"/>
          <w:szCs w:val="24"/>
        </w:rPr>
        <w:fldChar w:fldCharType="begin"/>
      </w:r>
      <w:r>
        <w:rPr>
          <w:rFonts w:hint="default" w:ascii="Times New Roman" w:hAnsi="Times New Roman" w:eastAsia="宋体" w:cs="Times New Roman"/>
          <w:szCs w:val="24"/>
        </w:rPr>
        <w:instrText xml:space="preserve"> HYPERLINK \l _Toc5230 </w:instrText>
      </w:r>
      <w:r>
        <w:rPr>
          <w:rFonts w:hint="default" w:ascii="Times New Roman" w:hAnsi="Times New Roman" w:eastAsia="宋体" w:cs="Times New Roman"/>
          <w:szCs w:val="24"/>
        </w:rPr>
        <w:fldChar w:fldCharType="separate"/>
      </w:r>
      <w:r>
        <w:rPr>
          <w:rFonts w:hint="eastAsia" w:ascii="Times New Roman" w:hAnsi="Times New Roman" w:eastAsia="宋体" w:cs="Times New Roman"/>
          <w:bCs/>
          <w:szCs w:val="24"/>
          <w:lang w:val="en-US" w:eastAsia="zh-CN"/>
        </w:rPr>
        <w:t>附图七：生态保护修复工程部署图</w:t>
      </w:r>
      <w:r>
        <w:tab/>
      </w:r>
      <w:r>
        <w:fldChar w:fldCharType="begin"/>
      </w:r>
      <w:r>
        <w:instrText xml:space="preserve"> PAGEREF _Toc5230 \h </w:instrText>
      </w:r>
      <w:r>
        <w:fldChar w:fldCharType="separate"/>
      </w:r>
      <w:r>
        <w:t>147</w:t>
      </w:r>
      <w:r>
        <w:fldChar w:fldCharType="end"/>
      </w:r>
      <w:r>
        <w:rPr>
          <w:rFonts w:hint="default" w:ascii="Times New Roman" w:hAnsi="Times New Roman" w:eastAsia="宋体" w:cs="Times New Roman"/>
          <w:color w:val="000000"/>
          <w:szCs w:val="24"/>
        </w:rPr>
        <w:fldChar w:fldCharType="end"/>
      </w:r>
    </w:p>
    <w:p>
      <w:pPr>
        <w:pStyle w:val="14"/>
        <w:tabs>
          <w:tab w:val="right" w:leader="dot" w:pos="8844"/>
        </w:tabs>
      </w:pPr>
      <w:r>
        <w:rPr>
          <w:rFonts w:hint="default" w:ascii="Times New Roman" w:hAnsi="Times New Roman" w:eastAsia="宋体" w:cs="Times New Roman"/>
          <w:color w:val="000000"/>
          <w:szCs w:val="24"/>
        </w:rPr>
        <w:fldChar w:fldCharType="begin"/>
      </w:r>
      <w:r>
        <w:rPr>
          <w:rFonts w:hint="default" w:ascii="Times New Roman" w:hAnsi="Times New Roman" w:eastAsia="宋体" w:cs="Times New Roman"/>
          <w:szCs w:val="24"/>
        </w:rPr>
        <w:instrText xml:space="preserve"> HYPERLINK \l _Toc20890 </w:instrText>
      </w:r>
      <w:r>
        <w:rPr>
          <w:rFonts w:hint="default" w:ascii="Times New Roman" w:hAnsi="Times New Roman" w:eastAsia="宋体" w:cs="Times New Roman"/>
          <w:szCs w:val="24"/>
        </w:rPr>
        <w:fldChar w:fldCharType="separate"/>
      </w:r>
      <w:r>
        <w:rPr>
          <w:rFonts w:hint="eastAsia" w:ascii="Times New Roman" w:hAnsi="Times New Roman" w:eastAsia="宋体" w:cs="Times New Roman"/>
          <w:bCs/>
          <w:szCs w:val="24"/>
          <w:lang w:val="en-US" w:eastAsia="zh-CN"/>
        </w:rPr>
        <w:t>附图</w:t>
      </w:r>
      <w:r>
        <w:rPr>
          <w:rFonts w:hint="eastAsia" w:cs="Times New Roman"/>
          <w:bCs/>
          <w:szCs w:val="24"/>
          <w:lang w:val="en-US" w:eastAsia="zh-CN"/>
        </w:rPr>
        <w:t>八</w:t>
      </w:r>
      <w:r>
        <w:rPr>
          <w:rFonts w:hint="eastAsia" w:ascii="Times New Roman" w:hAnsi="Times New Roman" w:eastAsia="宋体" w:cs="Times New Roman"/>
          <w:bCs/>
          <w:szCs w:val="24"/>
          <w:lang w:val="en-US" w:eastAsia="zh-CN"/>
        </w:rPr>
        <w:t>：</w:t>
      </w:r>
      <w:r>
        <w:rPr>
          <w:rFonts w:hint="eastAsia" w:cs="Times New Roman"/>
          <w:bCs/>
          <w:szCs w:val="24"/>
          <w:lang w:val="en-US" w:eastAsia="zh-CN"/>
        </w:rPr>
        <w:t>新增</w:t>
      </w:r>
      <w:r>
        <w:rPr>
          <w:rFonts w:hint="eastAsia" w:ascii="Times New Roman" w:hAnsi="Times New Roman" w:eastAsia="宋体" w:cs="Times New Roman"/>
          <w:bCs/>
          <w:szCs w:val="24"/>
          <w:lang w:val="en-US" w:eastAsia="zh-CN"/>
        </w:rPr>
        <w:t>堆场临时用地拟损毁土地现状地形图</w:t>
      </w:r>
      <w:r>
        <w:tab/>
      </w:r>
      <w:r>
        <w:fldChar w:fldCharType="begin"/>
      </w:r>
      <w:r>
        <w:instrText xml:space="preserve"> PAGEREF _Toc20890 \h </w:instrText>
      </w:r>
      <w:r>
        <w:fldChar w:fldCharType="separate"/>
      </w:r>
      <w:r>
        <w:t>148</w:t>
      </w:r>
      <w:r>
        <w:fldChar w:fldCharType="end"/>
      </w:r>
      <w:r>
        <w:rPr>
          <w:rFonts w:hint="default" w:ascii="Times New Roman" w:hAnsi="Times New Roman" w:eastAsia="宋体" w:cs="Times New Roman"/>
          <w:color w:val="000000"/>
          <w:szCs w:val="24"/>
        </w:rPr>
        <w:fldChar w:fldCharType="end"/>
      </w:r>
    </w:p>
    <w:p>
      <w:pPr>
        <w:pStyle w:val="14"/>
        <w:tabs>
          <w:tab w:val="right" w:leader="dot" w:pos="8844"/>
        </w:tabs>
      </w:pPr>
      <w:r>
        <w:rPr>
          <w:rFonts w:hint="default" w:ascii="Times New Roman" w:hAnsi="Times New Roman" w:eastAsia="宋体" w:cs="Times New Roman"/>
          <w:color w:val="000000"/>
          <w:szCs w:val="24"/>
        </w:rPr>
        <w:fldChar w:fldCharType="begin"/>
      </w:r>
      <w:r>
        <w:rPr>
          <w:rFonts w:hint="default" w:ascii="Times New Roman" w:hAnsi="Times New Roman" w:eastAsia="宋体" w:cs="Times New Roman"/>
          <w:szCs w:val="24"/>
        </w:rPr>
        <w:instrText xml:space="preserve"> HYPERLINK \l _Toc26110 </w:instrText>
      </w:r>
      <w:r>
        <w:rPr>
          <w:rFonts w:hint="default" w:ascii="Times New Roman" w:hAnsi="Times New Roman" w:eastAsia="宋体" w:cs="Times New Roman"/>
          <w:szCs w:val="24"/>
        </w:rPr>
        <w:fldChar w:fldCharType="separate"/>
      </w:r>
      <w:r>
        <w:rPr>
          <w:rFonts w:hint="eastAsia" w:ascii="Times New Roman" w:hAnsi="Times New Roman" w:eastAsia="宋体" w:cs="Times New Roman"/>
          <w:bCs/>
          <w:szCs w:val="24"/>
          <w:lang w:val="en-US" w:eastAsia="zh-CN"/>
        </w:rPr>
        <w:t>附图</w:t>
      </w:r>
      <w:r>
        <w:rPr>
          <w:rFonts w:hint="eastAsia" w:cs="Times New Roman"/>
          <w:bCs/>
          <w:szCs w:val="24"/>
          <w:lang w:val="en-US" w:eastAsia="zh-CN"/>
        </w:rPr>
        <w:t>九</w:t>
      </w:r>
      <w:r>
        <w:rPr>
          <w:rFonts w:hint="eastAsia" w:ascii="Times New Roman" w:hAnsi="Times New Roman" w:eastAsia="宋体" w:cs="Times New Roman"/>
          <w:bCs/>
          <w:szCs w:val="24"/>
          <w:lang w:val="en-US" w:eastAsia="zh-CN"/>
        </w:rPr>
        <w:t>：</w:t>
      </w:r>
      <w:r>
        <w:rPr>
          <w:rFonts w:hint="eastAsia" w:cs="Times New Roman"/>
          <w:bCs/>
          <w:szCs w:val="24"/>
          <w:lang w:val="en-US" w:eastAsia="zh-CN"/>
        </w:rPr>
        <w:t>新增</w:t>
      </w:r>
      <w:r>
        <w:rPr>
          <w:rFonts w:hint="eastAsia" w:ascii="Times New Roman" w:hAnsi="Times New Roman" w:eastAsia="宋体" w:cs="Times New Roman"/>
          <w:bCs/>
          <w:szCs w:val="24"/>
          <w:lang w:val="en-US" w:eastAsia="zh-CN"/>
        </w:rPr>
        <w:t>堆场临时用地拟损毁土地</w:t>
      </w:r>
      <w:r>
        <w:rPr>
          <w:rFonts w:hint="eastAsia" w:cs="Times New Roman"/>
          <w:bCs/>
          <w:szCs w:val="24"/>
          <w:lang w:val="en-US" w:eastAsia="zh-CN"/>
        </w:rPr>
        <w:t>复垦规划</w:t>
      </w:r>
      <w:r>
        <w:rPr>
          <w:rFonts w:hint="eastAsia" w:ascii="Times New Roman" w:hAnsi="Times New Roman" w:eastAsia="宋体" w:cs="Times New Roman"/>
          <w:bCs/>
          <w:szCs w:val="24"/>
          <w:lang w:val="en-US" w:eastAsia="zh-CN"/>
        </w:rPr>
        <w:t>图</w:t>
      </w:r>
      <w:r>
        <w:tab/>
      </w:r>
      <w:r>
        <w:fldChar w:fldCharType="begin"/>
      </w:r>
      <w:r>
        <w:instrText xml:space="preserve"> PAGEREF _Toc26110 \h </w:instrText>
      </w:r>
      <w:r>
        <w:fldChar w:fldCharType="separate"/>
      </w:r>
      <w:r>
        <w:t>149</w:t>
      </w:r>
      <w:r>
        <w:fldChar w:fldCharType="end"/>
      </w:r>
      <w:r>
        <w:rPr>
          <w:rFonts w:hint="default" w:ascii="Times New Roman" w:hAnsi="Times New Roman" w:eastAsia="宋体" w:cs="Times New Roman"/>
          <w:color w:val="000000"/>
          <w:szCs w:val="24"/>
        </w:rPr>
        <w:fldChar w:fldCharType="end"/>
      </w:r>
    </w:p>
    <w:p>
      <w:pPr>
        <w:pStyle w:val="14"/>
        <w:tabs>
          <w:tab w:val="right" w:leader="dot" w:pos="8844"/>
        </w:tabs>
      </w:pPr>
      <w:r>
        <w:rPr>
          <w:rFonts w:hint="default" w:ascii="Times New Roman" w:hAnsi="Times New Roman" w:eastAsia="宋体" w:cs="Times New Roman"/>
          <w:color w:val="000000"/>
          <w:szCs w:val="24"/>
        </w:rPr>
        <w:fldChar w:fldCharType="begin"/>
      </w:r>
      <w:r>
        <w:rPr>
          <w:rFonts w:hint="default" w:ascii="Times New Roman" w:hAnsi="Times New Roman" w:eastAsia="宋体" w:cs="Times New Roman"/>
          <w:szCs w:val="24"/>
        </w:rPr>
        <w:instrText xml:space="preserve"> HYPERLINK \l _Toc19851 </w:instrText>
      </w:r>
      <w:r>
        <w:rPr>
          <w:rFonts w:hint="default" w:ascii="Times New Roman" w:hAnsi="Times New Roman" w:eastAsia="宋体" w:cs="Times New Roman"/>
          <w:szCs w:val="24"/>
        </w:rPr>
        <w:fldChar w:fldCharType="separate"/>
      </w:r>
      <w:r>
        <w:rPr>
          <w:rFonts w:hint="eastAsia" w:ascii="Times New Roman" w:hAnsi="Times New Roman" w:eastAsia="宋体" w:cs="Times New Roman"/>
          <w:bCs/>
          <w:szCs w:val="24"/>
          <w:lang w:val="en-US" w:eastAsia="zh-CN"/>
        </w:rPr>
        <w:t>附图</w:t>
      </w:r>
      <w:r>
        <w:rPr>
          <w:rFonts w:hint="eastAsia" w:cs="Times New Roman"/>
          <w:bCs/>
          <w:szCs w:val="24"/>
          <w:lang w:val="en-US" w:eastAsia="zh-CN"/>
        </w:rPr>
        <w:t>十</w:t>
      </w:r>
      <w:r>
        <w:rPr>
          <w:rFonts w:hint="eastAsia" w:ascii="Times New Roman" w:hAnsi="Times New Roman" w:eastAsia="宋体" w:cs="Times New Roman"/>
          <w:bCs/>
          <w:szCs w:val="24"/>
          <w:lang w:val="en-US" w:eastAsia="zh-CN"/>
        </w:rPr>
        <w:t>：项目三区三线套合</w:t>
      </w:r>
      <w:r>
        <w:rPr>
          <w:rFonts w:hint="eastAsia" w:cs="Times New Roman"/>
          <w:bCs/>
          <w:szCs w:val="24"/>
          <w:lang w:val="en-US" w:eastAsia="zh-CN"/>
        </w:rPr>
        <w:t>图</w:t>
      </w:r>
      <w:r>
        <w:tab/>
      </w:r>
      <w:r>
        <w:fldChar w:fldCharType="begin"/>
      </w:r>
      <w:r>
        <w:instrText xml:space="preserve"> PAGEREF _Toc19851 \h </w:instrText>
      </w:r>
      <w:r>
        <w:fldChar w:fldCharType="separate"/>
      </w:r>
      <w:r>
        <w:t>150</w:t>
      </w:r>
      <w:r>
        <w:fldChar w:fldCharType="end"/>
      </w:r>
      <w:r>
        <w:rPr>
          <w:rFonts w:hint="default" w:ascii="Times New Roman" w:hAnsi="Times New Roman" w:eastAsia="宋体" w:cs="Times New Roman"/>
          <w:color w:val="000000"/>
          <w:szCs w:val="24"/>
        </w:rPr>
        <w:fldChar w:fldCharType="end"/>
      </w:r>
    </w:p>
    <w:p>
      <w:pPr>
        <w:pStyle w:val="14"/>
        <w:tabs>
          <w:tab w:val="right" w:leader="dot" w:pos="8844"/>
        </w:tabs>
      </w:pPr>
      <w:r>
        <w:rPr>
          <w:rFonts w:hint="default" w:ascii="Times New Roman" w:hAnsi="Times New Roman" w:eastAsia="宋体" w:cs="Times New Roman"/>
          <w:color w:val="000000"/>
          <w:szCs w:val="24"/>
        </w:rPr>
        <w:fldChar w:fldCharType="begin"/>
      </w:r>
      <w:r>
        <w:rPr>
          <w:rFonts w:hint="default" w:ascii="Times New Roman" w:hAnsi="Times New Roman" w:eastAsia="宋体" w:cs="Times New Roman"/>
          <w:szCs w:val="24"/>
        </w:rPr>
        <w:instrText xml:space="preserve"> HYPERLINK \l _Toc20325 </w:instrText>
      </w:r>
      <w:r>
        <w:rPr>
          <w:rFonts w:hint="default" w:ascii="Times New Roman" w:hAnsi="Times New Roman" w:eastAsia="宋体" w:cs="Times New Roman"/>
          <w:szCs w:val="24"/>
        </w:rPr>
        <w:fldChar w:fldCharType="separate"/>
      </w:r>
      <w:r>
        <w:rPr>
          <w:rFonts w:hint="eastAsia" w:ascii="Times New Roman" w:hAnsi="Times New Roman" w:eastAsia="宋体" w:cs="Times New Roman"/>
          <w:bCs/>
          <w:szCs w:val="24"/>
          <w:lang w:val="en-US" w:eastAsia="zh-CN"/>
        </w:rPr>
        <w:t>附图</w:t>
      </w:r>
      <w:r>
        <w:rPr>
          <w:rFonts w:hint="eastAsia" w:cs="Times New Roman"/>
          <w:bCs/>
          <w:szCs w:val="24"/>
          <w:lang w:val="en-US" w:eastAsia="zh-CN"/>
        </w:rPr>
        <w:t>十一</w:t>
      </w:r>
      <w:r>
        <w:rPr>
          <w:rFonts w:hint="eastAsia" w:ascii="Times New Roman" w:hAnsi="Times New Roman" w:eastAsia="宋体" w:cs="Times New Roman"/>
          <w:bCs/>
          <w:szCs w:val="24"/>
          <w:lang w:val="en-US" w:eastAsia="zh-CN"/>
        </w:rPr>
        <w:t>：湖南省水土流失重点预防区和重点治理区分布图</w:t>
      </w:r>
      <w:r>
        <w:tab/>
      </w:r>
      <w:r>
        <w:fldChar w:fldCharType="begin"/>
      </w:r>
      <w:r>
        <w:instrText xml:space="preserve"> PAGEREF _Toc20325 \h </w:instrText>
      </w:r>
      <w:r>
        <w:fldChar w:fldCharType="separate"/>
      </w:r>
      <w:r>
        <w:t>151</w:t>
      </w:r>
      <w:r>
        <w:fldChar w:fldCharType="end"/>
      </w:r>
      <w:r>
        <w:rPr>
          <w:rFonts w:hint="default" w:ascii="Times New Roman" w:hAnsi="Times New Roman" w:eastAsia="宋体" w:cs="Times New Roman"/>
          <w:color w:val="000000"/>
          <w:szCs w:val="24"/>
        </w:rPr>
        <w:fldChar w:fldCharType="end"/>
      </w:r>
    </w:p>
    <w:p>
      <w:pPr>
        <w:pStyle w:val="14"/>
        <w:tabs>
          <w:tab w:val="right" w:leader="dot" w:pos="8844"/>
        </w:tabs>
      </w:pPr>
      <w:r>
        <w:rPr>
          <w:rFonts w:hint="default" w:ascii="Times New Roman" w:hAnsi="Times New Roman" w:eastAsia="宋体" w:cs="Times New Roman"/>
          <w:color w:val="000000"/>
          <w:szCs w:val="24"/>
        </w:rPr>
        <w:fldChar w:fldCharType="begin"/>
      </w:r>
      <w:r>
        <w:rPr>
          <w:rFonts w:hint="default" w:ascii="Times New Roman" w:hAnsi="Times New Roman" w:eastAsia="宋体" w:cs="Times New Roman"/>
          <w:szCs w:val="24"/>
        </w:rPr>
        <w:instrText xml:space="preserve"> HYPERLINK \l _Toc27713 </w:instrText>
      </w:r>
      <w:r>
        <w:rPr>
          <w:rFonts w:hint="default" w:ascii="Times New Roman" w:hAnsi="Times New Roman" w:eastAsia="宋体" w:cs="Times New Roman"/>
          <w:szCs w:val="24"/>
        </w:rPr>
        <w:fldChar w:fldCharType="separate"/>
      </w:r>
      <w:r>
        <w:rPr>
          <w:rFonts w:hint="eastAsia" w:ascii="Times New Roman" w:hAnsi="Times New Roman" w:eastAsia="宋体" w:cs="Times New Roman"/>
          <w:bCs/>
          <w:szCs w:val="24"/>
          <w:lang w:val="en-US" w:eastAsia="zh-CN"/>
        </w:rPr>
        <w:t>附图</w:t>
      </w:r>
      <w:r>
        <w:rPr>
          <w:rFonts w:hint="eastAsia" w:cs="Times New Roman"/>
          <w:bCs/>
          <w:szCs w:val="24"/>
          <w:lang w:val="en-US" w:eastAsia="zh-CN"/>
        </w:rPr>
        <w:t>十二</w:t>
      </w:r>
      <w:r>
        <w:rPr>
          <w:rFonts w:hint="eastAsia" w:ascii="Times New Roman" w:hAnsi="Times New Roman" w:eastAsia="宋体" w:cs="Times New Roman"/>
          <w:bCs/>
          <w:szCs w:val="24"/>
          <w:lang w:val="en-US" w:eastAsia="zh-CN"/>
        </w:rPr>
        <w:t>：</w:t>
      </w:r>
      <w:r>
        <w:rPr>
          <w:rFonts w:hint="eastAsia" w:cs="Times New Roman"/>
          <w:bCs/>
          <w:szCs w:val="24"/>
          <w:lang w:val="en-US" w:eastAsia="zh-CN"/>
        </w:rPr>
        <w:t>现场照片</w:t>
      </w:r>
      <w:r>
        <w:tab/>
      </w:r>
      <w:r>
        <w:fldChar w:fldCharType="begin"/>
      </w:r>
      <w:r>
        <w:instrText xml:space="preserve"> PAGEREF _Toc27713 \h </w:instrText>
      </w:r>
      <w:r>
        <w:fldChar w:fldCharType="separate"/>
      </w:r>
      <w:r>
        <w:t>152</w:t>
      </w:r>
      <w:r>
        <w:fldChar w:fldCharType="end"/>
      </w:r>
      <w:r>
        <w:rPr>
          <w:rFonts w:hint="default" w:ascii="Times New Roman" w:hAnsi="Times New Roman" w:eastAsia="宋体" w:cs="Times New Roman"/>
          <w:color w:val="000000"/>
          <w:szCs w:val="24"/>
        </w:rPr>
        <w:fldChar w:fldCharType="end"/>
      </w:r>
    </w:p>
    <w:p>
      <w:pPr>
        <w:adjustRightInd w:val="0"/>
        <w:snapToGrid w:val="0"/>
        <w:spacing w:line="360" w:lineRule="auto"/>
        <w:jc w:val="center"/>
        <w:rPr>
          <w:rFonts w:hint="default" w:ascii="Times New Roman" w:hAnsi="Times New Roman" w:eastAsia="楷体_GB2312" w:cs="Times New Roman"/>
          <w:color w:val="000000"/>
          <w:sz w:val="24"/>
          <w:szCs w:val="24"/>
        </w:rPr>
      </w:pPr>
      <w:r>
        <w:rPr>
          <w:rFonts w:hint="default" w:ascii="Times New Roman" w:hAnsi="Times New Roman" w:eastAsia="宋体" w:cs="Times New Roman"/>
          <w:color w:val="000000"/>
          <w:szCs w:val="24"/>
        </w:rPr>
        <w:fldChar w:fldCharType="end"/>
      </w:r>
    </w:p>
    <w:p>
      <w:pPr>
        <w:adjustRightInd w:val="0"/>
        <w:snapToGrid w:val="0"/>
        <w:spacing w:line="288" w:lineRule="auto"/>
        <w:jc w:val="center"/>
        <w:rPr>
          <w:rFonts w:hint="default" w:ascii="Times New Roman" w:hAnsi="Times New Roman" w:eastAsia="楷体_GB2312" w:cs="Times New Roman"/>
          <w:color w:val="000000"/>
          <w:sz w:val="36"/>
          <w:szCs w:val="36"/>
        </w:rPr>
        <w:sectPr>
          <w:pgSz w:w="11906" w:h="16838"/>
          <w:pgMar w:top="1701" w:right="1531" w:bottom="1701" w:left="1531" w:header="851" w:footer="1077" w:gutter="0"/>
          <w:pgBorders>
            <w:top w:val="none" w:sz="0" w:space="0"/>
            <w:left w:val="none" w:sz="0" w:space="0"/>
            <w:bottom w:val="none" w:sz="0" w:space="0"/>
            <w:right w:val="none" w:sz="0" w:space="0"/>
          </w:pgBorders>
          <w:pgNumType w:fmt="numberInDash" w:start="21"/>
          <w:cols w:space="720" w:num="1"/>
          <w:docGrid w:linePitch="312" w:charSpace="0"/>
        </w:sectPr>
      </w:pPr>
    </w:p>
    <w:p>
      <w:pPr>
        <w:pStyle w:val="16"/>
        <w:jc w:val="center"/>
        <w:outlineLvl w:val="0"/>
        <w:rPr>
          <w:rFonts w:hint="default" w:ascii="Times New Roman" w:hAnsi="Times New Roman" w:eastAsia="黑体" w:cs="Times New Roman"/>
          <w:snapToGrid w:val="0"/>
          <w:color w:val="000000"/>
          <w:sz w:val="30"/>
          <w:szCs w:val="30"/>
        </w:rPr>
      </w:pPr>
      <w:bookmarkStart w:id="0" w:name="_Toc17773"/>
      <w:bookmarkStart w:id="1" w:name="_Toc2310"/>
      <w:bookmarkStart w:id="2" w:name="_Toc19043"/>
      <w:bookmarkStart w:id="3" w:name="_Toc10625"/>
      <w:bookmarkStart w:id="4" w:name="_Toc10904"/>
      <w:bookmarkStart w:id="5" w:name="_Toc27883"/>
      <w:r>
        <w:rPr>
          <w:rFonts w:hint="default" w:ascii="Times New Roman" w:hAnsi="Times New Roman" w:eastAsia="黑体" w:cs="Times New Roman"/>
          <w:snapToGrid w:val="0"/>
          <w:color w:val="000000"/>
          <w:sz w:val="30"/>
          <w:szCs w:val="30"/>
        </w:rPr>
        <w:t>一、建设项目基本情况</w:t>
      </w:r>
      <w:bookmarkEnd w:id="0"/>
      <w:bookmarkEnd w:id="1"/>
      <w:bookmarkEnd w:id="2"/>
      <w:bookmarkEnd w:id="3"/>
      <w:bookmarkEnd w:id="4"/>
      <w:bookmarkEnd w:id="5"/>
    </w:p>
    <w:tbl>
      <w:tblPr>
        <w:tblStyle w:val="21"/>
        <w:tblW w:w="9039" w:type="dxa"/>
        <w:tblInd w:w="16"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1501"/>
        <w:gridCol w:w="2416"/>
        <w:gridCol w:w="2183"/>
        <w:gridCol w:w="10"/>
        <w:gridCol w:w="2929"/>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Ex>
        <w:trPr>
          <w:trHeight w:val="362" w:hRule="atLeast"/>
        </w:trPr>
        <w:tc>
          <w:tcPr>
            <w:tcW w:w="1501" w:type="dxa"/>
            <w:noWrap w:val="0"/>
            <w:tcMar>
              <w:top w:w="16" w:type="dxa"/>
              <w:left w:w="16" w:type="dxa"/>
              <w:right w:w="16" w:type="dxa"/>
            </w:tcMar>
            <w:vAlign w:val="center"/>
          </w:tcPr>
          <w:p>
            <w:pPr>
              <w:keepNext w:val="0"/>
              <w:keepLines w:val="0"/>
              <w:suppressLineNumbers w:val="0"/>
              <w:adjustRightInd w:val="0"/>
              <w:snapToGrid w:val="0"/>
              <w:spacing w:before="0" w:beforeAutospacing="0" w:after="0" w:afterAutospacing="0" w:line="360" w:lineRule="auto"/>
              <w:ind w:left="0" w:right="0"/>
              <w:jc w:val="center"/>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建设项目名称</w:t>
            </w:r>
          </w:p>
        </w:tc>
        <w:tc>
          <w:tcPr>
            <w:tcW w:w="7538" w:type="dxa"/>
            <w:gridSpan w:val="4"/>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default" w:ascii="Times New Roman" w:hAnsi="Times New Roman" w:eastAsia="宋体" w:cs="Times New Roman"/>
                <w:color w:val="000000"/>
                <w:sz w:val="21"/>
                <w:szCs w:val="21"/>
                <w:lang w:val="en-US" w:eastAsia="zh-CN"/>
              </w:rPr>
            </w:pPr>
            <w:r>
              <w:rPr>
                <w:rFonts w:hint="eastAsia" w:ascii="Times New Roman" w:hAnsi="Times New Roman" w:eastAsia="宋体" w:cs="Times New Roman"/>
                <w:color w:val="000000"/>
                <w:sz w:val="21"/>
                <w:szCs w:val="21"/>
                <w:lang w:val="en-US" w:eastAsia="zh-CN"/>
              </w:rPr>
              <w:t>永州市零陵区羊轱岭矿区年开采120万吨石灰岩建设项目（</w:t>
            </w:r>
            <w:r>
              <w:rPr>
                <w:rFonts w:hint="eastAsia" w:cs="Times New Roman"/>
                <w:color w:val="000000"/>
                <w:sz w:val="21"/>
                <w:szCs w:val="21"/>
                <w:lang w:val="en-US" w:eastAsia="zh-CN"/>
              </w:rPr>
              <w:t>重大变动</w:t>
            </w:r>
            <w:r>
              <w:rPr>
                <w:rFonts w:hint="eastAsia" w:ascii="Times New Roman" w:hAnsi="Times New Roman" w:eastAsia="宋体" w:cs="Times New Roman"/>
                <w:color w:val="000000"/>
                <w:sz w:val="21"/>
                <w:szCs w:val="21"/>
                <w:lang w:val="en-US" w:eastAsia="zh-CN"/>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Ex>
        <w:trPr>
          <w:trHeight w:val="355" w:hRule="atLeast"/>
        </w:trPr>
        <w:tc>
          <w:tcPr>
            <w:tcW w:w="1501" w:type="dxa"/>
            <w:noWrap w:val="0"/>
            <w:tcMar>
              <w:top w:w="16" w:type="dxa"/>
              <w:left w:w="16" w:type="dxa"/>
              <w:right w:w="16" w:type="dxa"/>
            </w:tcMar>
            <w:vAlign w:val="center"/>
          </w:tcPr>
          <w:p>
            <w:pPr>
              <w:keepNext w:val="0"/>
              <w:keepLines w:val="0"/>
              <w:suppressLineNumbers w:val="0"/>
              <w:adjustRightInd w:val="0"/>
              <w:snapToGrid w:val="0"/>
              <w:spacing w:before="0" w:beforeAutospacing="0" w:after="0" w:afterAutospacing="0" w:line="360" w:lineRule="auto"/>
              <w:ind w:left="0" w:right="0"/>
              <w:jc w:val="center"/>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项目代码</w:t>
            </w:r>
          </w:p>
        </w:tc>
        <w:tc>
          <w:tcPr>
            <w:tcW w:w="7538" w:type="dxa"/>
            <w:gridSpan w:val="4"/>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default" w:ascii="Times New Roman" w:hAnsi="Times New Roman" w:eastAsia="宋体" w:cs="Times New Roman"/>
                <w:color w:val="000000"/>
                <w:sz w:val="21"/>
                <w:szCs w:val="21"/>
                <w:lang w:val="en-US" w:eastAsia="zh-CN"/>
              </w:rPr>
            </w:pPr>
            <w:r>
              <w:rPr>
                <w:rFonts w:hint="default" w:ascii="Times New Roman" w:hAnsi="Times New Roman" w:eastAsia="宋体" w:cs="Times New Roman"/>
                <w:color w:val="000000"/>
                <w:sz w:val="21"/>
                <w:szCs w:val="21"/>
                <w:lang w:val="en-US" w:eastAsia="zh-CN"/>
              </w:rPr>
              <w:t>2210-431102-04-01-177311</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Ex>
        <w:trPr>
          <w:trHeight w:val="362" w:hRule="atLeast"/>
        </w:trPr>
        <w:tc>
          <w:tcPr>
            <w:tcW w:w="1501" w:type="dxa"/>
            <w:noWrap w:val="0"/>
            <w:tcMar>
              <w:top w:w="16" w:type="dxa"/>
              <w:left w:w="16" w:type="dxa"/>
              <w:right w:w="16" w:type="dxa"/>
            </w:tcMar>
            <w:vAlign w:val="center"/>
          </w:tcPr>
          <w:p>
            <w:pPr>
              <w:keepNext w:val="0"/>
              <w:keepLines w:val="0"/>
              <w:suppressLineNumbers w:val="0"/>
              <w:adjustRightInd w:val="0"/>
              <w:snapToGrid w:val="0"/>
              <w:spacing w:before="0" w:beforeAutospacing="0" w:after="0" w:afterAutospacing="0" w:line="360" w:lineRule="auto"/>
              <w:ind w:left="0" w:right="0"/>
              <w:jc w:val="center"/>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建设单位联系人</w:t>
            </w:r>
          </w:p>
        </w:tc>
        <w:tc>
          <w:tcPr>
            <w:tcW w:w="2416" w:type="dxa"/>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default" w:ascii="Times New Roman" w:hAnsi="Times New Roman" w:eastAsia="宋体" w:cs="Times New Roman"/>
                <w:color w:val="000000"/>
                <w:sz w:val="21"/>
                <w:szCs w:val="21"/>
                <w:lang w:val="en-US" w:eastAsia="zh-CN"/>
              </w:rPr>
            </w:pPr>
            <w:r>
              <w:rPr>
                <w:rFonts w:hint="default" w:ascii="Times New Roman" w:hAnsi="Times New Roman" w:eastAsia="宋体" w:cs="Times New Roman"/>
                <w:color w:val="000000"/>
                <w:sz w:val="21"/>
                <w:szCs w:val="21"/>
                <w:lang w:val="en-US" w:eastAsia="zh-CN"/>
              </w:rPr>
              <w:t>陈辉银</w:t>
            </w:r>
          </w:p>
        </w:tc>
        <w:tc>
          <w:tcPr>
            <w:tcW w:w="2193" w:type="dxa"/>
            <w:gridSpan w:val="2"/>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联系方式</w:t>
            </w:r>
          </w:p>
        </w:tc>
        <w:tc>
          <w:tcPr>
            <w:tcW w:w="2929" w:type="dxa"/>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default" w:ascii="Times New Roman" w:hAnsi="Times New Roman" w:eastAsia="宋体" w:cs="Times New Roman"/>
                <w:color w:val="000000"/>
                <w:sz w:val="21"/>
                <w:szCs w:val="21"/>
                <w:lang w:val="en-US" w:eastAsia="zh-CN"/>
              </w:rPr>
            </w:pPr>
            <w:r>
              <w:rPr>
                <w:rFonts w:hint="default" w:ascii="Times New Roman" w:hAnsi="Times New Roman" w:eastAsia="宋体" w:cs="Times New Roman"/>
                <w:color w:val="000000"/>
                <w:sz w:val="21"/>
                <w:szCs w:val="21"/>
                <w:lang w:val="en-US" w:eastAsia="zh-CN"/>
              </w:rPr>
              <w:t>1897468899</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Ex>
        <w:trPr>
          <w:trHeight w:val="362" w:hRule="atLeast"/>
        </w:trPr>
        <w:tc>
          <w:tcPr>
            <w:tcW w:w="1501" w:type="dxa"/>
            <w:noWrap w:val="0"/>
            <w:tcMar>
              <w:top w:w="16" w:type="dxa"/>
              <w:left w:w="16" w:type="dxa"/>
              <w:right w:w="16" w:type="dxa"/>
            </w:tcMar>
            <w:vAlign w:val="center"/>
          </w:tcPr>
          <w:p>
            <w:pPr>
              <w:keepNext w:val="0"/>
              <w:keepLines w:val="0"/>
              <w:suppressLineNumbers w:val="0"/>
              <w:adjustRightInd w:val="0"/>
              <w:snapToGrid w:val="0"/>
              <w:spacing w:before="0" w:beforeAutospacing="0" w:after="0" w:afterAutospacing="0" w:line="360" w:lineRule="auto"/>
              <w:ind w:left="0" w:right="0"/>
              <w:jc w:val="center"/>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建设地点</w:t>
            </w:r>
          </w:p>
        </w:tc>
        <w:tc>
          <w:tcPr>
            <w:tcW w:w="7538" w:type="dxa"/>
            <w:gridSpan w:val="4"/>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u w:val="none"/>
                <w:lang w:val="en-US" w:eastAsia="zh-CN"/>
              </w:rPr>
              <w:t>永州市零陵区石山脚办事处燕朝村和梳子铺乡红狮村</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Ex>
        <w:trPr>
          <w:trHeight w:val="355" w:hRule="atLeast"/>
        </w:trPr>
        <w:tc>
          <w:tcPr>
            <w:tcW w:w="1501" w:type="dxa"/>
            <w:noWrap w:val="0"/>
            <w:tcMar>
              <w:top w:w="16" w:type="dxa"/>
              <w:left w:w="16" w:type="dxa"/>
              <w:right w:w="16" w:type="dxa"/>
            </w:tcMar>
            <w:vAlign w:val="center"/>
          </w:tcPr>
          <w:p>
            <w:pPr>
              <w:keepNext w:val="0"/>
              <w:keepLines w:val="0"/>
              <w:suppressLineNumbers w:val="0"/>
              <w:adjustRightInd w:val="0"/>
              <w:snapToGrid w:val="0"/>
              <w:spacing w:before="0" w:beforeAutospacing="0" w:after="0" w:afterAutospacing="0" w:line="360" w:lineRule="auto"/>
              <w:ind w:left="0" w:right="0"/>
              <w:jc w:val="center"/>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地理坐标</w:t>
            </w:r>
          </w:p>
        </w:tc>
        <w:tc>
          <w:tcPr>
            <w:tcW w:w="7538" w:type="dxa"/>
            <w:gridSpan w:val="4"/>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E111°30′12.215″，N26°7′14.768″</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Ex>
        <w:trPr>
          <w:trHeight w:val="715" w:hRule="atLeast"/>
        </w:trPr>
        <w:tc>
          <w:tcPr>
            <w:tcW w:w="1501" w:type="dxa"/>
            <w:noWrap w:val="0"/>
            <w:tcMar>
              <w:top w:w="16" w:type="dxa"/>
              <w:left w:w="16" w:type="dxa"/>
              <w:right w:w="16" w:type="dxa"/>
            </w:tcMar>
            <w:vAlign w:val="center"/>
          </w:tcPr>
          <w:p>
            <w:pPr>
              <w:keepNext w:val="0"/>
              <w:keepLines w:val="0"/>
              <w:suppressLineNumbers w:val="0"/>
              <w:adjustRightInd w:val="0"/>
              <w:snapToGrid w:val="0"/>
              <w:spacing w:before="0" w:beforeAutospacing="0" w:after="0" w:afterAutospacing="0" w:line="360" w:lineRule="auto"/>
              <w:ind w:left="0" w:right="0"/>
              <w:jc w:val="center"/>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建设项目</w:t>
            </w:r>
          </w:p>
          <w:p>
            <w:pPr>
              <w:keepNext w:val="0"/>
              <w:keepLines w:val="0"/>
              <w:suppressLineNumbers w:val="0"/>
              <w:adjustRightInd w:val="0"/>
              <w:snapToGrid w:val="0"/>
              <w:spacing w:before="0" w:beforeAutospacing="0" w:after="0" w:afterAutospacing="0" w:line="360" w:lineRule="auto"/>
              <w:ind w:left="0" w:right="0"/>
              <w:jc w:val="center"/>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行业类别</w:t>
            </w:r>
          </w:p>
        </w:tc>
        <w:tc>
          <w:tcPr>
            <w:tcW w:w="2416" w:type="dxa"/>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八、非金属矿采选业</w:t>
            </w:r>
          </w:p>
          <w:p>
            <w:pPr>
              <w:keepNext w:val="0"/>
              <w:keepLines w:val="0"/>
              <w:suppressLineNumbers w:val="0"/>
              <w:adjustRightInd w:val="0"/>
              <w:snapToGrid w:val="0"/>
              <w:spacing w:before="0" w:beforeAutospacing="0" w:after="0" w:afterAutospacing="0" w:line="360" w:lineRule="auto"/>
              <w:ind w:left="0" w:right="0"/>
              <w:jc w:val="center"/>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11、土砂石开采</w:t>
            </w:r>
          </w:p>
        </w:tc>
        <w:tc>
          <w:tcPr>
            <w:tcW w:w="2183" w:type="dxa"/>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用地面积（m</w:t>
            </w:r>
            <w:r>
              <w:rPr>
                <w:rFonts w:hint="default" w:ascii="Times New Roman" w:hAnsi="Times New Roman" w:eastAsia="宋体" w:cs="Times New Roman"/>
                <w:color w:val="000000"/>
                <w:sz w:val="21"/>
                <w:szCs w:val="21"/>
                <w:vertAlign w:val="superscript"/>
              </w:rPr>
              <w:t>2</w:t>
            </w:r>
            <w:r>
              <w:rPr>
                <w:rFonts w:hint="default" w:ascii="Times New Roman" w:hAnsi="Times New Roman" w:eastAsia="宋体" w:cs="Times New Roman"/>
                <w:color w:val="000000"/>
                <w:sz w:val="21"/>
                <w:szCs w:val="21"/>
              </w:rPr>
              <w:t>）</w:t>
            </w:r>
          </w:p>
        </w:tc>
        <w:tc>
          <w:tcPr>
            <w:tcW w:w="2939" w:type="dxa"/>
            <w:gridSpan w:val="2"/>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Times New Roman" w:hAnsi="Times New Roman" w:eastAsia="宋体" w:cs="Times New Roman"/>
                <w:color w:val="auto"/>
                <w:kern w:val="0"/>
                <w:sz w:val="21"/>
                <w:szCs w:val="21"/>
                <w:vertAlign w:val="superscript"/>
                <w:lang w:val="en-US" w:eastAsia="zh-CN"/>
              </w:rPr>
            </w:pPr>
            <w:r>
              <w:rPr>
                <w:rFonts w:hint="eastAsia" w:cs="Times New Roman"/>
                <w:color w:val="auto"/>
                <w:kern w:val="0"/>
                <w:sz w:val="21"/>
                <w:szCs w:val="21"/>
                <w:vertAlign w:val="baseline"/>
                <w:lang w:val="en-US" w:eastAsia="zh-CN"/>
              </w:rPr>
              <w:t>229371</w:t>
            </w:r>
            <w:r>
              <w:rPr>
                <w:rFonts w:hint="eastAsia" w:ascii="Times New Roman" w:hAnsi="Times New Roman" w:eastAsia="宋体" w:cs="Times New Roman"/>
                <w:color w:val="auto"/>
                <w:kern w:val="0"/>
                <w:sz w:val="21"/>
                <w:szCs w:val="21"/>
                <w:vertAlign w:val="baseline"/>
                <w:lang w:val="en-US" w:eastAsia="zh-CN"/>
              </w:rPr>
              <w:t>m</w:t>
            </w:r>
            <w:r>
              <w:rPr>
                <w:rFonts w:hint="eastAsia" w:ascii="Times New Roman" w:hAnsi="Times New Roman" w:eastAsia="宋体" w:cs="Times New Roman"/>
                <w:color w:val="auto"/>
                <w:kern w:val="0"/>
                <w:sz w:val="21"/>
                <w:szCs w:val="21"/>
                <w:vertAlign w:val="superscript"/>
                <w:lang w:val="en-US" w:eastAsia="zh-CN"/>
              </w:rPr>
              <w:t>2</w:t>
            </w:r>
          </w:p>
          <w:p>
            <w:pPr>
              <w:keepNext w:val="0"/>
              <w:keepLines w:val="0"/>
              <w:suppressLineNumbers w:val="0"/>
              <w:adjustRightInd w:val="0"/>
              <w:snapToGrid w:val="0"/>
              <w:spacing w:before="0" w:beforeAutospacing="0" w:after="0" w:afterAutospacing="0" w:line="360" w:lineRule="auto"/>
              <w:ind w:left="0" w:right="0"/>
              <w:jc w:val="center"/>
              <w:rPr>
                <w:rFonts w:hint="default" w:ascii="Times New Roman" w:hAnsi="Times New Roman" w:eastAsia="宋体" w:cs="Times New Roman"/>
                <w:color w:val="auto"/>
                <w:kern w:val="0"/>
                <w:sz w:val="21"/>
                <w:szCs w:val="21"/>
                <w:vertAlign w:val="superscript"/>
                <w:lang w:val="en-US" w:eastAsia="zh-CN"/>
              </w:rPr>
            </w:pPr>
            <w:r>
              <w:rPr>
                <w:rFonts w:hint="eastAsia" w:cs="Times New Roman"/>
                <w:color w:val="auto"/>
                <w:kern w:val="0"/>
                <w:sz w:val="21"/>
                <w:szCs w:val="21"/>
                <w:vertAlign w:val="baseline"/>
                <w:lang w:val="en-US" w:eastAsia="zh-CN"/>
              </w:rPr>
              <w:t>（包含本次新增表土堆场19927</w:t>
            </w:r>
            <w:r>
              <w:rPr>
                <w:rFonts w:hint="eastAsia" w:ascii="Times New Roman" w:hAnsi="Times New Roman" w:eastAsia="宋体" w:cs="Times New Roman"/>
                <w:color w:val="auto"/>
                <w:kern w:val="0"/>
                <w:sz w:val="21"/>
                <w:szCs w:val="21"/>
                <w:vertAlign w:val="baseline"/>
                <w:lang w:val="en-US" w:eastAsia="zh-CN"/>
              </w:rPr>
              <w:t>m</w:t>
            </w:r>
            <w:r>
              <w:rPr>
                <w:rFonts w:hint="eastAsia" w:ascii="Times New Roman" w:hAnsi="Times New Roman" w:eastAsia="宋体" w:cs="Times New Roman"/>
                <w:color w:val="auto"/>
                <w:kern w:val="0"/>
                <w:sz w:val="21"/>
                <w:szCs w:val="21"/>
                <w:vertAlign w:val="superscript"/>
                <w:lang w:val="en-US" w:eastAsia="zh-CN"/>
              </w:rPr>
              <w:t>2</w:t>
            </w:r>
            <w:r>
              <w:rPr>
                <w:rFonts w:hint="eastAsia" w:cs="Times New Roman"/>
                <w:color w:val="auto"/>
                <w:kern w:val="0"/>
                <w:sz w:val="21"/>
                <w:szCs w:val="21"/>
                <w:vertAlign w:val="baseline"/>
                <w:lang w:val="en-US" w:eastAsia="zh-CN"/>
              </w:rPr>
              <w:t>，成品中转堆场4300</w:t>
            </w:r>
            <w:r>
              <w:rPr>
                <w:rFonts w:hint="eastAsia" w:ascii="Times New Roman" w:hAnsi="Times New Roman" w:eastAsia="宋体" w:cs="Times New Roman"/>
                <w:color w:val="auto"/>
                <w:kern w:val="0"/>
                <w:sz w:val="21"/>
                <w:szCs w:val="21"/>
                <w:vertAlign w:val="baseline"/>
                <w:lang w:val="en-US" w:eastAsia="zh-CN"/>
              </w:rPr>
              <w:t>m</w:t>
            </w:r>
            <w:r>
              <w:rPr>
                <w:rFonts w:hint="eastAsia" w:ascii="Times New Roman" w:hAnsi="Times New Roman" w:eastAsia="宋体" w:cs="Times New Roman"/>
                <w:color w:val="auto"/>
                <w:kern w:val="0"/>
                <w:sz w:val="21"/>
                <w:szCs w:val="21"/>
                <w:vertAlign w:val="superscript"/>
                <w:lang w:val="en-US" w:eastAsia="zh-CN"/>
              </w:rPr>
              <w:t>2</w:t>
            </w:r>
            <w:r>
              <w:rPr>
                <w:rFonts w:hint="eastAsia" w:cs="Times New Roman"/>
                <w:color w:val="auto"/>
                <w:kern w:val="0"/>
                <w:sz w:val="21"/>
                <w:szCs w:val="21"/>
                <w:vertAlign w:val="baseline"/>
                <w:lang w:val="en-US" w:eastAsia="zh-CN"/>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Ex>
        <w:trPr>
          <w:trHeight w:val="104" w:hRule="atLeast"/>
        </w:trPr>
        <w:tc>
          <w:tcPr>
            <w:tcW w:w="1501" w:type="dxa"/>
            <w:noWrap w:val="0"/>
            <w:tcMar>
              <w:top w:w="16" w:type="dxa"/>
              <w:left w:w="16" w:type="dxa"/>
              <w:right w:w="16" w:type="dxa"/>
            </w:tcMar>
            <w:vAlign w:val="center"/>
          </w:tcPr>
          <w:p>
            <w:pPr>
              <w:keepNext w:val="0"/>
              <w:keepLines w:val="0"/>
              <w:suppressLineNumbers w:val="0"/>
              <w:adjustRightInd w:val="0"/>
              <w:snapToGrid w:val="0"/>
              <w:spacing w:before="0" w:beforeAutospacing="0" w:after="0" w:afterAutospacing="0" w:line="360" w:lineRule="auto"/>
              <w:ind w:left="0" w:right="0"/>
              <w:jc w:val="center"/>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建设性质</w:t>
            </w:r>
          </w:p>
        </w:tc>
        <w:tc>
          <w:tcPr>
            <w:tcW w:w="2416" w:type="dxa"/>
            <w:noWrap w:val="0"/>
            <w:vAlign w:val="center"/>
          </w:tcPr>
          <w:p>
            <w:pPr>
              <w:keepNext w:val="0"/>
              <w:keepLines w:val="0"/>
              <w:suppressLineNumbers w:val="0"/>
              <w:adjustRightInd w:val="0"/>
              <w:snapToGrid w:val="0"/>
              <w:spacing w:before="0" w:beforeAutospacing="0" w:after="0" w:afterAutospacing="0" w:line="360" w:lineRule="auto"/>
              <w:ind w:left="0" w:right="0"/>
              <w:jc w:val="left"/>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lang w:eastAsia="zh-CN"/>
              </w:rPr>
              <w:t>☑</w:t>
            </w:r>
            <w:r>
              <w:rPr>
                <w:rFonts w:hint="default" w:ascii="Times New Roman" w:hAnsi="Times New Roman" w:eastAsia="宋体" w:cs="Times New Roman"/>
                <w:color w:val="000000"/>
                <w:sz w:val="21"/>
                <w:szCs w:val="21"/>
              </w:rPr>
              <w:t>新建（迁建）</w:t>
            </w:r>
          </w:p>
          <w:p>
            <w:pPr>
              <w:keepNext w:val="0"/>
              <w:keepLines w:val="0"/>
              <w:suppressLineNumbers w:val="0"/>
              <w:adjustRightInd w:val="0"/>
              <w:snapToGrid w:val="0"/>
              <w:spacing w:before="0" w:beforeAutospacing="0" w:after="0" w:afterAutospacing="0" w:line="360" w:lineRule="auto"/>
              <w:ind w:left="0" w:right="0"/>
              <w:jc w:val="left"/>
              <w:rPr>
                <w:rFonts w:hint="default" w:ascii="Times New Roman" w:hAnsi="Times New Roman" w:eastAsia="宋体" w:cs="Times New Roman"/>
                <w:color w:val="000000"/>
                <w:sz w:val="21"/>
                <w:szCs w:val="21"/>
              </w:rPr>
            </w:pPr>
            <w:r>
              <w:rPr>
                <w:rFonts w:hint="eastAsia" w:ascii="Times New Roman" w:hAnsi="Times New Roman" w:eastAsia="宋体" w:cs="Times New Roman"/>
                <w:color w:val="000000"/>
                <w:sz w:val="21"/>
                <w:szCs w:val="21"/>
                <w:lang w:eastAsia="zh-CN"/>
              </w:rPr>
              <w:t>□</w:t>
            </w:r>
            <w:r>
              <w:rPr>
                <w:rFonts w:hint="default" w:ascii="Times New Roman" w:hAnsi="Times New Roman" w:eastAsia="宋体" w:cs="Times New Roman"/>
                <w:color w:val="000000"/>
                <w:sz w:val="21"/>
                <w:szCs w:val="21"/>
              </w:rPr>
              <w:t>改建</w:t>
            </w:r>
          </w:p>
          <w:p>
            <w:pPr>
              <w:keepNext w:val="0"/>
              <w:keepLines w:val="0"/>
              <w:suppressLineNumbers w:val="0"/>
              <w:adjustRightInd w:val="0"/>
              <w:snapToGrid w:val="0"/>
              <w:spacing w:before="0" w:beforeAutospacing="0" w:after="0" w:afterAutospacing="0" w:line="360" w:lineRule="auto"/>
              <w:ind w:left="0" w:right="0"/>
              <w:jc w:val="left"/>
              <w:rPr>
                <w:rFonts w:hint="default" w:ascii="Times New Roman" w:hAnsi="Times New Roman" w:eastAsia="宋体" w:cs="Times New Roman"/>
                <w:color w:val="000000"/>
                <w:sz w:val="21"/>
                <w:szCs w:val="21"/>
              </w:rPr>
            </w:pPr>
            <w:r>
              <w:rPr>
                <w:rFonts w:hint="eastAsia" w:ascii="Times New Roman" w:hAnsi="Times New Roman" w:eastAsia="宋体" w:cs="Times New Roman"/>
                <w:color w:val="000000"/>
                <w:sz w:val="21"/>
                <w:szCs w:val="21"/>
                <w:lang w:eastAsia="zh-CN"/>
              </w:rPr>
              <w:t>□</w:t>
            </w:r>
            <w:r>
              <w:rPr>
                <w:rFonts w:hint="default" w:ascii="Times New Roman" w:hAnsi="Times New Roman" w:eastAsia="宋体" w:cs="Times New Roman"/>
                <w:color w:val="000000"/>
                <w:sz w:val="21"/>
                <w:szCs w:val="21"/>
              </w:rPr>
              <w:t>扩建</w:t>
            </w:r>
          </w:p>
          <w:p>
            <w:pPr>
              <w:keepNext w:val="0"/>
              <w:keepLines w:val="0"/>
              <w:suppressLineNumbers w:val="0"/>
              <w:adjustRightInd w:val="0"/>
              <w:snapToGrid w:val="0"/>
              <w:spacing w:before="0" w:beforeAutospacing="0" w:after="0" w:afterAutospacing="0" w:line="360" w:lineRule="auto"/>
              <w:ind w:left="0" w:right="0"/>
              <w:jc w:val="left"/>
              <w:rPr>
                <w:rFonts w:hint="default" w:ascii="Times New Roman" w:hAnsi="Times New Roman" w:eastAsia="宋体" w:cs="Times New Roman"/>
                <w:color w:val="000000"/>
                <w:sz w:val="21"/>
                <w:szCs w:val="21"/>
              </w:rPr>
            </w:pPr>
            <w:r>
              <w:rPr>
                <w:rFonts w:hint="eastAsia" w:ascii="Times New Roman" w:hAnsi="Times New Roman" w:eastAsia="宋体" w:cs="Times New Roman"/>
                <w:color w:val="000000"/>
                <w:sz w:val="21"/>
                <w:szCs w:val="21"/>
                <w:lang w:eastAsia="zh-CN"/>
              </w:rPr>
              <w:t>□</w:t>
            </w:r>
            <w:r>
              <w:rPr>
                <w:rFonts w:hint="default" w:ascii="Times New Roman" w:hAnsi="Times New Roman" w:eastAsia="宋体" w:cs="Times New Roman"/>
                <w:color w:val="000000"/>
                <w:sz w:val="21"/>
                <w:szCs w:val="21"/>
              </w:rPr>
              <w:t>技术改造</w:t>
            </w:r>
          </w:p>
        </w:tc>
        <w:tc>
          <w:tcPr>
            <w:tcW w:w="2183" w:type="dxa"/>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建设项目</w:t>
            </w:r>
          </w:p>
          <w:p>
            <w:pPr>
              <w:keepNext w:val="0"/>
              <w:keepLines w:val="0"/>
              <w:suppressLineNumbers w:val="0"/>
              <w:adjustRightInd w:val="0"/>
              <w:snapToGrid w:val="0"/>
              <w:spacing w:before="0" w:beforeAutospacing="0" w:after="0" w:afterAutospacing="0" w:line="360" w:lineRule="auto"/>
              <w:ind w:left="0" w:right="0"/>
              <w:jc w:val="center"/>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申报情形</w:t>
            </w:r>
          </w:p>
        </w:tc>
        <w:tc>
          <w:tcPr>
            <w:tcW w:w="2939" w:type="dxa"/>
            <w:gridSpan w:val="2"/>
            <w:noWrap w:val="0"/>
            <w:vAlign w:val="center"/>
          </w:tcPr>
          <w:p>
            <w:pPr>
              <w:keepNext w:val="0"/>
              <w:keepLines w:val="0"/>
              <w:suppressLineNumbers w:val="0"/>
              <w:adjustRightInd w:val="0"/>
              <w:snapToGrid w:val="0"/>
              <w:spacing w:before="0" w:beforeAutospacing="0" w:after="0" w:afterAutospacing="0" w:line="360" w:lineRule="auto"/>
              <w:ind w:left="0" w:right="0"/>
              <w:jc w:val="left"/>
              <w:rPr>
                <w:rFonts w:hint="default" w:ascii="Times New Roman" w:hAnsi="Times New Roman" w:eastAsia="宋体" w:cs="Times New Roman"/>
                <w:color w:val="auto"/>
                <w:sz w:val="21"/>
                <w:szCs w:val="21"/>
              </w:rPr>
            </w:pPr>
            <w:r>
              <w:rPr>
                <w:rFonts w:hint="eastAsia" w:ascii="Times New Roman" w:hAnsi="Times New Roman" w:eastAsia="宋体" w:cs="Times New Roman"/>
                <w:color w:val="auto"/>
                <w:sz w:val="21"/>
                <w:szCs w:val="21"/>
                <w:lang w:eastAsia="zh-CN"/>
              </w:rPr>
              <w:t>□</w:t>
            </w:r>
            <w:r>
              <w:rPr>
                <w:rFonts w:hint="default" w:ascii="Times New Roman" w:hAnsi="Times New Roman" w:eastAsia="宋体" w:cs="Times New Roman"/>
                <w:color w:val="auto"/>
                <w:sz w:val="21"/>
                <w:szCs w:val="21"/>
              </w:rPr>
              <w:t>首次申报项目</w:t>
            </w:r>
          </w:p>
          <w:p>
            <w:pPr>
              <w:keepNext w:val="0"/>
              <w:keepLines w:val="0"/>
              <w:suppressLineNumbers w:val="0"/>
              <w:adjustRightInd w:val="0"/>
              <w:snapToGrid w:val="0"/>
              <w:spacing w:before="0" w:beforeAutospacing="0" w:after="0" w:afterAutospacing="0" w:line="360" w:lineRule="auto"/>
              <w:ind w:left="0" w:right="0"/>
              <w:jc w:val="left"/>
              <w:rPr>
                <w:rFonts w:hint="default" w:ascii="Times New Roman" w:hAnsi="Times New Roman" w:eastAsia="宋体" w:cs="Times New Roman"/>
                <w:color w:val="auto"/>
                <w:sz w:val="21"/>
                <w:szCs w:val="21"/>
              </w:rPr>
            </w:pPr>
            <w:r>
              <w:rPr>
                <w:rFonts w:hint="eastAsia" w:ascii="Times New Roman" w:hAnsi="Times New Roman" w:eastAsia="宋体" w:cs="Times New Roman"/>
                <w:color w:val="auto"/>
                <w:sz w:val="21"/>
                <w:szCs w:val="21"/>
                <w:lang w:eastAsia="zh-CN"/>
              </w:rPr>
              <w:t>□</w:t>
            </w:r>
            <w:r>
              <w:rPr>
                <w:rFonts w:hint="default" w:ascii="Times New Roman" w:hAnsi="Times New Roman" w:eastAsia="宋体" w:cs="Times New Roman"/>
                <w:color w:val="auto"/>
                <w:sz w:val="21"/>
                <w:szCs w:val="21"/>
              </w:rPr>
              <w:t>不予批准后再次申报项目</w:t>
            </w:r>
          </w:p>
          <w:p>
            <w:pPr>
              <w:keepNext w:val="0"/>
              <w:keepLines w:val="0"/>
              <w:suppressLineNumbers w:val="0"/>
              <w:adjustRightInd w:val="0"/>
              <w:snapToGrid w:val="0"/>
              <w:spacing w:before="0" w:beforeAutospacing="0" w:after="0" w:afterAutospacing="0" w:line="360" w:lineRule="auto"/>
              <w:ind w:left="0" w:right="0"/>
              <w:jc w:val="left"/>
              <w:rPr>
                <w:rFonts w:hint="default" w:ascii="Times New Roman" w:hAnsi="Times New Roman" w:eastAsia="宋体" w:cs="Times New Roman"/>
                <w:color w:val="auto"/>
                <w:sz w:val="21"/>
                <w:szCs w:val="21"/>
              </w:rPr>
            </w:pPr>
            <w:r>
              <w:rPr>
                <w:rFonts w:hint="eastAsia" w:ascii="Times New Roman" w:hAnsi="Times New Roman" w:eastAsia="宋体" w:cs="Times New Roman"/>
                <w:color w:val="auto"/>
                <w:sz w:val="21"/>
                <w:szCs w:val="21"/>
                <w:lang w:eastAsia="zh-CN"/>
              </w:rPr>
              <w:t>□</w:t>
            </w:r>
            <w:r>
              <w:rPr>
                <w:rFonts w:hint="default" w:ascii="Times New Roman" w:hAnsi="Times New Roman" w:eastAsia="宋体" w:cs="Times New Roman"/>
                <w:color w:val="auto"/>
                <w:sz w:val="21"/>
                <w:szCs w:val="21"/>
              </w:rPr>
              <w:t>超五年重新审核项目</w:t>
            </w:r>
          </w:p>
          <w:p>
            <w:pPr>
              <w:keepNext w:val="0"/>
              <w:keepLines w:val="0"/>
              <w:suppressLineNumbers w:val="0"/>
              <w:adjustRightInd w:val="0"/>
              <w:snapToGrid w:val="0"/>
              <w:spacing w:before="0" w:beforeAutospacing="0" w:after="0" w:afterAutospacing="0" w:line="360" w:lineRule="auto"/>
              <w:ind w:left="0" w:right="0"/>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eastAsia="zh-CN"/>
              </w:rPr>
              <w:t>☑</w:t>
            </w:r>
            <w:r>
              <w:rPr>
                <w:rFonts w:hint="default" w:ascii="Times New Roman" w:hAnsi="Times New Roman" w:eastAsia="宋体" w:cs="Times New Roman"/>
                <w:color w:val="auto"/>
                <w:sz w:val="21"/>
                <w:szCs w:val="21"/>
              </w:rPr>
              <w:t>重大变动重新报批项目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Ex>
        <w:trPr>
          <w:trHeight w:val="762" w:hRule="atLeast"/>
        </w:trPr>
        <w:tc>
          <w:tcPr>
            <w:tcW w:w="1501" w:type="dxa"/>
            <w:noWrap w:val="0"/>
            <w:tcMar>
              <w:top w:w="16" w:type="dxa"/>
              <w:left w:w="16" w:type="dxa"/>
              <w:right w:w="16" w:type="dxa"/>
            </w:tcMar>
            <w:vAlign w:val="center"/>
          </w:tcPr>
          <w:p>
            <w:pPr>
              <w:keepNext w:val="0"/>
              <w:keepLines w:val="0"/>
              <w:suppressLineNumbers w:val="0"/>
              <w:adjustRightInd w:val="0"/>
              <w:snapToGrid w:val="0"/>
              <w:spacing w:before="0" w:beforeAutospacing="0" w:after="0" w:afterAutospacing="0" w:line="360" w:lineRule="auto"/>
              <w:ind w:left="0" w:right="0"/>
              <w:jc w:val="center"/>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项目审批（核准/备案）部门（选填）</w:t>
            </w:r>
          </w:p>
        </w:tc>
        <w:tc>
          <w:tcPr>
            <w:tcW w:w="2416" w:type="dxa"/>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default" w:ascii="Times New Roman" w:hAnsi="Times New Roman" w:eastAsia="宋体" w:cs="Times New Roman"/>
                <w:color w:val="000000"/>
                <w:sz w:val="21"/>
                <w:szCs w:val="21"/>
                <w:lang w:val="en-US" w:eastAsia="zh-CN"/>
              </w:rPr>
            </w:pPr>
            <w:r>
              <w:rPr>
                <w:rFonts w:hint="default" w:ascii="Times New Roman" w:hAnsi="Times New Roman" w:eastAsia="宋体" w:cs="Times New Roman"/>
                <w:color w:val="000000"/>
                <w:sz w:val="21"/>
                <w:szCs w:val="21"/>
                <w:lang w:val="en-US" w:eastAsia="zh-CN"/>
              </w:rPr>
              <w:t>零陵区发展和改革局</w:t>
            </w:r>
          </w:p>
        </w:tc>
        <w:tc>
          <w:tcPr>
            <w:tcW w:w="2183" w:type="dxa"/>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项目审批（备案）</w:t>
            </w:r>
          </w:p>
          <w:p>
            <w:pPr>
              <w:keepNext w:val="0"/>
              <w:keepLines w:val="0"/>
              <w:suppressLineNumbers w:val="0"/>
              <w:adjustRightInd w:val="0"/>
              <w:snapToGrid w:val="0"/>
              <w:spacing w:before="0" w:beforeAutospacing="0" w:after="0" w:afterAutospacing="0" w:line="360" w:lineRule="auto"/>
              <w:ind w:left="0" w:right="0"/>
              <w:jc w:val="center"/>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文号（选填）</w:t>
            </w:r>
          </w:p>
        </w:tc>
        <w:tc>
          <w:tcPr>
            <w:tcW w:w="2939" w:type="dxa"/>
            <w:gridSpan w:val="2"/>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零发改【2022】139号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Ex>
        <w:trPr>
          <w:trHeight w:val="355" w:hRule="atLeast"/>
        </w:trPr>
        <w:tc>
          <w:tcPr>
            <w:tcW w:w="1501" w:type="dxa"/>
            <w:noWrap w:val="0"/>
            <w:tcMar>
              <w:top w:w="16" w:type="dxa"/>
              <w:left w:w="16" w:type="dxa"/>
              <w:right w:w="16" w:type="dxa"/>
            </w:tcMar>
            <w:vAlign w:val="center"/>
          </w:tcPr>
          <w:p>
            <w:pPr>
              <w:keepNext w:val="0"/>
              <w:keepLines w:val="0"/>
              <w:suppressLineNumbers w:val="0"/>
              <w:adjustRightInd w:val="0"/>
              <w:snapToGrid w:val="0"/>
              <w:spacing w:before="0" w:beforeAutospacing="0" w:after="0" w:afterAutospacing="0" w:line="360" w:lineRule="auto"/>
              <w:ind w:left="0" w:right="0"/>
              <w:jc w:val="center"/>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总投资（万元）</w:t>
            </w:r>
          </w:p>
        </w:tc>
        <w:tc>
          <w:tcPr>
            <w:tcW w:w="2416" w:type="dxa"/>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default" w:ascii="Times New Roman" w:hAnsi="Times New Roman" w:eastAsia="宋体" w:cs="Times New Roman"/>
                <w:color w:val="000000"/>
                <w:sz w:val="21"/>
                <w:szCs w:val="21"/>
                <w:lang w:val="en-US" w:eastAsia="zh-CN"/>
              </w:rPr>
            </w:pPr>
            <w:r>
              <w:rPr>
                <w:rFonts w:hint="eastAsia" w:ascii="Times New Roman" w:hAnsi="Times New Roman" w:eastAsia="宋体" w:cs="Times New Roman"/>
                <w:color w:val="000000"/>
                <w:sz w:val="21"/>
                <w:szCs w:val="21"/>
                <w:lang w:val="en-US" w:eastAsia="zh-CN"/>
              </w:rPr>
              <w:t>12000</w:t>
            </w:r>
          </w:p>
        </w:tc>
        <w:tc>
          <w:tcPr>
            <w:tcW w:w="2183" w:type="dxa"/>
            <w:noWrap w:val="0"/>
            <w:tcMar>
              <w:top w:w="16" w:type="dxa"/>
              <w:left w:w="16" w:type="dxa"/>
              <w:right w:w="16" w:type="dxa"/>
            </w:tcMar>
            <w:vAlign w:val="center"/>
          </w:tcPr>
          <w:p>
            <w:pPr>
              <w:keepNext w:val="0"/>
              <w:keepLines w:val="0"/>
              <w:suppressLineNumbers w:val="0"/>
              <w:adjustRightInd w:val="0"/>
              <w:snapToGrid w:val="0"/>
              <w:spacing w:before="0" w:beforeAutospacing="0" w:after="0" w:afterAutospacing="0" w:line="360" w:lineRule="auto"/>
              <w:ind w:left="0" w:right="0"/>
              <w:jc w:val="center"/>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环保投资（万元）</w:t>
            </w:r>
          </w:p>
        </w:tc>
        <w:tc>
          <w:tcPr>
            <w:tcW w:w="2939" w:type="dxa"/>
            <w:gridSpan w:val="2"/>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default" w:ascii="Times New Roman" w:hAnsi="Times New Roman" w:eastAsia="宋体" w:cs="Times New Roman"/>
                <w:color w:val="000000"/>
                <w:sz w:val="21"/>
                <w:szCs w:val="21"/>
                <w:lang w:val="en-US" w:eastAsia="zh-CN"/>
              </w:rPr>
            </w:pPr>
            <w:r>
              <w:rPr>
                <w:rFonts w:hint="eastAsia"/>
                <w:lang w:val="en-US" w:eastAsia="zh-CN"/>
              </w:rPr>
              <w:t>1436.62</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Ex>
        <w:trPr>
          <w:trHeight w:val="364" w:hRule="atLeast"/>
        </w:trPr>
        <w:tc>
          <w:tcPr>
            <w:tcW w:w="1501" w:type="dxa"/>
            <w:noWrap w:val="0"/>
            <w:tcMar>
              <w:top w:w="16" w:type="dxa"/>
              <w:left w:w="16" w:type="dxa"/>
              <w:right w:w="16" w:type="dxa"/>
            </w:tcMar>
            <w:vAlign w:val="center"/>
          </w:tcPr>
          <w:p>
            <w:pPr>
              <w:keepNext w:val="0"/>
              <w:keepLines w:val="0"/>
              <w:suppressLineNumbers w:val="0"/>
              <w:adjustRightInd w:val="0"/>
              <w:snapToGrid w:val="0"/>
              <w:spacing w:before="0" w:beforeAutospacing="0" w:after="0" w:afterAutospacing="0" w:line="360" w:lineRule="auto"/>
              <w:ind w:left="0" w:right="0"/>
              <w:jc w:val="center"/>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环保投资占比（%）</w:t>
            </w:r>
          </w:p>
        </w:tc>
        <w:tc>
          <w:tcPr>
            <w:tcW w:w="2416" w:type="dxa"/>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default" w:ascii="Times New Roman" w:hAnsi="Times New Roman" w:eastAsia="宋体" w:cs="Times New Roman"/>
                <w:color w:val="000000"/>
                <w:sz w:val="21"/>
                <w:szCs w:val="21"/>
                <w:lang w:val="en-US" w:eastAsia="zh-CN"/>
              </w:rPr>
            </w:pPr>
            <w:r>
              <w:rPr>
                <w:rFonts w:hint="eastAsia" w:cs="Times New Roman"/>
                <w:color w:val="000000"/>
                <w:sz w:val="21"/>
                <w:szCs w:val="21"/>
                <w:lang w:val="en-US" w:eastAsia="zh-CN"/>
              </w:rPr>
              <w:t>11.97%</w:t>
            </w:r>
          </w:p>
        </w:tc>
        <w:tc>
          <w:tcPr>
            <w:tcW w:w="2183" w:type="dxa"/>
            <w:noWrap w:val="0"/>
            <w:tcMar>
              <w:top w:w="16" w:type="dxa"/>
              <w:left w:w="16" w:type="dxa"/>
              <w:right w:w="16" w:type="dxa"/>
            </w:tcMar>
            <w:vAlign w:val="center"/>
          </w:tcPr>
          <w:p>
            <w:pPr>
              <w:keepNext w:val="0"/>
              <w:keepLines w:val="0"/>
              <w:suppressLineNumbers w:val="0"/>
              <w:adjustRightInd w:val="0"/>
              <w:snapToGrid w:val="0"/>
              <w:spacing w:before="0" w:beforeAutospacing="0" w:after="0" w:afterAutospacing="0" w:line="360" w:lineRule="auto"/>
              <w:ind w:left="0" w:right="0"/>
              <w:jc w:val="center"/>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施工工期</w:t>
            </w:r>
          </w:p>
        </w:tc>
        <w:tc>
          <w:tcPr>
            <w:tcW w:w="2939" w:type="dxa"/>
            <w:gridSpan w:val="2"/>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default" w:ascii="Times New Roman" w:hAnsi="Times New Roman" w:eastAsia="宋体" w:cs="Times New Roman"/>
                <w:color w:val="000000"/>
                <w:sz w:val="21"/>
                <w:szCs w:val="21"/>
                <w:lang w:val="en-US" w:eastAsia="zh-CN"/>
              </w:rPr>
            </w:pPr>
            <w:r>
              <w:rPr>
                <w:rFonts w:hint="default" w:ascii="Times New Roman" w:hAnsi="Times New Roman" w:eastAsia="宋体" w:cs="Times New Roman"/>
                <w:color w:val="000000"/>
                <w:sz w:val="21"/>
                <w:szCs w:val="21"/>
                <w:lang w:val="en-US" w:eastAsia="zh-CN"/>
              </w:rPr>
              <w:t>6个月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Ex>
        <w:trPr>
          <w:trHeight w:val="911" w:hRule="atLeast"/>
        </w:trPr>
        <w:tc>
          <w:tcPr>
            <w:tcW w:w="1501" w:type="dxa"/>
            <w:noWrap w:val="0"/>
            <w:tcMar>
              <w:top w:w="16" w:type="dxa"/>
              <w:left w:w="16" w:type="dxa"/>
              <w:right w:w="16" w:type="dxa"/>
            </w:tcMar>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是否开工建设</w:t>
            </w:r>
          </w:p>
        </w:tc>
        <w:tc>
          <w:tcPr>
            <w:tcW w:w="7538" w:type="dxa"/>
            <w:gridSpan w:val="4"/>
            <w:noWrap w:val="0"/>
            <w:vAlign w:val="center"/>
          </w:tcPr>
          <w:p>
            <w:pPr>
              <w:keepNext w:val="0"/>
              <w:keepLines w:val="0"/>
              <w:suppressLineNumbers w:val="0"/>
              <w:adjustRightInd w:val="0"/>
              <w:snapToGrid w:val="0"/>
              <w:spacing w:before="0" w:beforeAutospacing="0" w:after="0" w:afterAutospacing="0"/>
              <w:ind w:left="0" w:right="0" w:firstLine="105"/>
              <w:jc w:val="left"/>
              <w:rPr>
                <w:rFonts w:hint="default" w:ascii="Times New Roman" w:hAnsi="Times New Roman" w:eastAsia="宋体" w:cs="Times New Roman"/>
                <w:color w:val="000000"/>
                <w:sz w:val="24"/>
                <w:szCs w:val="24"/>
              </w:rPr>
            </w:pPr>
            <w:r>
              <w:rPr>
                <w:rFonts w:hint="eastAsia" w:cs="Times New Roman"/>
                <w:color w:val="000000"/>
                <w:sz w:val="24"/>
                <w:szCs w:val="24"/>
                <w:lang w:eastAsia="zh-CN"/>
              </w:rPr>
              <w:t>□</w:t>
            </w:r>
            <w:r>
              <w:rPr>
                <w:rFonts w:hint="default" w:ascii="Times New Roman" w:hAnsi="Times New Roman" w:eastAsia="宋体" w:cs="Times New Roman"/>
                <w:color w:val="000000"/>
                <w:sz w:val="24"/>
                <w:szCs w:val="24"/>
              </w:rPr>
              <w:t>否</w:t>
            </w:r>
          </w:p>
          <w:p>
            <w:pPr>
              <w:keepNext w:val="0"/>
              <w:keepLines w:val="0"/>
              <w:suppressLineNumbers w:val="0"/>
              <w:adjustRightInd w:val="0"/>
              <w:snapToGrid w:val="0"/>
              <w:spacing w:before="0" w:beforeAutospacing="0" w:after="0" w:afterAutospacing="0"/>
              <w:ind w:left="0" w:right="0" w:firstLine="92"/>
              <w:jc w:val="left"/>
              <w:rPr>
                <w:rFonts w:hint="eastAsia" w:ascii="Times New Roman" w:hAnsi="Times New Roman" w:eastAsia="宋体" w:cs="Times New Roman"/>
                <w:color w:val="000000"/>
                <w:sz w:val="24"/>
                <w:szCs w:val="24"/>
                <w:lang w:eastAsia="zh-CN"/>
              </w:rPr>
            </w:pPr>
            <w:r>
              <w:rPr>
                <w:rFonts w:hint="eastAsia" w:cs="Times New Roman"/>
                <w:color w:val="000000"/>
                <w:sz w:val="24"/>
                <w:szCs w:val="24"/>
                <w:lang w:eastAsia="zh-CN"/>
              </w:rPr>
              <w:t>☑</w:t>
            </w:r>
            <w:r>
              <w:rPr>
                <w:rFonts w:hint="default" w:ascii="Times New Roman" w:hAnsi="Times New Roman" w:eastAsia="宋体" w:cs="Times New Roman"/>
                <w:color w:val="000000"/>
                <w:sz w:val="24"/>
                <w:szCs w:val="24"/>
              </w:rPr>
              <w:t>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Ex>
        <w:trPr>
          <w:trHeight w:val="911" w:hRule="atLeast"/>
        </w:trPr>
        <w:tc>
          <w:tcPr>
            <w:tcW w:w="1501" w:type="dxa"/>
            <w:noWrap w:val="0"/>
            <w:tcMar>
              <w:top w:w="16" w:type="dxa"/>
              <w:left w:w="16" w:type="dxa"/>
              <w:right w:w="16" w:type="dxa"/>
            </w:tcMar>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color w:val="000000"/>
                <w:kern w:val="0"/>
                <w:sz w:val="21"/>
                <w:szCs w:val="21"/>
              </w:rPr>
            </w:pPr>
            <w:r>
              <w:rPr>
                <w:rFonts w:hint="default" w:ascii="Times New Roman" w:hAnsi="Times New Roman" w:eastAsia="宋体" w:cs="Times New Roman"/>
                <w:color w:val="000000"/>
                <w:kern w:val="0"/>
                <w:sz w:val="21"/>
                <w:szCs w:val="21"/>
              </w:rPr>
              <w:t>专项评价设置情况</w:t>
            </w:r>
          </w:p>
        </w:tc>
        <w:tc>
          <w:tcPr>
            <w:tcW w:w="7538" w:type="dxa"/>
            <w:gridSpan w:val="4"/>
            <w:noWrap w:val="0"/>
            <w:tcMar>
              <w:top w:w="16" w:type="dxa"/>
              <w:left w:w="16" w:type="dxa"/>
              <w:right w:w="16" w:type="dxa"/>
            </w:tcMar>
            <w:vAlign w:val="center"/>
          </w:tcPr>
          <w:p>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default" w:ascii="Times New Roman" w:hAnsi="Times New Roman" w:eastAsia="宋体" w:cs="Times New Roman"/>
                <w:b/>
                <w:bCs/>
                <w:color w:val="000000"/>
                <w:kern w:val="0"/>
                <w:sz w:val="24"/>
                <w:szCs w:val="24"/>
                <w:lang w:val="en-US" w:eastAsia="zh-CN"/>
              </w:rPr>
            </w:pPr>
            <w:r>
              <w:rPr>
                <w:rFonts w:hint="default" w:ascii="Times New Roman" w:hAnsi="Times New Roman" w:eastAsia="宋体" w:cs="Times New Roman"/>
                <w:b/>
                <w:bCs/>
                <w:color w:val="000000"/>
                <w:kern w:val="0"/>
                <w:sz w:val="24"/>
                <w:szCs w:val="24"/>
                <w:lang w:val="en-US" w:eastAsia="zh-CN"/>
              </w:rPr>
              <w:t>表1-1专项评价设置判定一览表</w:t>
            </w:r>
          </w:p>
          <w:tbl>
            <w:tblPr>
              <w:tblStyle w:val="22"/>
              <w:tblW w:w="7473"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999"/>
              <w:gridCol w:w="3154"/>
              <w:gridCol w:w="2522"/>
              <w:gridCol w:w="79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c>
                <w:tcPr>
                  <w:tcW w:w="999" w:type="dxa"/>
                  <w:tcBorders>
                    <w:tl2br w:val="nil"/>
                    <w:tr2bl w:val="nil"/>
                  </w:tcBorders>
                  <w:noWrap w:val="0"/>
                  <w:vAlign w:val="center"/>
                </w:tcPr>
                <w:p>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default" w:ascii="Times New Roman" w:hAnsi="Times New Roman" w:eastAsia="宋体" w:cs="Times New Roman"/>
                      <w:b/>
                      <w:bCs/>
                      <w:color w:val="000000"/>
                      <w:kern w:val="0"/>
                      <w:sz w:val="21"/>
                      <w:szCs w:val="21"/>
                      <w:vertAlign w:val="baseline"/>
                      <w:lang w:val="en-US" w:eastAsia="zh-CN"/>
                    </w:rPr>
                  </w:pPr>
                  <w:r>
                    <w:rPr>
                      <w:rFonts w:hint="default" w:ascii="Times New Roman" w:hAnsi="Times New Roman" w:eastAsia="宋体" w:cs="Times New Roman"/>
                      <w:b/>
                      <w:bCs/>
                      <w:color w:val="000000"/>
                      <w:kern w:val="0"/>
                      <w:sz w:val="21"/>
                      <w:szCs w:val="21"/>
                      <w:vertAlign w:val="baseline"/>
                      <w:lang w:val="en-US" w:eastAsia="zh-CN"/>
                    </w:rPr>
                    <w:t>专项评价类别</w:t>
                  </w:r>
                </w:p>
              </w:tc>
              <w:tc>
                <w:tcPr>
                  <w:tcW w:w="3154" w:type="dxa"/>
                  <w:tcBorders>
                    <w:tl2br w:val="nil"/>
                    <w:tr2bl w:val="nil"/>
                  </w:tcBorders>
                  <w:noWrap w:val="0"/>
                  <w:vAlign w:val="center"/>
                </w:tcPr>
                <w:p>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default" w:ascii="Times New Roman" w:hAnsi="Times New Roman" w:eastAsia="宋体" w:cs="Times New Roman"/>
                      <w:b/>
                      <w:bCs/>
                      <w:color w:val="000000"/>
                      <w:kern w:val="0"/>
                      <w:sz w:val="21"/>
                      <w:szCs w:val="21"/>
                      <w:vertAlign w:val="baseline"/>
                      <w:lang w:val="en-US" w:eastAsia="zh-CN"/>
                    </w:rPr>
                  </w:pPr>
                  <w:r>
                    <w:rPr>
                      <w:rFonts w:hint="default" w:ascii="Times New Roman" w:hAnsi="Times New Roman" w:eastAsia="宋体" w:cs="Times New Roman"/>
                      <w:b/>
                      <w:bCs/>
                      <w:color w:val="000000"/>
                      <w:kern w:val="0"/>
                      <w:sz w:val="21"/>
                      <w:szCs w:val="21"/>
                      <w:vertAlign w:val="baseline"/>
                      <w:lang w:val="en-US" w:eastAsia="zh-CN"/>
                    </w:rPr>
                    <w:t>涉及项目类别</w:t>
                  </w:r>
                </w:p>
              </w:tc>
              <w:tc>
                <w:tcPr>
                  <w:tcW w:w="2522" w:type="dxa"/>
                  <w:tcBorders>
                    <w:tl2br w:val="nil"/>
                    <w:tr2bl w:val="nil"/>
                  </w:tcBorders>
                  <w:noWrap w:val="0"/>
                  <w:vAlign w:val="center"/>
                </w:tcPr>
                <w:p>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default" w:ascii="Times New Roman" w:hAnsi="Times New Roman" w:eastAsia="宋体" w:cs="Times New Roman"/>
                      <w:b/>
                      <w:bCs/>
                      <w:color w:val="000000"/>
                      <w:kern w:val="0"/>
                      <w:sz w:val="21"/>
                      <w:szCs w:val="21"/>
                      <w:vertAlign w:val="baseline"/>
                      <w:lang w:val="en-US" w:eastAsia="zh-CN"/>
                    </w:rPr>
                  </w:pPr>
                  <w:r>
                    <w:rPr>
                      <w:rFonts w:hint="default" w:ascii="Times New Roman" w:hAnsi="Times New Roman" w:eastAsia="宋体" w:cs="Times New Roman"/>
                      <w:b/>
                      <w:bCs/>
                      <w:color w:val="000000"/>
                      <w:kern w:val="0"/>
                      <w:sz w:val="21"/>
                      <w:szCs w:val="21"/>
                      <w:vertAlign w:val="baseline"/>
                      <w:lang w:val="en-US" w:eastAsia="zh-CN"/>
                    </w:rPr>
                    <w:t>本项目情况</w:t>
                  </w:r>
                </w:p>
              </w:tc>
              <w:tc>
                <w:tcPr>
                  <w:tcW w:w="798" w:type="dxa"/>
                  <w:tcBorders>
                    <w:tl2br w:val="nil"/>
                    <w:tr2bl w:val="nil"/>
                  </w:tcBorders>
                  <w:noWrap w:val="0"/>
                  <w:vAlign w:val="center"/>
                </w:tcPr>
                <w:p>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default" w:ascii="Times New Roman" w:hAnsi="Times New Roman" w:eastAsia="宋体" w:cs="Times New Roman"/>
                      <w:b/>
                      <w:bCs/>
                      <w:color w:val="000000"/>
                      <w:kern w:val="0"/>
                      <w:sz w:val="21"/>
                      <w:szCs w:val="21"/>
                      <w:vertAlign w:val="baseline"/>
                      <w:lang w:val="en-US" w:eastAsia="zh-CN"/>
                    </w:rPr>
                  </w:pPr>
                  <w:r>
                    <w:rPr>
                      <w:rFonts w:hint="default" w:ascii="Times New Roman" w:hAnsi="Times New Roman" w:eastAsia="宋体" w:cs="Times New Roman"/>
                      <w:b/>
                      <w:bCs/>
                      <w:color w:val="000000"/>
                      <w:kern w:val="0"/>
                      <w:sz w:val="21"/>
                      <w:szCs w:val="21"/>
                      <w:vertAlign w:val="baseline"/>
                      <w:lang w:val="en-US" w:eastAsia="zh-CN"/>
                    </w:rPr>
                    <w:t>是否设置</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c>
                <w:tcPr>
                  <w:tcW w:w="999" w:type="dxa"/>
                  <w:tcBorders>
                    <w:tl2br w:val="nil"/>
                    <w:tr2bl w:val="nil"/>
                  </w:tcBorders>
                  <w:noWrap w:val="0"/>
                  <w:vAlign w:val="center"/>
                </w:tcPr>
                <w:p>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default" w:ascii="Times New Roman" w:hAnsi="Times New Roman" w:eastAsia="宋体" w:cs="Times New Roman"/>
                      <w:color w:val="000000"/>
                      <w:kern w:val="0"/>
                      <w:sz w:val="21"/>
                      <w:szCs w:val="21"/>
                      <w:vertAlign w:val="baseline"/>
                      <w:lang w:val="en-US" w:eastAsia="zh-CN"/>
                    </w:rPr>
                  </w:pPr>
                  <w:r>
                    <w:rPr>
                      <w:rFonts w:hint="default" w:ascii="Times New Roman" w:hAnsi="Times New Roman" w:eastAsia="宋体" w:cs="Times New Roman"/>
                      <w:color w:val="000000"/>
                      <w:kern w:val="0"/>
                      <w:sz w:val="21"/>
                      <w:szCs w:val="21"/>
                      <w:vertAlign w:val="baseline"/>
                      <w:lang w:val="en-US" w:eastAsia="zh-CN"/>
                    </w:rPr>
                    <w:t>地表水</w:t>
                  </w:r>
                </w:p>
              </w:tc>
              <w:tc>
                <w:tcPr>
                  <w:tcW w:w="3154" w:type="dxa"/>
                  <w:tcBorders>
                    <w:tl2br w:val="nil"/>
                    <w:tr2bl w:val="nil"/>
                  </w:tcBorders>
                  <w:noWrap w:val="0"/>
                  <w:vAlign w:val="center"/>
                </w:tcPr>
                <w:p>
                  <w:pPr>
                    <w:keepNext w:val="0"/>
                    <w:keepLines w:val="0"/>
                    <w:suppressLineNumbers w:val="0"/>
                    <w:autoSpaceDE w:val="0"/>
                    <w:autoSpaceDN w:val="0"/>
                    <w:adjustRightInd w:val="0"/>
                    <w:snapToGrid w:val="0"/>
                    <w:spacing w:before="0" w:beforeAutospacing="0" w:after="0" w:afterAutospacing="0" w:line="240" w:lineRule="auto"/>
                    <w:ind w:left="0" w:right="0"/>
                    <w:jc w:val="left"/>
                    <w:rPr>
                      <w:rFonts w:hint="default" w:ascii="Times New Roman" w:hAnsi="Times New Roman" w:eastAsia="宋体" w:cs="Times New Roman"/>
                      <w:color w:val="000000"/>
                      <w:kern w:val="0"/>
                      <w:sz w:val="21"/>
                      <w:szCs w:val="21"/>
                      <w:vertAlign w:val="baseline"/>
                    </w:rPr>
                  </w:pPr>
                  <w:r>
                    <w:rPr>
                      <w:rFonts w:hint="default" w:ascii="Times New Roman" w:hAnsi="Times New Roman" w:eastAsia="宋体" w:cs="Times New Roman"/>
                      <w:color w:val="000000"/>
                      <w:kern w:val="0"/>
                      <w:sz w:val="21"/>
                      <w:szCs w:val="21"/>
                      <w:vertAlign w:val="baseline"/>
                    </w:rPr>
                    <w:t>水力发电：引水式发电、涉及调峰发电的项目；</w:t>
                  </w:r>
                </w:p>
                <w:p>
                  <w:pPr>
                    <w:keepNext w:val="0"/>
                    <w:keepLines w:val="0"/>
                    <w:suppressLineNumbers w:val="0"/>
                    <w:autoSpaceDE w:val="0"/>
                    <w:autoSpaceDN w:val="0"/>
                    <w:adjustRightInd w:val="0"/>
                    <w:snapToGrid w:val="0"/>
                    <w:spacing w:before="0" w:beforeAutospacing="0" w:after="0" w:afterAutospacing="0" w:line="240" w:lineRule="auto"/>
                    <w:ind w:left="0" w:right="0"/>
                    <w:jc w:val="left"/>
                    <w:rPr>
                      <w:rFonts w:hint="default" w:ascii="Times New Roman" w:hAnsi="Times New Roman" w:eastAsia="宋体" w:cs="Times New Roman"/>
                      <w:color w:val="000000"/>
                      <w:kern w:val="0"/>
                      <w:sz w:val="21"/>
                      <w:szCs w:val="21"/>
                      <w:vertAlign w:val="baseline"/>
                    </w:rPr>
                  </w:pPr>
                  <w:r>
                    <w:rPr>
                      <w:rFonts w:hint="default" w:ascii="Times New Roman" w:hAnsi="Times New Roman" w:eastAsia="宋体" w:cs="Times New Roman"/>
                      <w:color w:val="000000"/>
                      <w:kern w:val="0"/>
                      <w:sz w:val="21"/>
                      <w:szCs w:val="21"/>
                      <w:vertAlign w:val="baseline"/>
                    </w:rPr>
                    <w:t>人工湖、人工湿地：全部；</w:t>
                  </w:r>
                </w:p>
                <w:p>
                  <w:pPr>
                    <w:keepNext w:val="0"/>
                    <w:keepLines w:val="0"/>
                    <w:suppressLineNumbers w:val="0"/>
                    <w:autoSpaceDE w:val="0"/>
                    <w:autoSpaceDN w:val="0"/>
                    <w:adjustRightInd w:val="0"/>
                    <w:snapToGrid w:val="0"/>
                    <w:spacing w:before="0" w:beforeAutospacing="0" w:after="0" w:afterAutospacing="0" w:line="240" w:lineRule="auto"/>
                    <w:ind w:left="0" w:right="0"/>
                    <w:jc w:val="left"/>
                    <w:rPr>
                      <w:rFonts w:hint="default" w:ascii="Times New Roman" w:hAnsi="Times New Roman" w:eastAsia="宋体" w:cs="Times New Roman"/>
                      <w:color w:val="000000"/>
                      <w:kern w:val="0"/>
                      <w:sz w:val="21"/>
                      <w:szCs w:val="21"/>
                      <w:vertAlign w:val="baseline"/>
                    </w:rPr>
                  </w:pPr>
                  <w:r>
                    <w:rPr>
                      <w:rFonts w:hint="eastAsia" w:cs="Times New Roman"/>
                      <w:color w:val="000000"/>
                      <w:kern w:val="0"/>
                      <w:sz w:val="21"/>
                      <w:szCs w:val="21"/>
                      <w:vertAlign w:val="baseline"/>
                      <w:lang w:eastAsia="zh-CN"/>
                    </w:rPr>
                    <w:t>矿区</w:t>
                  </w:r>
                  <w:r>
                    <w:rPr>
                      <w:rFonts w:hint="default" w:ascii="Times New Roman" w:hAnsi="Times New Roman" w:eastAsia="宋体" w:cs="Times New Roman"/>
                      <w:color w:val="000000"/>
                      <w:kern w:val="0"/>
                      <w:sz w:val="21"/>
                      <w:szCs w:val="21"/>
                      <w:vertAlign w:val="baseline"/>
                    </w:rPr>
                    <w:t>：全部；</w:t>
                  </w:r>
                </w:p>
                <w:p>
                  <w:pPr>
                    <w:keepNext w:val="0"/>
                    <w:keepLines w:val="0"/>
                    <w:suppressLineNumbers w:val="0"/>
                    <w:autoSpaceDE w:val="0"/>
                    <w:autoSpaceDN w:val="0"/>
                    <w:adjustRightInd w:val="0"/>
                    <w:snapToGrid w:val="0"/>
                    <w:spacing w:before="0" w:beforeAutospacing="0" w:after="0" w:afterAutospacing="0" w:line="240" w:lineRule="auto"/>
                    <w:ind w:left="0" w:right="0"/>
                    <w:jc w:val="left"/>
                    <w:rPr>
                      <w:rFonts w:hint="default" w:ascii="Times New Roman" w:hAnsi="Times New Roman" w:eastAsia="宋体" w:cs="Times New Roman"/>
                      <w:color w:val="000000"/>
                      <w:kern w:val="0"/>
                      <w:sz w:val="21"/>
                      <w:szCs w:val="21"/>
                      <w:vertAlign w:val="baseline"/>
                    </w:rPr>
                  </w:pPr>
                  <w:r>
                    <w:rPr>
                      <w:rFonts w:hint="default" w:ascii="Times New Roman" w:hAnsi="Times New Roman" w:eastAsia="宋体" w:cs="Times New Roman"/>
                      <w:color w:val="000000"/>
                      <w:kern w:val="0"/>
                      <w:sz w:val="21"/>
                      <w:szCs w:val="21"/>
                      <w:vertAlign w:val="baseline"/>
                    </w:rPr>
                    <w:t>引水工程：全部（配套的管线工程等除外）；</w:t>
                  </w:r>
                </w:p>
                <w:p>
                  <w:pPr>
                    <w:keepNext w:val="0"/>
                    <w:keepLines w:val="0"/>
                    <w:suppressLineNumbers w:val="0"/>
                    <w:autoSpaceDE w:val="0"/>
                    <w:autoSpaceDN w:val="0"/>
                    <w:adjustRightInd w:val="0"/>
                    <w:snapToGrid w:val="0"/>
                    <w:spacing w:before="0" w:beforeAutospacing="0" w:after="0" w:afterAutospacing="0" w:line="240" w:lineRule="auto"/>
                    <w:ind w:left="0" w:right="0"/>
                    <w:jc w:val="left"/>
                    <w:rPr>
                      <w:rFonts w:hint="default" w:ascii="Times New Roman" w:hAnsi="Times New Roman" w:eastAsia="宋体" w:cs="Times New Roman"/>
                      <w:color w:val="000000"/>
                      <w:kern w:val="0"/>
                      <w:sz w:val="21"/>
                      <w:szCs w:val="21"/>
                      <w:vertAlign w:val="baseline"/>
                    </w:rPr>
                  </w:pPr>
                  <w:r>
                    <w:rPr>
                      <w:rFonts w:hint="default" w:ascii="Times New Roman" w:hAnsi="Times New Roman" w:eastAsia="宋体" w:cs="Times New Roman"/>
                      <w:color w:val="000000"/>
                      <w:kern w:val="0"/>
                      <w:sz w:val="21"/>
                      <w:szCs w:val="21"/>
                      <w:vertAlign w:val="baseline"/>
                    </w:rPr>
                    <w:t>防洪除涝工程：包含</w:t>
                  </w:r>
                  <w:r>
                    <w:rPr>
                      <w:rFonts w:hint="eastAsia" w:cs="Times New Roman"/>
                      <w:color w:val="000000"/>
                      <w:kern w:val="0"/>
                      <w:sz w:val="21"/>
                      <w:szCs w:val="21"/>
                      <w:vertAlign w:val="baseline"/>
                      <w:lang w:eastAsia="zh-CN"/>
                    </w:rPr>
                    <w:t>矿区</w:t>
                  </w:r>
                  <w:r>
                    <w:rPr>
                      <w:rFonts w:hint="default" w:ascii="Times New Roman" w:hAnsi="Times New Roman" w:eastAsia="宋体" w:cs="Times New Roman"/>
                      <w:color w:val="000000"/>
                      <w:kern w:val="0"/>
                      <w:sz w:val="21"/>
                      <w:szCs w:val="21"/>
                      <w:vertAlign w:val="baseline"/>
                    </w:rPr>
                    <w:t>的项目；</w:t>
                  </w:r>
                </w:p>
                <w:p>
                  <w:pPr>
                    <w:keepNext w:val="0"/>
                    <w:keepLines w:val="0"/>
                    <w:suppressLineNumbers w:val="0"/>
                    <w:autoSpaceDE w:val="0"/>
                    <w:autoSpaceDN w:val="0"/>
                    <w:adjustRightInd w:val="0"/>
                    <w:snapToGrid w:val="0"/>
                    <w:spacing w:before="0" w:beforeAutospacing="0" w:after="0" w:afterAutospacing="0" w:line="240" w:lineRule="auto"/>
                    <w:ind w:left="0" w:right="0"/>
                    <w:jc w:val="left"/>
                    <w:rPr>
                      <w:rFonts w:hint="default" w:ascii="Times New Roman" w:hAnsi="Times New Roman" w:eastAsia="宋体" w:cs="Times New Roman"/>
                      <w:color w:val="000000"/>
                      <w:kern w:val="0"/>
                      <w:sz w:val="21"/>
                      <w:szCs w:val="21"/>
                      <w:vertAlign w:val="baseline"/>
                    </w:rPr>
                  </w:pPr>
                  <w:r>
                    <w:rPr>
                      <w:rFonts w:hint="default" w:ascii="Times New Roman" w:hAnsi="Times New Roman" w:eastAsia="宋体" w:cs="Times New Roman"/>
                      <w:color w:val="000000"/>
                      <w:kern w:val="0"/>
                      <w:sz w:val="21"/>
                      <w:szCs w:val="21"/>
                      <w:vertAlign w:val="baseline"/>
                    </w:rPr>
                    <w:t>河湖整治：涉及清淤且底泥存在重金属污染的项目</w:t>
                  </w:r>
                </w:p>
              </w:tc>
              <w:tc>
                <w:tcPr>
                  <w:tcW w:w="2522"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000000"/>
                      <w:kern w:val="0"/>
                      <w:sz w:val="21"/>
                      <w:szCs w:val="21"/>
                      <w:vertAlign w:val="baseline"/>
                      <w:lang w:eastAsia="zh-CN"/>
                    </w:rPr>
                  </w:pPr>
                  <w:r>
                    <w:rPr>
                      <w:rFonts w:hint="eastAsia" w:ascii="Calibri" w:hAnsi="Calibri" w:cs="Times New Roman"/>
                      <w:lang w:val="en-US" w:eastAsia="zh-CN"/>
                    </w:rPr>
                    <w:t>不涉及</w:t>
                  </w:r>
                </w:p>
              </w:tc>
              <w:tc>
                <w:tcPr>
                  <w:tcW w:w="798" w:type="dxa"/>
                  <w:tcBorders>
                    <w:tl2br w:val="nil"/>
                    <w:tr2bl w:val="nil"/>
                  </w:tcBorders>
                  <w:noWrap w:val="0"/>
                  <w:vAlign w:val="center"/>
                </w:tcPr>
                <w:p>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default" w:ascii="Times New Roman" w:hAnsi="Times New Roman" w:eastAsia="宋体" w:cs="Times New Roman"/>
                      <w:color w:val="000000"/>
                      <w:kern w:val="0"/>
                      <w:sz w:val="21"/>
                      <w:szCs w:val="21"/>
                      <w:vertAlign w:val="baseline"/>
                      <w:lang w:val="en-US" w:eastAsia="zh-CN"/>
                    </w:rPr>
                  </w:pPr>
                  <w:r>
                    <w:rPr>
                      <w:rFonts w:hint="default" w:ascii="Times New Roman" w:hAnsi="Times New Roman" w:eastAsia="宋体" w:cs="Times New Roman"/>
                      <w:color w:val="000000"/>
                      <w:kern w:val="0"/>
                      <w:sz w:val="21"/>
                      <w:szCs w:val="21"/>
                      <w:vertAlign w:val="baseline"/>
                      <w:lang w:val="en-US" w:eastAsia="zh-CN"/>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c>
                <w:tcPr>
                  <w:tcW w:w="999" w:type="dxa"/>
                  <w:tcBorders>
                    <w:tl2br w:val="nil"/>
                    <w:tr2bl w:val="nil"/>
                  </w:tcBorders>
                  <w:noWrap w:val="0"/>
                  <w:vAlign w:val="center"/>
                </w:tcPr>
                <w:p>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default" w:ascii="Times New Roman" w:hAnsi="Times New Roman" w:eastAsia="宋体" w:cs="Times New Roman"/>
                      <w:color w:val="000000"/>
                      <w:kern w:val="0"/>
                      <w:sz w:val="21"/>
                      <w:szCs w:val="21"/>
                      <w:vertAlign w:val="baseline"/>
                      <w:lang w:val="en-US" w:eastAsia="zh-CN"/>
                    </w:rPr>
                  </w:pPr>
                  <w:r>
                    <w:rPr>
                      <w:rFonts w:hint="default" w:ascii="Times New Roman" w:hAnsi="Times New Roman" w:eastAsia="宋体" w:cs="Times New Roman"/>
                      <w:color w:val="000000"/>
                      <w:kern w:val="0"/>
                      <w:sz w:val="21"/>
                      <w:szCs w:val="21"/>
                      <w:vertAlign w:val="baseline"/>
                      <w:lang w:val="en-US" w:eastAsia="zh-CN"/>
                    </w:rPr>
                    <w:t>地下水</w:t>
                  </w:r>
                </w:p>
              </w:tc>
              <w:tc>
                <w:tcPr>
                  <w:tcW w:w="3154" w:type="dxa"/>
                  <w:tcBorders>
                    <w:tl2br w:val="nil"/>
                    <w:tr2bl w:val="nil"/>
                  </w:tcBorders>
                  <w:noWrap w:val="0"/>
                  <w:vAlign w:val="center"/>
                </w:tcPr>
                <w:p>
                  <w:pPr>
                    <w:keepNext w:val="0"/>
                    <w:keepLines w:val="0"/>
                    <w:suppressLineNumbers w:val="0"/>
                    <w:autoSpaceDE w:val="0"/>
                    <w:autoSpaceDN w:val="0"/>
                    <w:adjustRightInd w:val="0"/>
                    <w:snapToGrid w:val="0"/>
                    <w:spacing w:before="0" w:beforeAutospacing="0" w:after="0" w:afterAutospacing="0" w:line="240" w:lineRule="auto"/>
                    <w:ind w:left="0" w:right="0"/>
                    <w:jc w:val="left"/>
                    <w:rPr>
                      <w:rFonts w:hint="default" w:ascii="Times New Roman" w:hAnsi="Times New Roman" w:eastAsia="宋体" w:cs="Times New Roman"/>
                      <w:color w:val="000000"/>
                      <w:kern w:val="0"/>
                      <w:sz w:val="21"/>
                      <w:szCs w:val="21"/>
                      <w:vertAlign w:val="baseline"/>
                    </w:rPr>
                  </w:pPr>
                  <w:r>
                    <w:rPr>
                      <w:rFonts w:hint="default" w:ascii="Times New Roman" w:hAnsi="Times New Roman" w:eastAsia="宋体" w:cs="Times New Roman"/>
                      <w:color w:val="000000"/>
                      <w:kern w:val="0"/>
                      <w:sz w:val="21"/>
                      <w:szCs w:val="21"/>
                      <w:vertAlign w:val="baseline"/>
                    </w:rPr>
                    <w:t>陆地石油和天然气开采：全部；</w:t>
                  </w:r>
                </w:p>
                <w:p>
                  <w:pPr>
                    <w:keepNext w:val="0"/>
                    <w:keepLines w:val="0"/>
                    <w:suppressLineNumbers w:val="0"/>
                    <w:autoSpaceDE w:val="0"/>
                    <w:autoSpaceDN w:val="0"/>
                    <w:adjustRightInd w:val="0"/>
                    <w:snapToGrid w:val="0"/>
                    <w:spacing w:before="0" w:beforeAutospacing="0" w:after="0" w:afterAutospacing="0" w:line="240" w:lineRule="auto"/>
                    <w:ind w:left="0" w:right="0"/>
                    <w:jc w:val="left"/>
                    <w:rPr>
                      <w:rFonts w:hint="default" w:ascii="Times New Roman" w:hAnsi="Times New Roman" w:eastAsia="宋体" w:cs="Times New Roman"/>
                      <w:color w:val="000000"/>
                      <w:kern w:val="0"/>
                      <w:sz w:val="21"/>
                      <w:szCs w:val="21"/>
                      <w:vertAlign w:val="baseline"/>
                    </w:rPr>
                  </w:pPr>
                  <w:r>
                    <w:rPr>
                      <w:rFonts w:hint="default" w:ascii="Times New Roman" w:hAnsi="Times New Roman" w:eastAsia="宋体" w:cs="Times New Roman"/>
                      <w:color w:val="000000"/>
                      <w:kern w:val="0"/>
                      <w:sz w:val="21"/>
                      <w:szCs w:val="21"/>
                      <w:vertAlign w:val="baseline"/>
                    </w:rPr>
                    <w:t>地下水（含矿泉水）开采：全部；</w:t>
                  </w:r>
                </w:p>
                <w:p>
                  <w:pPr>
                    <w:keepNext w:val="0"/>
                    <w:keepLines w:val="0"/>
                    <w:suppressLineNumbers w:val="0"/>
                    <w:autoSpaceDE w:val="0"/>
                    <w:autoSpaceDN w:val="0"/>
                    <w:adjustRightInd w:val="0"/>
                    <w:snapToGrid w:val="0"/>
                    <w:spacing w:before="0" w:beforeAutospacing="0" w:after="0" w:afterAutospacing="0" w:line="240" w:lineRule="auto"/>
                    <w:ind w:left="0" w:right="0"/>
                    <w:jc w:val="left"/>
                    <w:rPr>
                      <w:rFonts w:hint="default" w:ascii="Times New Roman" w:hAnsi="Times New Roman" w:eastAsia="宋体" w:cs="Times New Roman"/>
                      <w:color w:val="000000"/>
                      <w:kern w:val="0"/>
                      <w:sz w:val="21"/>
                      <w:szCs w:val="21"/>
                      <w:vertAlign w:val="baseline"/>
                    </w:rPr>
                  </w:pPr>
                  <w:r>
                    <w:rPr>
                      <w:rFonts w:hint="default" w:ascii="Times New Roman" w:hAnsi="Times New Roman" w:eastAsia="宋体" w:cs="Times New Roman"/>
                      <w:color w:val="000000"/>
                      <w:kern w:val="0"/>
                      <w:sz w:val="21"/>
                      <w:szCs w:val="21"/>
                      <w:vertAlign w:val="baseline"/>
                    </w:rPr>
                    <w:t>水利、水电、交通等：含穿越可溶岩地层隧道的项目</w:t>
                  </w:r>
                </w:p>
              </w:tc>
              <w:tc>
                <w:tcPr>
                  <w:tcW w:w="2522"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000000"/>
                      <w:kern w:val="0"/>
                      <w:sz w:val="21"/>
                      <w:szCs w:val="21"/>
                      <w:vertAlign w:val="baseline"/>
                      <w:lang w:val="en-US" w:eastAsia="zh-CN"/>
                    </w:rPr>
                  </w:pPr>
                  <w:r>
                    <w:rPr>
                      <w:rFonts w:hint="eastAsia" w:ascii="Calibri" w:hAnsi="Calibri" w:cs="Times New Roman"/>
                      <w:lang w:val="en-US" w:eastAsia="zh-CN"/>
                    </w:rPr>
                    <w:t>不涉及</w:t>
                  </w:r>
                </w:p>
              </w:tc>
              <w:tc>
                <w:tcPr>
                  <w:tcW w:w="798" w:type="dxa"/>
                  <w:tcBorders>
                    <w:tl2br w:val="nil"/>
                    <w:tr2bl w:val="nil"/>
                  </w:tcBorders>
                  <w:noWrap w:val="0"/>
                  <w:vAlign w:val="center"/>
                </w:tcPr>
                <w:p>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default" w:ascii="Times New Roman" w:hAnsi="Times New Roman" w:eastAsia="宋体" w:cs="Times New Roman"/>
                      <w:color w:val="000000"/>
                      <w:kern w:val="0"/>
                      <w:sz w:val="21"/>
                      <w:szCs w:val="21"/>
                      <w:vertAlign w:val="baseline"/>
                      <w:lang w:val="en-US" w:eastAsia="zh-CN"/>
                    </w:rPr>
                  </w:pPr>
                  <w:r>
                    <w:rPr>
                      <w:rFonts w:hint="default" w:ascii="Times New Roman" w:hAnsi="Times New Roman" w:eastAsia="宋体" w:cs="Times New Roman"/>
                      <w:color w:val="000000"/>
                      <w:kern w:val="0"/>
                      <w:sz w:val="21"/>
                      <w:szCs w:val="21"/>
                      <w:vertAlign w:val="baseline"/>
                      <w:lang w:val="en-US" w:eastAsia="zh-CN"/>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c>
                <w:tcPr>
                  <w:tcW w:w="999" w:type="dxa"/>
                  <w:tcBorders>
                    <w:tl2br w:val="nil"/>
                    <w:tr2bl w:val="nil"/>
                  </w:tcBorders>
                  <w:noWrap w:val="0"/>
                  <w:vAlign w:val="center"/>
                </w:tcPr>
                <w:p>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default" w:ascii="Times New Roman" w:hAnsi="Times New Roman" w:eastAsia="宋体" w:cs="Times New Roman"/>
                      <w:color w:val="000000"/>
                      <w:kern w:val="0"/>
                      <w:sz w:val="21"/>
                      <w:szCs w:val="21"/>
                      <w:vertAlign w:val="baseline"/>
                      <w:lang w:val="en-US" w:eastAsia="zh-CN"/>
                    </w:rPr>
                  </w:pPr>
                  <w:r>
                    <w:rPr>
                      <w:rFonts w:hint="default" w:ascii="Times New Roman" w:hAnsi="Times New Roman" w:eastAsia="宋体" w:cs="Times New Roman"/>
                      <w:color w:val="000000"/>
                      <w:kern w:val="0"/>
                      <w:sz w:val="21"/>
                      <w:szCs w:val="21"/>
                      <w:vertAlign w:val="baseline"/>
                      <w:lang w:val="en-US" w:eastAsia="zh-CN"/>
                    </w:rPr>
                    <w:t>生态</w:t>
                  </w:r>
                </w:p>
              </w:tc>
              <w:tc>
                <w:tcPr>
                  <w:tcW w:w="3154" w:type="dxa"/>
                  <w:tcBorders>
                    <w:tl2br w:val="nil"/>
                    <w:tr2bl w:val="nil"/>
                  </w:tcBorders>
                  <w:noWrap w:val="0"/>
                  <w:vAlign w:val="center"/>
                </w:tcPr>
                <w:p>
                  <w:pPr>
                    <w:keepNext w:val="0"/>
                    <w:keepLines w:val="0"/>
                    <w:suppressLineNumbers w:val="0"/>
                    <w:autoSpaceDE w:val="0"/>
                    <w:autoSpaceDN w:val="0"/>
                    <w:adjustRightInd w:val="0"/>
                    <w:snapToGrid w:val="0"/>
                    <w:spacing w:before="0" w:beforeAutospacing="0" w:after="0" w:afterAutospacing="0" w:line="240" w:lineRule="auto"/>
                    <w:ind w:left="0" w:right="0"/>
                    <w:jc w:val="left"/>
                    <w:rPr>
                      <w:rFonts w:hint="default" w:ascii="Times New Roman" w:hAnsi="Times New Roman" w:eastAsia="宋体" w:cs="Times New Roman"/>
                      <w:color w:val="000000"/>
                      <w:kern w:val="0"/>
                      <w:sz w:val="21"/>
                      <w:szCs w:val="21"/>
                      <w:vertAlign w:val="baseline"/>
                    </w:rPr>
                  </w:pPr>
                  <w:r>
                    <w:rPr>
                      <w:rFonts w:hint="default" w:ascii="Times New Roman" w:hAnsi="Times New Roman" w:eastAsia="宋体" w:cs="Times New Roman"/>
                      <w:color w:val="000000"/>
                      <w:kern w:val="0"/>
                      <w:sz w:val="21"/>
                      <w:szCs w:val="21"/>
                      <w:vertAlign w:val="baseline"/>
                    </w:rPr>
                    <w:t>涉及环境敏感区（不包括饮用水水源保护区，以居住、医疗卫生、文化教育、科研、行政办公为主要功能的区域，以及文物保护单位）的项目</w:t>
                  </w:r>
                </w:p>
              </w:tc>
              <w:tc>
                <w:tcPr>
                  <w:tcW w:w="2522"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000000"/>
                      <w:kern w:val="0"/>
                      <w:sz w:val="21"/>
                      <w:szCs w:val="21"/>
                      <w:vertAlign w:val="baseline"/>
                    </w:rPr>
                  </w:pPr>
                  <w:r>
                    <w:rPr>
                      <w:rFonts w:hint="eastAsia" w:ascii="Calibri" w:hAnsi="Calibri" w:cs="Times New Roman"/>
                      <w:lang w:val="en-US" w:eastAsia="zh-CN"/>
                    </w:rPr>
                    <w:t>不涉及</w:t>
                  </w:r>
                </w:p>
              </w:tc>
              <w:tc>
                <w:tcPr>
                  <w:tcW w:w="798" w:type="dxa"/>
                  <w:tcBorders>
                    <w:tl2br w:val="nil"/>
                    <w:tr2bl w:val="nil"/>
                  </w:tcBorders>
                  <w:noWrap w:val="0"/>
                  <w:vAlign w:val="center"/>
                </w:tcPr>
                <w:p>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default" w:ascii="Times New Roman" w:hAnsi="Times New Roman" w:eastAsia="宋体" w:cs="Times New Roman"/>
                      <w:color w:val="000000"/>
                      <w:kern w:val="0"/>
                      <w:sz w:val="21"/>
                      <w:szCs w:val="21"/>
                      <w:vertAlign w:val="baseline"/>
                      <w:lang w:val="en-US" w:eastAsia="zh-CN"/>
                    </w:rPr>
                  </w:pPr>
                  <w:r>
                    <w:rPr>
                      <w:rFonts w:hint="default" w:ascii="Times New Roman" w:hAnsi="Times New Roman" w:eastAsia="宋体" w:cs="Times New Roman"/>
                      <w:color w:val="000000"/>
                      <w:kern w:val="0"/>
                      <w:sz w:val="21"/>
                      <w:szCs w:val="21"/>
                      <w:vertAlign w:val="baseline"/>
                      <w:lang w:val="en-US" w:eastAsia="zh-CN"/>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c>
                <w:tcPr>
                  <w:tcW w:w="999" w:type="dxa"/>
                  <w:tcBorders>
                    <w:tl2br w:val="nil"/>
                    <w:tr2bl w:val="nil"/>
                  </w:tcBorders>
                  <w:noWrap w:val="0"/>
                  <w:vAlign w:val="center"/>
                </w:tcPr>
                <w:p>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default" w:ascii="Times New Roman" w:hAnsi="Times New Roman" w:eastAsia="宋体" w:cs="Times New Roman"/>
                      <w:color w:val="000000"/>
                      <w:kern w:val="0"/>
                      <w:sz w:val="21"/>
                      <w:szCs w:val="21"/>
                      <w:vertAlign w:val="baseline"/>
                      <w:lang w:val="en-US" w:eastAsia="zh-CN"/>
                    </w:rPr>
                  </w:pPr>
                  <w:r>
                    <w:rPr>
                      <w:rFonts w:hint="default" w:ascii="Times New Roman" w:hAnsi="Times New Roman" w:eastAsia="宋体" w:cs="Times New Roman"/>
                      <w:color w:val="000000"/>
                      <w:kern w:val="0"/>
                      <w:sz w:val="21"/>
                      <w:szCs w:val="21"/>
                      <w:vertAlign w:val="baseline"/>
                      <w:lang w:val="en-US" w:eastAsia="zh-CN"/>
                    </w:rPr>
                    <w:t>大气</w:t>
                  </w:r>
                </w:p>
              </w:tc>
              <w:tc>
                <w:tcPr>
                  <w:tcW w:w="3154" w:type="dxa"/>
                  <w:tcBorders>
                    <w:tl2br w:val="nil"/>
                    <w:tr2bl w:val="nil"/>
                  </w:tcBorders>
                  <w:noWrap w:val="0"/>
                  <w:vAlign w:val="center"/>
                </w:tcPr>
                <w:p>
                  <w:pPr>
                    <w:keepNext w:val="0"/>
                    <w:keepLines w:val="0"/>
                    <w:suppressLineNumbers w:val="0"/>
                    <w:autoSpaceDE w:val="0"/>
                    <w:autoSpaceDN w:val="0"/>
                    <w:adjustRightInd w:val="0"/>
                    <w:snapToGrid w:val="0"/>
                    <w:spacing w:before="0" w:beforeAutospacing="0" w:after="0" w:afterAutospacing="0" w:line="240" w:lineRule="auto"/>
                    <w:ind w:left="0" w:right="0"/>
                    <w:jc w:val="left"/>
                    <w:rPr>
                      <w:rFonts w:hint="default" w:ascii="Times New Roman" w:hAnsi="Times New Roman" w:eastAsia="宋体" w:cs="Times New Roman"/>
                      <w:color w:val="000000"/>
                      <w:kern w:val="0"/>
                      <w:sz w:val="21"/>
                      <w:szCs w:val="21"/>
                      <w:vertAlign w:val="baseline"/>
                    </w:rPr>
                  </w:pPr>
                  <w:r>
                    <w:rPr>
                      <w:rFonts w:hint="default" w:ascii="Times New Roman" w:hAnsi="Times New Roman" w:eastAsia="宋体" w:cs="Times New Roman"/>
                      <w:color w:val="000000"/>
                      <w:kern w:val="0"/>
                      <w:sz w:val="21"/>
                      <w:szCs w:val="21"/>
                      <w:vertAlign w:val="baseline"/>
                    </w:rPr>
                    <w:t>油气、液体化工码头：全部；</w:t>
                  </w:r>
                </w:p>
                <w:p>
                  <w:pPr>
                    <w:keepNext w:val="0"/>
                    <w:keepLines w:val="0"/>
                    <w:suppressLineNumbers w:val="0"/>
                    <w:autoSpaceDE w:val="0"/>
                    <w:autoSpaceDN w:val="0"/>
                    <w:adjustRightInd w:val="0"/>
                    <w:snapToGrid w:val="0"/>
                    <w:spacing w:before="0" w:beforeAutospacing="0" w:after="0" w:afterAutospacing="0" w:line="240" w:lineRule="auto"/>
                    <w:ind w:left="0" w:right="0"/>
                    <w:jc w:val="left"/>
                    <w:rPr>
                      <w:rFonts w:hint="default" w:ascii="Times New Roman" w:hAnsi="Times New Roman" w:eastAsia="宋体" w:cs="Times New Roman"/>
                      <w:color w:val="000000"/>
                      <w:kern w:val="0"/>
                      <w:sz w:val="21"/>
                      <w:szCs w:val="21"/>
                      <w:vertAlign w:val="baseline"/>
                    </w:rPr>
                  </w:pPr>
                  <w:r>
                    <w:rPr>
                      <w:rFonts w:hint="default" w:ascii="Times New Roman" w:hAnsi="Times New Roman" w:eastAsia="宋体" w:cs="Times New Roman"/>
                      <w:color w:val="000000"/>
                      <w:kern w:val="0"/>
                      <w:sz w:val="21"/>
                      <w:szCs w:val="21"/>
                      <w:vertAlign w:val="baseline"/>
                    </w:rPr>
                    <w:t>干散货（含煤炭、矿石）、件杂、多用途、通用码头：涉及粉尘、挥发性有机物排放的项目</w:t>
                  </w:r>
                </w:p>
              </w:tc>
              <w:tc>
                <w:tcPr>
                  <w:tcW w:w="2522"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000000"/>
                      <w:kern w:val="0"/>
                      <w:sz w:val="21"/>
                      <w:szCs w:val="21"/>
                      <w:vertAlign w:val="baseline"/>
                      <w:lang w:eastAsia="zh-CN"/>
                    </w:rPr>
                  </w:pPr>
                  <w:r>
                    <w:rPr>
                      <w:rFonts w:hint="eastAsia" w:ascii="Calibri" w:hAnsi="Calibri" w:cs="Times New Roman"/>
                      <w:lang w:val="en-US" w:eastAsia="zh-CN"/>
                    </w:rPr>
                    <w:t>不涉及</w:t>
                  </w:r>
                </w:p>
              </w:tc>
              <w:tc>
                <w:tcPr>
                  <w:tcW w:w="798" w:type="dxa"/>
                  <w:tcBorders>
                    <w:tl2br w:val="nil"/>
                    <w:tr2bl w:val="nil"/>
                  </w:tcBorders>
                  <w:noWrap w:val="0"/>
                  <w:vAlign w:val="center"/>
                </w:tcPr>
                <w:p>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default" w:ascii="Times New Roman" w:hAnsi="Times New Roman" w:eastAsia="宋体" w:cs="Times New Roman"/>
                      <w:color w:val="000000"/>
                      <w:kern w:val="0"/>
                      <w:sz w:val="21"/>
                      <w:szCs w:val="21"/>
                      <w:vertAlign w:val="baseline"/>
                      <w:lang w:val="en-US" w:eastAsia="zh-CN"/>
                    </w:rPr>
                  </w:pPr>
                  <w:r>
                    <w:rPr>
                      <w:rFonts w:hint="default" w:ascii="Times New Roman" w:hAnsi="Times New Roman" w:eastAsia="宋体" w:cs="Times New Roman"/>
                      <w:color w:val="000000"/>
                      <w:kern w:val="0"/>
                      <w:sz w:val="21"/>
                      <w:szCs w:val="21"/>
                      <w:vertAlign w:val="baseline"/>
                      <w:lang w:val="en-US" w:eastAsia="zh-CN"/>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c>
                <w:tcPr>
                  <w:tcW w:w="999" w:type="dxa"/>
                  <w:tcBorders>
                    <w:tl2br w:val="nil"/>
                    <w:tr2bl w:val="nil"/>
                  </w:tcBorders>
                  <w:noWrap w:val="0"/>
                  <w:vAlign w:val="center"/>
                </w:tcPr>
                <w:p>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default" w:ascii="Times New Roman" w:hAnsi="Times New Roman" w:eastAsia="宋体" w:cs="Times New Roman"/>
                      <w:color w:val="000000"/>
                      <w:kern w:val="0"/>
                      <w:sz w:val="21"/>
                      <w:szCs w:val="21"/>
                      <w:vertAlign w:val="baseline"/>
                      <w:lang w:val="en-US" w:eastAsia="zh-CN"/>
                    </w:rPr>
                  </w:pPr>
                  <w:r>
                    <w:rPr>
                      <w:rFonts w:hint="default" w:ascii="Times New Roman" w:hAnsi="Times New Roman" w:eastAsia="宋体" w:cs="Times New Roman"/>
                      <w:color w:val="000000"/>
                      <w:kern w:val="0"/>
                      <w:sz w:val="21"/>
                      <w:szCs w:val="21"/>
                      <w:vertAlign w:val="baseline"/>
                      <w:lang w:val="en-US" w:eastAsia="zh-CN"/>
                    </w:rPr>
                    <w:t>噪声</w:t>
                  </w:r>
                </w:p>
              </w:tc>
              <w:tc>
                <w:tcPr>
                  <w:tcW w:w="3154" w:type="dxa"/>
                  <w:tcBorders>
                    <w:tl2br w:val="nil"/>
                    <w:tr2bl w:val="nil"/>
                  </w:tcBorders>
                  <w:noWrap w:val="0"/>
                  <w:vAlign w:val="center"/>
                </w:tcPr>
                <w:p>
                  <w:pPr>
                    <w:keepNext w:val="0"/>
                    <w:keepLines w:val="0"/>
                    <w:suppressLineNumbers w:val="0"/>
                    <w:autoSpaceDE w:val="0"/>
                    <w:autoSpaceDN w:val="0"/>
                    <w:adjustRightInd w:val="0"/>
                    <w:snapToGrid w:val="0"/>
                    <w:spacing w:before="0" w:beforeAutospacing="0" w:after="0" w:afterAutospacing="0" w:line="240" w:lineRule="auto"/>
                    <w:ind w:left="0" w:right="0"/>
                    <w:jc w:val="left"/>
                    <w:rPr>
                      <w:rFonts w:hint="default" w:ascii="Times New Roman" w:hAnsi="Times New Roman" w:eastAsia="宋体" w:cs="Times New Roman"/>
                      <w:color w:val="000000"/>
                      <w:kern w:val="0"/>
                      <w:sz w:val="21"/>
                      <w:szCs w:val="21"/>
                      <w:vertAlign w:val="baseline"/>
                    </w:rPr>
                  </w:pPr>
                  <w:r>
                    <w:rPr>
                      <w:rFonts w:hint="default" w:ascii="Times New Roman" w:hAnsi="Times New Roman" w:eastAsia="宋体" w:cs="Times New Roman"/>
                      <w:color w:val="000000"/>
                      <w:kern w:val="0"/>
                      <w:sz w:val="21"/>
                      <w:szCs w:val="21"/>
                      <w:vertAlign w:val="baseline"/>
                    </w:rPr>
                    <w:t>公路、铁路、机场等交通运输业涉及环境敏感区（以居住、医疗卫生、文化教育、科研、行政办公为主要功能的区域）的项目；</w:t>
                  </w:r>
                </w:p>
                <w:p>
                  <w:pPr>
                    <w:keepNext w:val="0"/>
                    <w:keepLines w:val="0"/>
                    <w:suppressLineNumbers w:val="0"/>
                    <w:autoSpaceDE w:val="0"/>
                    <w:autoSpaceDN w:val="0"/>
                    <w:adjustRightInd w:val="0"/>
                    <w:snapToGrid w:val="0"/>
                    <w:spacing w:before="0" w:beforeAutospacing="0" w:after="0" w:afterAutospacing="0" w:line="240" w:lineRule="auto"/>
                    <w:ind w:left="0" w:right="0"/>
                    <w:jc w:val="left"/>
                    <w:rPr>
                      <w:rFonts w:hint="default" w:ascii="Times New Roman" w:hAnsi="Times New Roman" w:eastAsia="宋体" w:cs="Times New Roman"/>
                      <w:color w:val="000000"/>
                      <w:kern w:val="0"/>
                      <w:sz w:val="21"/>
                      <w:szCs w:val="21"/>
                      <w:vertAlign w:val="baseline"/>
                    </w:rPr>
                  </w:pPr>
                  <w:r>
                    <w:rPr>
                      <w:rFonts w:hint="default" w:ascii="Times New Roman" w:hAnsi="Times New Roman" w:eastAsia="宋体" w:cs="Times New Roman"/>
                      <w:color w:val="000000"/>
                      <w:kern w:val="0"/>
                      <w:sz w:val="21"/>
                      <w:szCs w:val="21"/>
                      <w:vertAlign w:val="baseline"/>
                    </w:rPr>
                    <w:t>城市道路（不含维护，不含支路、人行天桥、人行地道）：全部</w:t>
                  </w:r>
                </w:p>
              </w:tc>
              <w:tc>
                <w:tcPr>
                  <w:tcW w:w="2522"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000000"/>
                      <w:kern w:val="0"/>
                      <w:sz w:val="21"/>
                      <w:szCs w:val="21"/>
                      <w:vertAlign w:val="baseline"/>
                      <w:lang w:eastAsia="zh-CN"/>
                    </w:rPr>
                  </w:pPr>
                  <w:r>
                    <w:rPr>
                      <w:rFonts w:hint="eastAsia" w:ascii="Calibri" w:hAnsi="Calibri" w:cs="Times New Roman"/>
                      <w:lang w:val="en-US" w:eastAsia="zh-CN"/>
                    </w:rPr>
                    <w:t>不涉及</w:t>
                  </w:r>
                </w:p>
              </w:tc>
              <w:tc>
                <w:tcPr>
                  <w:tcW w:w="798" w:type="dxa"/>
                  <w:tcBorders>
                    <w:tl2br w:val="nil"/>
                    <w:tr2bl w:val="nil"/>
                  </w:tcBorders>
                  <w:noWrap w:val="0"/>
                  <w:vAlign w:val="center"/>
                </w:tcPr>
                <w:p>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default" w:ascii="Times New Roman" w:hAnsi="Times New Roman" w:eastAsia="宋体" w:cs="Times New Roman"/>
                      <w:color w:val="000000"/>
                      <w:kern w:val="0"/>
                      <w:sz w:val="21"/>
                      <w:szCs w:val="21"/>
                      <w:vertAlign w:val="baseline"/>
                      <w:lang w:val="en-US" w:eastAsia="zh-CN"/>
                    </w:rPr>
                  </w:pPr>
                  <w:r>
                    <w:rPr>
                      <w:rFonts w:hint="default" w:ascii="Times New Roman" w:hAnsi="Times New Roman" w:eastAsia="宋体" w:cs="Times New Roman"/>
                      <w:color w:val="000000"/>
                      <w:kern w:val="0"/>
                      <w:sz w:val="21"/>
                      <w:szCs w:val="21"/>
                      <w:vertAlign w:val="baseline"/>
                      <w:lang w:val="en-US" w:eastAsia="zh-CN"/>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c>
                <w:tcPr>
                  <w:tcW w:w="999" w:type="dxa"/>
                  <w:tcBorders>
                    <w:tl2br w:val="nil"/>
                    <w:tr2bl w:val="nil"/>
                  </w:tcBorders>
                  <w:noWrap w:val="0"/>
                  <w:vAlign w:val="center"/>
                </w:tcPr>
                <w:p>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default" w:ascii="Times New Roman" w:hAnsi="Times New Roman" w:eastAsia="宋体" w:cs="Times New Roman"/>
                      <w:color w:val="000000"/>
                      <w:kern w:val="0"/>
                      <w:sz w:val="21"/>
                      <w:szCs w:val="21"/>
                      <w:vertAlign w:val="baseline"/>
                      <w:lang w:val="en-US" w:eastAsia="zh-CN"/>
                    </w:rPr>
                  </w:pPr>
                  <w:r>
                    <w:rPr>
                      <w:rFonts w:hint="default" w:ascii="Times New Roman" w:hAnsi="Times New Roman" w:eastAsia="宋体" w:cs="Times New Roman"/>
                      <w:color w:val="000000"/>
                      <w:kern w:val="0"/>
                      <w:sz w:val="21"/>
                      <w:szCs w:val="21"/>
                      <w:vertAlign w:val="baseline"/>
                      <w:lang w:val="en-US" w:eastAsia="zh-CN"/>
                    </w:rPr>
                    <w:t>环境风险</w:t>
                  </w:r>
                </w:p>
              </w:tc>
              <w:tc>
                <w:tcPr>
                  <w:tcW w:w="3154" w:type="dxa"/>
                  <w:tcBorders>
                    <w:tl2br w:val="nil"/>
                    <w:tr2bl w:val="nil"/>
                  </w:tcBorders>
                  <w:noWrap w:val="0"/>
                  <w:vAlign w:val="center"/>
                </w:tcPr>
                <w:p>
                  <w:pPr>
                    <w:keepNext w:val="0"/>
                    <w:keepLines w:val="0"/>
                    <w:suppressLineNumbers w:val="0"/>
                    <w:autoSpaceDE w:val="0"/>
                    <w:autoSpaceDN w:val="0"/>
                    <w:adjustRightInd w:val="0"/>
                    <w:snapToGrid w:val="0"/>
                    <w:spacing w:before="0" w:beforeAutospacing="0" w:after="0" w:afterAutospacing="0" w:line="240" w:lineRule="auto"/>
                    <w:ind w:left="0" w:right="0"/>
                    <w:jc w:val="left"/>
                    <w:rPr>
                      <w:rFonts w:hint="default" w:ascii="Times New Roman" w:hAnsi="Times New Roman" w:eastAsia="宋体" w:cs="Times New Roman"/>
                      <w:color w:val="000000"/>
                      <w:kern w:val="0"/>
                      <w:sz w:val="21"/>
                      <w:szCs w:val="21"/>
                      <w:vertAlign w:val="baseline"/>
                    </w:rPr>
                  </w:pPr>
                  <w:r>
                    <w:rPr>
                      <w:rFonts w:hint="default" w:ascii="Times New Roman" w:hAnsi="Times New Roman" w:eastAsia="宋体" w:cs="Times New Roman"/>
                      <w:color w:val="000000"/>
                      <w:kern w:val="0"/>
                      <w:sz w:val="21"/>
                      <w:szCs w:val="21"/>
                      <w:vertAlign w:val="baseline"/>
                    </w:rPr>
                    <w:t>石油和天然气开采：全部；</w:t>
                  </w:r>
                </w:p>
                <w:p>
                  <w:pPr>
                    <w:keepNext w:val="0"/>
                    <w:keepLines w:val="0"/>
                    <w:suppressLineNumbers w:val="0"/>
                    <w:autoSpaceDE w:val="0"/>
                    <w:autoSpaceDN w:val="0"/>
                    <w:adjustRightInd w:val="0"/>
                    <w:snapToGrid w:val="0"/>
                    <w:spacing w:before="0" w:beforeAutospacing="0" w:after="0" w:afterAutospacing="0" w:line="240" w:lineRule="auto"/>
                    <w:ind w:left="0" w:right="0"/>
                    <w:jc w:val="left"/>
                    <w:rPr>
                      <w:rFonts w:hint="default" w:ascii="Times New Roman" w:hAnsi="Times New Roman" w:eastAsia="宋体" w:cs="Times New Roman"/>
                      <w:color w:val="000000"/>
                      <w:kern w:val="0"/>
                      <w:sz w:val="21"/>
                      <w:szCs w:val="21"/>
                      <w:vertAlign w:val="baseline"/>
                    </w:rPr>
                  </w:pPr>
                  <w:r>
                    <w:rPr>
                      <w:rFonts w:hint="default" w:ascii="Times New Roman" w:hAnsi="Times New Roman" w:eastAsia="宋体" w:cs="Times New Roman"/>
                      <w:color w:val="000000"/>
                      <w:kern w:val="0"/>
                      <w:sz w:val="21"/>
                      <w:szCs w:val="21"/>
                      <w:vertAlign w:val="baseline"/>
                    </w:rPr>
                    <w:t>油气、液体化工码头：全部；</w:t>
                  </w:r>
                </w:p>
                <w:p>
                  <w:pPr>
                    <w:keepNext w:val="0"/>
                    <w:keepLines w:val="0"/>
                    <w:suppressLineNumbers w:val="0"/>
                    <w:autoSpaceDE w:val="0"/>
                    <w:autoSpaceDN w:val="0"/>
                    <w:adjustRightInd w:val="0"/>
                    <w:snapToGrid w:val="0"/>
                    <w:spacing w:before="0" w:beforeAutospacing="0" w:after="0" w:afterAutospacing="0" w:line="240" w:lineRule="auto"/>
                    <w:ind w:left="0" w:right="0"/>
                    <w:jc w:val="left"/>
                    <w:rPr>
                      <w:rFonts w:hint="default" w:ascii="Times New Roman" w:hAnsi="Times New Roman" w:eastAsia="宋体" w:cs="Times New Roman"/>
                      <w:color w:val="000000"/>
                      <w:kern w:val="0"/>
                      <w:sz w:val="21"/>
                      <w:szCs w:val="21"/>
                      <w:vertAlign w:val="baseline"/>
                    </w:rPr>
                  </w:pPr>
                  <w:r>
                    <w:rPr>
                      <w:rFonts w:hint="default" w:ascii="Times New Roman" w:hAnsi="Times New Roman" w:eastAsia="宋体" w:cs="Times New Roman"/>
                      <w:color w:val="000000"/>
                      <w:kern w:val="0"/>
                      <w:sz w:val="21"/>
                      <w:szCs w:val="21"/>
                      <w:vertAlign w:val="baseline"/>
                    </w:rPr>
                    <w:t>原油、成品油、天然气管线（不含城镇天然气管线、企业厂区内管线），危</w:t>
                  </w:r>
                </w:p>
                <w:p>
                  <w:pPr>
                    <w:keepNext w:val="0"/>
                    <w:keepLines w:val="0"/>
                    <w:suppressLineNumbers w:val="0"/>
                    <w:autoSpaceDE w:val="0"/>
                    <w:autoSpaceDN w:val="0"/>
                    <w:adjustRightInd w:val="0"/>
                    <w:snapToGrid w:val="0"/>
                    <w:spacing w:before="0" w:beforeAutospacing="0" w:after="0" w:afterAutospacing="0" w:line="240" w:lineRule="auto"/>
                    <w:ind w:left="0" w:right="0"/>
                    <w:jc w:val="left"/>
                    <w:rPr>
                      <w:rFonts w:hint="default" w:ascii="Times New Roman" w:hAnsi="Times New Roman" w:eastAsia="宋体" w:cs="Times New Roman"/>
                      <w:color w:val="000000"/>
                      <w:kern w:val="0"/>
                      <w:sz w:val="21"/>
                      <w:szCs w:val="21"/>
                      <w:vertAlign w:val="baseline"/>
                    </w:rPr>
                  </w:pPr>
                  <w:r>
                    <w:rPr>
                      <w:rFonts w:hint="default" w:ascii="Times New Roman" w:hAnsi="Times New Roman" w:eastAsia="宋体" w:cs="Times New Roman"/>
                      <w:color w:val="000000"/>
                      <w:kern w:val="0"/>
                      <w:sz w:val="21"/>
                      <w:szCs w:val="21"/>
                      <w:vertAlign w:val="baseline"/>
                    </w:rPr>
                    <w:t>险化学品输送管线（不含企业厂区内管线）：全部</w:t>
                  </w:r>
                </w:p>
              </w:tc>
              <w:tc>
                <w:tcPr>
                  <w:tcW w:w="2522"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000000"/>
                      <w:kern w:val="0"/>
                      <w:sz w:val="21"/>
                      <w:szCs w:val="21"/>
                      <w:vertAlign w:val="baseline"/>
                      <w:lang w:eastAsia="zh-CN"/>
                    </w:rPr>
                  </w:pPr>
                  <w:r>
                    <w:rPr>
                      <w:rFonts w:hint="eastAsia" w:ascii="Calibri" w:hAnsi="Calibri" w:cs="Times New Roman"/>
                      <w:lang w:val="en-US" w:eastAsia="zh-CN"/>
                    </w:rPr>
                    <w:t>不涉及</w:t>
                  </w:r>
                </w:p>
              </w:tc>
              <w:tc>
                <w:tcPr>
                  <w:tcW w:w="798" w:type="dxa"/>
                  <w:tcBorders>
                    <w:tl2br w:val="nil"/>
                    <w:tr2bl w:val="nil"/>
                  </w:tcBorders>
                  <w:noWrap w:val="0"/>
                  <w:vAlign w:val="center"/>
                </w:tcPr>
                <w:p>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default" w:ascii="Times New Roman" w:hAnsi="Times New Roman" w:eastAsia="宋体" w:cs="Times New Roman"/>
                      <w:color w:val="000000"/>
                      <w:kern w:val="0"/>
                      <w:sz w:val="21"/>
                      <w:szCs w:val="21"/>
                      <w:vertAlign w:val="baseline"/>
                      <w:lang w:val="en-US" w:eastAsia="zh-CN"/>
                    </w:rPr>
                  </w:pPr>
                  <w:r>
                    <w:rPr>
                      <w:rFonts w:hint="default" w:ascii="Times New Roman" w:hAnsi="Times New Roman" w:eastAsia="宋体" w:cs="Times New Roman"/>
                      <w:color w:val="000000"/>
                      <w:kern w:val="0"/>
                      <w:sz w:val="21"/>
                      <w:szCs w:val="21"/>
                      <w:vertAlign w:val="baseline"/>
                      <w:lang w:val="en-US" w:eastAsia="zh-CN"/>
                    </w:rPr>
                    <w:t>否</w:t>
                  </w:r>
                </w:p>
              </w:tc>
            </w:tr>
          </w:tbl>
          <w:p>
            <w:pPr>
              <w:keepNext w:val="0"/>
              <w:keepLines w:val="0"/>
              <w:suppressLineNumbers w:val="0"/>
              <w:autoSpaceDE w:val="0"/>
              <w:autoSpaceDN w:val="0"/>
              <w:adjustRightInd w:val="0"/>
              <w:snapToGrid w:val="0"/>
              <w:spacing w:before="0" w:beforeAutospacing="0" w:after="0" w:afterAutospacing="0"/>
              <w:ind w:left="0" w:right="0"/>
              <w:rPr>
                <w:rFonts w:hint="default" w:ascii="Times New Roman" w:hAnsi="Times New Roman" w:eastAsia="宋体" w:cs="Times New Roman"/>
                <w:color w:val="000000"/>
                <w:kern w:val="0"/>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Ex>
        <w:trPr>
          <w:trHeight w:val="171" w:hRule="atLeast"/>
        </w:trPr>
        <w:tc>
          <w:tcPr>
            <w:tcW w:w="1501" w:type="dxa"/>
            <w:noWrap w:val="0"/>
            <w:tcMar>
              <w:top w:w="16" w:type="dxa"/>
              <w:left w:w="16" w:type="dxa"/>
              <w:right w:w="16" w:type="dxa"/>
            </w:tcMar>
            <w:vAlign w:val="center"/>
          </w:tcPr>
          <w:p>
            <w:pPr>
              <w:keepNext w:val="0"/>
              <w:keepLines w:val="0"/>
              <w:suppressLineNumbers w:val="0"/>
              <w:autoSpaceDE w:val="0"/>
              <w:autoSpaceDN w:val="0"/>
              <w:adjustRightInd w:val="0"/>
              <w:snapToGrid w:val="0"/>
              <w:spacing w:before="0" w:beforeAutospacing="0" w:after="0" w:afterAutospacing="0" w:line="360" w:lineRule="auto"/>
              <w:ind w:left="0" w:right="0"/>
              <w:jc w:val="center"/>
              <w:rPr>
                <w:rFonts w:hint="default" w:ascii="Times New Roman" w:hAnsi="Times New Roman" w:eastAsia="宋体" w:cs="Times New Roman"/>
                <w:color w:val="000000"/>
                <w:kern w:val="0"/>
                <w:sz w:val="21"/>
                <w:szCs w:val="21"/>
              </w:rPr>
            </w:pPr>
            <w:r>
              <w:rPr>
                <w:rFonts w:hint="default" w:ascii="Times New Roman" w:hAnsi="Times New Roman" w:eastAsia="宋体" w:cs="Times New Roman"/>
                <w:color w:val="000000"/>
                <w:sz w:val="21"/>
                <w:szCs w:val="21"/>
              </w:rPr>
              <w:t>规划情况</w:t>
            </w:r>
          </w:p>
        </w:tc>
        <w:tc>
          <w:tcPr>
            <w:tcW w:w="7538" w:type="dxa"/>
            <w:gridSpan w:val="4"/>
            <w:noWrap w:val="0"/>
            <w:tcMar>
              <w:top w:w="16" w:type="dxa"/>
              <w:left w:w="16" w:type="dxa"/>
              <w:right w:w="16" w:type="dxa"/>
            </w:tcMar>
            <w:vAlign w:val="center"/>
          </w:tcPr>
          <w:p>
            <w:pPr>
              <w:keepNext w:val="0"/>
              <w:keepLines w:val="0"/>
              <w:suppressLineNumbers w:val="0"/>
              <w:autoSpaceDE w:val="0"/>
              <w:autoSpaceDN w:val="0"/>
              <w:adjustRightInd w:val="0"/>
              <w:snapToGrid w:val="0"/>
              <w:spacing w:before="0" w:beforeAutospacing="0" w:after="0" w:afterAutospacing="0" w:line="360" w:lineRule="auto"/>
              <w:ind w:left="0" w:right="0"/>
              <w:rPr>
                <w:rFonts w:hint="default" w:ascii="Times New Roman" w:hAnsi="Times New Roman" w:eastAsia="宋体" w:cs="Times New Roman"/>
                <w:color w:val="000000"/>
                <w:kern w:val="0"/>
                <w:sz w:val="24"/>
                <w:szCs w:val="24"/>
              </w:rPr>
            </w:pPr>
            <w:r>
              <w:rPr>
                <w:rFonts w:hint="default" w:ascii="Times New Roman" w:hAnsi="Times New Roman" w:eastAsia="宋体" w:cs="Times New Roman"/>
                <w:color w:val="000000"/>
                <w:kern w:val="0"/>
                <w:sz w:val="24"/>
                <w:szCs w:val="24"/>
              </w:rPr>
              <w:t>《湖南省普通建筑材料用砂石土矿专项规划（2021~2025年）》；</w:t>
            </w:r>
          </w:p>
          <w:p>
            <w:pPr>
              <w:keepNext w:val="0"/>
              <w:keepLines w:val="0"/>
              <w:suppressLineNumbers w:val="0"/>
              <w:autoSpaceDE w:val="0"/>
              <w:autoSpaceDN w:val="0"/>
              <w:adjustRightInd w:val="0"/>
              <w:snapToGrid w:val="0"/>
              <w:spacing w:before="0" w:beforeAutospacing="0" w:after="0" w:afterAutospacing="0" w:line="360" w:lineRule="auto"/>
              <w:ind w:left="0" w:right="0"/>
              <w:rPr>
                <w:rFonts w:hint="default" w:ascii="Times New Roman" w:hAnsi="Times New Roman" w:eastAsia="宋体" w:cs="Times New Roman"/>
                <w:color w:val="000000"/>
                <w:kern w:val="0"/>
                <w:sz w:val="24"/>
                <w:szCs w:val="24"/>
              </w:rPr>
            </w:pPr>
            <w:r>
              <w:rPr>
                <w:rFonts w:hint="default" w:ascii="Times New Roman" w:hAnsi="Times New Roman" w:eastAsia="宋体" w:cs="Times New Roman"/>
                <w:color w:val="000000"/>
                <w:kern w:val="0"/>
                <w:sz w:val="24"/>
                <w:szCs w:val="24"/>
              </w:rPr>
              <w:t>《永州市零陵区普通建筑材料用砂石土矿专项规划（2019-2025年）》；</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Ex>
        <w:trPr>
          <w:trHeight w:val="4519" w:hRule="atLeast"/>
        </w:trPr>
        <w:tc>
          <w:tcPr>
            <w:tcW w:w="1501" w:type="dxa"/>
            <w:noWrap w:val="0"/>
            <w:tcMar>
              <w:top w:w="16" w:type="dxa"/>
              <w:left w:w="16" w:type="dxa"/>
              <w:right w:w="16" w:type="dxa"/>
            </w:tcMar>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color w:val="000000"/>
                <w:sz w:val="21"/>
                <w:szCs w:val="21"/>
              </w:rPr>
            </w:pPr>
            <w:r>
              <w:rPr>
                <w:rFonts w:hint="default" w:ascii="Times New Roman" w:hAnsi="Times New Roman" w:eastAsia="宋体" w:cs="Times New Roman"/>
                <w:color w:val="000000"/>
                <w:sz w:val="21"/>
                <w:szCs w:val="21"/>
              </w:rPr>
              <w:t>规划环境影响</w:t>
            </w:r>
          </w:p>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color w:val="000000"/>
                <w:kern w:val="0"/>
                <w:sz w:val="21"/>
                <w:szCs w:val="21"/>
              </w:rPr>
            </w:pPr>
            <w:r>
              <w:rPr>
                <w:rFonts w:hint="default" w:ascii="Times New Roman" w:hAnsi="Times New Roman" w:eastAsia="宋体" w:cs="Times New Roman"/>
                <w:color w:val="000000"/>
                <w:sz w:val="21"/>
                <w:szCs w:val="21"/>
              </w:rPr>
              <w:t>评价情况</w:t>
            </w:r>
          </w:p>
        </w:tc>
        <w:tc>
          <w:tcPr>
            <w:tcW w:w="7538" w:type="dxa"/>
            <w:gridSpan w:val="4"/>
            <w:noWrap w:val="0"/>
            <w:tcMar>
              <w:top w:w="16" w:type="dxa"/>
              <w:left w:w="16" w:type="dxa"/>
              <w:right w:w="16" w:type="dxa"/>
            </w:tcMar>
            <w:vAlign w:val="center"/>
          </w:tcPr>
          <w:p>
            <w:pPr>
              <w:keepNext w:val="0"/>
              <w:keepLines w:val="0"/>
              <w:suppressLineNumbers w:val="0"/>
              <w:adjustRightInd w:val="0"/>
              <w:snapToGrid w:val="0"/>
              <w:spacing w:before="0" w:beforeAutospacing="0" w:after="0" w:afterAutospacing="0" w:line="360" w:lineRule="auto"/>
              <w:ind w:left="0" w:right="0"/>
              <w:jc w:val="left"/>
              <w:rPr>
                <w:rFonts w:hint="default" w:ascii="Times New Roman" w:hAnsi="Times New Roman" w:eastAsia="宋体" w:cs="Times New Roman"/>
                <w:color w:val="000000"/>
                <w:kern w:val="0"/>
                <w:sz w:val="24"/>
                <w:szCs w:val="24"/>
                <w:lang w:val="en-US" w:eastAsia="zh-CN"/>
              </w:rPr>
            </w:pPr>
            <w:r>
              <w:rPr>
                <w:rFonts w:hint="default" w:ascii="Times New Roman" w:hAnsi="Times New Roman" w:eastAsia="宋体" w:cs="Times New Roman"/>
                <w:color w:val="000000"/>
                <w:kern w:val="0"/>
                <w:sz w:val="24"/>
                <w:szCs w:val="24"/>
                <w:lang w:val="en-US" w:eastAsia="zh-CN"/>
              </w:rPr>
              <w:t>规划环境影响评价文件：《湖南省普通建筑材料用砂石土矿专项规划（2021~2025年）环境影响报告书》；</w:t>
            </w:r>
          </w:p>
          <w:p>
            <w:pPr>
              <w:keepNext w:val="0"/>
              <w:keepLines w:val="0"/>
              <w:suppressLineNumbers w:val="0"/>
              <w:adjustRightInd w:val="0"/>
              <w:snapToGrid w:val="0"/>
              <w:spacing w:before="0" w:beforeAutospacing="0" w:after="0" w:afterAutospacing="0" w:line="360" w:lineRule="auto"/>
              <w:ind w:left="0" w:right="0"/>
              <w:jc w:val="left"/>
              <w:rPr>
                <w:rFonts w:hint="default" w:ascii="Times New Roman" w:hAnsi="Times New Roman" w:eastAsia="宋体" w:cs="Times New Roman"/>
                <w:color w:val="000000"/>
                <w:kern w:val="0"/>
                <w:sz w:val="24"/>
                <w:szCs w:val="24"/>
                <w:lang w:val="en-US" w:eastAsia="zh-CN"/>
              </w:rPr>
            </w:pPr>
            <w:r>
              <w:rPr>
                <w:rFonts w:hint="default" w:ascii="Times New Roman" w:hAnsi="Times New Roman" w:eastAsia="宋体" w:cs="Times New Roman"/>
                <w:color w:val="000000"/>
                <w:kern w:val="0"/>
                <w:sz w:val="24"/>
                <w:szCs w:val="24"/>
                <w:lang w:val="en-US" w:eastAsia="zh-CN"/>
              </w:rPr>
              <w:t>审查机关：湖南省生态环境厅；</w:t>
            </w:r>
          </w:p>
          <w:p>
            <w:pPr>
              <w:keepNext w:val="0"/>
              <w:keepLines w:val="0"/>
              <w:suppressLineNumbers w:val="0"/>
              <w:adjustRightInd w:val="0"/>
              <w:snapToGrid w:val="0"/>
              <w:spacing w:before="0" w:beforeAutospacing="0" w:after="0" w:afterAutospacing="0" w:line="360" w:lineRule="auto"/>
              <w:ind w:left="0" w:right="0"/>
              <w:jc w:val="left"/>
              <w:rPr>
                <w:rFonts w:hint="default" w:ascii="Times New Roman" w:hAnsi="Times New Roman" w:eastAsia="宋体" w:cs="Times New Roman"/>
                <w:color w:val="000000"/>
                <w:kern w:val="0"/>
                <w:sz w:val="24"/>
                <w:szCs w:val="24"/>
                <w:lang w:val="en-US" w:eastAsia="zh-CN"/>
              </w:rPr>
            </w:pPr>
            <w:r>
              <w:rPr>
                <w:rFonts w:hint="default" w:ascii="Times New Roman" w:hAnsi="Times New Roman" w:eastAsia="宋体" w:cs="Times New Roman"/>
                <w:color w:val="000000"/>
                <w:kern w:val="0"/>
                <w:sz w:val="24"/>
                <w:szCs w:val="24"/>
                <w:lang w:val="en-US" w:eastAsia="zh-CN"/>
              </w:rPr>
              <w:t>审查文件名称及文号：关于《湖南普通建筑材料用砂石土矿专项规划(2021-2025年)环境影响报告书》及审查意见（湘环评[2021]23号）。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Ex>
        <w:trPr>
          <w:trHeight w:val="13145" w:hRule="atLeast"/>
        </w:trPr>
        <w:tc>
          <w:tcPr>
            <w:tcW w:w="1501" w:type="dxa"/>
            <w:noWrap w:val="0"/>
            <w:tcMar>
              <w:top w:w="16" w:type="dxa"/>
              <w:left w:w="16" w:type="dxa"/>
              <w:right w:w="16" w:type="dxa"/>
            </w:tcMar>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color w:val="000000"/>
                <w:kern w:val="0"/>
                <w:sz w:val="21"/>
                <w:szCs w:val="21"/>
              </w:rPr>
            </w:pPr>
            <w:r>
              <w:rPr>
                <w:rFonts w:hint="default" w:ascii="Times New Roman" w:hAnsi="Times New Roman" w:eastAsia="宋体" w:cs="Times New Roman"/>
                <w:color w:val="000000"/>
                <w:kern w:val="0"/>
                <w:sz w:val="21"/>
                <w:szCs w:val="21"/>
              </w:rPr>
              <w:t>规划及</w:t>
            </w:r>
            <w:r>
              <w:rPr>
                <w:rFonts w:hint="default" w:ascii="Times New Roman" w:hAnsi="Times New Roman" w:eastAsia="宋体" w:cs="Times New Roman"/>
                <w:color w:val="000000"/>
                <w:sz w:val="21"/>
                <w:szCs w:val="21"/>
              </w:rPr>
              <w:t>规划环境影响评价</w:t>
            </w:r>
            <w:r>
              <w:rPr>
                <w:rFonts w:hint="default" w:ascii="Times New Roman" w:hAnsi="Times New Roman" w:eastAsia="宋体" w:cs="Times New Roman"/>
                <w:color w:val="000000"/>
                <w:kern w:val="0"/>
                <w:sz w:val="21"/>
                <w:szCs w:val="21"/>
              </w:rPr>
              <w:t>符合性分析</w:t>
            </w:r>
          </w:p>
        </w:tc>
        <w:tc>
          <w:tcPr>
            <w:tcW w:w="7538" w:type="dxa"/>
            <w:gridSpan w:val="4"/>
            <w:noWrap w:val="0"/>
            <w:tcMar>
              <w:top w:w="16" w:type="dxa"/>
              <w:left w:w="16" w:type="dxa"/>
              <w:right w:w="16" w:type="dxa"/>
            </w:tcMar>
            <w:vAlign w:val="center"/>
          </w:tcPr>
          <w:p>
            <w:pPr>
              <w:keepNext w:val="0"/>
              <w:keepLines w:val="0"/>
              <w:numPr>
                <w:ilvl w:val="0"/>
                <w:numId w:val="0"/>
              </w:numPr>
              <w:suppressLineNumbers w:val="0"/>
              <w:autoSpaceDE w:val="0"/>
              <w:autoSpaceDN w:val="0"/>
              <w:adjustRightInd w:val="0"/>
              <w:snapToGrid w:val="0"/>
              <w:spacing w:before="0" w:beforeAutospacing="0" w:after="0" w:afterAutospacing="0" w:line="360" w:lineRule="auto"/>
              <w:ind w:left="0" w:leftChars="0" w:right="0" w:firstLine="482" w:firstLineChars="200"/>
              <w:jc w:val="both"/>
              <w:rPr>
                <w:rFonts w:hint="eastAsia" w:ascii="Times New Roman" w:hAnsi="Times New Roman" w:cs="Times New Roman"/>
                <w:b/>
                <w:bCs/>
                <w:color w:val="auto"/>
                <w:kern w:val="0"/>
                <w:sz w:val="24"/>
                <w:szCs w:val="24"/>
                <w:lang w:val="en-US" w:eastAsia="zh-CN"/>
              </w:rPr>
            </w:pPr>
            <w:r>
              <w:rPr>
                <w:rFonts w:hint="eastAsia" w:ascii="Calibri" w:hAnsi="Calibri" w:cs="Times New Roman"/>
                <w:b/>
                <w:bCs/>
                <w:color w:val="auto"/>
                <w:kern w:val="0"/>
                <w:sz w:val="24"/>
                <w:szCs w:val="24"/>
                <w:lang w:val="en-US" w:eastAsia="zh-CN"/>
              </w:rPr>
              <w:t>1.</w:t>
            </w:r>
            <w:r>
              <w:rPr>
                <w:rFonts w:hint="eastAsia" w:ascii="Times New Roman" w:hAnsi="Times New Roman" w:cs="Times New Roman"/>
                <w:b/>
                <w:bCs/>
                <w:color w:val="auto"/>
                <w:kern w:val="0"/>
                <w:sz w:val="24"/>
                <w:szCs w:val="24"/>
                <w:lang w:val="en-US" w:eastAsia="zh-CN"/>
              </w:rPr>
              <w:t>与《</w:t>
            </w:r>
            <w:r>
              <w:rPr>
                <w:rFonts w:hint="eastAsia" w:ascii="Calibri" w:hAnsi="Calibri" w:cs="Times New Roman"/>
                <w:b/>
                <w:bCs/>
                <w:color w:val="auto"/>
                <w:kern w:val="0"/>
                <w:sz w:val="24"/>
                <w:szCs w:val="24"/>
                <w:lang w:val="en-US" w:eastAsia="zh-CN"/>
              </w:rPr>
              <w:t>永州市</w:t>
            </w:r>
            <w:r>
              <w:rPr>
                <w:rFonts w:hint="eastAsia" w:ascii="Times New Roman" w:hAnsi="Times New Roman" w:cs="Times New Roman"/>
                <w:b/>
                <w:bCs/>
                <w:color w:val="auto"/>
                <w:kern w:val="0"/>
                <w:sz w:val="24"/>
                <w:szCs w:val="24"/>
                <w:lang w:val="en-US" w:eastAsia="zh-CN"/>
              </w:rPr>
              <w:t>零陵区普通建筑材料用砂</w:t>
            </w:r>
            <w:r>
              <w:rPr>
                <w:rFonts w:hint="eastAsia" w:ascii="Calibri" w:hAnsi="Calibri" w:cs="Times New Roman"/>
                <w:b/>
                <w:bCs/>
                <w:color w:val="auto"/>
                <w:kern w:val="0"/>
                <w:sz w:val="24"/>
                <w:szCs w:val="24"/>
                <w:lang w:val="en-US" w:eastAsia="zh-CN"/>
              </w:rPr>
              <w:t>石</w:t>
            </w:r>
            <w:r>
              <w:rPr>
                <w:rFonts w:hint="eastAsia" w:ascii="Times New Roman" w:hAnsi="Times New Roman" w:cs="Times New Roman"/>
                <w:b/>
                <w:bCs/>
                <w:color w:val="auto"/>
                <w:kern w:val="0"/>
                <w:sz w:val="24"/>
                <w:szCs w:val="24"/>
                <w:lang w:val="en-US" w:eastAsia="zh-CN"/>
              </w:rPr>
              <w:t>土矿专项规划(2019-2025年)》符合性</w:t>
            </w:r>
          </w:p>
          <w:p>
            <w:pPr>
              <w:keepNext w:val="0"/>
              <w:keepLines w:val="0"/>
              <w:pageBreakBefore w:val="0"/>
              <w:widowControl w:val="0"/>
              <w:numPr>
                <w:ilvl w:val="0"/>
                <w:numId w:val="0"/>
              </w:numPr>
              <w:suppressLineNumbers w:val="0"/>
              <w:kinsoku/>
              <w:wordWrap/>
              <w:overflowPunct/>
              <w:topLinePunct w:val="0"/>
              <w:autoSpaceDE w:val="0"/>
              <w:autoSpaceDN w:val="0"/>
              <w:bidi w:val="0"/>
              <w:adjustRightInd w:val="0"/>
              <w:snapToGrid w:val="0"/>
              <w:spacing w:before="0" w:beforeAutospacing="0" w:after="0" w:afterAutospacing="0" w:line="360" w:lineRule="auto"/>
              <w:ind w:left="0" w:leftChars="0" w:right="0" w:firstLine="480" w:firstLineChars="200"/>
              <w:jc w:val="both"/>
              <w:textAlignment w:val="auto"/>
              <w:rPr>
                <w:rFonts w:hint="default" w:ascii="Times New Roman" w:hAnsi="Times New Roman" w:cs="Times New Roman"/>
                <w:color w:val="auto"/>
                <w:kern w:val="0"/>
                <w:sz w:val="24"/>
                <w:szCs w:val="24"/>
                <w:lang w:val="en-US" w:eastAsia="zh-CN"/>
              </w:rPr>
            </w:pPr>
            <w:r>
              <w:rPr>
                <w:rFonts w:hint="default" w:ascii="Times New Roman" w:hAnsi="Times New Roman" w:cs="Times New Roman"/>
                <w:color w:val="auto"/>
                <w:kern w:val="0"/>
                <w:sz w:val="24"/>
                <w:szCs w:val="24"/>
                <w:lang w:val="en-US" w:eastAsia="zh-CN"/>
              </w:rPr>
              <w:t>根据附件《永州市零陵区普通建筑材料用砂石土矿专项规划(2019-2025·年)·》“表1零陵区·矿产资源开采分区表”，零陵区梳子铺乡燕朝村砂石土矿允许开采区主要矿产为建筑石料用灰岩，拟设采矿权一个</w:t>
            </w:r>
            <w:r>
              <w:rPr>
                <w:rFonts w:hint="eastAsia" w:ascii="Calibri" w:hAnsi="Calibri" w:cs="Times New Roman"/>
                <w:color w:val="auto"/>
                <w:kern w:val="0"/>
                <w:sz w:val="24"/>
                <w:szCs w:val="24"/>
                <w:lang w:val="en-US" w:eastAsia="zh-CN"/>
              </w:rPr>
              <w:t>；“</w:t>
            </w:r>
            <w:r>
              <w:rPr>
                <w:rFonts w:hint="default" w:ascii="Times New Roman" w:hAnsi="Times New Roman" w:cs="Times New Roman"/>
                <w:color w:val="auto"/>
                <w:kern w:val="0"/>
                <w:sz w:val="24"/>
                <w:szCs w:val="24"/>
                <w:lang w:val="en-US" w:eastAsia="zh-CN"/>
              </w:rPr>
              <w:t>表2零陵区砂石土矿开采规区块一览表</w:t>
            </w:r>
            <w:r>
              <w:rPr>
                <w:rFonts w:hint="eastAsia" w:ascii="Calibri" w:hAnsi="Calibri" w:cs="Times New Roman"/>
                <w:color w:val="auto"/>
                <w:kern w:val="0"/>
                <w:sz w:val="24"/>
                <w:szCs w:val="24"/>
                <w:lang w:val="en-US" w:eastAsia="zh-CN"/>
              </w:rPr>
              <w:t>”</w:t>
            </w:r>
            <w:r>
              <w:rPr>
                <w:rFonts w:hint="default" w:ascii="Times New Roman" w:hAnsi="Times New Roman" w:cs="Times New Roman"/>
                <w:color w:val="auto"/>
                <w:kern w:val="0"/>
                <w:sz w:val="24"/>
                <w:szCs w:val="24"/>
                <w:lang w:val="en-US" w:eastAsia="zh-CN"/>
              </w:rPr>
              <w:t>列出了零陵区梳子铺乡燕朝村羊轱岭建筑石料用灰岩矿开采规划区块，矿区面积202010m</w:t>
            </w:r>
            <w:r>
              <w:rPr>
                <w:rFonts w:hint="default" w:ascii="Times New Roman" w:hAnsi="Times New Roman" w:cs="Times New Roman"/>
                <w:color w:val="auto"/>
                <w:kern w:val="0"/>
                <w:sz w:val="24"/>
                <w:szCs w:val="24"/>
                <w:vertAlign w:val="superscript"/>
                <w:lang w:val="en-US" w:eastAsia="zh-CN"/>
              </w:rPr>
              <w:t>2</w:t>
            </w:r>
            <w:r>
              <w:rPr>
                <w:rFonts w:hint="default" w:ascii="Times New Roman" w:hAnsi="Times New Roman" w:cs="Times New Roman"/>
                <w:color w:val="auto"/>
                <w:kern w:val="0"/>
                <w:sz w:val="24"/>
                <w:szCs w:val="24"/>
                <w:lang w:val="en-US" w:eastAsia="zh-CN"/>
              </w:rPr>
              <w:t>，保有资源量1200万吨。</w:t>
            </w:r>
          </w:p>
          <w:p>
            <w:pPr>
              <w:keepNext w:val="0"/>
              <w:keepLines w:val="0"/>
              <w:pageBreakBefore w:val="0"/>
              <w:widowControl w:val="0"/>
              <w:numPr>
                <w:ilvl w:val="0"/>
                <w:numId w:val="0"/>
              </w:numPr>
              <w:suppressLineNumbers w:val="0"/>
              <w:kinsoku/>
              <w:wordWrap/>
              <w:overflowPunct/>
              <w:topLinePunct w:val="0"/>
              <w:autoSpaceDE w:val="0"/>
              <w:autoSpaceDN w:val="0"/>
              <w:bidi w:val="0"/>
              <w:adjustRightInd w:val="0"/>
              <w:snapToGrid w:val="0"/>
              <w:spacing w:before="0" w:beforeAutospacing="0" w:after="0" w:afterAutospacing="0" w:line="360" w:lineRule="auto"/>
              <w:ind w:left="0" w:leftChars="0" w:right="0" w:firstLine="480" w:firstLineChars="200"/>
              <w:jc w:val="both"/>
              <w:textAlignment w:val="auto"/>
              <w:rPr>
                <w:rFonts w:hint="default" w:ascii="Times New Roman" w:hAnsi="Times New Roman" w:cs="Times New Roman"/>
                <w:color w:val="auto"/>
                <w:kern w:val="0"/>
                <w:sz w:val="24"/>
                <w:szCs w:val="24"/>
                <w:lang w:val="en-US" w:eastAsia="zh-CN"/>
              </w:rPr>
            </w:pPr>
            <w:r>
              <w:rPr>
                <w:rFonts w:hint="default" w:ascii="Times New Roman" w:hAnsi="Times New Roman" w:cs="Times New Roman"/>
                <w:color w:val="auto"/>
                <w:kern w:val="0"/>
                <w:sz w:val="24"/>
                <w:szCs w:val="24"/>
                <w:lang w:val="en-US" w:eastAsia="zh-CN"/>
              </w:rPr>
              <w:t>本项目</w:t>
            </w:r>
            <w:r>
              <w:rPr>
                <w:rFonts w:hint="eastAsia" w:ascii="Calibri" w:hAnsi="Calibri" w:cs="Times New Roman"/>
                <w:color w:val="auto"/>
                <w:kern w:val="0"/>
                <w:sz w:val="24"/>
                <w:szCs w:val="24"/>
                <w:lang w:val="en-US" w:eastAsia="zh-CN"/>
              </w:rPr>
              <w:t>属于专项规划内</w:t>
            </w:r>
            <w:r>
              <w:rPr>
                <w:rFonts w:hint="default" w:ascii="Times New Roman" w:hAnsi="Times New Roman" w:cs="Times New Roman"/>
                <w:color w:val="auto"/>
                <w:kern w:val="0"/>
                <w:sz w:val="24"/>
                <w:szCs w:val="24"/>
                <w:lang w:val="en-US" w:eastAsia="zh-CN"/>
              </w:rPr>
              <w:t>符合开采规划区块</w:t>
            </w:r>
            <w:r>
              <w:rPr>
                <w:rFonts w:hint="eastAsia" w:ascii="Calibri" w:hAnsi="Calibri" w:cs="Times New Roman"/>
                <w:color w:val="auto"/>
                <w:kern w:val="0"/>
                <w:sz w:val="24"/>
                <w:szCs w:val="24"/>
                <w:lang w:val="en-US" w:eastAsia="zh-CN"/>
              </w:rPr>
              <w:t>内容，因此与</w:t>
            </w:r>
            <w:r>
              <w:rPr>
                <w:rFonts w:hint="default" w:ascii="Times New Roman" w:hAnsi="Times New Roman" w:cs="Times New Roman"/>
                <w:color w:val="auto"/>
                <w:kern w:val="0"/>
                <w:sz w:val="24"/>
                <w:szCs w:val="24"/>
                <w:lang w:val="en-US" w:eastAsia="zh-CN"/>
              </w:rPr>
              <w:t>《永州市零陵区普通建筑材料用砂石</w:t>
            </w:r>
            <w:r>
              <w:rPr>
                <w:rFonts w:hint="eastAsia" w:ascii="Calibri" w:hAnsi="Calibri" w:cs="Times New Roman"/>
                <w:color w:val="auto"/>
                <w:kern w:val="0"/>
                <w:sz w:val="24"/>
                <w:szCs w:val="24"/>
                <w:lang w:val="en-US" w:eastAsia="zh-CN"/>
              </w:rPr>
              <w:t>土</w:t>
            </w:r>
            <w:r>
              <w:rPr>
                <w:rFonts w:hint="default" w:ascii="Times New Roman" w:hAnsi="Times New Roman" w:cs="Times New Roman"/>
                <w:color w:val="auto"/>
                <w:kern w:val="0"/>
                <w:sz w:val="24"/>
                <w:szCs w:val="24"/>
                <w:lang w:val="en-US" w:eastAsia="zh-CN"/>
              </w:rPr>
              <w:t>矿专项规划(2019-2025年)》</w:t>
            </w:r>
            <w:r>
              <w:rPr>
                <w:rFonts w:hint="eastAsia" w:ascii="Calibri" w:hAnsi="Calibri" w:cs="Times New Roman"/>
                <w:color w:val="auto"/>
                <w:kern w:val="0"/>
                <w:sz w:val="24"/>
                <w:szCs w:val="24"/>
                <w:lang w:val="en-US" w:eastAsia="zh-CN"/>
              </w:rPr>
              <w:t>相符</w:t>
            </w:r>
            <w:r>
              <w:rPr>
                <w:rFonts w:hint="default" w:ascii="Times New Roman" w:hAnsi="Times New Roman" w:cs="Times New Roman"/>
                <w:color w:val="auto"/>
                <w:kern w:val="0"/>
                <w:sz w:val="24"/>
                <w:szCs w:val="24"/>
                <w:lang w:val="en-US" w:eastAsia="zh-CN"/>
              </w:rPr>
              <w:t>。</w:t>
            </w:r>
          </w:p>
          <w:p>
            <w:pPr>
              <w:keepNext w:val="0"/>
              <w:keepLines w:val="0"/>
              <w:numPr>
                <w:ilvl w:val="0"/>
                <w:numId w:val="0"/>
              </w:numPr>
              <w:suppressLineNumbers w:val="0"/>
              <w:autoSpaceDE w:val="0"/>
              <w:autoSpaceDN w:val="0"/>
              <w:adjustRightInd w:val="0"/>
              <w:snapToGrid w:val="0"/>
              <w:spacing w:before="0" w:beforeAutospacing="0" w:after="0" w:afterAutospacing="0" w:line="360" w:lineRule="auto"/>
              <w:ind w:left="0" w:leftChars="0" w:right="0" w:firstLine="482" w:firstLineChars="200"/>
              <w:jc w:val="both"/>
              <w:rPr>
                <w:rFonts w:hint="eastAsia" w:ascii="Times New Roman" w:hAnsi="Times New Roman" w:cs="Times New Roman"/>
                <w:b/>
                <w:bCs/>
                <w:color w:val="auto"/>
                <w:kern w:val="0"/>
                <w:sz w:val="24"/>
                <w:szCs w:val="24"/>
                <w:lang w:val="en-US" w:eastAsia="zh-CN"/>
              </w:rPr>
            </w:pPr>
            <w:r>
              <w:rPr>
                <w:rFonts w:hint="eastAsia" w:ascii="Calibri" w:hAnsi="Calibri" w:cs="Times New Roman"/>
                <w:b/>
                <w:bCs/>
                <w:color w:val="auto"/>
                <w:kern w:val="0"/>
                <w:sz w:val="24"/>
                <w:szCs w:val="24"/>
                <w:lang w:val="en-US" w:eastAsia="zh-CN"/>
              </w:rPr>
              <w:t>2.</w:t>
            </w:r>
            <w:r>
              <w:rPr>
                <w:rFonts w:hint="eastAsia" w:ascii="Times New Roman" w:hAnsi="Times New Roman" w:cs="Times New Roman"/>
                <w:b/>
                <w:bCs/>
                <w:color w:val="auto"/>
                <w:kern w:val="0"/>
                <w:sz w:val="24"/>
                <w:szCs w:val="24"/>
                <w:lang w:val="en-US" w:eastAsia="zh-CN"/>
              </w:rPr>
              <w:t>与本项目与《湖南省普通建筑材料用砂石土矿专项规划（2021~2025年）》相符性分析</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Calibri" w:hAnsi="Calibri" w:cs="Times New Roman"/>
                <w:sz w:val="24"/>
                <w:szCs w:val="24"/>
                <w:lang w:val="en-US" w:eastAsia="zh-CN"/>
              </w:rPr>
            </w:pPr>
            <w:r>
              <w:rPr>
                <w:rFonts w:hint="eastAsia" w:ascii="Calibri" w:hAnsi="Calibri" w:cs="Times New Roman"/>
                <w:sz w:val="24"/>
                <w:szCs w:val="24"/>
                <w:lang w:val="en-US" w:eastAsia="zh-CN"/>
              </w:rPr>
              <w:t>本项目与《湖南省普通建筑材料用砂石土矿专项规划（2021~2025年）》以及《湖南省普通建筑材料用砂石土矿专项规划（2021~2025年）环境影响报告书》相符性分析如下表所示：</w:t>
            </w:r>
          </w:p>
          <w:p>
            <w:pPr>
              <w:keepNext w:val="0"/>
              <w:keepLines w:val="0"/>
              <w:pageBreakBefore w:val="0"/>
              <w:widowControl w:val="0"/>
              <w:numPr>
                <w:ilvl w:val="0"/>
                <w:numId w:val="0"/>
              </w:numPr>
              <w:suppressLineNumbers w:val="0"/>
              <w:kinsoku/>
              <w:wordWrap/>
              <w:overflowPunct/>
              <w:topLinePunct w:val="0"/>
              <w:autoSpaceDE w:val="0"/>
              <w:autoSpaceDN w:val="0"/>
              <w:bidi w:val="0"/>
              <w:adjustRightInd w:val="0"/>
              <w:snapToGrid w:val="0"/>
              <w:spacing w:before="0" w:beforeAutospacing="0" w:after="0" w:afterAutospacing="0" w:line="360" w:lineRule="auto"/>
              <w:ind w:left="0" w:right="0"/>
              <w:jc w:val="left"/>
              <w:textAlignment w:val="auto"/>
              <w:rPr>
                <w:rFonts w:hint="default" w:ascii="Times New Roman" w:hAnsi="Times New Roman" w:eastAsia="宋体" w:cs="Times New Roman"/>
                <w:b/>
                <w:bCs/>
                <w:color w:val="auto"/>
                <w:szCs w:val="21"/>
                <w:u w:val="none" w:color="auto"/>
                <w:lang w:val="en-US" w:eastAsia="zh-CN"/>
              </w:rPr>
            </w:pPr>
            <w:r>
              <w:rPr>
                <w:rFonts w:hint="default" w:ascii="Times New Roman" w:hAnsi="Times New Roman" w:eastAsia="宋体" w:cs="Times New Roman"/>
                <w:b/>
                <w:bCs/>
                <w:color w:val="auto"/>
                <w:szCs w:val="21"/>
                <w:u w:val="none" w:color="auto"/>
                <w:lang w:val="en-US" w:eastAsia="zh-CN"/>
              </w:rPr>
              <w:t>表1-</w:t>
            </w:r>
            <w:r>
              <w:rPr>
                <w:rFonts w:hint="eastAsia" w:ascii="Calibri" w:hAnsi="Calibri" w:cs="Times New Roman"/>
                <w:b/>
                <w:bCs/>
                <w:color w:val="auto"/>
                <w:szCs w:val="21"/>
                <w:u w:val="none" w:color="auto"/>
                <w:lang w:val="en-US" w:eastAsia="zh-CN"/>
              </w:rPr>
              <w:t>1</w:t>
            </w:r>
            <w:r>
              <w:rPr>
                <w:rFonts w:hint="default" w:ascii="Times New Roman" w:hAnsi="Times New Roman" w:eastAsia="宋体" w:cs="Times New Roman"/>
                <w:b/>
                <w:bCs/>
                <w:color w:val="auto"/>
                <w:szCs w:val="21"/>
                <w:u w:val="none" w:color="auto"/>
                <w:lang w:val="en-US" w:eastAsia="zh-CN"/>
              </w:rPr>
              <w:t>项目与《湖南省普通建筑材料用砂石土矿专项规划（2021~2025年）环境影响报告书》符</w:t>
            </w:r>
            <w:r>
              <w:rPr>
                <w:rFonts w:hint="eastAsia" w:ascii="Calibri" w:hAnsi="Calibri" w:cs="Times New Roman"/>
                <w:b/>
                <w:bCs/>
                <w:color w:val="auto"/>
                <w:szCs w:val="21"/>
                <w:u w:val="none" w:color="auto"/>
                <w:lang w:val="en-US" w:eastAsia="zh-CN"/>
              </w:rPr>
              <w:t>合</w:t>
            </w:r>
            <w:r>
              <w:rPr>
                <w:rFonts w:hint="default" w:ascii="Times New Roman" w:hAnsi="Times New Roman" w:eastAsia="宋体" w:cs="Times New Roman"/>
                <w:b/>
                <w:bCs/>
                <w:color w:val="auto"/>
                <w:szCs w:val="21"/>
                <w:u w:val="none" w:color="auto"/>
                <w:lang w:val="en-US" w:eastAsia="zh-CN"/>
              </w:rPr>
              <w:t>性相符性分析</w:t>
            </w:r>
          </w:p>
          <w:tbl>
            <w:tblPr>
              <w:tblStyle w:val="22"/>
              <w:tblW w:w="738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456"/>
              <w:gridCol w:w="3112"/>
              <w:gridCol w:w="8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62" w:hRule="atLeast"/>
                <w:jc w:val="center"/>
              </w:trPr>
              <w:tc>
                <w:tcPr>
                  <w:tcW w:w="3456" w:type="dxa"/>
                  <w:noWrap w:val="0"/>
                  <w:vAlign w:val="center"/>
                </w:tcPr>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center"/>
                    <w:textAlignment w:val="auto"/>
                    <w:rPr>
                      <w:rFonts w:hint="default" w:ascii="Times New Roman" w:hAnsi="Times New Roman" w:eastAsia="宋体" w:cs="Times New Roman"/>
                      <w:b/>
                      <w:bCs/>
                      <w:color w:val="auto"/>
                      <w:sz w:val="21"/>
                      <w:szCs w:val="21"/>
                      <w:vertAlign w:val="baseline"/>
                      <w:lang w:val="en-US" w:eastAsia="zh-CN"/>
                    </w:rPr>
                  </w:pPr>
                  <w:r>
                    <w:rPr>
                      <w:rFonts w:hint="default" w:ascii="Times New Roman" w:hAnsi="Times New Roman" w:eastAsia="宋体" w:cs="Times New Roman"/>
                      <w:b/>
                      <w:bCs/>
                      <w:color w:val="auto"/>
                      <w:sz w:val="21"/>
                      <w:szCs w:val="21"/>
                      <w:vertAlign w:val="baseline"/>
                      <w:lang w:val="en-US" w:eastAsia="zh-CN"/>
                    </w:rPr>
                    <w:t>规划环评中与本采石场有关的要</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center"/>
                    <w:textAlignment w:val="auto"/>
                    <w:rPr>
                      <w:rFonts w:hint="default" w:ascii="Times New Roman" w:hAnsi="Times New Roman" w:eastAsia="宋体" w:cs="Times New Roman"/>
                      <w:b/>
                      <w:bCs/>
                      <w:color w:val="auto"/>
                      <w:sz w:val="21"/>
                      <w:szCs w:val="21"/>
                      <w:vertAlign w:val="baseline"/>
                      <w:lang w:val="en-US" w:eastAsia="zh-CN"/>
                    </w:rPr>
                  </w:pPr>
                  <w:r>
                    <w:rPr>
                      <w:rFonts w:hint="default" w:ascii="Times New Roman" w:hAnsi="Times New Roman" w:eastAsia="宋体" w:cs="Times New Roman"/>
                      <w:b/>
                      <w:bCs/>
                      <w:color w:val="auto"/>
                      <w:sz w:val="21"/>
                      <w:szCs w:val="21"/>
                      <w:vertAlign w:val="baseline"/>
                      <w:lang w:val="en-US" w:eastAsia="zh-CN"/>
                    </w:rPr>
                    <w:t>求</w:t>
                  </w:r>
                </w:p>
              </w:tc>
              <w:tc>
                <w:tcPr>
                  <w:tcW w:w="3112" w:type="dxa"/>
                  <w:noWrap w:val="0"/>
                  <w:vAlign w:val="center"/>
                </w:tcPr>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center"/>
                    <w:textAlignment w:val="auto"/>
                    <w:rPr>
                      <w:rFonts w:hint="default" w:ascii="Times New Roman" w:hAnsi="Times New Roman" w:eastAsia="宋体" w:cs="Times New Roman"/>
                      <w:b/>
                      <w:bCs/>
                      <w:color w:val="auto"/>
                      <w:sz w:val="21"/>
                      <w:szCs w:val="21"/>
                      <w:vertAlign w:val="baseline"/>
                      <w:lang w:val="en-US" w:eastAsia="zh-CN"/>
                    </w:rPr>
                  </w:pPr>
                  <w:r>
                    <w:rPr>
                      <w:rFonts w:hint="default" w:ascii="Times New Roman" w:hAnsi="Times New Roman" w:eastAsia="宋体" w:cs="Times New Roman"/>
                      <w:b/>
                      <w:bCs/>
                      <w:color w:val="auto"/>
                      <w:sz w:val="21"/>
                      <w:szCs w:val="21"/>
                      <w:vertAlign w:val="baseline"/>
                      <w:lang w:val="en-US" w:eastAsia="zh-CN"/>
                    </w:rPr>
                    <w:t>本项目情况</w:t>
                  </w:r>
                </w:p>
              </w:tc>
              <w:tc>
                <w:tcPr>
                  <w:tcW w:w="814" w:type="dxa"/>
                  <w:noWrap w:val="0"/>
                  <w:vAlign w:val="center"/>
                </w:tcPr>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center"/>
                    <w:textAlignment w:val="auto"/>
                    <w:rPr>
                      <w:rFonts w:hint="default" w:ascii="Times New Roman" w:hAnsi="Times New Roman" w:eastAsia="宋体" w:cs="Times New Roman"/>
                      <w:b/>
                      <w:bCs/>
                      <w:color w:val="auto"/>
                      <w:sz w:val="21"/>
                      <w:szCs w:val="21"/>
                      <w:vertAlign w:val="baseline"/>
                      <w:lang w:val="en-US" w:eastAsia="zh-CN"/>
                    </w:rPr>
                  </w:pPr>
                  <w:r>
                    <w:rPr>
                      <w:rFonts w:hint="default" w:ascii="Times New Roman" w:hAnsi="Times New Roman" w:eastAsia="宋体" w:cs="Times New Roman"/>
                      <w:b/>
                      <w:bCs/>
                      <w:color w:val="auto"/>
                      <w:sz w:val="21"/>
                      <w:szCs w:val="21"/>
                      <w:vertAlign w:val="baseline"/>
                      <w:lang w:val="en-US" w:eastAsia="zh-CN"/>
                    </w:rPr>
                    <w:t>是否符合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3456" w:type="dxa"/>
                  <w:noWrap w:val="0"/>
                  <w:vAlign w:val="center"/>
                </w:tcPr>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bCs/>
                      <w:color w:val="auto"/>
                      <w:sz w:val="21"/>
                      <w:szCs w:val="21"/>
                      <w:vertAlign w:val="baseline"/>
                      <w:lang w:val="en-US"/>
                    </w:rPr>
                  </w:pPr>
                  <w:r>
                    <w:rPr>
                      <w:rFonts w:hint="default" w:ascii="Times New Roman" w:hAnsi="Times New Roman" w:eastAsia="宋体" w:cs="Times New Roman"/>
                      <w:b/>
                      <w:bCs/>
                      <w:color w:val="auto"/>
                      <w:sz w:val="21"/>
                      <w:szCs w:val="21"/>
                      <w:vertAlign w:val="baseline"/>
                      <w:lang w:val="en-US"/>
                    </w:rPr>
                    <w:t>空间布局约束：</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1.设置禁止开采区，包括全省生态保</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护红线、永久基本农田、集中式饮</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用水源一级、二级保护区、自然保</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护地、风景名胜区、I级保护林地、</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一级国家级公益林、国有国家级公</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益林、军事禁区、湘江流域禁采区、</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国道省道向外100m、乡道向外50m</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范围、重点生态功能区负面清单要</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求的法定禁止范围。2.禁止开采区要</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求：不再新设砂石土矿采矿权，已</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设采矿权应一矿一策，制定方案，</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调整范围后纳入开采规划区块设置</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的，合理调整采矿权范围，无法调</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整范围或调整范围后也不满足规划</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区块设置要求的，原则上2021年10</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月底前必须退出到位，矿业活动造</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成的生态环境和土地植被破坏应及</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时治理恢复。</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3.设置限制开采区，包括三类：一是</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湘江流域限制开采区（从湘江流域</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禁止开采区边界开始，外推至距河</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流两岸不超过1000m以内的区域，</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但外推区域内存在山脊线的，限采区为禁采区边界至第一层山脊线之</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间的区域；重要饮用水源地禁采区</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外边界至周边1000m以内的区域）。</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二是铁路、高速公路、国省干道、</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输电线路、输气管道、居民点等各</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类基础设施周边或两侧一定范围，</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依相关法律法规、条例遵其规定；</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三是重点生态功能区负面清单要求</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的限制开采区域。</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4.限制开采区要求：原则上不新设砂</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石土矿采矿权，已有矿山原则上不</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予扩界，但为减少终了边坡、消除</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安全生产隐患和地质灾害隐患的除</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外。为保障重大项目建设和民生需</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求确需新设（含以扩充资源为目的</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的扩界情形）的，应由具有采矿权</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审批权限的审批机关同级人民政府</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组织相关部门严格论证，确保符合</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环境保护、水土保持和安全生产要</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求。</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5.砂石土矿开采生态准入要求：①</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采矿权必须位于本规划的允许开采</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区内；②资源储量：新设、整合和</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以扩充资源为目的的扩界矿山不低</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于300万吨，保留矿山不低于100万吨；③生产规模：原则上不低于30万吨/年，长株潭城市圈、各市州中心城区周边和交通区位较好地区，新设矿山（砖瓦用砂石矿除外）应不低于100万吨/年；建筑用辉绿岩、建筑用玄武岩等优质砂石资源可适当降低标准；④开采方式：根据资源禀赋条件，优选矿山开采方式，原则上以露天开采为主；露天开采时，矿山自上而下“边采边治”台阶式分层开采，严禁开采造成高陡边坡，原则上不允许负地形开采，新设矿山原则上实现移平式开发；⑤绿色矿山建设：新设矿山必须达到湖南省绿色矿山建设标准并经验收合格后方可生产。现有生产矿山2025年底全部达到绿色矿山建设标准并经验收合格。</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⑥环境敏感区核实：进一步核实项</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目涉自然保护地、生态保护红线、</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分散式饮用水水源地、千人以上饮</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用水水源地、文物保护单位等情况。</w:t>
                  </w:r>
                </w:p>
              </w:tc>
              <w:tc>
                <w:tcPr>
                  <w:tcW w:w="3112" w:type="dxa"/>
                  <w:noWrap w:val="0"/>
                  <w:vAlign w:val="center"/>
                </w:tcPr>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1、本项目矿界不涉及禁止开采区、限制开采区。根据《永州市零陵区羊钴岭矿区建筑用石灰岩矿采矿权申请范围核查报告》评审意见书（湘采矿权核查评字</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[2020]010号）可知，羊轱岭矿区已列入永州市零陵区砂石土矿专项规划中。拟设矿区范围不在《零陵区矿产资源总体规划(2016-2020年)》禁止、限制开采区/勘查区内；不在城乡建设规划</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区；和永久基本农田等无重叠。矿区内及周边1000m范围内无铁路，300m范围内无高速公路、国道、省道、县道，乡道Y247从矿区东面约36.73m外通过；拟设矿区与生态保护红线、各类自然保护地、各类禁止开发边界无重叠；经永州市零陵区林业局核实，拟设矿区范围内未占用公益林。</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2、本项目属于规划内的开采矿权，属于允许开采区内，资源储量为493万立方米（1329万吨）；生产规模拟建为120万吨/年；矿山为露天开采，自上而下“边采边治”台阶式分层开采；建设单位拟建设达到湖南省绿色矿山建设标准并经验收合格后再生产。</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3、本项目不涉及自然保护地、生态保护红线、分散式饮用水水源地、千人以上饮用水水源地、文物保护单位等。</w:t>
                  </w:r>
                </w:p>
              </w:tc>
              <w:tc>
                <w:tcPr>
                  <w:tcW w:w="814" w:type="dxa"/>
                  <w:noWrap w:val="0"/>
                  <w:vAlign w:val="center"/>
                </w:tcPr>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center"/>
                    <w:textAlignment w:val="auto"/>
                    <w:rPr>
                      <w:rFonts w:hint="default" w:ascii="Times New Roman" w:hAnsi="Times New Roman" w:eastAsia="宋体" w:cs="Times New Roman"/>
                      <w:b w:val="0"/>
                      <w:bCs w:val="0"/>
                      <w:color w:val="auto"/>
                      <w:sz w:val="21"/>
                      <w:szCs w:val="21"/>
                      <w:vertAlign w:val="baseline"/>
                      <w:lang w:val="en-US" w:eastAsia="zh-CN"/>
                    </w:rPr>
                  </w:pPr>
                  <w:r>
                    <w:rPr>
                      <w:rFonts w:hint="default" w:ascii="Times New Roman" w:hAnsi="Times New Roman" w:eastAsia="宋体" w:cs="Times New Roman"/>
                      <w:b w:val="0"/>
                      <w:bCs w:val="0"/>
                      <w:color w:val="auto"/>
                      <w:sz w:val="21"/>
                      <w:szCs w:val="21"/>
                      <w:vertAlign w:val="baseline"/>
                      <w:lang w:val="en-US" w:eastAsia="zh-CN"/>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3456" w:type="dxa"/>
                  <w:noWrap w:val="0"/>
                  <w:vAlign w:val="center"/>
                </w:tcPr>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bCs/>
                      <w:color w:val="auto"/>
                      <w:sz w:val="21"/>
                      <w:szCs w:val="21"/>
                      <w:vertAlign w:val="baseline"/>
                      <w:lang w:val="en-US"/>
                    </w:rPr>
                  </w:pPr>
                  <w:r>
                    <w:rPr>
                      <w:rFonts w:hint="default" w:ascii="Times New Roman" w:hAnsi="Times New Roman" w:eastAsia="宋体" w:cs="Times New Roman"/>
                      <w:b/>
                      <w:bCs/>
                      <w:color w:val="auto"/>
                      <w:sz w:val="21"/>
                      <w:szCs w:val="21"/>
                      <w:vertAlign w:val="baseline"/>
                      <w:lang w:val="en-US"/>
                    </w:rPr>
                    <w:t>污染物排放管控：</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1.污染防治：矿石开采过程中岩石采</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剥、钻孔、爆破、锯切、装卸等作</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业场所应采取喷雾、洒水等措施，</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产生的废水经收集沉淀后回用或达</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标排放。粗碎等工艺采取密闭或湿法工艺降低粉尘无组织排放。采用</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先进的爆破方式，选取低噪设备，</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通过减震、隔声、消声、吸声等措</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施，减缓噪声对周边居民带来的不</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利影响。加强固废综合利用，矿山</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资源综合利用率不低于95%。污水处理达标率达到100%；固体废物妥善处置率达到100%。</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2.生态保护与恢复：开采过程严格限</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制作业范围，尽可能减少对原有地</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表植被和土壤的破坏；矿区周边设</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置截排水措施，减少水土流失；规</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范设置排土场，表土进行保存用于</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开采后复垦；制定矿山生态修复方</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案并严格落实，对已完成开采或形</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成终了边坡的开采区域实施边开采</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边修复，恢复土地原有功能；采取</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覆土、复绿、边坡整治等措施实施</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历史遗留矿山生态环境修复治理。</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新建和生产矿山损毁土地复垦率应</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达到100%（全面复垦），地质环境</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治理恢复率应达到100%（全面治</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理）。</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3.建立常态化生态、噪声、大气、水</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环境等监测体系，根据区域生态环</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境质量变化情况，及时优化矿山建</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设和运营管理方案，完善相应生态</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环境保护措施。</w:t>
                  </w:r>
                </w:p>
              </w:tc>
              <w:tc>
                <w:tcPr>
                  <w:tcW w:w="3112" w:type="dxa"/>
                  <w:noWrap w:val="0"/>
                  <w:vAlign w:val="center"/>
                </w:tcPr>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eastAsia" w:ascii="Times New Roman" w:hAnsi="Times New Roman" w:eastAsia="宋体" w:cs="Times New Roman"/>
                      <w:b w:val="0"/>
                      <w:bCs w:val="0"/>
                      <w:color w:val="auto"/>
                      <w:sz w:val="21"/>
                      <w:szCs w:val="21"/>
                      <w:vertAlign w:val="baseline"/>
                      <w:lang w:val="en-US" w:eastAsia="zh-CN"/>
                    </w:rPr>
                  </w:pPr>
                  <w:r>
                    <w:rPr>
                      <w:rFonts w:hint="eastAsia" w:ascii="Times New Roman" w:hAnsi="Times New Roman" w:eastAsia="宋体" w:cs="Times New Roman"/>
                      <w:b w:val="0"/>
                      <w:bCs w:val="0"/>
                      <w:color w:val="auto"/>
                      <w:sz w:val="21"/>
                      <w:szCs w:val="21"/>
                      <w:vertAlign w:val="baseline"/>
                      <w:lang w:val="en-US" w:eastAsia="zh-CN"/>
                    </w:rPr>
                    <w:t>1、根据项目开发利用方案，项目矿石开采过程中岩石采剥、钻孔、爆破、装卸等拟采取喷雾、洒水等措施；项目无废水外排，破碎等工艺采取密闭、布袋除尘等减少粉尘无组织排放。采用先</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eastAsia" w:ascii="Times New Roman" w:hAnsi="Times New Roman" w:eastAsia="宋体" w:cs="Times New Roman"/>
                      <w:b w:val="0"/>
                      <w:bCs w:val="0"/>
                      <w:color w:val="auto"/>
                      <w:sz w:val="21"/>
                      <w:szCs w:val="21"/>
                      <w:vertAlign w:val="baseline"/>
                      <w:lang w:val="en-US" w:eastAsia="zh-CN"/>
                    </w:rPr>
                  </w:pPr>
                  <w:r>
                    <w:rPr>
                      <w:rFonts w:hint="eastAsia" w:ascii="Times New Roman" w:hAnsi="Times New Roman" w:eastAsia="宋体" w:cs="Times New Roman"/>
                      <w:b w:val="0"/>
                      <w:bCs w:val="0"/>
                      <w:color w:val="auto"/>
                      <w:sz w:val="21"/>
                      <w:szCs w:val="21"/>
                      <w:vertAlign w:val="baseline"/>
                      <w:lang w:val="en-US" w:eastAsia="zh-CN"/>
                    </w:rPr>
                    <w:t>进的中深孔爆破，选用低噪设备，通过减震、隔声、消声、吸声等措施。项目设计开采回采98%，固体废物均能妥善处置。</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eastAsia" w:ascii="Times New Roman" w:hAnsi="Times New Roman" w:eastAsia="宋体" w:cs="Times New Roman"/>
                      <w:b w:val="0"/>
                      <w:bCs w:val="0"/>
                      <w:color w:val="auto"/>
                      <w:sz w:val="21"/>
                      <w:szCs w:val="21"/>
                      <w:vertAlign w:val="baseline"/>
                      <w:lang w:val="en-US" w:eastAsia="zh-CN"/>
                    </w:rPr>
                  </w:pPr>
                  <w:r>
                    <w:rPr>
                      <w:rFonts w:hint="eastAsia" w:ascii="Times New Roman" w:hAnsi="Times New Roman" w:eastAsia="宋体" w:cs="Times New Roman"/>
                      <w:b w:val="0"/>
                      <w:bCs w:val="0"/>
                      <w:color w:val="auto"/>
                      <w:sz w:val="21"/>
                      <w:szCs w:val="21"/>
                      <w:vertAlign w:val="baseline"/>
                      <w:lang w:val="en-US" w:eastAsia="zh-CN"/>
                    </w:rPr>
                    <w:t>2、开采过程严格限制作业范围，尽可能减少对原有地表植被和土壤的破坏；矿区周边设置截排水措施，减少水土流失；规范设置</w:t>
                  </w:r>
                  <w:r>
                    <w:rPr>
                      <w:rFonts w:hint="eastAsia" w:cs="Times New Roman"/>
                      <w:b w:val="0"/>
                      <w:bCs w:val="0"/>
                      <w:color w:val="auto"/>
                      <w:sz w:val="21"/>
                      <w:szCs w:val="21"/>
                      <w:vertAlign w:val="baseline"/>
                      <w:lang w:val="en-US" w:eastAsia="zh-CN"/>
                    </w:rPr>
                    <w:t>表土堆场</w:t>
                  </w:r>
                  <w:r>
                    <w:rPr>
                      <w:rFonts w:hint="eastAsia" w:ascii="Times New Roman" w:hAnsi="Times New Roman" w:eastAsia="宋体" w:cs="Times New Roman"/>
                      <w:b w:val="0"/>
                      <w:bCs w:val="0"/>
                      <w:color w:val="auto"/>
                      <w:sz w:val="21"/>
                      <w:szCs w:val="21"/>
                      <w:vertAlign w:val="baseline"/>
                      <w:lang w:val="en-US" w:eastAsia="zh-CN"/>
                    </w:rPr>
                    <w:t>，表土进行保存用于开采后复垦；制定矿山生态修复方案并严格落实，对已完成开采或形成终了边坡的开采区域实施边开采边修复，恢复土地原有功能。</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eastAsia" w:ascii="Times New Roman" w:hAnsi="Times New Roman" w:eastAsia="宋体" w:cs="Times New Roman"/>
                      <w:b w:val="0"/>
                      <w:bCs w:val="0"/>
                      <w:color w:val="auto"/>
                      <w:sz w:val="21"/>
                      <w:szCs w:val="21"/>
                      <w:vertAlign w:val="baseline"/>
                      <w:lang w:val="en-US" w:eastAsia="zh-CN"/>
                    </w:rPr>
                  </w:pPr>
                  <w:r>
                    <w:rPr>
                      <w:rFonts w:hint="eastAsia" w:ascii="Times New Roman" w:hAnsi="Times New Roman" w:eastAsia="宋体" w:cs="Times New Roman"/>
                      <w:b w:val="0"/>
                      <w:bCs w:val="0"/>
                      <w:color w:val="auto"/>
                      <w:sz w:val="21"/>
                      <w:szCs w:val="21"/>
                      <w:vertAlign w:val="baseline"/>
                      <w:lang w:val="en-US" w:eastAsia="zh-CN"/>
                    </w:rPr>
                    <w:t>3、项目拟建设生态、噪声、大气等监测体系。</w:t>
                  </w:r>
                </w:p>
              </w:tc>
              <w:tc>
                <w:tcPr>
                  <w:tcW w:w="814" w:type="dxa"/>
                  <w:noWrap w:val="0"/>
                  <w:vAlign w:val="center"/>
                </w:tcPr>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center"/>
                    <w:textAlignment w:val="auto"/>
                    <w:rPr>
                      <w:rFonts w:hint="default" w:ascii="Times New Roman" w:hAnsi="Times New Roman" w:eastAsia="宋体" w:cs="Times New Roman"/>
                      <w:b w:val="0"/>
                      <w:bCs w:val="0"/>
                      <w:color w:val="auto"/>
                      <w:sz w:val="21"/>
                      <w:szCs w:val="21"/>
                      <w:vertAlign w:val="baseline"/>
                      <w:lang w:val="en-US" w:eastAsia="zh-CN"/>
                    </w:rPr>
                  </w:pPr>
                  <w:r>
                    <w:rPr>
                      <w:rFonts w:hint="default" w:ascii="Times New Roman" w:hAnsi="Times New Roman" w:eastAsia="宋体" w:cs="Times New Roman"/>
                      <w:b w:val="0"/>
                      <w:bCs w:val="0"/>
                      <w:color w:val="auto"/>
                      <w:sz w:val="21"/>
                      <w:szCs w:val="21"/>
                      <w:vertAlign w:val="baseline"/>
                      <w:lang w:val="en-US" w:eastAsia="zh-CN"/>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3456" w:type="dxa"/>
                  <w:noWrap w:val="0"/>
                  <w:vAlign w:val="center"/>
                </w:tcPr>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bCs/>
                      <w:color w:val="auto"/>
                      <w:sz w:val="21"/>
                      <w:szCs w:val="21"/>
                      <w:vertAlign w:val="baseline"/>
                      <w:lang w:val="en-US"/>
                    </w:rPr>
                    <w:t>风险防控</w:t>
                  </w:r>
                  <w:r>
                    <w:rPr>
                      <w:rFonts w:hint="default" w:ascii="Times New Roman" w:hAnsi="Times New Roman" w:eastAsia="宋体" w:cs="Times New Roman"/>
                      <w:b w:val="0"/>
                      <w:bCs w:val="0"/>
                      <w:color w:val="auto"/>
                      <w:sz w:val="21"/>
                      <w:szCs w:val="21"/>
                      <w:vertAlign w:val="baseline"/>
                      <w:lang w:val="en-US"/>
                    </w:rPr>
                    <w:t>：</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落实环境风险防范的主</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体责任，强化环境风险防范体系建</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设；制定突发环境事件应急预案，</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严格执行应急报告制度；采场和堆</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场应设置完善的排洪和排水设施，</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做好削坡卸荷、压脚护坡，预防滑</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坡、坍塌、泥石流地质环境灾害引</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发的次生生态环境风险。</w:t>
                  </w:r>
                </w:p>
              </w:tc>
              <w:tc>
                <w:tcPr>
                  <w:tcW w:w="3112" w:type="dxa"/>
                  <w:noWrap w:val="0"/>
                  <w:vAlign w:val="center"/>
                </w:tcPr>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left="0" w:leftChars="0"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建设单位将强化环境风险防范体系建设，拟在项目建设完成后制定突发环境事件应急预案，严格执行应急报告制度；采场和堆场拟设置完善的排洪和排水设施、削坡卸荷、压脚护坡等，预</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left="0" w:leftChars="0"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防滑坡、坍塌、泥石流地质环境灾害引发的次生生态环境风险。</w:t>
                  </w:r>
                </w:p>
              </w:tc>
              <w:tc>
                <w:tcPr>
                  <w:tcW w:w="814" w:type="dxa"/>
                  <w:noWrap w:val="0"/>
                  <w:vAlign w:val="center"/>
                </w:tcPr>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center"/>
                    <w:textAlignment w:val="auto"/>
                    <w:rPr>
                      <w:rFonts w:hint="default" w:ascii="Times New Roman" w:hAnsi="Times New Roman" w:eastAsia="宋体" w:cs="Times New Roman"/>
                      <w:b w:val="0"/>
                      <w:bCs w:val="0"/>
                      <w:color w:val="auto"/>
                      <w:sz w:val="21"/>
                      <w:szCs w:val="21"/>
                      <w:vertAlign w:val="baseline"/>
                      <w:lang w:val="en-US" w:eastAsia="zh-CN"/>
                    </w:rPr>
                  </w:pPr>
                  <w:r>
                    <w:rPr>
                      <w:rFonts w:hint="default" w:ascii="Times New Roman" w:hAnsi="Times New Roman" w:eastAsia="宋体" w:cs="Times New Roman"/>
                      <w:b w:val="0"/>
                      <w:bCs w:val="0"/>
                      <w:color w:val="auto"/>
                      <w:sz w:val="21"/>
                      <w:szCs w:val="21"/>
                      <w:vertAlign w:val="baseline"/>
                      <w:lang w:val="en-US" w:eastAsia="zh-CN"/>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3456" w:type="dxa"/>
                  <w:noWrap w:val="0"/>
                  <w:vAlign w:val="center"/>
                </w:tcPr>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bCs/>
                      <w:color w:val="auto"/>
                      <w:sz w:val="21"/>
                      <w:szCs w:val="21"/>
                      <w:vertAlign w:val="baseline"/>
                      <w:lang w:val="en-US"/>
                    </w:rPr>
                    <w:t>资源开发利用要求</w:t>
                  </w:r>
                  <w:r>
                    <w:rPr>
                      <w:rFonts w:hint="default" w:ascii="Times New Roman" w:hAnsi="Times New Roman" w:eastAsia="宋体" w:cs="Times New Roman"/>
                      <w:b w:val="0"/>
                      <w:bCs w:val="0"/>
                      <w:color w:val="auto"/>
                      <w:sz w:val="21"/>
                      <w:szCs w:val="21"/>
                      <w:vertAlign w:val="baseline"/>
                      <w:lang w:val="en-US"/>
                    </w:rPr>
                    <w:t>：</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严格按照开采规模要求、开采范围进行开采，不得超量开采、不得越界开采。矿山开采回采率不低于92%，表土利用率不低于95%。</w:t>
                  </w:r>
                </w:p>
              </w:tc>
              <w:tc>
                <w:tcPr>
                  <w:tcW w:w="3112" w:type="dxa"/>
                  <w:noWrap w:val="0"/>
                  <w:vAlign w:val="center"/>
                </w:tcPr>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eastAsia="zh-CN"/>
                    </w:rPr>
                  </w:pPr>
                  <w:r>
                    <w:rPr>
                      <w:rFonts w:hint="default" w:ascii="Times New Roman" w:hAnsi="Times New Roman" w:eastAsia="宋体" w:cs="Times New Roman"/>
                      <w:b w:val="0"/>
                      <w:bCs w:val="0"/>
                      <w:color w:val="auto"/>
                      <w:sz w:val="21"/>
                      <w:szCs w:val="21"/>
                      <w:vertAlign w:val="baseline"/>
                      <w:lang w:val="en-US" w:eastAsia="zh-CN"/>
                    </w:rPr>
                    <w:t>项目将严格按照开采规模要求、开采范围进行开采，不会超量开采、越界开采。根据项目开发利用方案，设计开采回采率98%，表土利用率不低于95%。</w:t>
                  </w:r>
                </w:p>
              </w:tc>
              <w:tc>
                <w:tcPr>
                  <w:tcW w:w="814" w:type="dxa"/>
                  <w:noWrap w:val="0"/>
                  <w:vAlign w:val="center"/>
                </w:tcPr>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center"/>
                    <w:textAlignment w:val="auto"/>
                    <w:rPr>
                      <w:rFonts w:hint="default" w:ascii="Times New Roman" w:hAnsi="Times New Roman" w:eastAsia="宋体" w:cs="Times New Roman"/>
                      <w:b w:val="0"/>
                      <w:bCs w:val="0"/>
                      <w:color w:val="auto"/>
                      <w:sz w:val="21"/>
                      <w:szCs w:val="21"/>
                      <w:vertAlign w:val="baseline"/>
                      <w:lang w:val="en-US" w:eastAsia="zh-CN"/>
                    </w:rPr>
                  </w:pPr>
                  <w:r>
                    <w:rPr>
                      <w:rFonts w:hint="default" w:ascii="Times New Roman" w:hAnsi="Times New Roman" w:eastAsia="宋体" w:cs="Times New Roman"/>
                      <w:b w:val="0"/>
                      <w:bCs w:val="0"/>
                      <w:color w:val="auto"/>
                      <w:sz w:val="21"/>
                      <w:szCs w:val="21"/>
                      <w:vertAlign w:val="baseline"/>
                      <w:lang w:val="en-US" w:eastAsia="zh-CN"/>
                    </w:rPr>
                    <w:t>符合</w:t>
                  </w:r>
                </w:p>
              </w:tc>
            </w:tr>
          </w:tbl>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Calibri" w:hAnsi="Calibri" w:cs="Times New Roman"/>
                <w:sz w:val="24"/>
                <w:szCs w:val="24"/>
                <w:lang w:val="en-US" w:eastAsia="zh-CN"/>
              </w:rPr>
            </w:pPr>
            <w:r>
              <w:rPr>
                <w:rFonts w:hint="default" w:ascii="Calibri" w:hAnsi="Calibri" w:cs="Times New Roman"/>
                <w:sz w:val="24"/>
                <w:szCs w:val="24"/>
                <w:lang w:val="en-US" w:eastAsia="zh-CN"/>
              </w:rPr>
              <w:t>综上所述，本项目符合《湖南省普通建筑材料用砂石土矿专项规划（2021-2025）环境影响报告书》</w:t>
            </w:r>
            <w:r>
              <w:rPr>
                <w:rFonts w:hint="eastAsia" w:ascii="Calibri" w:hAnsi="Calibri" w:cs="Times New Roman"/>
                <w:sz w:val="24"/>
                <w:szCs w:val="24"/>
                <w:lang w:val="en-US" w:eastAsia="zh-CN"/>
              </w:rPr>
              <w:t>相关</w:t>
            </w:r>
            <w:r>
              <w:rPr>
                <w:rFonts w:hint="default" w:ascii="Calibri" w:hAnsi="Calibri" w:cs="Times New Roman"/>
                <w:sz w:val="24"/>
                <w:szCs w:val="24"/>
                <w:lang w:val="en-US" w:eastAsia="zh-CN"/>
              </w:rPr>
              <w:t>要求。</w:t>
            </w:r>
          </w:p>
          <w:p>
            <w:pPr>
              <w:keepNext w:val="0"/>
              <w:keepLines w:val="0"/>
              <w:pageBreakBefore w:val="0"/>
              <w:widowControl w:val="0"/>
              <w:numPr>
                <w:ilvl w:val="0"/>
                <w:numId w:val="0"/>
              </w:numPr>
              <w:suppressLineNumbers w:val="0"/>
              <w:kinsoku/>
              <w:wordWrap/>
              <w:overflowPunct/>
              <w:topLinePunct w:val="0"/>
              <w:autoSpaceDE w:val="0"/>
              <w:autoSpaceDN w:val="0"/>
              <w:bidi w:val="0"/>
              <w:adjustRightInd w:val="0"/>
              <w:snapToGrid w:val="0"/>
              <w:spacing w:before="0" w:beforeAutospacing="0" w:after="0" w:afterAutospacing="0" w:line="360" w:lineRule="auto"/>
              <w:ind w:left="0" w:right="0" w:firstLine="482" w:firstLineChars="200"/>
              <w:jc w:val="both"/>
              <w:textAlignment w:val="auto"/>
              <w:rPr>
                <w:rFonts w:hint="default" w:ascii="Times New Roman" w:hAnsi="Times New Roman" w:eastAsia="宋体" w:cs="Times New Roman"/>
                <w:b/>
                <w:bCs/>
                <w:color w:val="auto"/>
                <w:sz w:val="24"/>
                <w:szCs w:val="24"/>
                <w:u w:val="none" w:color="auto"/>
                <w:lang w:val="en-US" w:eastAsia="zh-CN"/>
              </w:rPr>
            </w:pPr>
            <w:r>
              <w:rPr>
                <w:rFonts w:hint="eastAsia" w:ascii="Calibri" w:hAnsi="Calibri" w:cs="Times New Roman"/>
                <w:b/>
                <w:bCs/>
                <w:color w:val="auto"/>
                <w:sz w:val="24"/>
                <w:szCs w:val="24"/>
                <w:u w:val="none" w:color="auto"/>
                <w:lang w:val="en-US" w:eastAsia="zh-CN"/>
              </w:rPr>
              <w:t>3.</w:t>
            </w:r>
            <w:r>
              <w:rPr>
                <w:rFonts w:hint="default" w:ascii="Times New Roman" w:hAnsi="Times New Roman" w:eastAsia="宋体" w:cs="Times New Roman"/>
                <w:b/>
                <w:bCs/>
                <w:color w:val="auto"/>
                <w:sz w:val="24"/>
                <w:szCs w:val="24"/>
                <w:u w:val="none" w:color="auto"/>
                <w:lang w:val="en-US" w:eastAsia="zh-CN"/>
              </w:rPr>
              <w:t>与《湖南普通建筑材料用砂石土矿专项规划(2021-2025年)环境影响报告书》</w:t>
            </w:r>
            <w:r>
              <w:rPr>
                <w:rFonts w:hint="eastAsia" w:ascii="Calibri" w:hAnsi="Calibri" w:cs="Times New Roman"/>
                <w:b/>
                <w:bCs/>
                <w:color w:val="auto"/>
                <w:sz w:val="24"/>
                <w:szCs w:val="24"/>
                <w:u w:val="none" w:color="auto"/>
                <w:lang w:val="en-US" w:eastAsia="zh-CN"/>
              </w:rPr>
              <w:t>以及</w:t>
            </w:r>
            <w:r>
              <w:rPr>
                <w:rFonts w:hint="default" w:ascii="Times New Roman" w:hAnsi="Times New Roman" w:eastAsia="宋体" w:cs="Times New Roman"/>
                <w:b/>
                <w:bCs/>
                <w:color w:val="auto"/>
                <w:sz w:val="24"/>
                <w:szCs w:val="24"/>
                <w:u w:val="none" w:color="auto"/>
                <w:lang w:val="en-US" w:eastAsia="zh-CN"/>
              </w:rPr>
              <w:t>审查意见中相关要求符合性分析</w:t>
            </w:r>
          </w:p>
          <w:p>
            <w:pPr>
              <w:keepNext w:val="0"/>
              <w:keepLines w:val="0"/>
              <w:pageBreakBefore w:val="0"/>
              <w:widowControl w:val="0"/>
              <w:numPr>
                <w:ilvl w:val="0"/>
                <w:numId w:val="0"/>
              </w:numPr>
              <w:suppressLineNumbers w:val="0"/>
              <w:kinsoku/>
              <w:wordWrap/>
              <w:overflowPunct/>
              <w:topLinePunct w:val="0"/>
              <w:autoSpaceDE w:val="0"/>
              <w:autoSpaceDN w:val="0"/>
              <w:bidi w:val="0"/>
              <w:adjustRightInd w:val="0"/>
              <w:snapToGrid w:val="0"/>
              <w:spacing w:before="0" w:beforeAutospacing="0" w:after="0" w:afterAutospacing="0" w:line="360" w:lineRule="auto"/>
              <w:ind w:left="0" w:right="0" w:firstLine="480" w:firstLineChars="200"/>
              <w:jc w:val="both"/>
              <w:textAlignment w:val="auto"/>
              <w:rPr>
                <w:rFonts w:hint="default" w:ascii="Times New Roman" w:hAnsi="Times New Roman" w:eastAsia="宋体" w:cs="Times New Roman"/>
                <w:color w:val="auto"/>
                <w:sz w:val="24"/>
                <w:szCs w:val="24"/>
                <w:u w:val="none" w:color="auto"/>
                <w:lang w:val="en-US" w:eastAsia="zh-CN"/>
              </w:rPr>
            </w:pPr>
            <w:r>
              <w:rPr>
                <w:rFonts w:hint="default" w:ascii="Times New Roman" w:hAnsi="Times New Roman" w:eastAsia="宋体" w:cs="Times New Roman"/>
                <w:color w:val="auto"/>
                <w:sz w:val="24"/>
                <w:szCs w:val="24"/>
                <w:u w:val="none" w:color="auto"/>
                <w:lang w:val="en-US" w:eastAsia="zh-CN"/>
              </w:rPr>
              <w:t>依据《湖南普通建筑材料用砂石土矿专项规划(2021-2025年)环境影响报告书》</w:t>
            </w:r>
            <w:r>
              <w:rPr>
                <w:rFonts w:hint="eastAsia" w:ascii="Calibri" w:hAnsi="Calibri" w:cs="Times New Roman"/>
                <w:color w:val="auto"/>
                <w:sz w:val="24"/>
                <w:szCs w:val="24"/>
                <w:u w:val="none" w:color="auto"/>
                <w:lang w:val="en-US" w:eastAsia="zh-CN"/>
              </w:rPr>
              <w:t>以及</w:t>
            </w:r>
            <w:r>
              <w:rPr>
                <w:rFonts w:hint="default" w:ascii="Times New Roman" w:hAnsi="Times New Roman" w:eastAsia="宋体" w:cs="Times New Roman"/>
                <w:color w:val="auto"/>
                <w:sz w:val="24"/>
                <w:szCs w:val="24"/>
                <w:u w:val="none" w:color="auto"/>
                <w:lang w:val="en-US" w:eastAsia="zh-CN"/>
              </w:rPr>
              <w:t>审查意见，项目与规划环评相符性分析见下表。</w:t>
            </w:r>
          </w:p>
          <w:p>
            <w:pPr>
              <w:keepNext w:val="0"/>
              <w:keepLines w:val="0"/>
              <w:pageBreakBefore w:val="0"/>
              <w:widowControl w:val="0"/>
              <w:numPr>
                <w:ilvl w:val="0"/>
                <w:numId w:val="0"/>
              </w:numPr>
              <w:suppressLineNumbers w:val="0"/>
              <w:kinsoku/>
              <w:wordWrap/>
              <w:overflowPunct/>
              <w:topLinePunct w:val="0"/>
              <w:autoSpaceDE w:val="0"/>
              <w:autoSpaceDN w:val="0"/>
              <w:bidi w:val="0"/>
              <w:adjustRightInd w:val="0"/>
              <w:snapToGrid w:val="0"/>
              <w:spacing w:before="0" w:beforeAutospacing="0" w:after="0" w:afterAutospacing="0" w:line="360" w:lineRule="auto"/>
              <w:ind w:left="0" w:right="0"/>
              <w:jc w:val="left"/>
              <w:textAlignment w:val="auto"/>
              <w:rPr>
                <w:rFonts w:hint="default" w:ascii="Times New Roman" w:hAnsi="Times New Roman" w:eastAsia="宋体" w:cs="Times New Roman"/>
                <w:b/>
                <w:bCs/>
                <w:color w:val="auto"/>
                <w:szCs w:val="21"/>
                <w:u w:val="none" w:color="auto"/>
                <w:lang w:val="en-US" w:eastAsia="zh-CN"/>
              </w:rPr>
            </w:pPr>
            <w:r>
              <w:rPr>
                <w:rFonts w:hint="default" w:ascii="Times New Roman" w:hAnsi="Times New Roman" w:eastAsia="宋体" w:cs="Times New Roman"/>
                <w:b/>
                <w:bCs/>
                <w:color w:val="auto"/>
                <w:szCs w:val="21"/>
                <w:u w:val="none" w:color="auto"/>
                <w:lang w:val="en-US" w:eastAsia="zh-CN"/>
              </w:rPr>
              <w:t>表1-</w:t>
            </w:r>
            <w:r>
              <w:rPr>
                <w:rFonts w:hint="eastAsia" w:ascii="Times New Roman" w:hAnsi="Times New Roman" w:eastAsia="宋体" w:cs="Times New Roman"/>
                <w:b/>
                <w:bCs/>
                <w:color w:val="auto"/>
                <w:szCs w:val="21"/>
                <w:u w:val="none" w:color="auto"/>
                <w:lang w:val="en-US" w:eastAsia="zh-CN"/>
              </w:rPr>
              <w:t>2</w:t>
            </w:r>
            <w:r>
              <w:rPr>
                <w:rFonts w:hint="default" w:ascii="Times New Roman" w:hAnsi="Times New Roman" w:eastAsia="宋体" w:cs="Times New Roman"/>
                <w:b/>
                <w:bCs/>
                <w:color w:val="auto"/>
                <w:szCs w:val="21"/>
                <w:u w:val="none" w:color="auto"/>
                <w:lang w:val="en-US" w:eastAsia="zh-CN"/>
              </w:rPr>
              <w:t>项目与《湖南普通建筑材料用砂石土矿专项规划(2021-2025年)环境影响报告书》及审查意见符</w:t>
            </w:r>
            <w:r>
              <w:rPr>
                <w:rFonts w:hint="eastAsia" w:ascii="Calibri" w:hAnsi="Calibri" w:cs="Times New Roman"/>
                <w:b/>
                <w:bCs/>
                <w:color w:val="auto"/>
                <w:szCs w:val="21"/>
                <w:u w:val="none" w:color="auto"/>
                <w:lang w:val="en-US" w:eastAsia="zh-CN"/>
              </w:rPr>
              <w:t>合</w:t>
            </w:r>
            <w:r>
              <w:rPr>
                <w:rFonts w:hint="default" w:ascii="Times New Roman" w:hAnsi="Times New Roman" w:eastAsia="宋体" w:cs="Times New Roman"/>
                <w:b/>
                <w:bCs/>
                <w:color w:val="auto"/>
                <w:szCs w:val="21"/>
                <w:u w:val="none" w:color="auto"/>
                <w:lang w:val="en-US" w:eastAsia="zh-CN"/>
              </w:rPr>
              <w:t>性相符性分析</w:t>
            </w:r>
          </w:p>
          <w:tbl>
            <w:tblPr>
              <w:tblStyle w:val="22"/>
              <w:tblW w:w="738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456"/>
              <w:gridCol w:w="3112"/>
              <w:gridCol w:w="8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62" w:hRule="atLeast"/>
                <w:jc w:val="center"/>
              </w:trPr>
              <w:tc>
                <w:tcPr>
                  <w:tcW w:w="3456" w:type="dxa"/>
                  <w:noWrap w:val="0"/>
                  <w:vAlign w:val="center"/>
                </w:tcPr>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center"/>
                    <w:textAlignment w:val="auto"/>
                    <w:rPr>
                      <w:rFonts w:hint="default" w:ascii="Times New Roman" w:hAnsi="Times New Roman" w:eastAsia="宋体" w:cs="Times New Roman"/>
                      <w:b/>
                      <w:bCs/>
                      <w:color w:val="auto"/>
                      <w:sz w:val="21"/>
                      <w:szCs w:val="21"/>
                      <w:vertAlign w:val="baseline"/>
                      <w:lang w:val="en-US" w:eastAsia="zh-CN"/>
                    </w:rPr>
                  </w:pPr>
                  <w:r>
                    <w:rPr>
                      <w:rFonts w:hint="default" w:ascii="Times New Roman" w:hAnsi="Times New Roman" w:eastAsia="宋体" w:cs="Times New Roman"/>
                      <w:b/>
                      <w:bCs/>
                      <w:color w:val="auto"/>
                      <w:sz w:val="21"/>
                      <w:szCs w:val="21"/>
                      <w:vertAlign w:val="baseline"/>
                      <w:lang w:val="en-US" w:eastAsia="zh-CN"/>
                    </w:rPr>
                    <w:t>审查意见要求</w:t>
                  </w:r>
                </w:p>
              </w:tc>
              <w:tc>
                <w:tcPr>
                  <w:tcW w:w="3112" w:type="dxa"/>
                  <w:noWrap w:val="0"/>
                  <w:vAlign w:val="center"/>
                </w:tcPr>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center"/>
                    <w:textAlignment w:val="auto"/>
                    <w:rPr>
                      <w:rFonts w:hint="default" w:ascii="Times New Roman" w:hAnsi="Times New Roman" w:eastAsia="宋体" w:cs="Times New Roman"/>
                      <w:b/>
                      <w:bCs/>
                      <w:color w:val="auto"/>
                      <w:sz w:val="21"/>
                      <w:szCs w:val="21"/>
                      <w:vertAlign w:val="baseline"/>
                      <w:lang w:val="en-US" w:eastAsia="zh-CN"/>
                    </w:rPr>
                  </w:pPr>
                  <w:r>
                    <w:rPr>
                      <w:rFonts w:hint="default" w:ascii="Times New Roman" w:hAnsi="Times New Roman" w:eastAsia="宋体" w:cs="Times New Roman"/>
                      <w:b/>
                      <w:bCs/>
                      <w:color w:val="auto"/>
                      <w:sz w:val="21"/>
                      <w:szCs w:val="21"/>
                      <w:vertAlign w:val="baseline"/>
                      <w:lang w:val="en-US" w:eastAsia="zh-CN"/>
                    </w:rPr>
                    <w:t>本项目情况</w:t>
                  </w:r>
                </w:p>
              </w:tc>
              <w:tc>
                <w:tcPr>
                  <w:tcW w:w="814" w:type="dxa"/>
                  <w:noWrap w:val="0"/>
                  <w:vAlign w:val="center"/>
                </w:tcPr>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center"/>
                    <w:textAlignment w:val="auto"/>
                    <w:rPr>
                      <w:rFonts w:hint="default" w:ascii="Times New Roman" w:hAnsi="Times New Roman" w:eastAsia="宋体" w:cs="Times New Roman"/>
                      <w:b/>
                      <w:bCs/>
                      <w:color w:val="auto"/>
                      <w:sz w:val="21"/>
                      <w:szCs w:val="21"/>
                      <w:vertAlign w:val="baseline"/>
                      <w:lang w:val="en-US" w:eastAsia="zh-CN"/>
                    </w:rPr>
                  </w:pPr>
                  <w:r>
                    <w:rPr>
                      <w:rFonts w:hint="default" w:ascii="Times New Roman" w:hAnsi="Times New Roman" w:eastAsia="宋体" w:cs="Times New Roman"/>
                      <w:b/>
                      <w:bCs/>
                      <w:color w:val="auto"/>
                      <w:sz w:val="21"/>
                      <w:szCs w:val="21"/>
                      <w:vertAlign w:val="baseline"/>
                      <w:lang w:val="en-US" w:eastAsia="zh-CN"/>
                    </w:rPr>
                    <w:t>是否符合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3456" w:type="dxa"/>
                  <w:noWrap w:val="0"/>
                  <w:vAlign w:val="center"/>
                </w:tcPr>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强化并落实污染防治措施。矿山开采过程中岩石采剥、钻孔、爆破、锯切、装卸等作业场所应采取喷雾、洒水等措施，产生的废水经收集沉淀后回用或达标排放。粗碎等工艺采取密闭或湿法工艺降低粉尘无组织排放。采用先进的爆破方式，选取低噪设备，通过减震、隔声、消声、吸声等措施，减缓噪声对周边居民带来的不利影响。加强固废综合利用，矿山资源综合利用率不低于95%。</w:t>
                  </w:r>
                </w:p>
              </w:tc>
              <w:tc>
                <w:tcPr>
                  <w:tcW w:w="3112" w:type="dxa"/>
                  <w:noWrap w:val="0"/>
                  <w:vAlign w:val="center"/>
                </w:tcPr>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1、本项目石灰岩矿开采规模为120万t/a，加工规模为120万吨/年，符合国家产业政策和当地矿产资源规划等要求，并统筹了资源、环境、物流和市场等因素合理布局。</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2、目前，企业已取得《永州市零陵区羊轱岭矿区建筑石料用灰岩矿勘查报告》及其矿产资源量储量评审备案证明、《永州市零陵区羊轱岭矿区建筑石料用灰岩矿资源开发利用方案》及</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评审意见。本工程环评、水土保持方案、安全生产许可证等手续</w:t>
                  </w:r>
                  <w:r>
                    <w:rPr>
                      <w:rFonts w:hint="eastAsia" w:cs="Times New Roman"/>
                      <w:b w:val="0"/>
                      <w:bCs w:val="0"/>
                      <w:color w:val="auto"/>
                      <w:sz w:val="21"/>
                      <w:szCs w:val="21"/>
                      <w:vertAlign w:val="baseline"/>
                      <w:lang w:val="en-US" w:eastAsia="zh-CN"/>
                    </w:rPr>
                    <w:t>已经</w:t>
                  </w:r>
                  <w:r>
                    <w:rPr>
                      <w:rFonts w:hint="default" w:ascii="Times New Roman" w:hAnsi="Times New Roman" w:eastAsia="宋体" w:cs="Times New Roman"/>
                      <w:b w:val="0"/>
                      <w:bCs w:val="0"/>
                      <w:color w:val="auto"/>
                      <w:sz w:val="21"/>
                      <w:szCs w:val="21"/>
                      <w:vertAlign w:val="baseline"/>
                      <w:lang w:val="en-US"/>
                    </w:rPr>
                    <w:t>办理中。</w:t>
                  </w:r>
                </w:p>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3、本项目石料加工区靠近矿山布置，靠近矿山资源地。不属于风景名胜区、地质公园、生态保护区、自然和文化遗产保护区、饮用水源保护区、城市建成区等区域。</w:t>
                  </w:r>
                </w:p>
              </w:tc>
              <w:tc>
                <w:tcPr>
                  <w:tcW w:w="814" w:type="dxa"/>
                  <w:noWrap w:val="0"/>
                  <w:vAlign w:val="center"/>
                </w:tcPr>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center"/>
                    <w:textAlignment w:val="auto"/>
                    <w:rPr>
                      <w:rFonts w:hint="default" w:ascii="Times New Roman" w:hAnsi="Times New Roman" w:eastAsia="宋体" w:cs="Times New Roman"/>
                      <w:b w:val="0"/>
                      <w:bCs w:val="0"/>
                      <w:color w:val="auto"/>
                      <w:sz w:val="21"/>
                      <w:szCs w:val="21"/>
                      <w:vertAlign w:val="baseline"/>
                      <w:lang w:val="en-US" w:eastAsia="zh-CN"/>
                    </w:rPr>
                  </w:pPr>
                  <w:r>
                    <w:rPr>
                      <w:rFonts w:hint="default" w:ascii="Times New Roman" w:hAnsi="Times New Roman" w:eastAsia="宋体" w:cs="Times New Roman"/>
                      <w:b w:val="0"/>
                      <w:bCs w:val="0"/>
                      <w:color w:val="auto"/>
                      <w:sz w:val="21"/>
                      <w:szCs w:val="21"/>
                      <w:vertAlign w:val="baseline"/>
                      <w:lang w:val="en-US" w:eastAsia="zh-CN"/>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3456" w:type="dxa"/>
                  <w:noWrap w:val="0"/>
                  <w:vAlign w:val="center"/>
                </w:tcPr>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加强生态保护和修复。开采过程严格限制作业范围，尽可能减少对原有地表植被和土壤的破坏；矿区周边设置截排水措施，减少水土流失；规范设置排土场，表土进行保存用于开采后复垦；制定矿山生态修复方案并严格落实，对已完成开采或形成终了边坡的开采区域实施边开采边修复，恢复土地原有功能，采取覆土、复绿、边坡整治等措施实施历史遗留矿山生态环境修复治理。</w:t>
                  </w:r>
                </w:p>
              </w:tc>
              <w:tc>
                <w:tcPr>
                  <w:tcW w:w="3112" w:type="dxa"/>
                  <w:noWrap w:val="0"/>
                  <w:vAlign w:val="center"/>
                </w:tcPr>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eastAsia" w:ascii="Times New Roman" w:hAnsi="Times New Roman" w:eastAsia="宋体" w:cs="Times New Roman"/>
                      <w:b w:val="0"/>
                      <w:bCs w:val="0"/>
                      <w:color w:val="auto"/>
                      <w:sz w:val="21"/>
                      <w:szCs w:val="21"/>
                      <w:vertAlign w:val="baseline"/>
                      <w:lang w:val="en-US" w:eastAsia="zh-CN"/>
                    </w:rPr>
                  </w:pPr>
                  <w:r>
                    <w:rPr>
                      <w:rFonts w:hint="default" w:ascii="Times New Roman" w:hAnsi="Times New Roman" w:eastAsia="宋体" w:cs="Times New Roman"/>
                      <w:b w:val="0"/>
                      <w:bCs w:val="0"/>
                      <w:color w:val="auto"/>
                      <w:sz w:val="21"/>
                      <w:szCs w:val="21"/>
                      <w:vertAlign w:val="baseline"/>
                      <w:lang w:val="en-US"/>
                    </w:rPr>
                    <w:t>本项目开采过程严格限制作业范围，矿区周边设置截排水沟等措施，减少水体流失；</w:t>
                  </w:r>
                  <w:r>
                    <w:rPr>
                      <w:rFonts w:hint="eastAsia" w:cs="Times New Roman"/>
                      <w:b w:val="0"/>
                      <w:bCs w:val="0"/>
                      <w:color w:val="auto"/>
                      <w:sz w:val="21"/>
                      <w:szCs w:val="21"/>
                      <w:vertAlign w:val="baseline"/>
                      <w:lang w:val="en-US" w:eastAsia="zh-CN"/>
                    </w:rPr>
                    <w:t>表土堆场</w:t>
                  </w:r>
                  <w:r>
                    <w:rPr>
                      <w:rFonts w:hint="default" w:ascii="Times New Roman" w:hAnsi="Times New Roman" w:eastAsia="宋体" w:cs="Times New Roman"/>
                      <w:b w:val="0"/>
                      <w:bCs w:val="0"/>
                      <w:color w:val="auto"/>
                      <w:sz w:val="21"/>
                      <w:szCs w:val="21"/>
                      <w:vertAlign w:val="baseline"/>
                      <w:lang w:val="en-US"/>
                    </w:rPr>
                    <w:t>规范设置，一部分表土进行保存用于后期的土地复垦</w:t>
                  </w:r>
                  <w:r>
                    <w:rPr>
                      <w:rFonts w:hint="eastAsia" w:ascii="Calibri" w:hAnsi="Calibri" w:cs="Times New Roman"/>
                      <w:b w:val="0"/>
                      <w:bCs w:val="0"/>
                      <w:color w:val="auto"/>
                      <w:sz w:val="21"/>
                      <w:szCs w:val="21"/>
                      <w:vertAlign w:val="baseline"/>
                      <w:lang w:val="en-US" w:eastAsia="zh-CN"/>
                    </w:rPr>
                    <w:t>。</w:t>
                  </w:r>
                </w:p>
              </w:tc>
              <w:tc>
                <w:tcPr>
                  <w:tcW w:w="814" w:type="dxa"/>
                  <w:noWrap w:val="0"/>
                  <w:vAlign w:val="center"/>
                </w:tcPr>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center"/>
                    <w:textAlignment w:val="auto"/>
                    <w:rPr>
                      <w:rFonts w:hint="default" w:ascii="Times New Roman" w:hAnsi="Times New Roman" w:eastAsia="宋体" w:cs="Times New Roman"/>
                      <w:b w:val="0"/>
                      <w:bCs w:val="0"/>
                      <w:color w:val="auto"/>
                      <w:sz w:val="21"/>
                      <w:szCs w:val="21"/>
                      <w:vertAlign w:val="baseline"/>
                      <w:lang w:val="en-US" w:eastAsia="zh-CN"/>
                    </w:rPr>
                  </w:pPr>
                  <w:r>
                    <w:rPr>
                      <w:rFonts w:hint="default" w:ascii="Times New Roman" w:hAnsi="Times New Roman" w:eastAsia="宋体" w:cs="Times New Roman"/>
                      <w:b w:val="0"/>
                      <w:bCs w:val="0"/>
                      <w:color w:val="auto"/>
                      <w:sz w:val="21"/>
                      <w:szCs w:val="21"/>
                      <w:vertAlign w:val="baseline"/>
                      <w:lang w:val="en-US" w:eastAsia="zh-CN"/>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3456" w:type="dxa"/>
                  <w:noWrap w:val="0"/>
                  <w:vAlign w:val="center"/>
                </w:tcPr>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落加强环境风险防范。落实矿山开采环境风险防范的主体责任，强化环境风险防范体系建设；制度突发环境事件应急预案，严格执行应急报告制度；采场和堆场应设置完善的排洪和排水设施，做好削坡卸荷、压脚护坡，预防滑坡、坍塌泥石流等地址环境灾害引发的次生生态环境风险。</w:t>
                  </w:r>
                </w:p>
              </w:tc>
              <w:tc>
                <w:tcPr>
                  <w:tcW w:w="3112" w:type="dxa"/>
                  <w:noWrap w:val="0"/>
                  <w:vAlign w:val="center"/>
                </w:tcPr>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left="0" w:leftChars="0"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建设单位将强化环境风险防范体系建设，拟制定突发环境事件应急预案，严格执行应急报告制度；采场和堆场拟设置完善的排洪和排水设施、削坡卸荷、压脚护坡等，预防滑坡、坍塌、泥石流地质环境灾害引发的次生生态环境风险。</w:t>
                  </w:r>
                </w:p>
              </w:tc>
              <w:tc>
                <w:tcPr>
                  <w:tcW w:w="814" w:type="dxa"/>
                  <w:noWrap w:val="0"/>
                  <w:vAlign w:val="center"/>
                </w:tcPr>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center"/>
                    <w:textAlignment w:val="auto"/>
                    <w:rPr>
                      <w:rFonts w:hint="default" w:ascii="Times New Roman" w:hAnsi="Times New Roman" w:eastAsia="宋体" w:cs="Times New Roman"/>
                      <w:b w:val="0"/>
                      <w:bCs w:val="0"/>
                      <w:color w:val="auto"/>
                      <w:sz w:val="21"/>
                      <w:szCs w:val="21"/>
                      <w:vertAlign w:val="baseline"/>
                      <w:lang w:val="en-US" w:eastAsia="zh-CN"/>
                    </w:rPr>
                  </w:pPr>
                  <w:r>
                    <w:rPr>
                      <w:rFonts w:hint="default" w:ascii="Times New Roman" w:hAnsi="Times New Roman" w:eastAsia="宋体" w:cs="Times New Roman"/>
                      <w:b w:val="0"/>
                      <w:bCs w:val="0"/>
                      <w:color w:val="auto"/>
                      <w:sz w:val="21"/>
                      <w:szCs w:val="21"/>
                      <w:vertAlign w:val="baseline"/>
                      <w:lang w:val="en-US" w:eastAsia="zh-CN"/>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3456" w:type="dxa"/>
                  <w:noWrap w:val="0"/>
                  <w:vAlign w:val="center"/>
                </w:tcPr>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rPr>
                  </w:pPr>
                  <w:r>
                    <w:rPr>
                      <w:rFonts w:hint="default" w:ascii="Times New Roman" w:hAnsi="Times New Roman" w:eastAsia="宋体" w:cs="Times New Roman"/>
                      <w:b w:val="0"/>
                      <w:bCs w:val="0"/>
                      <w:color w:val="auto"/>
                      <w:sz w:val="21"/>
                      <w:szCs w:val="21"/>
                      <w:vertAlign w:val="baseline"/>
                      <w:lang w:val="en-US"/>
                    </w:rPr>
                    <w:t>建立健全生态环境长期监测体系。建立常态化生态、噪声、大气、水环境等监测体系，根据区域生态环境质量变化情况，及时优化矿山建设和运营管理方案，完善相应生态环境保护措施。</w:t>
                  </w:r>
                </w:p>
              </w:tc>
              <w:tc>
                <w:tcPr>
                  <w:tcW w:w="3112" w:type="dxa"/>
                  <w:noWrap w:val="0"/>
                  <w:vAlign w:val="center"/>
                </w:tcPr>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both"/>
                    <w:textAlignment w:val="auto"/>
                    <w:rPr>
                      <w:rFonts w:hint="default" w:ascii="Times New Roman" w:hAnsi="Times New Roman" w:eastAsia="宋体" w:cs="Times New Roman"/>
                      <w:b w:val="0"/>
                      <w:bCs w:val="0"/>
                      <w:color w:val="auto"/>
                      <w:sz w:val="21"/>
                      <w:szCs w:val="21"/>
                      <w:vertAlign w:val="baseline"/>
                      <w:lang w:val="en-US" w:eastAsia="zh-CN"/>
                    </w:rPr>
                  </w:pPr>
                  <w:r>
                    <w:rPr>
                      <w:rFonts w:hint="default" w:ascii="Times New Roman" w:hAnsi="Times New Roman" w:eastAsia="宋体" w:cs="Times New Roman"/>
                      <w:b w:val="0"/>
                      <w:bCs w:val="0"/>
                      <w:color w:val="auto"/>
                      <w:sz w:val="21"/>
                      <w:szCs w:val="21"/>
                      <w:vertAlign w:val="baseline"/>
                      <w:lang w:val="en-US" w:eastAsia="zh-CN"/>
                    </w:rPr>
                    <w:t>根据监测要求，对项目进行建设全长期监测体系</w:t>
                  </w:r>
                </w:p>
              </w:tc>
              <w:tc>
                <w:tcPr>
                  <w:tcW w:w="814" w:type="dxa"/>
                  <w:noWrap w:val="0"/>
                  <w:vAlign w:val="center"/>
                </w:tcPr>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right="0" w:firstLine="0" w:firstLineChars="0"/>
                    <w:jc w:val="center"/>
                    <w:textAlignment w:val="auto"/>
                    <w:rPr>
                      <w:rFonts w:hint="default" w:ascii="Times New Roman" w:hAnsi="Times New Roman" w:eastAsia="宋体" w:cs="Times New Roman"/>
                      <w:b w:val="0"/>
                      <w:bCs w:val="0"/>
                      <w:color w:val="auto"/>
                      <w:sz w:val="21"/>
                      <w:szCs w:val="21"/>
                      <w:vertAlign w:val="baseline"/>
                      <w:lang w:val="en-US" w:eastAsia="zh-CN"/>
                    </w:rPr>
                  </w:pPr>
                  <w:r>
                    <w:rPr>
                      <w:rFonts w:hint="default" w:ascii="Times New Roman" w:hAnsi="Times New Roman" w:eastAsia="宋体" w:cs="Times New Roman"/>
                      <w:b w:val="0"/>
                      <w:bCs w:val="0"/>
                      <w:color w:val="auto"/>
                      <w:sz w:val="21"/>
                      <w:szCs w:val="21"/>
                      <w:vertAlign w:val="baseline"/>
                      <w:lang w:val="en-US" w:eastAsia="zh-CN"/>
                    </w:rPr>
                    <w:t>符合</w:t>
                  </w:r>
                </w:p>
              </w:tc>
            </w:tr>
          </w:tbl>
          <w:p>
            <w:pPr>
              <w:keepNext w:val="0"/>
              <w:keepLines w:val="0"/>
              <w:suppressLineNumbers w:val="0"/>
              <w:autoSpaceDE w:val="0"/>
              <w:autoSpaceDN w:val="0"/>
              <w:adjustRightInd w:val="0"/>
              <w:snapToGrid w:val="0"/>
              <w:spacing w:before="0" w:beforeAutospacing="0" w:after="0" w:afterAutospacing="0" w:line="360" w:lineRule="auto"/>
              <w:ind w:left="0" w:right="0" w:firstLine="480" w:firstLineChars="200"/>
              <w:rPr>
                <w:rFonts w:hint="default" w:ascii="Times New Roman" w:hAnsi="Times New Roman" w:eastAsia="宋体" w:cs="Times New Roman"/>
                <w:color w:val="000000"/>
                <w:kern w:val="0"/>
                <w:sz w:val="24"/>
                <w:szCs w:val="24"/>
              </w:rPr>
            </w:pPr>
            <w:r>
              <w:rPr>
                <w:rFonts w:hint="default" w:ascii="Times New Roman" w:hAnsi="Times New Roman" w:eastAsia="宋体" w:cs="Times New Roman"/>
                <w:color w:val="auto"/>
                <w:sz w:val="24"/>
                <w:szCs w:val="24"/>
                <w:u w:val="none" w:color="auto"/>
                <w:lang w:val="en-US" w:eastAsia="zh-CN"/>
              </w:rPr>
              <w:t>综上所述，本项目符合《湖南省普通建筑材料用砂石土矿专项规划（2021-2025）环境影响报告书》及审查意见</w:t>
            </w:r>
            <w:r>
              <w:rPr>
                <w:rFonts w:hint="eastAsia" w:ascii="Calibri" w:hAnsi="Calibri" w:cs="Times New Roman"/>
                <w:color w:val="auto"/>
                <w:sz w:val="24"/>
                <w:szCs w:val="24"/>
                <w:u w:val="none" w:color="auto"/>
                <w:lang w:val="en-US" w:eastAsia="zh-CN"/>
              </w:rPr>
              <w:t>相关</w:t>
            </w:r>
            <w:r>
              <w:rPr>
                <w:rFonts w:hint="default" w:ascii="Times New Roman" w:hAnsi="Times New Roman" w:eastAsia="宋体" w:cs="Times New Roman"/>
                <w:color w:val="auto"/>
                <w:sz w:val="24"/>
                <w:szCs w:val="24"/>
                <w:u w:val="none" w:color="auto"/>
                <w:lang w:val="en-US" w:eastAsia="zh-CN"/>
              </w:rPr>
              <w:t>要求。</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Ex>
        <w:trPr>
          <w:trHeight w:val="12794" w:hRule="atLeast"/>
        </w:trPr>
        <w:tc>
          <w:tcPr>
            <w:tcW w:w="1501" w:type="dxa"/>
            <w:noWrap w:val="0"/>
            <w:tcMar>
              <w:top w:w="16" w:type="dxa"/>
              <w:left w:w="16" w:type="dxa"/>
              <w:right w:w="16" w:type="dxa"/>
            </w:tcMar>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color w:val="000000"/>
                <w:kern w:val="0"/>
                <w:sz w:val="21"/>
                <w:szCs w:val="21"/>
              </w:rPr>
            </w:pPr>
            <w:bookmarkStart w:id="6" w:name="_Hlk56690880"/>
            <w:r>
              <w:rPr>
                <w:rFonts w:hint="default" w:ascii="Times New Roman" w:hAnsi="Times New Roman" w:eastAsia="宋体" w:cs="Times New Roman"/>
                <w:color w:val="000000"/>
                <w:kern w:val="0"/>
                <w:sz w:val="21"/>
                <w:szCs w:val="21"/>
              </w:rPr>
              <w:t>其他符合性分析</w:t>
            </w:r>
            <w:bookmarkEnd w:id="6"/>
          </w:p>
        </w:tc>
        <w:tc>
          <w:tcPr>
            <w:tcW w:w="7538" w:type="dxa"/>
            <w:gridSpan w:val="4"/>
            <w:noWrap w:val="0"/>
            <w:tcMar>
              <w:top w:w="16" w:type="dxa"/>
              <w:left w:w="16" w:type="dxa"/>
              <w:right w:w="16" w:type="dxa"/>
            </w:tcMar>
            <w:vAlign w:val="center"/>
          </w:tcPr>
          <w:p>
            <w:pPr>
              <w:keepNext w:val="0"/>
              <w:keepLines w:val="0"/>
              <w:suppressLineNumbers w:val="0"/>
              <w:autoSpaceDE w:val="0"/>
              <w:autoSpaceDN w:val="0"/>
              <w:adjustRightInd w:val="0"/>
              <w:snapToGrid w:val="0"/>
              <w:spacing w:before="0" w:beforeAutospacing="0" w:after="0" w:afterAutospacing="0" w:line="360" w:lineRule="auto"/>
              <w:ind w:left="0" w:right="0" w:firstLine="420"/>
              <w:jc w:val="left"/>
              <w:rPr>
                <w:rFonts w:ascii="Calibri" w:hAnsi="Calibri" w:cs="Times New Roman"/>
                <w:b/>
                <w:color w:val="auto"/>
                <w:kern w:val="0"/>
                <w:sz w:val="24"/>
                <w:szCs w:val="24"/>
              </w:rPr>
            </w:pPr>
            <w:r>
              <w:rPr>
                <w:rFonts w:hint="cs" w:ascii="Calibri" w:hAnsi="Calibri" w:cs="Times New Roman"/>
                <w:b w:val="0"/>
                <w:bCs/>
                <w:color w:val="auto"/>
                <w:kern w:val="0"/>
                <w:sz w:val="24"/>
                <w:szCs w:val="24"/>
                <w:cs/>
              </w:rPr>
              <w:t>1</w:t>
            </w:r>
            <w:r>
              <w:rPr>
                <w:rFonts w:hint="eastAsia" w:ascii="Calibri" w:hAnsi="Calibri" w:cs="Times New Roman"/>
                <w:b/>
                <w:color w:val="auto"/>
                <w:kern w:val="0"/>
                <w:sz w:val="24"/>
                <w:szCs w:val="24"/>
              </w:rPr>
              <w:t>、生态环境分区管控合理性分析</w:t>
            </w:r>
          </w:p>
          <w:p>
            <w:pPr>
              <w:keepNext w:val="0"/>
              <w:keepLines w:val="0"/>
              <w:suppressLineNumbers w:val="0"/>
              <w:autoSpaceDE w:val="0"/>
              <w:autoSpaceDN w:val="0"/>
              <w:adjustRightInd w:val="0"/>
              <w:snapToGrid w:val="0"/>
              <w:spacing w:before="0" w:beforeAutospacing="0" w:after="0" w:afterAutospacing="0" w:line="360" w:lineRule="auto"/>
              <w:ind w:left="0" w:right="0" w:firstLine="420"/>
              <w:jc w:val="left"/>
              <w:rPr>
                <w:rFonts w:ascii="Calibri" w:hAnsi="Calibri" w:cs="Times New Roman"/>
                <w:b/>
                <w:color w:val="auto"/>
                <w:kern w:val="0"/>
                <w:sz w:val="24"/>
                <w:szCs w:val="24"/>
              </w:rPr>
            </w:pPr>
            <w:r>
              <w:rPr>
                <w:rFonts w:hint="eastAsia" w:ascii="Calibri" w:hAnsi="Calibri" w:cs="Times New Roman"/>
                <w:b/>
                <w:color w:val="auto"/>
                <w:kern w:val="0"/>
                <w:sz w:val="24"/>
                <w:szCs w:val="24"/>
              </w:rPr>
              <w:t>（1）生态</w:t>
            </w:r>
            <w:r>
              <w:rPr>
                <w:rFonts w:hint="eastAsia" w:ascii="Calibri" w:hAnsi="Calibri" w:cs="Times New Roman"/>
                <w:b/>
                <w:color w:val="auto"/>
                <w:kern w:val="0"/>
                <w:sz w:val="24"/>
                <w:szCs w:val="24"/>
                <w:lang w:val="en-US" w:eastAsia="zh-CN"/>
              </w:rPr>
              <w:t>保护</w:t>
            </w:r>
            <w:r>
              <w:rPr>
                <w:rFonts w:hint="eastAsia" w:ascii="Calibri" w:hAnsi="Calibri" w:cs="Times New Roman"/>
                <w:b/>
                <w:color w:val="auto"/>
                <w:kern w:val="0"/>
                <w:sz w:val="24"/>
                <w:szCs w:val="24"/>
              </w:rPr>
              <w:t>红线</w:t>
            </w:r>
          </w:p>
          <w:p>
            <w:pPr>
              <w:keepNext w:val="0"/>
              <w:keepLines w:val="0"/>
              <w:suppressLineNumbers w:val="0"/>
              <w:autoSpaceDE w:val="0"/>
              <w:autoSpaceDN w:val="0"/>
              <w:adjustRightInd w:val="0"/>
              <w:snapToGrid w:val="0"/>
              <w:spacing w:before="0" w:beforeAutospacing="0" w:after="0" w:afterAutospacing="0" w:line="360" w:lineRule="auto"/>
              <w:ind w:left="0" w:right="0" w:firstLine="420"/>
              <w:jc w:val="left"/>
              <w:rPr>
                <w:rFonts w:hint="eastAsia" w:ascii="宋体" w:hAnsi="宋体" w:cs="Times New Roman"/>
                <w:color w:val="auto"/>
                <w:kern w:val="0"/>
                <w:sz w:val="24"/>
                <w:szCs w:val="24"/>
              </w:rPr>
            </w:pPr>
            <w:r>
              <w:rPr>
                <w:rFonts w:hint="eastAsia" w:ascii="Calibri" w:hAnsi="Calibri" w:cs="Times New Roman"/>
                <w:color w:val="auto"/>
                <w:kern w:val="0"/>
                <w:sz w:val="24"/>
                <w:szCs w:val="24"/>
              </w:rPr>
              <w:t>根据《湖南省人民</w:t>
            </w:r>
            <w:r>
              <w:rPr>
                <w:rFonts w:ascii="Calibri" w:hAnsi="Calibri" w:cs="Times New Roman"/>
                <w:color w:val="auto"/>
                <w:kern w:val="0"/>
                <w:sz w:val="24"/>
                <w:szCs w:val="24"/>
              </w:rPr>
              <w:t>政府</w:t>
            </w:r>
            <w:r>
              <w:rPr>
                <w:rFonts w:hint="eastAsia" w:ascii="Calibri" w:hAnsi="Calibri" w:cs="Times New Roman"/>
                <w:color w:val="auto"/>
                <w:kern w:val="0"/>
                <w:sz w:val="24"/>
                <w:szCs w:val="24"/>
              </w:rPr>
              <w:t>关于</w:t>
            </w:r>
            <w:r>
              <w:rPr>
                <w:rFonts w:ascii="Calibri" w:hAnsi="Calibri" w:cs="Times New Roman"/>
                <w:color w:val="auto"/>
                <w:kern w:val="0"/>
                <w:sz w:val="24"/>
                <w:szCs w:val="24"/>
              </w:rPr>
              <w:t>印发</w:t>
            </w:r>
            <w:r>
              <w:rPr>
                <w:rFonts w:hint="eastAsia" w:ascii="Calibri" w:hAnsi="Calibri" w:cs="Times New Roman"/>
                <w:color w:val="auto"/>
                <w:kern w:val="0"/>
                <w:sz w:val="24"/>
                <w:szCs w:val="24"/>
              </w:rPr>
              <w:t>《湖南省生态保护红线</w:t>
            </w:r>
            <w:r>
              <w:rPr>
                <w:rFonts w:ascii="Calibri" w:hAnsi="Calibri" w:cs="Times New Roman"/>
                <w:color w:val="auto"/>
                <w:kern w:val="0"/>
                <w:sz w:val="24"/>
                <w:szCs w:val="24"/>
              </w:rPr>
              <w:t>的</w:t>
            </w:r>
            <w:r>
              <w:rPr>
                <w:rFonts w:hint="eastAsia" w:ascii="Calibri" w:hAnsi="Calibri" w:cs="Times New Roman"/>
                <w:color w:val="auto"/>
                <w:kern w:val="0"/>
                <w:sz w:val="24"/>
                <w:szCs w:val="24"/>
              </w:rPr>
              <w:t>通知》（湘政发[2018]20号）》，湖南省生态</w:t>
            </w:r>
            <w:r>
              <w:rPr>
                <w:rFonts w:ascii="Calibri" w:hAnsi="Calibri" w:cs="Times New Roman"/>
                <w:color w:val="auto"/>
                <w:kern w:val="0"/>
                <w:sz w:val="24"/>
                <w:szCs w:val="24"/>
              </w:rPr>
              <w:t>保护红线划定</w:t>
            </w:r>
            <w:r>
              <w:rPr>
                <w:rFonts w:hint="eastAsia" w:ascii="Calibri" w:hAnsi="Calibri" w:cs="Times New Roman"/>
                <w:color w:val="auto"/>
                <w:kern w:val="0"/>
                <w:sz w:val="24"/>
                <w:szCs w:val="24"/>
              </w:rPr>
              <w:t>面积</w:t>
            </w:r>
            <w:r>
              <w:rPr>
                <w:rFonts w:ascii="Calibri" w:hAnsi="Calibri" w:cs="Times New Roman"/>
                <w:color w:val="auto"/>
                <w:kern w:val="0"/>
                <w:sz w:val="24"/>
                <w:szCs w:val="24"/>
              </w:rPr>
              <w:t>为</w:t>
            </w:r>
            <w:r>
              <w:rPr>
                <w:rFonts w:hint="eastAsia" w:ascii="Calibri" w:hAnsi="Calibri" w:cs="Times New Roman"/>
                <w:color w:val="auto"/>
                <w:kern w:val="0"/>
                <w:sz w:val="24"/>
                <w:szCs w:val="24"/>
              </w:rPr>
              <w:t>4.28万</w:t>
            </w:r>
            <w:r>
              <w:rPr>
                <w:rFonts w:ascii="Calibri" w:hAnsi="Calibri" w:cs="Times New Roman"/>
                <w:color w:val="auto"/>
                <w:kern w:val="0"/>
                <w:sz w:val="24"/>
                <w:szCs w:val="24"/>
              </w:rPr>
              <w:t>平方公里，</w:t>
            </w:r>
            <w:r>
              <w:rPr>
                <w:rFonts w:hint="eastAsia" w:ascii="Calibri" w:hAnsi="Calibri" w:cs="Times New Roman"/>
                <w:color w:val="auto"/>
                <w:kern w:val="0"/>
                <w:sz w:val="24"/>
                <w:szCs w:val="24"/>
              </w:rPr>
              <w:t>占</w:t>
            </w:r>
            <w:r>
              <w:rPr>
                <w:rFonts w:ascii="Calibri" w:hAnsi="Calibri" w:cs="Times New Roman"/>
                <w:color w:val="auto"/>
                <w:kern w:val="0"/>
                <w:sz w:val="24"/>
                <w:szCs w:val="24"/>
              </w:rPr>
              <w:t>全省</w:t>
            </w:r>
            <w:r>
              <w:rPr>
                <w:rFonts w:hint="eastAsia" w:ascii="Calibri" w:hAnsi="Calibri" w:cs="Times New Roman"/>
                <w:color w:val="auto"/>
                <w:kern w:val="0"/>
                <w:sz w:val="24"/>
                <w:szCs w:val="24"/>
              </w:rPr>
              <w:t>土地</w:t>
            </w:r>
            <w:r>
              <w:rPr>
                <w:rFonts w:ascii="Calibri" w:hAnsi="Calibri" w:cs="Times New Roman"/>
                <w:color w:val="auto"/>
                <w:kern w:val="0"/>
                <w:sz w:val="24"/>
                <w:szCs w:val="24"/>
              </w:rPr>
              <w:t>面积的</w:t>
            </w:r>
            <w:r>
              <w:rPr>
                <w:rFonts w:hint="eastAsia" w:ascii="Calibri" w:hAnsi="Calibri" w:cs="Times New Roman"/>
                <w:color w:val="auto"/>
                <w:kern w:val="0"/>
                <w:sz w:val="24"/>
                <w:szCs w:val="24"/>
              </w:rPr>
              <w:t>20.23%。全省</w:t>
            </w:r>
            <w:r>
              <w:rPr>
                <w:rFonts w:ascii="Calibri" w:hAnsi="Calibri" w:cs="Times New Roman"/>
                <w:color w:val="auto"/>
                <w:kern w:val="0"/>
                <w:sz w:val="24"/>
                <w:szCs w:val="24"/>
              </w:rPr>
              <w:t>生态</w:t>
            </w:r>
            <w:r>
              <w:rPr>
                <w:rFonts w:hint="eastAsia" w:ascii="Calibri" w:hAnsi="Calibri" w:cs="Times New Roman"/>
                <w:color w:val="auto"/>
                <w:kern w:val="0"/>
                <w:sz w:val="24"/>
                <w:szCs w:val="24"/>
              </w:rPr>
              <w:t>保护红线</w:t>
            </w:r>
            <w:r>
              <w:rPr>
                <w:rFonts w:ascii="Calibri" w:hAnsi="Calibri" w:cs="Times New Roman"/>
                <w:color w:val="auto"/>
                <w:kern w:val="0"/>
                <w:sz w:val="24"/>
                <w:szCs w:val="24"/>
              </w:rPr>
              <w:t>空间</w:t>
            </w:r>
            <w:r>
              <w:rPr>
                <w:rFonts w:hint="eastAsia" w:ascii="Calibri" w:hAnsi="Calibri" w:cs="Times New Roman"/>
                <w:color w:val="auto"/>
                <w:kern w:val="0"/>
                <w:sz w:val="24"/>
                <w:szCs w:val="24"/>
              </w:rPr>
              <w:t>格局</w:t>
            </w:r>
            <w:r>
              <w:rPr>
                <w:rFonts w:ascii="Calibri" w:hAnsi="Calibri" w:cs="Times New Roman"/>
                <w:color w:val="auto"/>
                <w:kern w:val="0"/>
                <w:sz w:val="24"/>
                <w:szCs w:val="24"/>
              </w:rPr>
              <w:t>为</w:t>
            </w:r>
            <w:r>
              <w:rPr>
                <w:rFonts w:ascii="宋体" w:hAnsi="宋体" w:cs="Times New Roman"/>
                <w:color w:val="auto"/>
                <w:kern w:val="0"/>
                <w:sz w:val="24"/>
                <w:szCs w:val="24"/>
              </w:rPr>
              <w:t>“</w:t>
            </w:r>
            <w:r>
              <w:rPr>
                <w:rFonts w:hint="eastAsia" w:ascii="宋体" w:hAnsi="宋体" w:cs="Times New Roman"/>
                <w:color w:val="auto"/>
                <w:kern w:val="0"/>
                <w:sz w:val="24"/>
                <w:szCs w:val="24"/>
              </w:rPr>
              <w:t>一湖三山四水</w:t>
            </w:r>
            <w:r>
              <w:rPr>
                <w:rFonts w:ascii="宋体" w:hAnsi="宋体" w:cs="Times New Roman"/>
                <w:color w:val="auto"/>
                <w:kern w:val="0"/>
                <w:sz w:val="24"/>
                <w:szCs w:val="24"/>
              </w:rPr>
              <w:t>”</w:t>
            </w:r>
            <w:r>
              <w:rPr>
                <w:rFonts w:hint="eastAsia" w:ascii="宋体" w:hAnsi="宋体" w:cs="Times New Roman"/>
                <w:color w:val="auto"/>
                <w:kern w:val="0"/>
                <w:sz w:val="24"/>
                <w:szCs w:val="24"/>
              </w:rPr>
              <w:t>。</w:t>
            </w:r>
          </w:p>
          <w:p>
            <w:pPr>
              <w:keepNext w:val="0"/>
              <w:keepLines w:val="0"/>
              <w:suppressLineNumbers w:val="0"/>
              <w:autoSpaceDE w:val="0"/>
              <w:autoSpaceDN w:val="0"/>
              <w:adjustRightInd w:val="0"/>
              <w:snapToGrid w:val="0"/>
              <w:spacing w:before="0" w:beforeAutospacing="0" w:after="0" w:afterAutospacing="0" w:line="360" w:lineRule="auto"/>
              <w:ind w:left="0" w:right="0" w:firstLine="420"/>
              <w:jc w:val="left"/>
              <w:rPr>
                <w:rFonts w:hint="eastAsia" w:ascii="宋体" w:hAnsi="宋体" w:cs="Times New Roman"/>
                <w:color w:val="auto"/>
                <w:kern w:val="0"/>
                <w:sz w:val="24"/>
                <w:szCs w:val="24"/>
              </w:rPr>
            </w:pPr>
            <w:r>
              <w:rPr>
                <w:rFonts w:hint="eastAsia" w:ascii="宋体" w:hAnsi="宋体" w:cs="Times New Roman"/>
                <w:color w:val="auto"/>
                <w:kern w:val="0"/>
                <w:sz w:val="24"/>
                <w:szCs w:val="24"/>
              </w:rPr>
              <w:t>“生态保护红线”是生态空间范围内具有特殊重要生态功能必须实行强制性严格保护的区域。相关规划环评应将生态空间管控作为重要内容，规划区域涉及生态保护红线的，在规划环评结论和审查意见中应落实生态保护红线的管理要求，提出相应对策措施。除受自然条件限制、确实无法避让的铁路、公路、航道、防洪、管道、干渠、通讯、输变电等重要基础设施项目外，在生态保护红线范围内，严控各类开发建设活动，依法不予审批新建工业项目和矿产开发项目的环评文件。</w:t>
            </w:r>
          </w:p>
          <w:p>
            <w:pPr>
              <w:keepNext w:val="0"/>
              <w:keepLines w:val="0"/>
              <w:suppressLineNumbers w:val="0"/>
              <w:autoSpaceDE w:val="0"/>
              <w:autoSpaceDN w:val="0"/>
              <w:adjustRightInd w:val="0"/>
              <w:snapToGrid w:val="0"/>
              <w:spacing w:before="0" w:beforeAutospacing="0" w:after="0" w:afterAutospacing="0" w:line="360" w:lineRule="auto"/>
              <w:ind w:left="0" w:right="0" w:firstLine="420"/>
              <w:jc w:val="left"/>
              <w:rPr>
                <w:rFonts w:ascii="宋体" w:hAnsi="宋体" w:cs="宋体"/>
                <w:color w:val="auto"/>
                <w:sz w:val="24"/>
                <w:szCs w:val="24"/>
              </w:rPr>
            </w:pPr>
            <w:r>
              <w:rPr>
                <w:rFonts w:hint="eastAsia" w:ascii="宋体" w:hAnsi="宋体" w:cs="Times New Roman"/>
                <w:color w:val="auto"/>
                <w:kern w:val="0"/>
                <w:sz w:val="24"/>
                <w:szCs w:val="24"/>
              </w:rPr>
              <w:t>本项目</w:t>
            </w:r>
            <w:r>
              <w:rPr>
                <w:rFonts w:ascii="宋体" w:hAnsi="宋体" w:cs="Times New Roman"/>
                <w:color w:val="auto"/>
                <w:kern w:val="0"/>
                <w:sz w:val="24"/>
                <w:szCs w:val="24"/>
              </w:rPr>
              <w:t>位于</w:t>
            </w:r>
            <w:r>
              <w:rPr>
                <w:rFonts w:hint="eastAsia" w:ascii="宋体" w:hAnsi="宋体" w:cs="Times New Roman"/>
                <w:color w:val="auto"/>
                <w:kern w:val="0"/>
                <w:sz w:val="24"/>
                <w:szCs w:val="24"/>
                <w:lang w:val="en-US" w:eastAsia="zh-CN"/>
              </w:rPr>
              <w:t>永州市零陵区石山脚办事处燕朝村和梳子铺乡红狮村</w:t>
            </w:r>
            <w:r>
              <w:rPr>
                <w:rFonts w:hint="eastAsia" w:ascii="宋体" w:hAnsi="宋体" w:cs="宋体"/>
                <w:color w:val="auto"/>
                <w:sz w:val="24"/>
                <w:szCs w:val="24"/>
                <w:lang w:val="en-US" w:eastAsia="zh-CN"/>
              </w:rPr>
              <w:t>，不涉及基本农田和生态红线，不在生态红线范围内，因此</w:t>
            </w:r>
            <w:r>
              <w:rPr>
                <w:rFonts w:ascii="宋体" w:hAnsi="宋体" w:cs="宋体"/>
                <w:color w:val="auto"/>
                <w:sz w:val="24"/>
                <w:szCs w:val="24"/>
              </w:rPr>
              <w:t>符合生态红线区域保护规划。</w:t>
            </w:r>
          </w:p>
          <w:p>
            <w:pPr>
              <w:keepNext w:val="0"/>
              <w:keepLines w:val="0"/>
              <w:suppressLineNumbers w:val="0"/>
              <w:autoSpaceDE w:val="0"/>
              <w:autoSpaceDN w:val="0"/>
              <w:adjustRightInd w:val="0"/>
              <w:snapToGrid w:val="0"/>
              <w:spacing w:before="0" w:beforeAutospacing="0" w:after="0" w:afterAutospacing="0" w:line="360" w:lineRule="auto"/>
              <w:ind w:left="0" w:right="0" w:firstLine="420"/>
              <w:jc w:val="left"/>
              <w:rPr>
                <w:rFonts w:ascii="宋体" w:hAnsi="宋体" w:cs="宋体"/>
                <w:b/>
                <w:color w:val="auto"/>
                <w:sz w:val="24"/>
                <w:szCs w:val="24"/>
              </w:rPr>
            </w:pPr>
            <w:r>
              <w:rPr>
                <w:rFonts w:hint="eastAsia" w:ascii="宋体" w:hAnsi="宋体" w:cs="宋体"/>
                <w:b/>
                <w:color w:val="auto"/>
                <w:sz w:val="24"/>
                <w:szCs w:val="24"/>
              </w:rPr>
              <w:t>（</w:t>
            </w:r>
            <w:r>
              <w:rPr>
                <w:rFonts w:ascii="Calibri" w:hAnsi="Calibri" w:cs="Times New Roman"/>
                <w:b/>
                <w:color w:val="auto"/>
                <w:sz w:val="24"/>
                <w:szCs w:val="24"/>
              </w:rPr>
              <w:t>2</w:t>
            </w:r>
            <w:r>
              <w:rPr>
                <w:rFonts w:hint="eastAsia" w:ascii="宋体" w:hAnsi="宋体" w:cs="宋体"/>
                <w:b/>
                <w:color w:val="auto"/>
                <w:sz w:val="24"/>
                <w:szCs w:val="24"/>
              </w:rPr>
              <w:t>）环境质量底线</w:t>
            </w:r>
          </w:p>
          <w:p>
            <w:pPr>
              <w:keepNext w:val="0"/>
              <w:keepLines w:val="0"/>
              <w:suppressLineNumbers w:val="0"/>
              <w:autoSpaceDE w:val="0"/>
              <w:autoSpaceDN w:val="0"/>
              <w:adjustRightInd w:val="0"/>
              <w:snapToGrid w:val="0"/>
              <w:spacing w:before="0" w:beforeAutospacing="0" w:after="0" w:afterAutospacing="0" w:line="360" w:lineRule="auto"/>
              <w:ind w:left="0" w:right="0" w:firstLine="420"/>
              <w:jc w:val="left"/>
              <w:rPr>
                <w:rFonts w:ascii="宋体" w:hAnsi="宋体" w:cs="宋体"/>
                <w:color w:val="auto"/>
                <w:sz w:val="24"/>
                <w:szCs w:val="24"/>
              </w:rPr>
            </w:pPr>
            <w:r>
              <w:rPr>
                <w:rFonts w:hint="eastAsia" w:ascii="宋体" w:hAnsi="宋体" w:cs="宋体"/>
                <w:color w:val="auto"/>
                <w:sz w:val="24"/>
                <w:szCs w:val="24"/>
              </w:rPr>
              <w:t>由</w:t>
            </w:r>
            <w:r>
              <w:rPr>
                <w:rFonts w:ascii="宋体" w:hAnsi="宋体" w:cs="宋体"/>
                <w:color w:val="auto"/>
                <w:sz w:val="24"/>
                <w:szCs w:val="24"/>
              </w:rPr>
              <w:t>环境现状调查可知</w:t>
            </w:r>
            <w:r>
              <w:rPr>
                <w:rFonts w:hint="eastAsia" w:ascii="宋体" w:hAnsi="宋体" w:cs="宋体"/>
                <w:color w:val="auto"/>
                <w:sz w:val="24"/>
                <w:szCs w:val="24"/>
              </w:rPr>
              <w:t>，</w:t>
            </w:r>
            <w:r>
              <w:rPr>
                <w:rFonts w:ascii="宋体" w:hAnsi="宋体" w:cs="宋体"/>
                <w:color w:val="auto"/>
                <w:sz w:val="24"/>
                <w:szCs w:val="24"/>
              </w:rPr>
              <w:t>建设项目所在区域环境空气</w:t>
            </w:r>
            <w:r>
              <w:rPr>
                <w:rFonts w:hint="eastAsia" w:ascii="宋体" w:hAnsi="宋体" w:cs="宋体"/>
                <w:color w:val="auto"/>
                <w:sz w:val="24"/>
                <w:szCs w:val="24"/>
                <w:lang w:eastAsia="zh-CN"/>
              </w:rPr>
              <w:t>、</w:t>
            </w:r>
            <w:r>
              <w:rPr>
                <w:rFonts w:ascii="宋体" w:hAnsi="宋体" w:cs="宋体"/>
                <w:color w:val="auto"/>
                <w:sz w:val="24"/>
                <w:szCs w:val="24"/>
              </w:rPr>
              <w:t>地表水环境、声环境等均满足相应的功能规划要求，具有一定的环境承载力；</w:t>
            </w:r>
            <w:r>
              <w:rPr>
                <w:rFonts w:hint="eastAsia" w:ascii="宋体" w:hAnsi="宋体" w:cs="宋体"/>
                <w:color w:val="auto"/>
                <w:sz w:val="24"/>
                <w:szCs w:val="24"/>
                <w:lang w:val="en-US" w:eastAsia="zh-CN"/>
              </w:rPr>
              <w:t>采取本环评提出的相关污染防治措施后，本项目施工期各污染得到有效控制，对区域环境质量影响有限，项目营运期严格执行环保“三同时”制度，确保污染物达标排放的前提下，环境效益、社会效益和经济效益可以得到充分发挥，可维持评价范围内的环境质量功能目标要求，不会造成区域环境空气的恶化。综上所述，项目建设符合环境质量底线的要求，</w:t>
            </w:r>
            <w:r>
              <w:rPr>
                <w:rFonts w:ascii="宋体" w:hAnsi="宋体" w:cs="宋体"/>
                <w:color w:val="auto"/>
                <w:sz w:val="24"/>
                <w:szCs w:val="24"/>
              </w:rPr>
              <w:t>对周边环境影响较小，项目的建设不会改变区域环境功能属性，符合环境质量底线</w:t>
            </w:r>
            <w:r>
              <w:rPr>
                <w:rFonts w:hint="eastAsia" w:ascii="宋体" w:hAnsi="宋体" w:cs="宋体"/>
                <w:color w:val="auto"/>
                <w:sz w:val="24"/>
                <w:szCs w:val="24"/>
              </w:rPr>
              <w:t>标准</w:t>
            </w:r>
            <w:r>
              <w:rPr>
                <w:rFonts w:ascii="宋体" w:hAnsi="宋体" w:cs="宋体"/>
                <w:color w:val="auto"/>
                <w:sz w:val="24"/>
                <w:szCs w:val="24"/>
              </w:rPr>
              <w:t>。</w:t>
            </w:r>
          </w:p>
          <w:p>
            <w:pPr>
              <w:keepNext w:val="0"/>
              <w:keepLines w:val="0"/>
              <w:suppressLineNumbers w:val="0"/>
              <w:autoSpaceDE w:val="0"/>
              <w:autoSpaceDN w:val="0"/>
              <w:adjustRightInd w:val="0"/>
              <w:snapToGrid w:val="0"/>
              <w:spacing w:before="0" w:beforeAutospacing="0" w:after="0" w:afterAutospacing="0" w:line="360" w:lineRule="auto"/>
              <w:ind w:left="0" w:right="0" w:firstLine="420"/>
              <w:jc w:val="left"/>
              <w:rPr>
                <w:rFonts w:ascii="Calibri" w:hAnsi="Calibri" w:cs="Times New Roman"/>
                <w:b/>
                <w:color w:val="auto"/>
                <w:kern w:val="0"/>
                <w:sz w:val="24"/>
                <w:szCs w:val="24"/>
              </w:rPr>
            </w:pPr>
            <w:r>
              <w:rPr>
                <w:rFonts w:hint="eastAsia" w:ascii="Calibri" w:hAnsi="Calibri" w:cs="Times New Roman"/>
                <w:b/>
                <w:color w:val="auto"/>
                <w:kern w:val="0"/>
                <w:sz w:val="24"/>
                <w:szCs w:val="24"/>
              </w:rPr>
              <w:t>（3）资源</w:t>
            </w:r>
            <w:r>
              <w:rPr>
                <w:rFonts w:ascii="Calibri" w:hAnsi="Calibri" w:cs="Times New Roman"/>
                <w:b/>
                <w:color w:val="auto"/>
                <w:kern w:val="0"/>
                <w:sz w:val="24"/>
                <w:szCs w:val="24"/>
              </w:rPr>
              <w:t>利用上线</w:t>
            </w:r>
          </w:p>
          <w:p>
            <w:pPr>
              <w:keepNext w:val="0"/>
              <w:keepLines w:val="0"/>
              <w:suppressLineNumbers w:val="0"/>
              <w:autoSpaceDE w:val="0"/>
              <w:autoSpaceDN w:val="0"/>
              <w:adjustRightInd w:val="0"/>
              <w:snapToGrid w:val="0"/>
              <w:spacing w:before="0" w:beforeAutospacing="0" w:after="0" w:afterAutospacing="0" w:line="360" w:lineRule="auto"/>
              <w:ind w:left="0" w:right="0" w:firstLine="420"/>
              <w:jc w:val="left"/>
              <w:rPr>
                <w:rFonts w:ascii="Calibri" w:hAnsi="Calibri" w:cs="Times New Roman"/>
                <w:color w:val="auto"/>
                <w:kern w:val="0"/>
                <w:sz w:val="24"/>
                <w:szCs w:val="24"/>
              </w:rPr>
            </w:pPr>
            <w:r>
              <w:rPr>
                <w:rFonts w:hint="eastAsia" w:ascii="Calibri" w:hAnsi="Calibri" w:cs="Times New Roman"/>
                <w:color w:val="auto"/>
                <w:kern w:val="0"/>
                <w:sz w:val="24"/>
                <w:szCs w:val="24"/>
              </w:rPr>
              <w:t>本项目</w:t>
            </w:r>
            <w:r>
              <w:rPr>
                <w:rFonts w:ascii="Calibri" w:hAnsi="Calibri" w:cs="Times New Roman"/>
                <w:color w:val="auto"/>
                <w:kern w:val="0"/>
                <w:sz w:val="24"/>
                <w:szCs w:val="24"/>
              </w:rPr>
              <w:t>所在区域水、电资源丰富，</w:t>
            </w:r>
            <w:r>
              <w:rPr>
                <w:rFonts w:hint="eastAsia" w:ascii="Calibri" w:hAnsi="Calibri" w:cs="Times New Roman"/>
                <w:color w:val="auto"/>
                <w:kern w:val="0"/>
                <w:sz w:val="24"/>
                <w:szCs w:val="24"/>
                <w:lang w:val="en-US" w:eastAsia="zh-CN"/>
              </w:rPr>
              <w:t>本</w:t>
            </w:r>
            <w:r>
              <w:rPr>
                <w:rFonts w:ascii="Calibri" w:hAnsi="Calibri" w:cs="Times New Roman"/>
                <w:color w:val="auto"/>
                <w:kern w:val="0"/>
                <w:sz w:val="24"/>
                <w:szCs w:val="24"/>
              </w:rPr>
              <w:t>项目</w:t>
            </w:r>
            <w:r>
              <w:rPr>
                <w:rFonts w:hint="eastAsia" w:ascii="Calibri" w:hAnsi="Calibri" w:cs="Times New Roman"/>
                <w:color w:val="auto"/>
                <w:kern w:val="0"/>
                <w:sz w:val="24"/>
                <w:szCs w:val="24"/>
                <w:lang w:val="en-US" w:eastAsia="zh-CN"/>
              </w:rPr>
              <w:t>施工期</w:t>
            </w:r>
            <w:r>
              <w:rPr>
                <w:rFonts w:ascii="Calibri" w:hAnsi="Calibri" w:cs="Times New Roman"/>
                <w:color w:val="auto"/>
                <w:kern w:val="0"/>
                <w:sz w:val="24"/>
                <w:szCs w:val="24"/>
              </w:rPr>
              <w:t>水耗、能耗相对来说较小，不会达到区域资源利用上线。因此</w:t>
            </w:r>
            <w:r>
              <w:rPr>
                <w:rFonts w:hint="eastAsia" w:ascii="Calibri" w:hAnsi="Calibri" w:cs="Times New Roman"/>
                <w:color w:val="auto"/>
                <w:kern w:val="0"/>
                <w:sz w:val="24"/>
                <w:szCs w:val="24"/>
              </w:rPr>
              <w:t>，本项目</w:t>
            </w:r>
            <w:r>
              <w:rPr>
                <w:rFonts w:ascii="Calibri" w:hAnsi="Calibri" w:cs="Times New Roman"/>
                <w:color w:val="auto"/>
                <w:kern w:val="0"/>
                <w:sz w:val="24"/>
                <w:szCs w:val="24"/>
              </w:rPr>
              <w:t>的建设符合资源利用上线的要求。</w:t>
            </w:r>
          </w:p>
          <w:p>
            <w:pPr>
              <w:keepNext w:val="0"/>
              <w:keepLines w:val="0"/>
              <w:suppressLineNumbers w:val="0"/>
              <w:autoSpaceDE w:val="0"/>
              <w:autoSpaceDN w:val="0"/>
              <w:adjustRightInd w:val="0"/>
              <w:snapToGrid w:val="0"/>
              <w:spacing w:before="0" w:beforeAutospacing="0" w:after="0" w:afterAutospacing="0" w:line="360" w:lineRule="auto"/>
              <w:ind w:left="0" w:right="0" w:firstLine="420"/>
              <w:jc w:val="left"/>
              <w:rPr>
                <w:rFonts w:ascii="Calibri" w:hAnsi="Calibri" w:cs="Times New Roman"/>
                <w:b/>
                <w:color w:val="auto"/>
                <w:kern w:val="0"/>
                <w:sz w:val="24"/>
                <w:szCs w:val="24"/>
              </w:rPr>
            </w:pPr>
            <w:r>
              <w:rPr>
                <w:rFonts w:hint="eastAsia" w:ascii="Calibri" w:hAnsi="Calibri" w:cs="Times New Roman"/>
                <w:b/>
                <w:color w:val="auto"/>
                <w:kern w:val="0"/>
                <w:sz w:val="24"/>
                <w:szCs w:val="24"/>
              </w:rPr>
              <w:t>（4）环境</w:t>
            </w:r>
            <w:r>
              <w:rPr>
                <w:rFonts w:ascii="Calibri" w:hAnsi="Calibri" w:cs="Times New Roman"/>
                <w:b/>
                <w:color w:val="auto"/>
                <w:kern w:val="0"/>
                <w:sz w:val="24"/>
                <w:szCs w:val="24"/>
              </w:rPr>
              <w:t>准入清单</w:t>
            </w:r>
          </w:p>
          <w:p>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360" w:lineRule="auto"/>
              <w:ind w:left="0" w:right="0" w:firstLine="480" w:firstLineChars="200"/>
              <w:jc w:val="left"/>
              <w:textAlignment w:val="auto"/>
              <w:rPr>
                <w:rFonts w:hint="default" w:ascii="Calibri" w:hAnsi="Calibri" w:eastAsia="宋体" w:cs="Times New Roman"/>
                <w:color w:val="auto"/>
                <w:kern w:val="0"/>
                <w:sz w:val="24"/>
                <w:szCs w:val="24"/>
                <w:lang w:val="en-US" w:eastAsia="zh-CN"/>
              </w:rPr>
            </w:pPr>
            <w:r>
              <w:rPr>
                <w:rFonts w:hint="eastAsia" w:ascii="Calibri" w:hAnsi="Calibri" w:cs="Times New Roman"/>
                <w:color w:val="auto"/>
                <w:kern w:val="0"/>
                <w:sz w:val="24"/>
                <w:szCs w:val="24"/>
              </w:rPr>
              <w:t>本项目位于</w:t>
            </w:r>
            <w:r>
              <w:rPr>
                <w:rFonts w:hint="eastAsia" w:ascii="宋体" w:hAnsi="宋体" w:cs="Times New Roman"/>
                <w:color w:val="auto"/>
                <w:kern w:val="0"/>
                <w:sz w:val="24"/>
                <w:szCs w:val="24"/>
                <w:lang w:val="en-US" w:eastAsia="zh-CN"/>
              </w:rPr>
              <w:t>永州市零陵区石山脚办事处燕朝村和梳子铺乡红狮村</w:t>
            </w:r>
            <w:r>
              <w:rPr>
                <w:rFonts w:hint="eastAsia" w:ascii="Calibri" w:hAnsi="Calibri" w:cs="Times New Roman"/>
                <w:color w:val="auto"/>
                <w:kern w:val="0"/>
                <w:sz w:val="24"/>
                <w:szCs w:val="24"/>
              </w:rPr>
              <w:t>，根据</w:t>
            </w:r>
            <w:r>
              <w:rPr>
                <w:rFonts w:hint="eastAsia" w:ascii="Calibri" w:hAnsi="Calibri" w:cs="Times New Roman"/>
                <w:color w:val="auto"/>
                <w:kern w:val="0"/>
                <w:sz w:val="24"/>
                <w:szCs w:val="24"/>
                <w:lang w:val="en-US" w:eastAsia="zh-CN"/>
              </w:rPr>
              <w:t>《永州市生态环境局关于发布永州市生态环境分区管控更新成果（2023版）的通知）【永环发〔2024〕31号】中《永州市环境管控单元（省级以上产业园区除外）生态环境准入清单（2023版）》，本项目属于黄田铺镇/石山脚街道/梳子铺乡管控单元，</w:t>
            </w:r>
            <w:r>
              <w:rPr>
                <w:rFonts w:hint="eastAsia" w:ascii="Calibri" w:hAnsi="Calibri" w:cs="Times New Roman"/>
                <w:color w:val="auto"/>
                <w:kern w:val="0"/>
                <w:sz w:val="24"/>
                <w:szCs w:val="24"/>
              </w:rPr>
              <w:t>环境管控单元编码</w:t>
            </w:r>
            <w:r>
              <w:rPr>
                <w:rFonts w:hint="default" w:ascii="Times New Roman" w:hAnsi="Times New Roman" w:cs="Times New Roman"/>
                <w:color w:val="auto"/>
                <w:kern w:val="0"/>
                <w:sz w:val="24"/>
                <w:szCs w:val="24"/>
              </w:rPr>
              <w:t>ZH43110230001</w:t>
            </w:r>
            <w:r>
              <w:rPr>
                <w:rFonts w:hint="eastAsia" w:ascii="Calibri" w:hAnsi="Calibri" w:cs="Times New Roman"/>
                <w:color w:val="auto"/>
                <w:kern w:val="0"/>
                <w:sz w:val="24"/>
                <w:szCs w:val="24"/>
                <w:lang w:eastAsia="zh-CN"/>
              </w:rPr>
              <w:t>，</w:t>
            </w:r>
            <w:r>
              <w:rPr>
                <w:rFonts w:hint="eastAsia" w:ascii="Calibri" w:hAnsi="Calibri" w:cs="Times New Roman"/>
                <w:color w:val="auto"/>
                <w:kern w:val="0"/>
                <w:sz w:val="24"/>
                <w:szCs w:val="24"/>
              </w:rPr>
              <w:t>单元分类为一般管控单元；</w:t>
            </w:r>
            <w:r>
              <w:rPr>
                <w:rFonts w:hint="eastAsia" w:ascii="Calibri" w:hAnsi="Calibri" w:cs="Times New Roman"/>
                <w:color w:val="auto"/>
                <w:kern w:val="0"/>
                <w:sz w:val="24"/>
                <w:szCs w:val="24"/>
                <w:lang w:val="en-US" w:eastAsia="zh-CN"/>
              </w:rPr>
              <w:t>梳子铺乡主体功能定位为农产品主产区，梳子铺乡经济产业布局为农业、林业、农副产品加工业、商贸物流、旅游业、锰矿开采加工等。主要环境问题为：1、部分矿山开采未严格落实环保和水土保持措施，造成扬尘污染、水土流失；2、少量矿山废水收集、处理措施不完善，初期雨水没有得到有效处理；3、关闭矿山、企业遗留的含重金属废渣、尾矿未得到彻底集中、安全处置，部分尾矿库未安全封场，对地表水、地下水形成污染风险。符合性分析如下表所示。</w:t>
            </w:r>
          </w:p>
          <w:p>
            <w:pPr>
              <w:keepNext w:val="0"/>
              <w:keepLines w:val="0"/>
              <w:suppressLineNumbers w:val="0"/>
              <w:autoSpaceDE w:val="0"/>
              <w:autoSpaceDN w:val="0"/>
              <w:adjustRightInd w:val="0"/>
              <w:snapToGrid w:val="0"/>
              <w:spacing w:before="0" w:beforeAutospacing="0" w:after="0" w:afterAutospacing="0" w:line="360" w:lineRule="auto"/>
              <w:ind w:left="0" w:right="0"/>
              <w:jc w:val="center"/>
              <w:rPr>
                <w:rFonts w:ascii="Calibri" w:hAnsi="Calibri" w:cs="Times New Roman"/>
                <w:b/>
                <w:color w:val="auto"/>
                <w:kern w:val="0"/>
                <w:szCs w:val="21"/>
              </w:rPr>
            </w:pPr>
            <w:r>
              <w:rPr>
                <w:rFonts w:hint="eastAsia" w:ascii="Calibri" w:hAnsi="Calibri" w:cs="Times New Roman"/>
                <w:b/>
                <w:color w:val="auto"/>
                <w:kern w:val="0"/>
                <w:szCs w:val="21"/>
              </w:rPr>
              <w:t>表1-</w:t>
            </w:r>
            <w:r>
              <w:rPr>
                <w:rFonts w:hint="eastAsia" w:ascii="Calibri" w:hAnsi="Calibri" w:cs="Times New Roman"/>
                <w:b/>
                <w:color w:val="auto"/>
                <w:kern w:val="0"/>
                <w:szCs w:val="21"/>
                <w:lang w:val="en-US" w:eastAsia="zh-CN"/>
              </w:rPr>
              <w:t>3</w:t>
            </w:r>
            <w:r>
              <w:rPr>
                <w:rFonts w:hint="eastAsia" w:ascii="Calibri" w:hAnsi="Calibri" w:cs="Times New Roman"/>
                <w:b/>
                <w:color w:val="auto"/>
                <w:kern w:val="0"/>
                <w:szCs w:val="21"/>
              </w:rPr>
              <w:t>黄田铺镇/石山脚街道/梳子铺乡环境管控单元生态环境准入清单的相符性</w:t>
            </w:r>
            <w:r>
              <w:rPr>
                <w:rFonts w:ascii="Calibri" w:hAnsi="Calibri" w:cs="Times New Roman"/>
                <w:b/>
                <w:color w:val="auto"/>
                <w:kern w:val="0"/>
                <w:szCs w:val="21"/>
              </w:rPr>
              <w:t>分析</w:t>
            </w:r>
          </w:p>
          <w:tbl>
            <w:tblPr>
              <w:tblStyle w:val="21"/>
              <w:tblW w:w="7496"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3"/>
              <w:gridCol w:w="4064"/>
              <w:gridCol w:w="24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33" w:type="dxa"/>
                  <w:tcBorders>
                    <w:top w:val="single" w:color="auto" w:sz="4" w:space="0"/>
                  </w:tcBorders>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eastAsia" w:ascii="Calibri" w:hAnsi="Calibri" w:cs="Times New Roman"/>
                      <w:b/>
                      <w:bCs/>
                      <w:color w:val="auto"/>
                      <w:kern w:val="0"/>
                      <w:szCs w:val="21"/>
                    </w:rPr>
                  </w:pPr>
                  <w:r>
                    <w:rPr>
                      <w:rFonts w:hint="eastAsia" w:ascii="Calibri" w:hAnsi="Calibri" w:cs="Times New Roman"/>
                      <w:b/>
                      <w:bCs/>
                      <w:color w:val="auto"/>
                      <w:kern w:val="0"/>
                      <w:szCs w:val="21"/>
                    </w:rPr>
                    <w:t>管控</w:t>
                  </w:r>
                  <w:r>
                    <w:rPr>
                      <w:rFonts w:ascii="Calibri" w:hAnsi="Calibri" w:cs="Times New Roman"/>
                      <w:b/>
                      <w:bCs/>
                      <w:color w:val="auto"/>
                      <w:kern w:val="0"/>
                      <w:szCs w:val="21"/>
                    </w:rPr>
                    <w:t>领域</w:t>
                  </w:r>
                </w:p>
              </w:tc>
              <w:tc>
                <w:tcPr>
                  <w:tcW w:w="4064" w:type="dxa"/>
                  <w:tcBorders>
                    <w:top w:val="single" w:color="auto" w:sz="4" w:space="0"/>
                  </w:tcBorders>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eastAsia" w:ascii="Calibri" w:hAnsi="Calibri" w:cs="Times New Roman"/>
                      <w:b/>
                      <w:bCs/>
                      <w:color w:val="auto"/>
                      <w:kern w:val="0"/>
                      <w:szCs w:val="21"/>
                    </w:rPr>
                  </w:pPr>
                  <w:r>
                    <w:rPr>
                      <w:rFonts w:hint="eastAsia" w:ascii="Calibri" w:hAnsi="Calibri" w:cs="Times New Roman"/>
                      <w:b/>
                      <w:bCs/>
                      <w:color w:val="auto"/>
                      <w:kern w:val="0"/>
                      <w:szCs w:val="21"/>
                    </w:rPr>
                    <w:t>管控要求</w:t>
                  </w:r>
                </w:p>
              </w:tc>
              <w:tc>
                <w:tcPr>
                  <w:tcW w:w="2499" w:type="dxa"/>
                  <w:tcBorders>
                    <w:top w:val="single" w:color="auto" w:sz="4" w:space="0"/>
                  </w:tcBorders>
                  <w:noWrap w:val="0"/>
                  <w:vAlign w:val="top"/>
                </w:tcPr>
                <w:p>
                  <w:pPr>
                    <w:keepNext w:val="0"/>
                    <w:keepLines w:val="0"/>
                    <w:suppressLineNumbers w:val="0"/>
                    <w:autoSpaceDE w:val="0"/>
                    <w:autoSpaceDN w:val="0"/>
                    <w:adjustRightInd w:val="0"/>
                    <w:snapToGrid w:val="0"/>
                    <w:spacing w:before="0" w:beforeAutospacing="0" w:after="0" w:afterAutospacing="0"/>
                    <w:ind w:left="0" w:right="0"/>
                    <w:jc w:val="center"/>
                    <w:rPr>
                      <w:rFonts w:hint="eastAsia" w:ascii="Calibri" w:hAnsi="Calibri" w:cs="Times New Roman"/>
                      <w:b/>
                      <w:bCs/>
                      <w:color w:val="auto"/>
                      <w:kern w:val="0"/>
                      <w:szCs w:val="21"/>
                    </w:rPr>
                  </w:pPr>
                  <w:r>
                    <w:rPr>
                      <w:rFonts w:hint="eastAsia" w:ascii="Calibri" w:hAnsi="Calibri" w:cs="Times New Roman"/>
                      <w:b/>
                      <w:bCs/>
                      <w:color w:val="auto"/>
                      <w:kern w:val="0"/>
                      <w:szCs w:val="21"/>
                    </w:rPr>
                    <w:t>符合性分析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73" w:hRule="atLeast"/>
                <w:jc w:val="center"/>
              </w:trPr>
              <w:tc>
                <w:tcPr>
                  <w:tcW w:w="933"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eastAsia" w:ascii="Calibri" w:hAnsi="Calibri" w:cs="Times New Roman"/>
                      <w:color w:val="auto"/>
                      <w:kern w:val="0"/>
                      <w:szCs w:val="21"/>
                    </w:rPr>
                  </w:pPr>
                  <w:r>
                    <w:rPr>
                      <w:rFonts w:hint="eastAsia" w:ascii="Calibri" w:hAnsi="Calibri" w:cs="Times New Roman"/>
                      <w:color w:val="auto"/>
                      <w:kern w:val="0"/>
                      <w:szCs w:val="21"/>
                    </w:rPr>
                    <w:t>空间</w:t>
                  </w:r>
                  <w:r>
                    <w:rPr>
                      <w:rFonts w:ascii="Calibri" w:hAnsi="Calibri" w:cs="Times New Roman"/>
                      <w:color w:val="auto"/>
                      <w:kern w:val="0"/>
                      <w:szCs w:val="21"/>
                    </w:rPr>
                    <w:t>布局约束</w:t>
                  </w:r>
                </w:p>
              </w:tc>
              <w:tc>
                <w:tcPr>
                  <w:tcW w:w="4064"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left"/>
                    <w:rPr>
                      <w:rFonts w:hint="eastAsia" w:ascii="Times New Roman" w:hAnsi="Times New Roman" w:eastAsia="宋体" w:cs="Times New Roman"/>
                      <w:color w:val="auto"/>
                      <w:kern w:val="2"/>
                      <w:sz w:val="21"/>
                      <w:szCs w:val="21"/>
                      <w:lang w:val="en-US" w:eastAsia="zh-CN" w:bidi="ar-SA"/>
                    </w:rPr>
                  </w:pPr>
                  <w:r>
                    <w:rPr>
                      <w:rFonts w:hint="eastAsia" w:ascii="Times New Roman" w:hAnsi="Times New Roman" w:eastAsia="宋体" w:cs="Times New Roman"/>
                      <w:color w:val="auto"/>
                      <w:kern w:val="2"/>
                      <w:sz w:val="21"/>
                      <w:szCs w:val="21"/>
                      <w:lang w:val="en-US" w:eastAsia="zh-CN" w:bidi="ar-SA"/>
                    </w:rPr>
                    <w:t>（1.1）畜禽养殖布局应符合《零陵区畜禽规模养殖“三区”划定方案》。</w:t>
                  </w:r>
                </w:p>
                <w:p>
                  <w:pPr>
                    <w:keepNext w:val="0"/>
                    <w:keepLines w:val="0"/>
                    <w:suppressLineNumbers w:val="0"/>
                    <w:autoSpaceDE w:val="0"/>
                    <w:autoSpaceDN w:val="0"/>
                    <w:adjustRightInd w:val="0"/>
                    <w:snapToGrid w:val="0"/>
                    <w:spacing w:before="0" w:beforeAutospacing="0" w:after="0" w:afterAutospacing="0"/>
                    <w:ind w:left="0" w:right="0"/>
                    <w:jc w:val="left"/>
                    <w:rPr>
                      <w:rFonts w:hint="eastAsia" w:ascii="Calibri" w:hAnsi="Calibri" w:cs="Times New Roman"/>
                      <w:color w:val="auto"/>
                      <w:kern w:val="0"/>
                      <w:szCs w:val="21"/>
                    </w:rPr>
                  </w:pPr>
                  <w:r>
                    <w:rPr>
                      <w:rFonts w:hint="eastAsia" w:ascii="Times New Roman" w:hAnsi="Times New Roman" w:eastAsia="宋体" w:cs="Times New Roman"/>
                      <w:color w:val="auto"/>
                      <w:kern w:val="2"/>
                      <w:sz w:val="21"/>
                      <w:szCs w:val="21"/>
                      <w:lang w:val="en-US" w:eastAsia="zh-CN" w:bidi="ar-SA"/>
                    </w:rPr>
                    <w:t>（1.2）依法取缔非法采矿、采石和采砂企业，禁止在铁路、公路两侧可视范围内等区域新建砂石等露天矿山建设项目。</w:t>
                  </w:r>
                </w:p>
              </w:tc>
              <w:tc>
                <w:tcPr>
                  <w:tcW w:w="2499"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eastAsia" w:ascii="Calibri" w:hAnsi="Calibri" w:eastAsia="宋体" w:cs="Times New Roman"/>
                      <w:color w:val="auto"/>
                      <w:kern w:val="0"/>
                      <w:szCs w:val="21"/>
                      <w:lang w:eastAsia="zh-CN"/>
                    </w:rPr>
                  </w:pPr>
                  <w:r>
                    <w:rPr>
                      <w:rFonts w:hint="eastAsia" w:ascii="Calibri" w:hAnsi="Calibri" w:cs="Times New Roman"/>
                      <w:color w:val="auto"/>
                      <w:kern w:val="0"/>
                      <w:szCs w:val="21"/>
                    </w:rPr>
                    <w:t>符合。本项目不属于畜禽养殖产业</w:t>
                  </w:r>
                  <w:r>
                    <w:rPr>
                      <w:rFonts w:hint="eastAsia" w:ascii="Calibri" w:hAnsi="Calibri" w:cs="Times New Roman"/>
                      <w:color w:val="auto"/>
                      <w:kern w:val="0"/>
                      <w:szCs w:val="21"/>
                      <w:lang w:eastAsia="zh-CN"/>
                    </w:rPr>
                    <w:t>。</w:t>
                  </w:r>
                  <w:r>
                    <w:rPr>
                      <w:rFonts w:hint="eastAsia" w:ascii="Calibri" w:hAnsi="Calibri" w:cs="Times New Roman"/>
                      <w:color w:val="auto"/>
                      <w:kern w:val="0"/>
                      <w:szCs w:val="21"/>
                      <w:lang w:val="en-US" w:eastAsia="zh-CN"/>
                    </w:rPr>
                    <w:t>主要为</w:t>
                  </w:r>
                  <w:r>
                    <w:rPr>
                      <w:rFonts w:hint="eastAsia" w:ascii="Calibri" w:hAnsi="Calibri" w:cs="Times New Roman"/>
                      <w:color w:val="auto"/>
                      <w:kern w:val="0"/>
                      <w:szCs w:val="21"/>
                      <w:lang w:eastAsia="zh-CN"/>
                    </w:rPr>
                    <w:t>建筑石料用灰岩矿开采、破碎加工项目，</w:t>
                  </w:r>
                  <w:r>
                    <w:rPr>
                      <w:rFonts w:hint="eastAsia" w:ascii="Calibri" w:hAnsi="Calibri" w:cs="Times New Roman"/>
                      <w:color w:val="auto"/>
                      <w:kern w:val="0"/>
                      <w:szCs w:val="21"/>
                      <w:lang w:val="en-US" w:eastAsia="zh-CN"/>
                    </w:rPr>
                    <w:t>已取得采矿权，</w:t>
                  </w:r>
                  <w:r>
                    <w:rPr>
                      <w:rFonts w:hint="eastAsia" w:ascii="Calibri" w:hAnsi="Calibri" w:cs="Times New Roman"/>
                      <w:color w:val="auto"/>
                      <w:kern w:val="0"/>
                      <w:szCs w:val="21"/>
                      <w:lang w:eastAsia="zh-CN"/>
                    </w:rPr>
                    <w:t>符合空间布局要求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33"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eastAsia" w:ascii="Calibri" w:hAnsi="Calibri" w:cs="Times New Roman"/>
                      <w:color w:val="auto"/>
                      <w:kern w:val="0"/>
                      <w:szCs w:val="21"/>
                    </w:rPr>
                  </w:pPr>
                  <w:r>
                    <w:rPr>
                      <w:rFonts w:hint="eastAsia" w:ascii="Calibri" w:hAnsi="Calibri" w:cs="Times New Roman"/>
                      <w:color w:val="auto"/>
                      <w:kern w:val="0"/>
                      <w:szCs w:val="21"/>
                    </w:rPr>
                    <w:t>污染物</w:t>
                  </w:r>
                  <w:r>
                    <w:rPr>
                      <w:rFonts w:ascii="Calibri" w:hAnsi="Calibri" w:cs="Times New Roman"/>
                      <w:color w:val="auto"/>
                      <w:kern w:val="0"/>
                      <w:szCs w:val="21"/>
                    </w:rPr>
                    <w:t>排放管控</w:t>
                  </w:r>
                </w:p>
              </w:tc>
              <w:tc>
                <w:tcPr>
                  <w:tcW w:w="4064"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left"/>
                    <w:rPr>
                      <w:rFonts w:hint="eastAsia" w:ascii="Calibri" w:hAnsi="Calibri" w:cs="Times New Roman"/>
                      <w:color w:val="auto"/>
                      <w:sz w:val="21"/>
                      <w:szCs w:val="21"/>
                    </w:rPr>
                  </w:pPr>
                  <w:r>
                    <w:rPr>
                      <w:rFonts w:hint="eastAsia" w:ascii="Calibri" w:hAnsi="Calibri" w:cs="Times New Roman"/>
                      <w:color w:val="auto"/>
                      <w:sz w:val="21"/>
                      <w:szCs w:val="21"/>
                    </w:rPr>
                    <w:t>（2.1）现有规模化畜禽养殖场（小区）根据污染治理需要，配套建设粪便污水贮存、处理、利用设施，配套设施比例达到95%以上；加强畜禽养殖场污水的资源化利用。提升畜禽粪污资源利用水平，到2025年，全区畜禽粪污综合利用率达到90%以上。</w:t>
                  </w:r>
                </w:p>
                <w:p>
                  <w:pPr>
                    <w:keepNext w:val="0"/>
                    <w:keepLines w:val="0"/>
                    <w:suppressLineNumbers w:val="0"/>
                    <w:autoSpaceDE w:val="0"/>
                    <w:autoSpaceDN w:val="0"/>
                    <w:adjustRightInd w:val="0"/>
                    <w:snapToGrid w:val="0"/>
                    <w:spacing w:before="0" w:beforeAutospacing="0" w:after="0" w:afterAutospacing="0"/>
                    <w:ind w:left="0" w:right="0"/>
                    <w:jc w:val="left"/>
                    <w:rPr>
                      <w:rFonts w:hint="eastAsia" w:ascii="Calibri" w:hAnsi="Calibri" w:cs="Times New Roman"/>
                      <w:color w:val="auto"/>
                      <w:sz w:val="21"/>
                      <w:szCs w:val="21"/>
                    </w:rPr>
                  </w:pPr>
                  <w:r>
                    <w:rPr>
                      <w:rFonts w:hint="eastAsia" w:ascii="Calibri" w:hAnsi="Calibri" w:cs="Times New Roman"/>
                      <w:color w:val="auto"/>
                      <w:sz w:val="21"/>
                      <w:szCs w:val="21"/>
                    </w:rPr>
                    <w:t>（2.2）池塘及适宜养殖山塘、水库，全面推行生态养殖、减排增效技术，提高水产养殖生产水平，开展养殖尾水处理，池塘尾水排放应符合《淡水池塘养殖水排放要求》。</w:t>
                  </w:r>
                </w:p>
                <w:p>
                  <w:pPr>
                    <w:keepNext w:val="0"/>
                    <w:keepLines w:val="0"/>
                    <w:suppressLineNumbers w:val="0"/>
                    <w:autoSpaceDE w:val="0"/>
                    <w:autoSpaceDN w:val="0"/>
                    <w:adjustRightInd w:val="0"/>
                    <w:snapToGrid w:val="0"/>
                    <w:spacing w:before="0" w:beforeAutospacing="0" w:after="0" w:afterAutospacing="0"/>
                    <w:ind w:left="0" w:right="0"/>
                    <w:jc w:val="left"/>
                    <w:rPr>
                      <w:rFonts w:hint="eastAsia" w:ascii="Calibri" w:hAnsi="Calibri" w:cs="Times New Roman"/>
                      <w:color w:val="auto"/>
                      <w:sz w:val="21"/>
                      <w:szCs w:val="21"/>
                    </w:rPr>
                  </w:pPr>
                  <w:r>
                    <w:rPr>
                      <w:rFonts w:hint="eastAsia" w:ascii="Calibri" w:hAnsi="Calibri" w:cs="Times New Roman"/>
                      <w:color w:val="auto"/>
                      <w:sz w:val="21"/>
                      <w:szCs w:val="21"/>
                    </w:rPr>
                    <w:t>（2.3）建立秸秆综合利用长效机制，全面遏制焚烧秸秆现象。2025年之前，秸秆综合利用率达到85%以上。</w:t>
                  </w:r>
                </w:p>
                <w:p>
                  <w:pPr>
                    <w:keepNext w:val="0"/>
                    <w:keepLines w:val="0"/>
                    <w:suppressLineNumbers w:val="0"/>
                    <w:autoSpaceDE w:val="0"/>
                    <w:autoSpaceDN w:val="0"/>
                    <w:adjustRightInd w:val="0"/>
                    <w:snapToGrid w:val="0"/>
                    <w:spacing w:before="0" w:beforeAutospacing="0" w:after="0" w:afterAutospacing="0"/>
                    <w:ind w:left="0" w:right="0"/>
                    <w:jc w:val="left"/>
                    <w:rPr>
                      <w:rFonts w:hint="eastAsia" w:ascii="Calibri" w:hAnsi="Calibri" w:cs="Times New Roman"/>
                      <w:color w:val="auto"/>
                      <w:sz w:val="21"/>
                      <w:szCs w:val="21"/>
                    </w:rPr>
                  </w:pPr>
                  <w:r>
                    <w:rPr>
                      <w:rFonts w:hint="eastAsia" w:ascii="Calibri" w:hAnsi="Calibri" w:cs="Times New Roman"/>
                      <w:color w:val="auto"/>
                      <w:sz w:val="21"/>
                      <w:szCs w:val="21"/>
                    </w:rPr>
                    <w:t>（2.4）</w:t>
                  </w:r>
                  <w:r>
                    <w:rPr>
                      <w:rFonts w:hint="eastAsia" w:ascii="Calibri" w:hAnsi="Calibri" w:cs="Times New Roman"/>
                      <w:b/>
                      <w:bCs/>
                      <w:color w:val="auto"/>
                      <w:sz w:val="21"/>
                      <w:szCs w:val="21"/>
                    </w:rPr>
                    <w:t>黄田铺镇、梳子铺乡</w:t>
                  </w:r>
                  <w:r>
                    <w:rPr>
                      <w:rFonts w:hint="eastAsia" w:ascii="Calibri" w:hAnsi="Calibri" w:cs="Times New Roman"/>
                      <w:color w:val="auto"/>
                      <w:sz w:val="21"/>
                      <w:szCs w:val="21"/>
                    </w:rPr>
                    <w:t>：矿山尾泥、废水必须排入经过验收合格的废泥库内，并严格按照尾矿库安全监管规定对废泥库进行安全监管，确保废泥库安全，确保废水不外排。废渣必须进行安全处理并填埋。尾矿库应按规定封场。</w:t>
                  </w:r>
                </w:p>
                <w:p>
                  <w:pPr>
                    <w:keepNext w:val="0"/>
                    <w:keepLines w:val="0"/>
                    <w:suppressLineNumbers w:val="0"/>
                    <w:autoSpaceDE w:val="0"/>
                    <w:autoSpaceDN w:val="0"/>
                    <w:adjustRightInd w:val="0"/>
                    <w:snapToGrid w:val="0"/>
                    <w:spacing w:before="0" w:beforeAutospacing="0" w:after="0" w:afterAutospacing="0"/>
                    <w:ind w:left="0" w:right="0"/>
                    <w:jc w:val="left"/>
                    <w:rPr>
                      <w:rFonts w:hint="eastAsia" w:ascii="Calibri" w:hAnsi="Calibri" w:cs="Times New Roman"/>
                      <w:color w:val="auto"/>
                      <w:kern w:val="0"/>
                      <w:szCs w:val="21"/>
                    </w:rPr>
                  </w:pPr>
                  <w:r>
                    <w:rPr>
                      <w:rFonts w:hint="eastAsia" w:ascii="Calibri" w:hAnsi="Calibri" w:cs="Times New Roman"/>
                      <w:color w:val="auto"/>
                      <w:sz w:val="21"/>
                      <w:szCs w:val="21"/>
                    </w:rPr>
                    <w:t>（2.5）矿山开采应严格落实各项环境保护和水土保持措施。</w:t>
                  </w:r>
                </w:p>
              </w:tc>
              <w:tc>
                <w:tcPr>
                  <w:tcW w:w="2499" w:type="dxa"/>
                  <w:noWrap w:val="0"/>
                  <w:vAlign w:val="center"/>
                </w:tcPr>
                <w:p>
                  <w:pPr>
                    <w:keepNext w:val="0"/>
                    <w:keepLines w:val="0"/>
                    <w:suppressLineNumbers w:val="0"/>
                    <w:spacing w:before="0" w:beforeAutospacing="0" w:after="0" w:afterAutospacing="0"/>
                    <w:ind w:left="0" w:right="0"/>
                    <w:rPr>
                      <w:rFonts w:hint="eastAsia" w:ascii="Calibri" w:hAnsi="Calibri" w:eastAsia="宋体" w:cs="Times New Roman"/>
                      <w:color w:val="auto"/>
                      <w:kern w:val="0"/>
                      <w:szCs w:val="21"/>
                      <w:lang w:eastAsia="zh-CN"/>
                    </w:rPr>
                  </w:pPr>
                  <w:r>
                    <w:rPr>
                      <w:rFonts w:hint="eastAsia" w:ascii="Calibri" w:hAnsi="Calibri" w:cs="Times New Roman"/>
                      <w:lang w:val="en-US" w:eastAsia="zh-CN"/>
                    </w:rPr>
                    <w:t>符合。本项目用水主要为穿孔冷却水、抑尘用水、车辆清洗用水、初期雨水及生活用水。产生的穿孔冷却水、抑尘水全部蒸发损耗，车辆清洗废水回用于车辆清洗，初期雨水回用于抑尘，生活污水经化粪池处理后委托当地农民清运用作农肥，不外排。项目在严格按照本环评要求的前提下，营运期无废水外排，除后期雨水外，不会有废水排入外部地表水环境，不会对周边水环境产生明显影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33" w:type="dxa"/>
                  <w:tcBorders>
                    <w:bottom w:val="single" w:color="auto" w:sz="4" w:space="0"/>
                  </w:tcBorders>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eastAsia" w:ascii="Calibri" w:hAnsi="Calibri" w:cs="Times New Roman"/>
                      <w:color w:val="auto"/>
                      <w:kern w:val="0"/>
                      <w:szCs w:val="21"/>
                    </w:rPr>
                  </w:pPr>
                  <w:r>
                    <w:rPr>
                      <w:rFonts w:hint="eastAsia" w:ascii="Calibri" w:hAnsi="Calibri" w:cs="Times New Roman"/>
                      <w:color w:val="auto"/>
                      <w:kern w:val="0"/>
                      <w:szCs w:val="21"/>
                    </w:rPr>
                    <w:t>环境</w:t>
                  </w:r>
                  <w:r>
                    <w:rPr>
                      <w:rFonts w:ascii="Calibri" w:hAnsi="Calibri" w:cs="Times New Roman"/>
                      <w:color w:val="auto"/>
                      <w:kern w:val="0"/>
                      <w:szCs w:val="21"/>
                    </w:rPr>
                    <w:t>风险防控</w:t>
                  </w:r>
                </w:p>
              </w:tc>
              <w:tc>
                <w:tcPr>
                  <w:tcW w:w="4064" w:type="dxa"/>
                  <w:tcBorders>
                    <w:bottom w:val="single" w:color="auto" w:sz="4" w:space="0"/>
                  </w:tcBorders>
                  <w:noWrap w:val="0"/>
                  <w:vAlign w:val="center"/>
                </w:tcPr>
                <w:p>
                  <w:pPr>
                    <w:keepNext w:val="0"/>
                    <w:keepLines w:val="0"/>
                    <w:suppressLineNumbers w:val="0"/>
                    <w:spacing w:before="0" w:beforeAutospacing="0" w:after="0" w:afterAutospacing="0"/>
                    <w:ind w:left="0" w:right="0"/>
                    <w:rPr>
                      <w:rFonts w:hint="eastAsia" w:ascii="Calibri" w:hAnsi="Calibri" w:cs="Times New Roman"/>
                      <w:lang w:val="en-US" w:eastAsia="zh-CN"/>
                    </w:rPr>
                  </w:pPr>
                  <w:r>
                    <w:rPr>
                      <w:rFonts w:hint="eastAsia" w:ascii="Calibri" w:hAnsi="Calibri" w:cs="Times New Roman"/>
                      <w:lang w:val="en-US" w:eastAsia="zh-CN"/>
                    </w:rPr>
                    <w:t>（3.1）建立冶炼、化工、危险废物等行业环境风险企业台帐，实行一厂一册跟踪监管，严防环境污染事件发生。</w:t>
                  </w:r>
                </w:p>
              </w:tc>
              <w:tc>
                <w:tcPr>
                  <w:tcW w:w="2499" w:type="dxa"/>
                  <w:tcBorders>
                    <w:bottom w:val="single" w:color="auto" w:sz="4" w:space="0"/>
                  </w:tcBorders>
                  <w:noWrap w:val="0"/>
                  <w:vAlign w:val="center"/>
                </w:tcPr>
                <w:p>
                  <w:pPr>
                    <w:keepNext w:val="0"/>
                    <w:keepLines w:val="0"/>
                    <w:suppressLineNumbers w:val="0"/>
                    <w:spacing w:before="0" w:beforeAutospacing="0" w:after="0" w:afterAutospacing="0"/>
                    <w:ind w:left="0" w:right="0"/>
                    <w:rPr>
                      <w:rFonts w:hint="default" w:ascii="Calibri" w:hAnsi="Calibri" w:cs="Times New Roman"/>
                      <w:lang w:val="en-US" w:eastAsia="zh-CN"/>
                    </w:rPr>
                  </w:pPr>
                  <w:r>
                    <w:rPr>
                      <w:rFonts w:hint="eastAsia" w:ascii="Calibri" w:hAnsi="Calibri" w:cs="Times New Roman"/>
                      <w:lang w:val="en-US" w:eastAsia="zh-CN"/>
                    </w:rPr>
                    <w:t>符合。企业严格落实各项风险防控措施。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33" w:type="dxa"/>
                  <w:tcBorders>
                    <w:bottom w:val="single" w:color="auto" w:sz="4" w:space="0"/>
                  </w:tcBorders>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eastAsia" w:ascii="Calibri" w:hAnsi="Calibri" w:cs="Times New Roman"/>
                      <w:color w:val="auto"/>
                      <w:kern w:val="0"/>
                      <w:szCs w:val="21"/>
                    </w:rPr>
                  </w:pPr>
                  <w:r>
                    <w:rPr>
                      <w:rFonts w:hint="eastAsia" w:ascii="Calibri" w:hAnsi="Calibri" w:cs="Times New Roman"/>
                      <w:color w:val="auto"/>
                      <w:kern w:val="0"/>
                      <w:szCs w:val="21"/>
                    </w:rPr>
                    <w:t>资源</w:t>
                  </w:r>
                  <w:r>
                    <w:rPr>
                      <w:rFonts w:ascii="Calibri" w:hAnsi="Calibri" w:cs="Times New Roman"/>
                      <w:color w:val="auto"/>
                      <w:kern w:val="0"/>
                      <w:szCs w:val="21"/>
                    </w:rPr>
                    <w:t>开发效率要求</w:t>
                  </w:r>
                </w:p>
              </w:tc>
              <w:tc>
                <w:tcPr>
                  <w:tcW w:w="4064" w:type="dxa"/>
                  <w:tcBorders>
                    <w:bottom w:val="single" w:color="auto" w:sz="4" w:space="0"/>
                  </w:tcBorders>
                  <w:noWrap w:val="0"/>
                  <w:vAlign w:val="center"/>
                </w:tcPr>
                <w:p>
                  <w:pPr>
                    <w:keepNext w:val="0"/>
                    <w:keepLines w:val="0"/>
                    <w:suppressLineNumbers w:val="0"/>
                    <w:autoSpaceDE w:val="0"/>
                    <w:autoSpaceDN w:val="0"/>
                    <w:adjustRightInd w:val="0"/>
                    <w:snapToGrid w:val="0"/>
                    <w:spacing w:before="0" w:beforeAutospacing="0" w:after="0" w:afterAutospacing="0"/>
                    <w:ind w:left="0" w:right="0"/>
                    <w:jc w:val="left"/>
                    <w:rPr>
                      <w:rFonts w:hint="eastAsia" w:ascii="Times New Roman" w:hAnsi="Times New Roman" w:eastAsia="宋体" w:cs="Times New Roman"/>
                      <w:color w:val="auto"/>
                      <w:kern w:val="0"/>
                      <w:sz w:val="21"/>
                      <w:szCs w:val="21"/>
                      <w:lang w:val="en-US" w:eastAsia="zh-CN" w:bidi="ar-SA"/>
                    </w:rPr>
                  </w:pPr>
                  <w:r>
                    <w:rPr>
                      <w:rFonts w:hint="eastAsia" w:ascii="Times New Roman" w:hAnsi="Times New Roman" w:eastAsia="宋体" w:cs="Times New Roman"/>
                      <w:color w:val="auto"/>
                      <w:kern w:val="0"/>
                      <w:sz w:val="21"/>
                      <w:szCs w:val="21"/>
                      <w:lang w:val="en-US" w:eastAsia="zh-CN" w:bidi="ar-SA"/>
                    </w:rPr>
                    <w:t>（4.1）能源：</w:t>
                  </w:r>
                </w:p>
                <w:p>
                  <w:pPr>
                    <w:keepNext w:val="0"/>
                    <w:keepLines w:val="0"/>
                    <w:suppressLineNumbers w:val="0"/>
                    <w:autoSpaceDE w:val="0"/>
                    <w:autoSpaceDN w:val="0"/>
                    <w:adjustRightInd w:val="0"/>
                    <w:snapToGrid w:val="0"/>
                    <w:spacing w:before="0" w:beforeAutospacing="0" w:after="0" w:afterAutospacing="0"/>
                    <w:ind w:left="0" w:right="0"/>
                    <w:jc w:val="left"/>
                    <w:rPr>
                      <w:rFonts w:hint="eastAsia" w:ascii="Times New Roman" w:hAnsi="Times New Roman" w:eastAsia="宋体" w:cs="Times New Roman"/>
                      <w:color w:val="auto"/>
                      <w:kern w:val="0"/>
                      <w:sz w:val="21"/>
                      <w:szCs w:val="21"/>
                      <w:lang w:val="en-US" w:eastAsia="zh-CN" w:bidi="ar-SA"/>
                    </w:rPr>
                  </w:pPr>
                  <w:r>
                    <w:rPr>
                      <w:rFonts w:hint="eastAsia" w:ascii="Times New Roman" w:hAnsi="Times New Roman" w:eastAsia="宋体" w:cs="Times New Roman"/>
                      <w:color w:val="auto"/>
                      <w:kern w:val="0"/>
                      <w:sz w:val="21"/>
                      <w:szCs w:val="21"/>
                      <w:lang w:val="en-US" w:eastAsia="zh-CN" w:bidi="ar-SA"/>
                    </w:rPr>
                    <w:t>（4.1.1）实行低硫煤政策，禁止使用含硫量大于1%，含灰量大于20%的燃煤。</w:t>
                  </w:r>
                </w:p>
                <w:p>
                  <w:pPr>
                    <w:keepNext w:val="0"/>
                    <w:keepLines w:val="0"/>
                    <w:suppressLineNumbers w:val="0"/>
                    <w:autoSpaceDE w:val="0"/>
                    <w:autoSpaceDN w:val="0"/>
                    <w:adjustRightInd w:val="0"/>
                    <w:snapToGrid w:val="0"/>
                    <w:spacing w:before="0" w:beforeAutospacing="0" w:after="0" w:afterAutospacing="0"/>
                    <w:ind w:left="0" w:right="0"/>
                    <w:jc w:val="left"/>
                    <w:rPr>
                      <w:rFonts w:hint="eastAsia" w:ascii="Times New Roman" w:hAnsi="Times New Roman" w:eastAsia="宋体" w:cs="Times New Roman"/>
                      <w:color w:val="auto"/>
                      <w:kern w:val="0"/>
                      <w:sz w:val="21"/>
                      <w:szCs w:val="21"/>
                      <w:lang w:val="en-US" w:eastAsia="zh-CN" w:bidi="ar-SA"/>
                    </w:rPr>
                  </w:pPr>
                  <w:r>
                    <w:rPr>
                      <w:rFonts w:hint="eastAsia" w:ascii="Times New Roman" w:hAnsi="Times New Roman" w:eastAsia="宋体" w:cs="Times New Roman"/>
                      <w:color w:val="auto"/>
                      <w:kern w:val="0"/>
                      <w:sz w:val="21"/>
                      <w:szCs w:val="21"/>
                      <w:lang w:val="en-US" w:eastAsia="zh-CN" w:bidi="ar-SA"/>
                    </w:rPr>
                    <w:t>（4.1.2）实施能源消耗总量和强度双控行动，“十四五”期间全区单位国内生产总值能耗累计降低15%，能耗总量控制在市定标准以内。</w:t>
                  </w:r>
                </w:p>
                <w:p>
                  <w:pPr>
                    <w:keepNext w:val="0"/>
                    <w:keepLines w:val="0"/>
                    <w:suppressLineNumbers w:val="0"/>
                    <w:autoSpaceDE w:val="0"/>
                    <w:autoSpaceDN w:val="0"/>
                    <w:adjustRightInd w:val="0"/>
                    <w:snapToGrid w:val="0"/>
                    <w:spacing w:before="0" w:beforeAutospacing="0" w:after="0" w:afterAutospacing="0"/>
                    <w:ind w:left="0" w:right="0"/>
                    <w:jc w:val="left"/>
                    <w:rPr>
                      <w:rFonts w:hint="eastAsia" w:ascii="Times New Roman" w:hAnsi="Times New Roman" w:eastAsia="宋体" w:cs="Times New Roman"/>
                      <w:color w:val="auto"/>
                      <w:kern w:val="0"/>
                      <w:sz w:val="21"/>
                      <w:szCs w:val="21"/>
                      <w:lang w:val="en-US" w:eastAsia="zh-CN" w:bidi="ar-SA"/>
                    </w:rPr>
                  </w:pPr>
                  <w:r>
                    <w:rPr>
                      <w:rFonts w:hint="eastAsia" w:ascii="Times New Roman" w:hAnsi="Times New Roman" w:eastAsia="宋体" w:cs="Times New Roman"/>
                      <w:color w:val="auto"/>
                      <w:kern w:val="0"/>
                      <w:sz w:val="21"/>
                      <w:szCs w:val="21"/>
                      <w:lang w:val="en-US" w:eastAsia="zh-CN" w:bidi="ar-SA"/>
                    </w:rPr>
                    <w:t>（4.2）水资源：</w:t>
                  </w:r>
                </w:p>
                <w:p>
                  <w:pPr>
                    <w:keepNext w:val="0"/>
                    <w:keepLines w:val="0"/>
                    <w:suppressLineNumbers w:val="0"/>
                    <w:autoSpaceDE w:val="0"/>
                    <w:autoSpaceDN w:val="0"/>
                    <w:adjustRightInd w:val="0"/>
                    <w:snapToGrid w:val="0"/>
                    <w:spacing w:before="0" w:beforeAutospacing="0" w:after="0" w:afterAutospacing="0"/>
                    <w:ind w:left="0" w:right="0"/>
                    <w:jc w:val="left"/>
                    <w:rPr>
                      <w:rFonts w:hint="eastAsia" w:ascii="Times New Roman" w:hAnsi="Times New Roman" w:eastAsia="宋体" w:cs="Times New Roman"/>
                      <w:color w:val="auto"/>
                      <w:kern w:val="0"/>
                      <w:sz w:val="21"/>
                      <w:szCs w:val="21"/>
                      <w:lang w:val="en-US" w:eastAsia="zh-CN" w:bidi="ar-SA"/>
                    </w:rPr>
                  </w:pPr>
                  <w:r>
                    <w:rPr>
                      <w:rFonts w:hint="eastAsia" w:ascii="Times New Roman" w:hAnsi="Times New Roman" w:eastAsia="宋体" w:cs="Times New Roman"/>
                      <w:color w:val="auto"/>
                      <w:kern w:val="0"/>
                      <w:sz w:val="21"/>
                      <w:szCs w:val="21"/>
                      <w:lang w:val="en-US" w:eastAsia="zh-CN" w:bidi="ar-SA"/>
                    </w:rPr>
                    <w:t>（4.2.1）到2025年，零陵区用水总量控制在32676万立方米以内，农业用水总量控制在23251万立方米以内，万元地区生产总值用水量、万元工业增加值用水量分别比2020年降低19.80%、8.87%，农田灌溉水有效利用系数0.548。</w:t>
                  </w:r>
                </w:p>
                <w:p>
                  <w:pPr>
                    <w:keepNext w:val="0"/>
                    <w:keepLines w:val="0"/>
                    <w:suppressLineNumbers w:val="0"/>
                    <w:autoSpaceDE w:val="0"/>
                    <w:autoSpaceDN w:val="0"/>
                    <w:adjustRightInd w:val="0"/>
                    <w:snapToGrid w:val="0"/>
                    <w:spacing w:before="0" w:beforeAutospacing="0" w:after="0" w:afterAutospacing="0"/>
                    <w:ind w:left="0" w:right="0"/>
                    <w:jc w:val="left"/>
                    <w:rPr>
                      <w:rFonts w:hint="eastAsia" w:ascii="Times New Roman" w:hAnsi="Times New Roman" w:eastAsia="宋体" w:cs="Times New Roman"/>
                      <w:color w:val="auto"/>
                      <w:kern w:val="0"/>
                      <w:sz w:val="21"/>
                      <w:szCs w:val="21"/>
                      <w:lang w:val="en-US" w:eastAsia="zh-CN" w:bidi="ar-SA"/>
                    </w:rPr>
                  </w:pPr>
                  <w:r>
                    <w:rPr>
                      <w:rFonts w:hint="eastAsia" w:ascii="Times New Roman" w:hAnsi="Times New Roman" w:eastAsia="宋体" w:cs="Times New Roman"/>
                      <w:color w:val="auto"/>
                      <w:kern w:val="0"/>
                      <w:sz w:val="21"/>
                      <w:szCs w:val="21"/>
                      <w:lang w:val="en-US" w:eastAsia="zh-CN" w:bidi="ar-SA"/>
                    </w:rPr>
                    <w:t>（4.2.2）加强生态流量保障。明确闸坝、水库生态调度任务。推进小水电站整治、改造。</w:t>
                  </w:r>
                </w:p>
              </w:tc>
              <w:tc>
                <w:tcPr>
                  <w:tcW w:w="2499" w:type="dxa"/>
                  <w:tcBorders>
                    <w:bottom w:val="single" w:color="auto" w:sz="4" w:space="0"/>
                  </w:tcBorders>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eastAsia" w:ascii="Calibri" w:hAnsi="Calibri" w:eastAsia="宋体" w:cs="Times New Roman"/>
                      <w:color w:val="auto"/>
                      <w:szCs w:val="21"/>
                      <w:lang w:eastAsia="zh-CN"/>
                    </w:rPr>
                  </w:pPr>
                  <w:r>
                    <w:rPr>
                      <w:rFonts w:ascii="Calibri" w:hAnsi="Calibri" w:cs="Times New Roman"/>
                      <w:color w:val="auto"/>
                      <w:kern w:val="0"/>
                      <w:szCs w:val="21"/>
                    </w:rPr>
                    <w:t>符合。</w:t>
                  </w:r>
                  <w:r>
                    <w:rPr>
                      <w:rFonts w:hint="eastAsia" w:ascii="Calibri" w:hAnsi="Calibri" w:cs="Times New Roman"/>
                      <w:color w:val="auto"/>
                      <w:kern w:val="0"/>
                      <w:szCs w:val="21"/>
                      <w:lang w:val="en-US" w:eastAsia="zh-CN"/>
                    </w:rPr>
                    <w:t>本项目不使用燃煤，主要能源为电能。</w:t>
                  </w:r>
                </w:p>
                <w:p>
                  <w:pPr>
                    <w:keepNext w:val="0"/>
                    <w:keepLines w:val="0"/>
                    <w:suppressLineNumbers w:val="0"/>
                    <w:autoSpaceDE w:val="0"/>
                    <w:autoSpaceDN w:val="0"/>
                    <w:adjustRightInd w:val="0"/>
                    <w:snapToGrid w:val="0"/>
                    <w:spacing w:before="0" w:beforeAutospacing="0" w:after="0" w:afterAutospacing="0" w:line="360" w:lineRule="auto"/>
                    <w:ind w:left="0" w:right="0"/>
                    <w:jc w:val="center"/>
                    <w:rPr>
                      <w:rFonts w:hint="eastAsia" w:ascii="Calibri" w:hAnsi="Calibri" w:cs="Times New Roman"/>
                      <w:color w:val="auto"/>
                      <w:kern w:val="0"/>
                      <w:szCs w:val="21"/>
                    </w:rPr>
                  </w:pPr>
                </w:p>
              </w:tc>
            </w:tr>
          </w:tbl>
          <w:p>
            <w:pPr>
              <w:keepNext w:val="0"/>
              <w:keepLines w:val="0"/>
              <w:suppressLineNumbers w:val="0"/>
              <w:autoSpaceDE w:val="0"/>
              <w:autoSpaceDN w:val="0"/>
              <w:adjustRightInd w:val="0"/>
              <w:snapToGrid w:val="0"/>
              <w:spacing w:before="0" w:beforeAutospacing="0" w:after="0" w:afterAutospacing="0" w:line="360" w:lineRule="auto"/>
              <w:ind w:left="0" w:right="0" w:firstLine="435"/>
              <w:jc w:val="left"/>
              <w:rPr>
                <w:rFonts w:ascii="Calibri" w:hAnsi="Calibri" w:cs="Times New Roman"/>
                <w:color w:val="auto"/>
                <w:kern w:val="0"/>
                <w:sz w:val="24"/>
                <w:szCs w:val="24"/>
              </w:rPr>
            </w:pPr>
            <w:r>
              <w:rPr>
                <w:rFonts w:hint="eastAsia" w:ascii="Calibri" w:hAnsi="Calibri" w:cs="Times New Roman"/>
                <w:color w:val="auto"/>
                <w:kern w:val="0"/>
                <w:sz w:val="24"/>
                <w:szCs w:val="24"/>
              </w:rPr>
              <w:t>综上所述</w:t>
            </w:r>
            <w:r>
              <w:rPr>
                <w:rFonts w:ascii="Calibri" w:hAnsi="Calibri" w:cs="Times New Roman"/>
                <w:color w:val="auto"/>
                <w:kern w:val="0"/>
                <w:sz w:val="24"/>
                <w:szCs w:val="24"/>
              </w:rPr>
              <w:t>，本项目与《</w:t>
            </w:r>
            <w:r>
              <w:rPr>
                <w:rFonts w:hint="eastAsia" w:ascii="Calibri" w:hAnsi="Calibri" w:cs="Times New Roman"/>
                <w:color w:val="auto"/>
                <w:kern w:val="0"/>
                <w:sz w:val="24"/>
                <w:szCs w:val="24"/>
              </w:rPr>
              <w:t>永州市环境管控单元（省级以上产业园区除外）生态环境准入清单</w:t>
            </w:r>
            <w:r>
              <w:rPr>
                <w:rFonts w:ascii="Calibri" w:hAnsi="Calibri" w:cs="Times New Roman"/>
                <w:color w:val="auto"/>
                <w:kern w:val="0"/>
                <w:sz w:val="24"/>
                <w:szCs w:val="24"/>
              </w:rPr>
              <w:t>》</w:t>
            </w:r>
            <w:r>
              <w:rPr>
                <w:rFonts w:hint="eastAsia" w:ascii="Calibri" w:hAnsi="Calibri" w:cs="Times New Roman"/>
                <w:color w:val="auto"/>
                <w:kern w:val="0"/>
                <w:sz w:val="24"/>
                <w:szCs w:val="24"/>
              </w:rPr>
              <w:t>相符</w:t>
            </w:r>
            <w:r>
              <w:rPr>
                <w:rFonts w:ascii="Calibri" w:hAnsi="Calibri" w:cs="Times New Roman"/>
                <w:color w:val="auto"/>
                <w:kern w:val="0"/>
                <w:sz w:val="24"/>
                <w:szCs w:val="24"/>
              </w:rPr>
              <w:t>。</w:t>
            </w:r>
          </w:p>
          <w:p>
            <w:pPr>
              <w:keepNext w:val="0"/>
              <w:keepLines w:val="0"/>
              <w:suppressLineNumbers w:val="0"/>
              <w:autoSpaceDE w:val="0"/>
              <w:autoSpaceDN w:val="0"/>
              <w:adjustRightInd w:val="0"/>
              <w:snapToGrid w:val="0"/>
              <w:spacing w:before="0" w:beforeAutospacing="0" w:after="0" w:afterAutospacing="0" w:line="360" w:lineRule="auto"/>
              <w:ind w:left="0" w:right="0" w:firstLine="435"/>
              <w:jc w:val="left"/>
              <w:rPr>
                <w:rFonts w:ascii="Calibri" w:hAnsi="Calibri" w:cs="Times New Roman"/>
                <w:b/>
                <w:color w:val="auto"/>
                <w:kern w:val="0"/>
                <w:sz w:val="24"/>
                <w:szCs w:val="24"/>
              </w:rPr>
            </w:pPr>
            <w:r>
              <w:rPr>
                <w:rFonts w:ascii="Calibri" w:hAnsi="Calibri" w:cs="Times New Roman"/>
                <w:b/>
                <w:color w:val="auto"/>
                <w:kern w:val="0"/>
                <w:sz w:val="24"/>
                <w:szCs w:val="24"/>
              </w:rPr>
              <w:t>2.</w:t>
            </w:r>
            <w:r>
              <w:rPr>
                <w:rFonts w:hint="eastAsia" w:ascii="Calibri" w:hAnsi="Calibri" w:cs="Times New Roman"/>
                <w:b/>
                <w:color w:val="auto"/>
                <w:kern w:val="0"/>
                <w:sz w:val="24"/>
                <w:szCs w:val="24"/>
              </w:rPr>
              <w:t>产业</w:t>
            </w:r>
            <w:r>
              <w:rPr>
                <w:rFonts w:ascii="Calibri" w:hAnsi="Calibri" w:cs="Times New Roman"/>
                <w:b/>
                <w:color w:val="auto"/>
                <w:kern w:val="0"/>
                <w:sz w:val="24"/>
                <w:szCs w:val="24"/>
              </w:rPr>
              <w:t>政策符合性分析</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eastAsia" w:ascii="Calibri" w:hAnsi="Calibri" w:eastAsia="宋体" w:cs="Times New Roman"/>
                <w:color w:val="auto"/>
                <w:sz w:val="24"/>
                <w:szCs w:val="24"/>
                <w:lang w:eastAsia="zh-CN"/>
              </w:rPr>
            </w:pPr>
            <w:r>
              <w:rPr>
                <w:rFonts w:hint="eastAsia" w:ascii="Calibri" w:hAnsi="Calibri" w:cs="Times New Roman"/>
                <w:color w:val="auto"/>
                <w:sz w:val="24"/>
                <w:szCs w:val="24"/>
              </w:rPr>
              <w:t>本项目为是石灰岩开采、加工项目，根据《产业结构调整指导目录》（2024年本），本项目不属于《产业结构调整指导目录（20</w:t>
            </w:r>
            <w:r>
              <w:rPr>
                <w:rFonts w:hint="eastAsia" w:ascii="Calibri" w:hAnsi="Calibri" w:cs="Times New Roman"/>
                <w:color w:val="auto"/>
                <w:sz w:val="24"/>
                <w:szCs w:val="24"/>
                <w:lang w:val="en-US" w:eastAsia="zh-CN"/>
              </w:rPr>
              <w:t>24</w:t>
            </w:r>
            <w:r>
              <w:rPr>
                <w:rFonts w:hint="eastAsia" w:ascii="Calibri" w:hAnsi="Calibri" w:cs="Times New Roman"/>
                <w:color w:val="auto"/>
                <w:sz w:val="24"/>
                <w:szCs w:val="24"/>
              </w:rPr>
              <w:t>年本）》中“限制类”和“淘汰类”</w:t>
            </w:r>
            <w:r>
              <w:rPr>
                <w:rFonts w:hint="eastAsia" w:ascii="Calibri" w:hAnsi="Calibri" w:cs="Times New Roman"/>
                <w:color w:val="auto"/>
                <w:sz w:val="24"/>
                <w:szCs w:val="24"/>
                <w:lang w:eastAsia="zh-CN"/>
              </w:rPr>
              <w:t>。</w:t>
            </w:r>
            <w:r>
              <w:rPr>
                <w:rFonts w:hint="eastAsia" w:ascii="Calibri" w:hAnsi="Calibri" w:cs="Times New Roman"/>
                <w:color w:val="auto"/>
                <w:sz w:val="24"/>
                <w:szCs w:val="24"/>
              </w:rPr>
              <w:t>因此，本项目的建设符合国家产业政策</w:t>
            </w:r>
            <w:r>
              <w:rPr>
                <w:rFonts w:hint="eastAsia" w:ascii="Calibri" w:hAnsi="Calibri" w:cs="Times New Roman"/>
                <w:color w:val="auto"/>
                <w:sz w:val="24"/>
                <w:szCs w:val="24"/>
                <w:lang w:eastAsia="zh-CN"/>
              </w:rPr>
              <w:t>。</w:t>
            </w:r>
          </w:p>
          <w:p>
            <w:pPr>
              <w:keepNext w:val="0"/>
              <w:keepLines w:val="0"/>
              <w:numPr>
                <w:ilvl w:val="0"/>
                <w:numId w:val="1"/>
              </w:numPr>
              <w:suppressLineNumbers w:val="0"/>
              <w:autoSpaceDE w:val="0"/>
              <w:autoSpaceDN w:val="0"/>
              <w:adjustRightInd w:val="0"/>
              <w:snapToGrid w:val="0"/>
              <w:spacing w:before="0" w:beforeAutospacing="0" w:after="0" w:afterAutospacing="0" w:line="360" w:lineRule="auto"/>
              <w:ind w:left="0" w:right="0" w:firstLine="435"/>
              <w:jc w:val="left"/>
              <w:rPr>
                <w:rFonts w:hint="eastAsia" w:ascii="Calibri" w:hAnsi="Calibri" w:cs="Times New Roman"/>
                <w:b/>
                <w:color w:val="auto"/>
                <w:kern w:val="0"/>
                <w:sz w:val="24"/>
                <w:szCs w:val="24"/>
              </w:rPr>
            </w:pPr>
            <w:r>
              <w:rPr>
                <w:rFonts w:hint="eastAsia" w:ascii="Calibri" w:hAnsi="Calibri" w:cs="Times New Roman"/>
                <w:b/>
                <w:color w:val="auto"/>
                <w:kern w:val="0"/>
                <w:sz w:val="24"/>
                <w:szCs w:val="24"/>
              </w:rPr>
              <w:t>与《湖南省砂石骨料行业规范条件》符合性分析</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eastAsia" w:ascii="Calibri" w:hAnsi="Calibri" w:cs="Times New Roman"/>
                <w:color w:val="auto"/>
                <w:sz w:val="24"/>
                <w:szCs w:val="24"/>
              </w:rPr>
            </w:pPr>
            <w:r>
              <w:rPr>
                <w:rFonts w:hint="eastAsia" w:ascii="Calibri" w:hAnsi="Calibri" w:cs="Times New Roman"/>
                <w:color w:val="auto"/>
                <w:sz w:val="24"/>
                <w:szCs w:val="24"/>
              </w:rPr>
              <w:t>根据《湖南省砂石骨料行业规范条件》，本项目建筑石料用灰岩矿开采规模为120万t/a，破碎加工规模为120万吨/年，项目符合砂石骨料行业规范条件。本项目行业准入条件符合性见</w:t>
            </w:r>
            <w:r>
              <w:rPr>
                <w:rFonts w:hint="eastAsia" w:ascii="Calibri" w:hAnsi="Calibri" w:cs="Times New Roman"/>
                <w:color w:val="auto"/>
                <w:sz w:val="24"/>
                <w:szCs w:val="24"/>
                <w:lang w:val="en-US" w:eastAsia="zh-CN"/>
              </w:rPr>
              <w:t>下表</w:t>
            </w:r>
            <w:r>
              <w:rPr>
                <w:rFonts w:hint="eastAsia" w:ascii="Calibri" w:hAnsi="Calibri" w:cs="Times New Roman"/>
                <w:color w:val="auto"/>
                <w:sz w:val="24"/>
                <w:szCs w:val="24"/>
              </w:rPr>
              <w:t>。</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jc w:val="center"/>
              <w:textAlignment w:val="auto"/>
              <w:rPr>
                <w:rFonts w:hint="eastAsia" w:ascii="Calibri" w:hAnsi="Calibri" w:cs="Times New Roman"/>
                <w:b/>
                <w:bCs/>
                <w:color w:val="auto"/>
                <w:sz w:val="21"/>
                <w:szCs w:val="21"/>
              </w:rPr>
            </w:pPr>
            <w:r>
              <w:rPr>
                <w:rFonts w:hint="eastAsia" w:ascii="Calibri" w:hAnsi="Calibri" w:cs="Times New Roman"/>
                <w:b/>
                <w:bCs/>
                <w:color w:val="auto"/>
                <w:sz w:val="21"/>
                <w:szCs w:val="21"/>
              </w:rPr>
              <w:t>表1-</w:t>
            </w:r>
            <w:r>
              <w:rPr>
                <w:rFonts w:hint="eastAsia" w:ascii="Calibri" w:hAnsi="Calibri" w:cs="Times New Roman"/>
                <w:b/>
                <w:bCs/>
                <w:color w:val="auto"/>
                <w:sz w:val="21"/>
                <w:szCs w:val="21"/>
                <w:lang w:val="en-US" w:eastAsia="zh-CN"/>
              </w:rPr>
              <w:t>4本项目与《湖南省砂石骨料行业规范条件》对照表</w:t>
            </w:r>
          </w:p>
          <w:tbl>
            <w:tblPr>
              <w:tblStyle w:val="22"/>
              <w:tblW w:w="749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0"/>
              <w:gridCol w:w="2965"/>
              <w:gridCol w:w="2534"/>
              <w:gridCol w:w="12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80" w:type="dxa"/>
                  <w:noWrap w:val="0"/>
                  <w:vAlign w:val="top"/>
                </w:tcPr>
                <w:p>
                  <w:pPr>
                    <w:keepNext w:val="0"/>
                    <w:keepLines w:val="0"/>
                    <w:suppressLineNumbers w:val="0"/>
                    <w:autoSpaceDE w:val="0"/>
                    <w:autoSpaceDN w:val="0"/>
                    <w:adjustRightInd w:val="0"/>
                    <w:snapToGrid w:val="0"/>
                    <w:spacing w:before="0" w:beforeAutospacing="0" w:after="0" w:afterAutospacing="0"/>
                    <w:ind w:left="0" w:right="0"/>
                    <w:jc w:val="center"/>
                    <w:rPr>
                      <w:rFonts w:hint="eastAsia" w:ascii="Times New Roman" w:hAnsi="Times New Roman" w:eastAsia="宋体" w:cs="Times New Roman"/>
                      <w:b/>
                      <w:bCs/>
                      <w:color w:val="auto"/>
                      <w:kern w:val="0"/>
                      <w:szCs w:val="21"/>
                      <w:vertAlign w:val="baseline"/>
                      <w:lang w:val="en-US" w:eastAsia="zh-CN"/>
                    </w:rPr>
                  </w:pPr>
                  <w:r>
                    <w:rPr>
                      <w:rFonts w:hint="eastAsia" w:ascii="Times New Roman" w:hAnsi="Times New Roman" w:cs="Times New Roman"/>
                      <w:b/>
                      <w:bCs/>
                      <w:color w:val="auto"/>
                      <w:kern w:val="0"/>
                      <w:szCs w:val="21"/>
                      <w:vertAlign w:val="baseline"/>
                      <w:lang w:val="en-US" w:eastAsia="zh-CN"/>
                    </w:rPr>
                    <w:t>序号</w:t>
                  </w:r>
                </w:p>
              </w:tc>
              <w:tc>
                <w:tcPr>
                  <w:tcW w:w="2965" w:type="dxa"/>
                  <w:noWrap w:val="0"/>
                  <w:vAlign w:val="top"/>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bCs/>
                      <w:color w:val="auto"/>
                      <w:kern w:val="0"/>
                      <w:szCs w:val="21"/>
                      <w:vertAlign w:val="baseline"/>
                      <w:lang w:val="en-US" w:eastAsia="zh-CN"/>
                    </w:rPr>
                  </w:pPr>
                  <w:r>
                    <w:rPr>
                      <w:rFonts w:hint="eastAsia" w:ascii="Times New Roman" w:hAnsi="Times New Roman" w:cs="Times New Roman"/>
                      <w:b/>
                      <w:bCs/>
                      <w:color w:val="auto"/>
                      <w:kern w:val="0"/>
                      <w:szCs w:val="21"/>
                      <w:vertAlign w:val="baseline"/>
                      <w:lang w:val="en-US" w:eastAsia="zh-CN"/>
                    </w:rPr>
                    <w:t>行业准入条件</w:t>
                  </w:r>
                </w:p>
              </w:tc>
              <w:tc>
                <w:tcPr>
                  <w:tcW w:w="2534" w:type="dxa"/>
                  <w:noWrap w:val="0"/>
                  <w:vAlign w:val="top"/>
                </w:tcPr>
                <w:p>
                  <w:pPr>
                    <w:keepNext w:val="0"/>
                    <w:keepLines w:val="0"/>
                    <w:suppressLineNumbers w:val="0"/>
                    <w:autoSpaceDE w:val="0"/>
                    <w:autoSpaceDN w:val="0"/>
                    <w:adjustRightInd w:val="0"/>
                    <w:snapToGrid w:val="0"/>
                    <w:spacing w:before="0" w:beforeAutospacing="0" w:after="0" w:afterAutospacing="0"/>
                    <w:ind w:left="0" w:right="0"/>
                    <w:jc w:val="center"/>
                    <w:rPr>
                      <w:rFonts w:hint="eastAsia" w:ascii="Times New Roman" w:hAnsi="Times New Roman" w:eastAsia="宋体" w:cs="Times New Roman"/>
                      <w:b/>
                      <w:bCs/>
                      <w:color w:val="auto"/>
                      <w:kern w:val="0"/>
                      <w:szCs w:val="21"/>
                      <w:vertAlign w:val="baseline"/>
                      <w:lang w:val="en-US" w:eastAsia="zh-CN"/>
                    </w:rPr>
                  </w:pPr>
                  <w:r>
                    <w:rPr>
                      <w:rFonts w:hint="eastAsia" w:ascii="Times New Roman" w:hAnsi="Times New Roman" w:cs="Times New Roman"/>
                      <w:b/>
                      <w:bCs/>
                      <w:color w:val="auto"/>
                      <w:kern w:val="0"/>
                      <w:szCs w:val="21"/>
                      <w:vertAlign w:val="baseline"/>
                      <w:lang w:val="en-US" w:eastAsia="zh-CN"/>
                    </w:rPr>
                    <w:t>本项目情况</w:t>
                  </w:r>
                </w:p>
              </w:tc>
              <w:tc>
                <w:tcPr>
                  <w:tcW w:w="1214" w:type="dxa"/>
                  <w:noWrap w:val="0"/>
                  <w:vAlign w:val="top"/>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bCs/>
                      <w:color w:val="auto"/>
                      <w:kern w:val="0"/>
                      <w:szCs w:val="21"/>
                      <w:vertAlign w:val="baseline"/>
                      <w:lang w:val="en-US" w:eastAsia="zh-CN"/>
                    </w:rPr>
                  </w:pPr>
                  <w:r>
                    <w:rPr>
                      <w:rFonts w:hint="eastAsia" w:ascii="Times New Roman" w:hAnsi="Times New Roman" w:cs="Times New Roman"/>
                      <w:b/>
                      <w:bCs/>
                      <w:color w:val="auto"/>
                      <w:kern w:val="0"/>
                      <w:szCs w:val="21"/>
                      <w:vertAlign w:val="baseline"/>
                      <w:lang w:val="en-US" w:eastAsia="zh-CN"/>
                    </w:rPr>
                    <w:t>是否附合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80"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eastAsia" w:ascii="Times New Roman" w:hAnsi="Times New Roman" w:eastAsia="宋体" w:cs="Times New Roman"/>
                      <w:color w:val="auto"/>
                      <w:kern w:val="0"/>
                      <w:szCs w:val="21"/>
                      <w:vertAlign w:val="baseline"/>
                      <w:lang w:val="en-US" w:eastAsia="zh-CN"/>
                    </w:rPr>
                  </w:pPr>
                  <w:r>
                    <w:rPr>
                      <w:rFonts w:hint="eastAsia" w:ascii="Times New Roman" w:hAnsi="Times New Roman" w:cs="Times New Roman"/>
                      <w:color w:val="auto"/>
                      <w:kern w:val="0"/>
                      <w:szCs w:val="21"/>
                      <w:vertAlign w:val="baseline"/>
                      <w:lang w:val="en-US" w:eastAsia="zh-CN"/>
                    </w:rPr>
                    <w:t>1</w:t>
                  </w:r>
                </w:p>
              </w:tc>
              <w:tc>
                <w:tcPr>
                  <w:tcW w:w="2965"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both"/>
                    <w:rPr>
                      <w:rFonts w:hint="default" w:ascii="Times New Roman" w:hAnsi="Times New Roman" w:cs="Times New Roman"/>
                      <w:color w:val="auto"/>
                      <w:kern w:val="0"/>
                      <w:szCs w:val="21"/>
                      <w:vertAlign w:val="baseline"/>
                    </w:rPr>
                  </w:pPr>
                  <w:r>
                    <w:rPr>
                      <w:rFonts w:hint="default" w:ascii="Times New Roman" w:hAnsi="Times New Roman" w:cs="Times New Roman"/>
                      <w:color w:val="auto"/>
                      <w:kern w:val="0"/>
                      <w:szCs w:val="21"/>
                      <w:vertAlign w:val="baseline"/>
                    </w:rPr>
                    <w:t>规划布局和建设要求：(一)新建、改扩建机制砂石骨料项目应符合国家产业政策和当地产业、矿产资源及土地利用总体规划等要求，统筹资源、环境、物流和市场等因素合理布局，推动产业规模化、集约化、基地化发展。</w:t>
                  </w:r>
                </w:p>
                <w:p>
                  <w:pPr>
                    <w:keepNext w:val="0"/>
                    <w:keepLines w:val="0"/>
                    <w:suppressLineNumbers w:val="0"/>
                    <w:autoSpaceDE w:val="0"/>
                    <w:autoSpaceDN w:val="0"/>
                    <w:adjustRightInd w:val="0"/>
                    <w:snapToGrid w:val="0"/>
                    <w:spacing w:before="0" w:beforeAutospacing="0" w:after="0" w:afterAutospacing="0"/>
                    <w:ind w:left="0" w:right="0"/>
                    <w:jc w:val="both"/>
                    <w:rPr>
                      <w:rFonts w:hint="default" w:ascii="Times New Roman" w:hAnsi="Times New Roman" w:cs="Times New Roman"/>
                      <w:color w:val="auto"/>
                      <w:kern w:val="0"/>
                      <w:szCs w:val="21"/>
                      <w:vertAlign w:val="baseline"/>
                    </w:rPr>
                  </w:pPr>
                  <w:r>
                    <w:rPr>
                      <w:rFonts w:hint="default" w:ascii="Times New Roman" w:hAnsi="Times New Roman" w:cs="Times New Roman"/>
                      <w:color w:val="auto"/>
                      <w:kern w:val="0"/>
                      <w:szCs w:val="21"/>
                      <w:vertAlign w:val="baseline"/>
                    </w:rPr>
                    <w:t>(二)机制砂石骨</w:t>
                  </w:r>
                </w:p>
                <w:p>
                  <w:pPr>
                    <w:keepNext w:val="0"/>
                    <w:keepLines w:val="0"/>
                    <w:suppressLineNumbers w:val="0"/>
                    <w:autoSpaceDE w:val="0"/>
                    <w:autoSpaceDN w:val="0"/>
                    <w:adjustRightInd w:val="0"/>
                    <w:snapToGrid w:val="0"/>
                    <w:spacing w:before="0" w:beforeAutospacing="0" w:after="0" w:afterAutospacing="0"/>
                    <w:ind w:left="0" w:right="0"/>
                    <w:jc w:val="both"/>
                    <w:rPr>
                      <w:rFonts w:hint="default" w:ascii="Times New Roman" w:hAnsi="Times New Roman" w:cs="Times New Roman"/>
                      <w:color w:val="auto"/>
                      <w:kern w:val="0"/>
                      <w:szCs w:val="21"/>
                      <w:vertAlign w:val="baseline"/>
                    </w:rPr>
                  </w:pPr>
                  <w:r>
                    <w:rPr>
                      <w:rFonts w:hint="default" w:ascii="Times New Roman" w:hAnsi="Times New Roman" w:cs="Times New Roman"/>
                      <w:color w:val="auto"/>
                      <w:kern w:val="0"/>
                      <w:szCs w:val="21"/>
                      <w:vertAlign w:val="baseline"/>
                    </w:rPr>
                    <w:t>料矿山企业须取得矿山资源储量报告、矿产开发利用方案、采矿许可证、矿山地质环境综合防治方案、水土保持方案、环境影响评价报告、安全生产许可证和安全预评价报告等相关证照或审批文件。</w:t>
                  </w:r>
                </w:p>
                <w:p>
                  <w:pPr>
                    <w:keepNext w:val="0"/>
                    <w:keepLines w:val="0"/>
                    <w:suppressLineNumbers w:val="0"/>
                    <w:autoSpaceDE w:val="0"/>
                    <w:autoSpaceDN w:val="0"/>
                    <w:adjustRightInd w:val="0"/>
                    <w:snapToGrid w:val="0"/>
                    <w:spacing w:before="0" w:beforeAutospacing="0" w:after="0" w:afterAutospacing="0"/>
                    <w:ind w:left="0" w:right="0"/>
                    <w:jc w:val="both"/>
                    <w:rPr>
                      <w:rFonts w:hint="default" w:ascii="Times New Roman" w:hAnsi="Times New Roman" w:cs="Times New Roman"/>
                      <w:color w:val="auto"/>
                      <w:kern w:val="0"/>
                      <w:szCs w:val="21"/>
                      <w:vertAlign w:val="baseline"/>
                    </w:rPr>
                  </w:pPr>
                  <w:r>
                    <w:rPr>
                      <w:rFonts w:hint="default" w:ascii="Times New Roman" w:hAnsi="Times New Roman" w:cs="Times New Roman"/>
                      <w:color w:val="auto"/>
                      <w:kern w:val="0"/>
                      <w:szCs w:val="21"/>
                      <w:vertAlign w:val="baseline"/>
                    </w:rPr>
                    <w:t>(三)新建机制砂石骨料项目宜选择资源或接近矿山资源所在地远离居民区，严禁在风景名胜区、地质公园，生态保护区、自然和文化遗产保护区、饮用水源保护区、城市建成区等区域新建和扩建机制砂石骨料项目。严禁布置在矿山爆破安全危险区范围内。</w:t>
                  </w:r>
                </w:p>
              </w:tc>
              <w:tc>
                <w:tcPr>
                  <w:tcW w:w="2534"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left"/>
                    <w:rPr>
                      <w:rFonts w:hint="default" w:ascii="Times New Roman" w:hAnsi="Times New Roman" w:eastAsia="宋体" w:cs="Times New Roman"/>
                      <w:color w:val="000000" w:themeColor="text1"/>
                      <w:kern w:val="0"/>
                      <w:szCs w:val="21"/>
                      <w:vertAlign w:val="baseline"/>
                      <w:lang w:val="en-US" w:eastAsia="zh-CN"/>
                      <w14:textFill>
                        <w14:solidFill>
                          <w14:schemeClr w14:val="tx1"/>
                        </w14:solidFill>
                      </w14:textFill>
                    </w:rPr>
                  </w:pPr>
                  <w:r>
                    <w:rPr>
                      <w:rFonts w:hint="default" w:ascii="Times New Roman" w:hAnsi="Times New Roman" w:eastAsia="宋体" w:cs="Times New Roman"/>
                      <w:color w:val="000000" w:themeColor="text1"/>
                      <w:kern w:val="0"/>
                      <w:szCs w:val="21"/>
                      <w:vertAlign w:val="baseline"/>
                      <w:lang w:val="en-US" w:eastAsia="zh-CN"/>
                      <w14:textFill>
                        <w14:solidFill>
                          <w14:schemeClr w14:val="tx1"/>
                        </w14:solidFill>
                      </w14:textFill>
                    </w:rPr>
                    <w:t>1、本项目石灰岩矿开采规</w:t>
                  </w:r>
                </w:p>
                <w:p>
                  <w:pPr>
                    <w:keepNext w:val="0"/>
                    <w:keepLines w:val="0"/>
                    <w:suppressLineNumbers w:val="0"/>
                    <w:autoSpaceDE w:val="0"/>
                    <w:autoSpaceDN w:val="0"/>
                    <w:adjustRightInd w:val="0"/>
                    <w:snapToGrid w:val="0"/>
                    <w:spacing w:before="0" w:beforeAutospacing="0" w:after="0" w:afterAutospacing="0"/>
                    <w:ind w:left="0" w:right="0"/>
                    <w:jc w:val="left"/>
                    <w:rPr>
                      <w:rFonts w:hint="default" w:ascii="Times New Roman" w:hAnsi="Times New Roman" w:eastAsia="宋体" w:cs="Times New Roman"/>
                      <w:color w:val="000000" w:themeColor="text1"/>
                      <w:kern w:val="0"/>
                      <w:szCs w:val="21"/>
                      <w:vertAlign w:val="baseline"/>
                      <w:lang w:val="en-US" w:eastAsia="zh-CN"/>
                      <w14:textFill>
                        <w14:solidFill>
                          <w14:schemeClr w14:val="tx1"/>
                        </w14:solidFill>
                      </w14:textFill>
                    </w:rPr>
                  </w:pPr>
                  <w:r>
                    <w:rPr>
                      <w:rFonts w:hint="default" w:ascii="Times New Roman" w:hAnsi="Times New Roman" w:eastAsia="宋体" w:cs="Times New Roman"/>
                      <w:color w:val="000000" w:themeColor="text1"/>
                      <w:kern w:val="0"/>
                      <w:szCs w:val="21"/>
                      <w:vertAlign w:val="baseline"/>
                      <w:lang w:val="en-US" w:eastAsia="zh-CN"/>
                      <w14:textFill>
                        <w14:solidFill>
                          <w14:schemeClr w14:val="tx1"/>
                        </w14:solidFill>
                      </w14:textFill>
                    </w:rPr>
                    <w:t>模为120万t/a，加工规模为120万吨/年，符合国家产业政策和当地矿产资源规划等要求，并统筹了资源、环境、物流和市场等因素合理布局。</w:t>
                  </w:r>
                </w:p>
                <w:p>
                  <w:pPr>
                    <w:keepNext w:val="0"/>
                    <w:keepLines w:val="0"/>
                    <w:suppressLineNumbers w:val="0"/>
                    <w:autoSpaceDE w:val="0"/>
                    <w:autoSpaceDN w:val="0"/>
                    <w:adjustRightInd w:val="0"/>
                    <w:snapToGrid w:val="0"/>
                    <w:spacing w:before="0" w:beforeAutospacing="0" w:after="0" w:afterAutospacing="0"/>
                    <w:ind w:left="0" w:right="0"/>
                    <w:jc w:val="left"/>
                    <w:rPr>
                      <w:rFonts w:hint="default" w:ascii="Times New Roman" w:hAnsi="Times New Roman" w:eastAsia="宋体" w:cs="Times New Roman"/>
                      <w:color w:val="000000" w:themeColor="text1"/>
                      <w:kern w:val="0"/>
                      <w:szCs w:val="21"/>
                      <w:vertAlign w:val="baseline"/>
                      <w:lang w:val="en-US" w:eastAsia="zh-CN"/>
                      <w14:textFill>
                        <w14:solidFill>
                          <w14:schemeClr w14:val="tx1"/>
                        </w14:solidFill>
                      </w14:textFill>
                    </w:rPr>
                  </w:pPr>
                  <w:r>
                    <w:rPr>
                      <w:rFonts w:hint="default" w:ascii="Times New Roman" w:hAnsi="Times New Roman" w:eastAsia="宋体" w:cs="Times New Roman"/>
                      <w:color w:val="000000" w:themeColor="text1"/>
                      <w:kern w:val="0"/>
                      <w:szCs w:val="21"/>
                      <w:vertAlign w:val="baseline"/>
                      <w:lang w:val="en-US" w:eastAsia="zh-CN"/>
                      <w14:textFill>
                        <w14:solidFill>
                          <w14:schemeClr w14:val="tx1"/>
                        </w14:solidFill>
                      </w14:textFill>
                    </w:rPr>
                    <w:t>2、目前，企业已取得《永</w:t>
                  </w:r>
                </w:p>
                <w:p>
                  <w:pPr>
                    <w:keepNext w:val="0"/>
                    <w:keepLines w:val="0"/>
                    <w:suppressLineNumbers w:val="0"/>
                    <w:autoSpaceDE w:val="0"/>
                    <w:autoSpaceDN w:val="0"/>
                    <w:adjustRightInd w:val="0"/>
                    <w:snapToGrid w:val="0"/>
                    <w:spacing w:before="0" w:beforeAutospacing="0" w:after="0" w:afterAutospacing="0"/>
                    <w:ind w:left="0" w:right="0"/>
                    <w:jc w:val="left"/>
                    <w:rPr>
                      <w:rFonts w:hint="default" w:ascii="Times New Roman" w:hAnsi="Times New Roman" w:eastAsia="宋体" w:cs="Times New Roman"/>
                      <w:color w:val="000000" w:themeColor="text1"/>
                      <w:kern w:val="0"/>
                      <w:szCs w:val="21"/>
                      <w:vertAlign w:val="baseline"/>
                      <w:lang w:val="en-US" w:eastAsia="zh-CN"/>
                      <w14:textFill>
                        <w14:solidFill>
                          <w14:schemeClr w14:val="tx1"/>
                        </w14:solidFill>
                      </w14:textFill>
                    </w:rPr>
                  </w:pPr>
                  <w:r>
                    <w:rPr>
                      <w:rFonts w:hint="default" w:ascii="Times New Roman" w:hAnsi="Times New Roman" w:eastAsia="宋体" w:cs="Times New Roman"/>
                      <w:color w:val="000000" w:themeColor="text1"/>
                      <w:kern w:val="0"/>
                      <w:szCs w:val="21"/>
                      <w:vertAlign w:val="baseline"/>
                      <w:lang w:val="en-US" w:eastAsia="zh-CN"/>
                      <w14:textFill>
                        <w14:solidFill>
                          <w14:schemeClr w14:val="tx1"/>
                        </w14:solidFill>
                      </w14:textFill>
                    </w:rPr>
                    <w:t>州市零陵区羊轱岭矿区建</w:t>
                  </w:r>
                </w:p>
                <w:p>
                  <w:pPr>
                    <w:keepNext w:val="0"/>
                    <w:keepLines w:val="0"/>
                    <w:suppressLineNumbers w:val="0"/>
                    <w:autoSpaceDE w:val="0"/>
                    <w:autoSpaceDN w:val="0"/>
                    <w:adjustRightInd w:val="0"/>
                    <w:snapToGrid w:val="0"/>
                    <w:spacing w:before="0" w:beforeAutospacing="0" w:after="0" w:afterAutospacing="0"/>
                    <w:ind w:left="0" w:right="0"/>
                    <w:jc w:val="left"/>
                    <w:rPr>
                      <w:rFonts w:hint="default" w:ascii="Times New Roman" w:hAnsi="Times New Roman" w:eastAsia="宋体" w:cs="Times New Roman"/>
                      <w:color w:val="000000" w:themeColor="text1"/>
                      <w:kern w:val="0"/>
                      <w:szCs w:val="21"/>
                      <w:vertAlign w:val="baseline"/>
                      <w:lang w:val="en-US" w:eastAsia="zh-CN"/>
                      <w14:textFill>
                        <w14:solidFill>
                          <w14:schemeClr w14:val="tx1"/>
                        </w14:solidFill>
                      </w14:textFill>
                    </w:rPr>
                  </w:pPr>
                  <w:r>
                    <w:rPr>
                      <w:rFonts w:hint="default" w:ascii="Times New Roman" w:hAnsi="Times New Roman" w:eastAsia="宋体" w:cs="Times New Roman"/>
                      <w:color w:val="000000" w:themeColor="text1"/>
                      <w:kern w:val="0"/>
                      <w:szCs w:val="21"/>
                      <w:vertAlign w:val="baseline"/>
                      <w:lang w:val="en-US" w:eastAsia="zh-CN"/>
                      <w14:textFill>
                        <w14:solidFill>
                          <w14:schemeClr w14:val="tx1"/>
                        </w14:solidFill>
                      </w14:textFill>
                    </w:rPr>
                    <w:t>筑石料用灰岩矿勘查报告》及其矿产资源量储量评审备案证明、《永州市零陵区羊轱岭矿区建筑石料用灰岩矿资源开发利用方案》及评审意见。本工程环评、水土保持方案、安全生产许可证</w:t>
                  </w:r>
                  <w:r>
                    <w:rPr>
                      <w:rFonts w:hint="eastAsia" w:ascii="Calibri" w:hAnsi="Calibri" w:cs="Times New Roman"/>
                      <w:color w:val="000000" w:themeColor="text1"/>
                      <w:kern w:val="0"/>
                      <w:szCs w:val="21"/>
                      <w:vertAlign w:val="baseline"/>
                      <w:lang w:val="en-US" w:eastAsia="zh-CN"/>
                      <w14:textFill>
                        <w14:solidFill>
                          <w14:schemeClr w14:val="tx1"/>
                        </w14:solidFill>
                      </w14:textFill>
                    </w:rPr>
                    <w:t>已经办理完成。</w:t>
                  </w:r>
                </w:p>
                <w:p>
                  <w:pPr>
                    <w:keepNext w:val="0"/>
                    <w:keepLines w:val="0"/>
                    <w:suppressLineNumbers w:val="0"/>
                    <w:autoSpaceDE w:val="0"/>
                    <w:autoSpaceDN w:val="0"/>
                    <w:adjustRightInd w:val="0"/>
                    <w:snapToGrid w:val="0"/>
                    <w:spacing w:before="0" w:beforeAutospacing="0" w:after="0" w:afterAutospacing="0"/>
                    <w:ind w:left="0" w:right="0"/>
                    <w:jc w:val="left"/>
                    <w:rPr>
                      <w:rFonts w:hint="default" w:ascii="Times New Roman" w:hAnsi="Times New Roman" w:eastAsia="宋体" w:cs="Times New Roman"/>
                      <w:color w:val="000000" w:themeColor="text1"/>
                      <w:kern w:val="0"/>
                      <w:szCs w:val="21"/>
                      <w:vertAlign w:val="baseline"/>
                      <w:lang w:val="en-US" w:eastAsia="zh-CN"/>
                      <w14:textFill>
                        <w14:solidFill>
                          <w14:schemeClr w14:val="tx1"/>
                        </w14:solidFill>
                      </w14:textFill>
                    </w:rPr>
                  </w:pPr>
                  <w:r>
                    <w:rPr>
                      <w:rFonts w:hint="default" w:ascii="Times New Roman" w:hAnsi="Times New Roman" w:eastAsia="宋体" w:cs="Times New Roman"/>
                      <w:color w:val="000000" w:themeColor="text1"/>
                      <w:kern w:val="0"/>
                      <w:szCs w:val="21"/>
                      <w:vertAlign w:val="baseline"/>
                      <w:lang w:val="en-US" w:eastAsia="zh-CN"/>
                      <w14:textFill>
                        <w14:solidFill>
                          <w14:schemeClr w14:val="tx1"/>
                        </w14:solidFill>
                      </w14:textFill>
                    </w:rPr>
                    <w:t>3、本项目石料加工区靠近</w:t>
                  </w:r>
                </w:p>
                <w:p>
                  <w:pPr>
                    <w:keepNext w:val="0"/>
                    <w:keepLines w:val="0"/>
                    <w:suppressLineNumbers w:val="0"/>
                    <w:autoSpaceDE w:val="0"/>
                    <w:autoSpaceDN w:val="0"/>
                    <w:adjustRightInd w:val="0"/>
                    <w:snapToGrid w:val="0"/>
                    <w:spacing w:before="0" w:beforeAutospacing="0" w:after="0" w:afterAutospacing="0"/>
                    <w:ind w:left="0" w:right="0"/>
                    <w:jc w:val="left"/>
                    <w:rPr>
                      <w:rFonts w:hint="default" w:ascii="Times New Roman" w:hAnsi="Times New Roman" w:eastAsia="宋体" w:cs="Times New Roman"/>
                      <w:color w:val="000000" w:themeColor="text1"/>
                      <w:kern w:val="0"/>
                      <w:szCs w:val="21"/>
                      <w:vertAlign w:val="baseline"/>
                      <w:lang w:val="en-US" w:eastAsia="zh-CN"/>
                      <w14:textFill>
                        <w14:solidFill>
                          <w14:schemeClr w14:val="tx1"/>
                        </w14:solidFill>
                      </w14:textFill>
                    </w:rPr>
                  </w:pPr>
                  <w:r>
                    <w:rPr>
                      <w:rFonts w:hint="default" w:ascii="Times New Roman" w:hAnsi="Times New Roman" w:eastAsia="宋体" w:cs="Times New Roman"/>
                      <w:color w:val="000000" w:themeColor="text1"/>
                      <w:kern w:val="0"/>
                      <w:szCs w:val="21"/>
                      <w:vertAlign w:val="baseline"/>
                      <w:lang w:val="en-US" w:eastAsia="zh-CN"/>
                      <w14:textFill>
                        <w14:solidFill>
                          <w14:schemeClr w14:val="tx1"/>
                        </w14:solidFill>
                      </w14:textFill>
                    </w:rPr>
                    <w:t>矿山布置，靠近矿山资源</w:t>
                  </w:r>
                </w:p>
                <w:p>
                  <w:pPr>
                    <w:keepNext w:val="0"/>
                    <w:keepLines w:val="0"/>
                    <w:suppressLineNumbers w:val="0"/>
                    <w:autoSpaceDE w:val="0"/>
                    <w:autoSpaceDN w:val="0"/>
                    <w:adjustRightInd w:val="0"/>
                    <w:snapToGrid w:val="0"/>
                    <w:spacing w:before="0" w:beforeAutospacing="0" w:after="0" w:afterAutospacing="0"/>
                    <w:ind w:left="0" w:right="0"/>
                    <w:jc w:val="left"/>
                    <w:rPr>
                      <w:rFonts w:hint="default" w:ascii="Times New Roman" w:hAnsi="Times New Roman" w:eastAsia="宋体" w:cs="Times New Roman"/>
                      <w:color w:val="000000" w:themeColor="text1"/>
                      <w:kern w:val="0"/>
                      <w:szCs w:val="21"/>
                      <w:vertAlign w:val="baseline"/>
                      <w:lang w:val="en-US" w:eastAsia="zh-CN"/>
                      <w14:textFill>
                        <w14:solidFill>
                          <w14:schemeClr w14:val="tx1"/>
                        </w14:solidFill>
                      </w14:textFill>
                    </w:rPr>
                  </w:pPr>
                  <w:r>
                    <w:rPr>
                      <w:rFonts w:hint="default" w:ascii="Times New Roman" w:hAnsi="Times New Roman" w:eastAsia="宋体" w:cs="Times New Roman"/>
                      <w:color w:val="000000" w:themeColor="text1"/>
                      <w:kern w:val="0"/>
                      <w:szCs w:val="21"/>
                      <w:vertAlign w:val="baseline"/>
                      <w:lang w:val="en-US" w:eastAsia="zh-CN"/>
                      <w14:textFill>
                        <w14:solidFill>
                          <w14:schemeClr w14:val="tx1"/>
                        </w14:solidFill>
                      </w14:textFill>
                    </w:rPr>
                    <w:t>地。不属于风景名胜区、地质公园、生态保护区、自然和文化遗产保护区、饮用水源保护区、城市建成区等区域。</w:t>
                  </w:r>
                </w:p>
              </w:tc>
              <w:tc>
                <w:tcPr>
                  <w:tcW w:w="1214" w:type="dxa"/>
                  <w:noWrap w:val="0"/>
                  <w:vAlign w:val="center"/>
                </w:tcPr>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left="0" w:leftChars="0" w:right="0" w:firstLine="0" w:firstLineChars="0"/>
                    <w:jc w:val="center"/>
                    <w:textAlignment w:val="auto"/>
                    <w:rPr>
                      <w:rFonts w:hint="eastAsia" w:ascii="Times New Roman" w:hAnsi="Times New Roman" w:eastAsia="宋体" w:cs="Times New Roman"/>
                      <w:color w:val="FF0000"/>
                      <w:kern w:val="0"/>
                      <w:szCs w:val="21"/>
                      <w:vertAlign w:val="baseline"/>
                      <w:lang w:val="en-US" w:eastAsia="zh-CN"/>
                    </w:rPr>
                  </w:pPr>
                  <w:r>
                    <w:rPr>
                      <w:rFonts w:hint="default" w:ascii="Times New Roman" w:hAnsi="Times New Roman" w:eastAsia="宋体" w:cs="Times New Roman"/>
                      <w:b w:val="0"/>
                      <w:bCs w:val="0"/>
                      <w:color w:val="auto"/>
                      <w:sz w:val="21"/>
                      <w:szCs w:val="21"/>
                      <w:vertAlign w:val="baseline"/>
                      <w:lang w:val="en-US" w:eastAsia="zh-CN"/>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80"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eastAsia" w:ascii="Times New Roman" w:hAnsi="Times New Roman" w:eastAsia="宋体" w:cs="Times New Roman"/>
                      <w:color w:val="auto"/>
                      <w:kern w:val="0"/>
                      <w:szCs w:val="21"/>
                      <w:vertAlign w:val="baseline"/>
                      <w:lang w:val="en-US" w:eastAsia="zh-CN"/>
                    </w:rPr>
                  </w:pPr>
                  <w:r>
                    <w:rPr>
                      <w:rFonts w:hint="eastAsia" w:ascii="Times New Roman" w:hAnsi="Times New Roman" w:cs="Times New Roman"/>
                      <w:color w:val="auto"/>
                      <w:kern w:val="0"/>
                      <w:szCs w:val="21"/>
                      <w:vertAlign w:val="baseline"/>
                      <w:lang w:val="en-US" w:eastAsia="zh-CN"/>
                    </w:rPr>
                    <w:t>2</w:t>
                  </w:r>
                </w:p>
              </w:tc>
              <w:tc>
                <w:tcPr>
                  <w:tcW w:w="2965"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left"/>
                    <w:rPr>
                      <w:rFonts w:hint="default" w:ascii="Times New Roman" w:hAnsi="Times New Roman" w:cs="Times New Roman"/>
                      <w:color w:val="auto"/>
                      <w:kern w:val="0"/>
                      <w:szCs w:val="21"/>
                      <w:vertAlign w:val="baseline"/>
                    </w:rPr>
                  </w:pPr>
                  <w:r>
                    <w:rPr>
                      <w:rFonts w:hint="default" w:ascii="Times New Roman" w:hAnsi="Times New Roman" w:cs="Times New Roman"/>
                      <w:color w:val="auto"/>
                      <w:kern w:val="0"/>
                      <w:szCs w:val="21"/>
                      <w:vertAlign w:val="baseline"/>
                    </w:rPr>
                    <w:t>工艺和装备：（一）生产规模：新建、改建机制砂石骨料项目生产规模不低于60万吨/年；新建项目其矿山资源储量服务年限应不低于10年。</w:t>
                  </w:r>
                </w:p>
                <w:p>
                  <w:pPr>
                    <w:keepNext w:val="0"/>
                    <w:keepLines w:val="0"/>
                    <w:suppressLineNumbers w:val="0"/>
                    <w:autoSpaceDE w:val="0"/>
                    <w:autoSpaceDN w:val="0"/>
                    <w:adjustRightInd w:val="0"/>
                    <w:snapToGrid w:val="0"/>
                    <w:spacing w:before="0" w:beforeAutospacing="0" w:after="0" w:afterAutospacing="0"/>
                    <w:ind w:left="0" w:right="0"/>
                    <w:jc w:val="left"/>
                    <w:rPr>
                      <w:rFonts w:hint="default" w:ascii="Times New Roman" w:hAnsi="Times New Roman" w:cs="Times New Roman"/>
                      <w:color w:val="auto"/>
                      <w:kern w:val="0"/>
                      <w:szCs w:val="21"/>
                      <w:vertAlign w:val="baseline"/>
                    </w:rPr>
                  </w:pPr>
                  <w:r>
                    <w:rPr>
                      <w:rFonts w:hint="default" w:ascii="Times New Roman" w:hAnsi="Times New Roman" w:cs="Times New Roman"/>
                      <w:color w:val="auto"/>
                      <w:kern w:val="0"/>
                      <w:szCs w:val="21"/>
                      <w:vertAlign w:val="baseline"/>
                    </w:rPr>
                    <w:t>（二）生产工艺：优先采用干法生产工艺，其次半干法砂石工艺，当不能满足要求时，可采用湿法砂石生产工艺。砂石骨料生产线及产品技术指标应符合GB51186《机制砂石骨料工厂设计规范》等相关标准要求。新建项目不得使用限制和</w:t>
                  </w:r>
                </w:p>
                <w:p>
                  <w:pPr>
                    <w:keepNext w:val="0"/>
                    <w:keepLines w:val="0"/>
                    <w:suppressLineNumbers w:val="0"/>
                    <w:autoSpaceDE w:val="0"/>
                    <w:autoSpaceDN w:val="0"/>
                    <w:adjustRightInd w:val="0"/>
                    <w:snapToGrid w:val="0"/>
                    <w:spacing w:before="0" w:beforeAutospacing="0" w:after="0" w:afterAutospacing="0"/>
                    <w:ind w:left="0" w:right="0"/>
                    <w:jc w:val="left"/>
                    <w:rPr>
                      <w:rFonts w:hint="default" w:ascii="Times New Roman" w:hAnsi="Times New Roman" w:cs="Times New Roman"/>
                      <w:color w:val="auto"/>
                      <w:kern w:val="0"/>
                      <w:szCs w:val="21"/>
                      <w:vertAlign w:val="baseline"/>
                    </w:rPr>
                  </w:pPr>
                  <w:r>
                    <w:rPr>
                      <w:rFonts w:hint="default" w:ascii="Times New Roman" w:hAnsi="Times New Roman" w:cs="Times New Roman"/>
                      <w:color w:val="auto"/>
                      <w:kern w:val="0"/>
                      <w:szCs w:val="21"/>
                      <w:vertAlign w:val="baseline"/>
                    </w:rPr>
                    <w:t>淘汰技术设备，已建项目不得使用淘汰设备。生产工艺及设备配置应能灵活调整砂石成品级配和石粉含量，并能有效控制砂石成品针片状含</w:t>
                  </w:r>
                </w:p>
                <w:p>
                  <w:pPr>
                    <w:keepNext w:val="0"/>
                    <w:keepLines w:val="0"/>
                    <w:suppressLineNumbers w:val="0"/>
                    <w:autoSpaceDE w:val="0"/>
                    <w:autoSpaceDN w:val="0"/>
                    <w:adjustRightInd w:val="0"/>
                    <w:snapToGrid w:val="0"/>
                    <w:spacing w:before="0" w:beforeAutospacing="0" w:after="0" w:afterAutospacing="0"/>
                    <w:ind w:left="0" w:right="0"/>
                    <w:jc w:val="left"/>
                    <w:rPr>
                      <w:rFonts w:hint="default" w:ascii="Times New Roman" w:hAnsi="Times New Roman" w:cs="Times New Roman"/>
                      <w:color w:val="auto"/>
                      <w:kern w:val="0"/>
                      <w:szCs w:val="21"/>
                      <w:vertAlign w:val="baseline"/>
                    </w:rPr>
                  </w:pPr>
                  <w:r>
                    <w:rPr>
                      <w:rFonts w:hint="default" w:ascii="Times New Roman" w:hAnsi="Times New Roman" w:cs="Times New Roman"/>
                      <w:color w:val="auto"/>
                      <w:kern w:val="0"/>
                      <w:szCs w:val="21"/>
                      <w:vertAlign w:val="baseline"/>
                    </w:rPr>
                    <w:t>量。采用先进高效破碎、制砂、筛分和散料连续输送设备，推广应用自动化、智能化制造技术。矿山开采符合GB6722《爆破安全规程》、GB18152《选矿安全规程》等有关标准、规范要求，并执行矿产资源开发利用方案，露天开采应实行自上而下水平台阶式开采。</w:t>
                  </w:r>
                </w:p>
              </w:tc>
              <w:tc>
                <w:tcPr>
                  <w:tcW w:w="2534"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left"/>
                    <w:rPr>
                      <w:rFonts w:hint="eastAsia" w:ascii="Times New Roman" w:hAnsi="Times New Roman" w:eastAsia="宋体" w:cs="Times New Roman"/>
                      <w:color w:val="000000" w:themeColor="text1"/>
                      <w:kern w:val="0"/>
                      <w:szCs w:val="21"/>
                      <w:vertAlign w:val="baseline"/>
                      <w:lang w:val="en-US" w:eastAsia="zh-CN"/>
                      <w14:textFill>
                        <w14:solidFill>
                          <w14:schemeClr w14:val="tx1"/>
                        </w14:solidFill>
                      </w14:textFill>
                    </w:rPr>
                  </w:pPr>
                  <w:r>
                    <w:rPr>
                      <w:rFonts w:hint="eastAsia" w:ascii="Times New Roman" w:hAnsi="Times New Roman" w:eastAsia="宋体" w:cs="Times New Roman"/>
                      <w:color w:val="000000" w:themeColor="text1"/>
                      <w:kern w:val="0"/>
                      <w:szCs w:val="21"/>
                      <w:vertAlign w:val="baseline"/>
                      <w:lang w:val="en-US" w:eastAsia="zh-CN"/>
                      <w14:textFill>
                        <w14:solidFill>
                          <w14:schemeClr w14:val="tx1"/>
                        </w14:solidFill>
                      </w14:textFill>
                    </w:rPr>
                    <w:t>1、本项目石灰岩开采规模</w:t>
                  </w:r>
                </w:p>
                <w:p>
                  <w:pPr>
                    <w:keepNext w:val="0"/>
                    <w:keepLines w:val="0"/>
                    <w:suppressLineNumbers w:val="0"/>
                    <w:autoSpaceDE w:val="0"/>
                    <w:autoSpaceDN w:val="0"/>
                    <w:adjustRightInd w:val="0"/>
                    <w:snapToGrid w:val="0"/>
                    <w:spacing w:before="0" w:beforeAutospacing="0" w:after="0" w:afterAutospacing="0"/>
                    <w:ind w:left="0" w:right="0"/>
                    <w:jc w:val="left"/>
                    <w:rPr>
                      <w:rFonts w:hint="eastAsia" w:ascii="Times New Roman" w:hAnsi="Times New Roman" w:eastAsia="宋体" w:cs="Times New Roman"/>
                      <w:color w:val="000000" w:themeColor="text1"/>
                      <w:kern w:val="0"/>
                      <w:szCs w:val="21"/>
                      <w:vertAlign w:val="baseline"/>
                      <w:lang w:val="en-US" w:eastAsia="zh-CN"/>
                      <w14:textFill>
                        <w14:solidFill>
                          <w14:schemeClr w14:val="tx1"/>
                        </w14:solidFill>
                      </w14:textFill>
                    </w:rPr>
                  </w:pPr>
                  <w:r>
                    <w:rPr>
                      <w:rFonts w:hint="eastAsia" w:ascii="Times New Roman" w:hAnsi="Times New Roman" w:eastAsia="宋体" w:cs="Times New Roman"/>
                      <w:color w:val="000000" w:themeColor="text1"/>
                      <w:kern w:val="0"/>
                      <w:szCs w:val="21"/>
                      <w:vertAlign w:val="baseline"/>
                      <w:lang w:val="en-US" w:eastAsia="zh-CN"/>
                      <w14:textFill>
                        <w14:solidFill>
                          <w14:schemeClr w14:val="tx1"/>
                        </w14:solidFill>
                      </w14:textFill>
                    </w:rPr>
                    <w:t>为120万t/a，破碎加工规模为120万吨/年，矿山资源储量服务年限超过10年。</w:t>
                  </w:r>
                </w:p>
                <w:p>
                  <w:pPr>
                    <w:keepNext w:val="0"/>
                    <w:keepLines w:val="0"/>
                    <w:suppressLineNumbers w:val="0"/>
                    <w:autoSpaceDE w:val="0"/>
                    <w:autoSpaceDN w:val="0"/>
                    <w:adjustRightInd w:val="0"/>
                    <w:snapToGrid w:val="0"/>
                    <w:spacing w:before="0" w:beforeAutospacing="0" w:after="0" w:afterAutospacing="0"/>
                    <w:ind w:left="0" w:right="0"/>
                    <w:jc w:val="left"/>
                    <w:rPr>
                      <w:rFonts w:hint="eastAsia" w:ascii="Times New Roman" w:hAnsi="Times New Roman" w:eastAsia="宋体" w:cs="Times New Roman"/>
                      <w:color w:val="000000" w:themeColor="text1"/>
                      <w:kern w:val="0"/>
                      <w:szCs w:val="21"/>
                      <w:vertAlign w:val="baseline"/>
                      <w:lang w:val="en-US" w:eastAsia="zh-CN"/>
                      <w14:textFill>
                        <w14:solidFill>
                          <w14:schemeClr w14:val="tx1"/>
                        </w14:solidFill>
                      </w14:textFill>
                    </w:rPr>
                  </w:pPr>
                  <w:r>
                    <w:rPr>
                      <w:rFonts w:hint="eastAsia" w:ascii="Times New Roman" w:hAnsi="Times New Roman" w:eastAsia="宋体" w:cs="Times New Roman"/>
                      <w:color w:val="000000" w:themeColor="text1"/>
                      <w:kern w:val="0"/>
                      <w:szCs w:val="21"/>
                      <w:vertAlign w:val="baseline"/>
                      <w:lang w:val="en-US" w:eastAsia="zh-CN"/>
                      <w14:textFill>
                        <w14:solidFill>
                          <w14:schemeClr w14:val="tx1"/>
                        </w14:solidFill>
                      </w14:textFill>
                    </w:rPr>
                    <w:t>2、项目采用干法生产工艺。使用的设备不属于限制和淘汰设备。矿山开采符合GB6722《爆破安全规程》、GB18152《选矿安全规程》等有关标准、规范要求，并执行矿产</w:t>
                  </w:r>
                </w:p>
                <w:p>
                  <w:pPr>
                    <w:keepNext w:val="0"/>
                    <w:keepLines w:val="0"/>
                    <w:suppressLineNumbers w:val="0"/>
                    <w:autoSpaceDE w:val="0"/>
                    <w:autoSpaceDN w:val="0"/>
                    <w:adjustRightInd w:val="0"/>
                    <w:snapToGrid w:val="0"/>
                    <w:spacing w:before="0" w:beforeAutospacing="0" w:after="0" w:afterAutospacing="0"/>
                    <w:ind w:left="0" w:right="0"/>
                    <w:jc w:val="left"/>
                    <w:rPr>
                      <w:rFonts w:hint="eastAsia" w:ascii="Times New Roman" w:hAnsi="Times New Roman" w:eastAsia="宋体" w:cs="Times New Roman"/>
                      <w:color w:val="000000" w:themeColor="text1"/>
                      <w:kern w:val="0"/>
                      <w:szCs w:val="21"/>
                      <w:vertAlign w:val="baseline"/>
                      <w:lang w:val="en-US" w:eastAsia="zh-CN"/>
                      <w14:textFill>
                        <w14:solidFill>
                          <w14:schemeClr w14:val="tx1"/>
                        </w14:solidFill>
                      </w14:textFill>
                    </w:rPr>
                  </w:pPr>
                  <w:r>
                    <w:rPr>
                      <w:rFonts w:hint="eastAsia" w:ascii="Times New Roman" w:hAnsi="Times New Roman" w:eastAsia="宋体" w:cs="Times New Roman"/>
                      <w:color w:val="000000" w:themeColor="text1"/>
                      <w:kern w:val="0"/>
                      <w:szCs w:val="21"/>
                      <w:vertAlign w:val="baseline"/>
                      <w:lang w:val="en-US" w:eastAsia="zh-CN"/>
                      <w14:textFill>
                        <w14:solidFill>
                          <w14:schemeClr w14:val="tx1"/>
                        </w14:solidFill>
                      </w14:textFill>
                    </w:rPr>
                    <w:t>资源开发利用方案，露天开采实行自上而下分水平台阶式开采。</w:t>
                  </w:r>
                </w:p>
              </w:tc>
              <w:tc>
                <w:tcPr>
                  <w:tcW w:w="1214" w:type="dxa"/>
                  <w:noWrap w:val="0"/>
                  <w:vAlign w:val="center"/>
                </w:tcPr>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left="0" w:leftChars="0" w:right="0" w:firstLine="0" w:firstLineChars="0"/>
                    <w:jc w:val="center"/>
                    <w:textAlignment w:val="auto"/>
                    <w:rPr>
                      <w:rFonts w:hint="default" w:ascii="Times New Roman" w:hAnsi="Times New Roman" w:cs="Times New Roman"/>
                      <w:color w:val="FF0000"/>
                      <w:kern w:val="0"/>
                      <w:szCs w:val="21"/>
                      <w:vertAlign w:val="baseline"/>
                    </w:rPr>
                  </w:pPr>
                  <w:r>
                    <w:rPr>
                      <w:rFonts w:hint="default" w:ascii="Times New Roman" w:hAnsi="Times New Roman" w:eastAsia="宋体" w:cs="Times New Roman"/>
                      <w:b w:val="0"/>
                      <w:bCs w:val="0"/>
                      <w:color w:val="auto"/>
                      <w:sz w:val="21"/>
                      <w:szCs w:val="21"/>
                      <w:vertAlign w:val="baseline"/>
                      <w:lang w:val="en-US" w:eastAsia="zh-CN"/>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80"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eastAsia" w:ascii="Times New Roman" w:hAnsi="Times New Roman" w:eastAsia="宋体" w:cs="Times New Roman"/>
                      <w:color w:val="auto"/>
                      <w:kern w:val="0"/>
                      <w:szCs w:val="21"/>
                      <w:vertAlign w:val="baseline"/>
                      <w:lang w:val="en-US" w:eastAsia="zh-CN"/>
                    </w:rPr>
                  </w:pPr>
                  <w:r>
                    <w:rPr>
                      <w:rFonts w:hint="eastAsia" w:ascii="Times New Roman" w:hAnsi="Times New Roman" w:cs="Times New Roman"/>
                      <w:color w:val="auto"/>
                      <w:kern w:val="0"/>
                      <w:szCs w:val="21"/>
                      <w:vertAlign w:val="baseline"/>
                      <w:lang w:val="en-US" w:eastAsia="zh-CN"/>
                    </w:rPr>
                    <w:t>3</w:t>
                  </w:r>
                </w:p>
              </w:tc>
              <w:tc>
                <w:tcPr>
                  <w:tcW w:w="2965"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left"/>
                    <w:rPr>
                      <w:rFonts w:hint="default" w:ascii="Times New Roman" w:hAnsi="Times New Roman" w:cs="Times New Roman"/>
                      <w:color w:val="auto"/>
                      <w:kern w:val="0"/>
                      <w:szCs w:val="21"/>
                      <w:vertAlign w:val="baseline"/>
                    </w:rPr>
                  </w:pPr>
                  <w:r>
                    <w:rPr>
                      <w:rFonts w:hint="default" w:ascii="Times New Roman" w:hAnsi="Times New Roman" w:cs="Times New Roman"/>
                      <w:color w:val="auto"/>
                      <w:kern w:val="0"/>
                      <w:szCs w:val="21"/>
                      <w:vertAlign w:val="baseline"/>
                    </w:rPr>
                    <w:t>环境保护与资源综合利用</w:t>
                  </w:r>
                </w:p>
                <w:p>
                  <w:pPr>
                    <w:keepNext w:val="0"/>
                    <w:keepLines w:val="0"/>
                    <w:suppressLineNumbers w:val="0"/>
                    <w:autoSpaceDE w:val="0"/>
                    <w:autoSpaceDN w:val="0"/>
                    <w:adjustRightInd w:val="0"/>
                    <w:snapToGrid w:val="0"/>
                    <w:spacing w:before="0" w:beforeAutospacing="0" w:after="0" w:afterAutospacing="0"/>
                    <w:ind w:left="0" w:right="0"/>
                    <w:jc w:val="left"/>
                    <w:rPr>
                      <w:rFonts w:hint="default" w:ascii="Times New Roman" w:hAnsi="Times New Roman" w:cs="Times New Roman"/>
                      <w:color w:val="auto"/>
                      <w:kern w:val="0"/>
                      <w:szCs w:val="21"/>
                      <w:vertAlign w:val="baseline"/>
                    </w:rPr>
                  </w:pPr>
                  <w:r>
                    <w:rPr>
                      <w:rFonts w:hint="eastAsia" w:ascii="Calibri" w:hAnsi="Calibri" w:cs="Times New Roman"/>
                      <w:color w:val="auto"/>
                      <w:kern w:val="0"/>
                      <w:szCs w:val="21"/>
                      <w:vertAlign w:val="baseline"/>
                      <w:lang w:eastAsia="zh-CN"/>
                    </w:rPr>
                    <w:t>（</w:t>
                  </w:r>
                  <w:r>
                    <w:rPr>
                      <w:rFonts w:hint="eastAsia" w:ascii="Calibri" w:hAnsi="Calibri" w:cs="Times New Roman"/>
                      <w:color w:val="auto"/>
                      <w:kern w:val="0"/>
                      <w:szCs w:val="21"/>
                      <w:vertAlign w:val="baseline"/>
                      <w:lang w:val="en-US" w:eastAsia="zh-CN"/>
                    </w:rPr>
                    <w:t>一</w:t>
                  </w:r>
                  <w:r>
                    <w:rPr>
                      <w:rFonts w:hint="eastAsia" w:ascii="Calibri" w:hAnsi="Calibri" w:cs="Times New Roman"/>
                      <w:color w:val="auto"/>
                      <w:kern w:val="0"/>
                      <w:szCs w:val="21"/>
                      <w:vertAlign w:val="baseline"/>
                      <w:lang w:eastAsia="zh-CN"/>
                    </w:rPr>
                    <w:t>）</w:t>
                  </w:r>
                  <w:r>
                    <w:rPr>
                      <w:rFonts w:hint="default" w:ascii="Times New Roman" w:hAnsi="Times New Roman" w:cs="Times New Roman"/>
                      <w:color w:val="auto"/>
                      <w:kern w:val="0"/>
                      <w:szCs w:val="21"/>
                      <w:vertAlign w:val="baseline"/>
                    </w:rPr>
                    <w:t>砂石骨料企业应制订相关环境保护管理体系文件和环境突发事件应急预案等。</w:t>
                  </w:r>
                </w:p>
                <w:p>
                  <w:pPr>
                    <w:keepNext w:val="0"/>
                    <w:keepLines w:val="0"/>
                    <w:suppressLineNumbers w:val="0"/>
                    <w:autoSpaceDE w:val="0"/>
                    <w:autoSpaceDN w:val="0"/>
                    <w:adjustRightInd w:val="0"/>
                    <w:snapToGrid w:val="0"/>
                    <w:spacing w:before="0" w:beforeAutospacing="0" w:after="0" w:afterAutospacing="0"/>
                    <w:ind w:left="0" w:right="0"/>
                    <w:jc w:val="left"/>
                    <w:rPr>
                      <w:rFonts w:hint="default" w:ascii="Times New Roman" w:hAnsi="Times New Roman" w:cs="Times New Roman"/>
                      <w:color w:val="auto"/>
                      <w:kern w:val="0"/>
                      <w:szCs w:val="21"/>
                      <w:vertAlign w:val="baseline"/>
                    </w:rPr>
                  </w:pPr>
                  <w:r>
                    <w:rPr>
                      <w:rFonts w:hint="eastAsia" w:ascii="Calibri" w:hAnsi="Calibri" w:cs="Times New Roman"/>
                      <w:color w:val="auto"/>
                      <w:kern w:val="0"/>
                      <w:szCs w:val="21"/>
                      <w:vertAlign w:val="baseline"/>
                      <w:lang w:eastAsia="zh-CN"/>
                    </w:rPr>
                    <w:t>（</w:t>
                  </w:r>
                  <w:r>
                    <w:rPr>
                      <w:rFonts w:hint="eastAsia" w:ascii="Calibri" w:hAnsi="Calibri" w:cs="Times New Roman"/>
                      <w:color w:val="auto"/>
                      <w:kern w:val="0"/>
                      <w:szCs w:val="21"/>
                      <w:vertAlign w:val="baseline"/>
                      <w:lang w:val="en-US" w:eastAsia="zh-CN"/>
                    </w:rPr>
                    <w:t>二</w:t>
                  </w:r>
                  <w:r>
                    <w:rPr>
                      <w:rFonts w:hint="eastAsia" w:ascii="Calibri" w:hAnsi="Calibri" w:cs="Times New Roman"/>
                      <w:color w:val="auto"/>
                      <w:kern w:val="0"/>
                      <w:szCs w:val="21"/>
                      <w:vertAlign w:val="baseline"/>
                      <w:lang w:eastAsia="zh-CN"/>
                    </w:rPr>
                    <w:t>）</w:t>
                  </w:r>
                  <w:r>
                    <w:rPr>
                      <w:rFonts w:hint="default" w:ascii="Times New Roman" w:hAnsi="Times New Roman" w:cs="Times New Roman"/>
                      <w:color w:val="auto"/>
                      <w:kern w:val="0"/>
                      <w:szCs w:val="21"/>
                      <w:vertAlign w:val="baseline"/>
                    </w:rPr>
                    <w:t>机制砂石骨料生产线须配套收尘装置，采用喷雾、洒水、全封闭皮带运输等措施。破碎加工区、中间料库、成品库等区域实现厂房全封闭，污染物排放符合GB16297《大气污染物综合排放标准》要求。</w:t>
                  </w:r>
                </w:p>
                <w:p>
                  <w:pPr>
                    <w:keepNext w:val="0"/>
                    <w:keepLines w:val="0"/>
                    <w:suppressLineNumbers w:val="0"/>
                    <w:autoSpaceDE w:val="0"/>
                    <w:autoSpaceDN w:val="0"/>
                    <w:adjustRightInd w:val="0"/>
                    <w:snapToGrid w:val="0"/>
                    <w:spacing w:before="0" w:beforeAutospacing="0" w:after="0" w:afterAutospacing="0"/>
                    <w:ind w:left="0" w:right="0"/>
                    <w:jc w:val="left"/>
                    <w:rPr>
                      <w:rFonts w:hint="default" w:ascii="Times New Roman" w:hAnsi="Times New Roman" w:cs="Times New Roman"/>
                      <w:color w:val="auto"/>
                      <w:kern w:val="0"/>
                      <w:szCs w:val="21"/>
                      <w:vertAlign w:val="baseline"/>
                    </w:rPr>
                  </w:pPr>
                  <w:r>
                    <w:rPr>
                      <w:rFonts w:hint="default" w:ascii="Times New Roman" w:hAnsi="Times New Roman" w:cs="Times New Roman"/>
                      <w:color w:val="auto"/>
                      <w:kern w:val="0"/>
                      <w:szCs w:val="21"/>
                      <w:vertAlign w:val="baseline"/>
                    </w:rPr>
                    <w:t>矿山开采鼓励选用湿式凿岩工艺，若采用干法凿岩工艺，须加设除尘装置，作业场所应采用喷雾、洒水等措施。</w:t>
                  </w:r>
                </w:p>
                <w:p>
                  <w:pPr>
                    <w:keepNext w:val="0"/>
                    <w:keepLines w:val="0"/>
                    <w:suppressLineNumbers w:val="0"/>
                    <w:autoSpaceDE w:val="0"/>
                    <w:autoSpaceDN w:val="0"/>
                    <w:adjustRightInd w:val="0"/>
                    <w:snapToGrid w:val="0"/>
                    <w:spacing w:before="0" w:beforeAutospacing="0" w:after="0" w:afterAutospacing="0"/>
                    <w:ind w:left="0" w:right="0"/>
                    <w:jc w:val="left"/>
                    <w:rPr>
                      <w:rFonts w:hint="default" w:ascii="Times New Roman" w:hAnsi="Times New Roman" w:cs="Times New Roman"/>
                      <w:color w:val="auto"/>
                      <w:kern w:val="0"/>
                      <w:szCs w:val="21"/>
                      <w:vertAlign w:val="baseline"/>
                    </w:rPr>
                  </w:pPr>
                  <w:r>
                    <w:rPr>
                      <w:rFonts w:hint="eastAsia" w:ascii="Calibri" w:hAnsi="Calibri" w:cs="Times New Roman"/>
                      <w:color w:val="auto"/>
                      <w:kern w:val="0"/>
                      <w:szCs w:val="21"/>
                      <w:vertAlign w:val="baseline"/>
                      <w:lang w:eastAsia="zh-CN"/>
                    </w:rPr>
                    <w:t>（</w:t>
                  </w:r>
                  <w:r>
                    <w:rPr>
                      <w:rFonts w:hint="eastAsia" w:ascii="Calibri" w:hAnsi="Calibri" w:cs="Times New Roman"/>
                      <w:color w:val="auto"/>
                      <w:kern w:val="0"/>
                      <w:szCs w:val="21"/>
                      <w:vertAlign w:val="baseline"/>
                      <w:lang w:val="en-US" w:eastAsia="zh-CN"/>
                    </w:rPr>
                    <w:t>三</w:t>
                  </w:r>
                  <w:r>
                    <w:rPr>
                      <w:rFonts w:hint="eastAsia" w:ascii="Calibri" w:hAnsi="Calibri" w:cs="Times New Roman"/>
                      <w:color w:val="auto"/>
                      <w:kern w:val="0"/>
                      <w:szCs w:val="21"/>
                      <w:vertAlign w:val="baseline"/>
                      <w:lang w:eastAsia="zh-CN"/>
                    </w:rPr>
                    <w:t>）</w:t>
                  </w:r>
                  <w:r>
                    <w:rPr>
                      <w:rFonts w:hint="default" w:ascii="Times New Roman" w:hAnsi="Times New Roman" w:cs="Times New Roman"/>
                      <w:color w:val="auto"/>
                      <w:kern w:val="0"/>
                      <w:szCs w:val="21"/>
                      <w:vertAlign w:val="baseline"/>
                    </w:rPr>
                    <w:t>机制砂石骨料生产线须配置消声、减振、隔振等设施，工厂噪声应符合GB12348《工业企业厂界环境噪声排放标准》要求。厂区污水排放符GB8978《污水综合排放标准》二级及以上要求，湿法生产线必须设置水处理循环统。</w:t>
                  </w:r>
                </w:p>
                <w:p>
                  <w:pPr>
                    <w:keepNext w:val="0"/>
                    <w:keepLines w:val="0"/>
                    <w:suppressLineNumbers w:val="0"/>
                    <w:autoSpaceDE w:val="0"/>
                    <w:autoSpaceDN w:val="0"/>
                    <w:adjustRightInd w:val="0"/>
                    <w:snapToGrid w:val="0"/>
                    <w:spacing w:before="0" w:beforeAutospacing="0" w:after="0" w:afterAutospacing="0"/>
                    <w:ind w:left="0" w:right="0"/>
                    <w:jc w:val="left"/>
                    <w:rPr>
                      <w:rFonts w:hint="default" w:ascii="Times New Roman" w:hAnsi="Times New Roman" w:cs="Times New Roman"/>
                      <w:color w:val="auto"/>
                      <w:kern w:val="0"/>
                      <w:szCs w:val="21"/>
                      <w:vertAlign w:val="baseline"/>
                    </w:rPr>
                  </w:pPr>
                  <w:r>
                    <w:rPr>
                      <w:rFonts w:hint="eastAsia" w:ascii="Calibri" w:hAnsi="Calibri" w:cs="Times New Roman"/>
                      <w:color w:val="auto"/>
                      <w:kern w:val="0"/>
                      <w:szCs w:val="21"/>
                      <w:vertAlign w:val="baseline"/>
                      <w:lang w:eastAsia="zh-CN"/>
                    </w:rPr>
                    <w:t>（</w:t>
                  </w:r>
                  <w:r>
                    <w:rPr>
                      <w:rFonts w:hint="eastAsia" w:ascii="Calibri" w:hAnsi="Calibri" w:cs="Times New Roman"/>
                      <w:color w:val="auto"/>
                      <w:kern w:val="0"/>
                      <w:szCs w:val="21"/>
                      <w:vertAlign w:val="baseline"/>
                      <w:lang w:val="en-US" w:eastAsia="zh-CN"/>
                    </w:rPr>
                    <w:t>四</w:t>
                  </w:r>
                  <w:r>
                    <w:rPr>
                      <w:rFonts w:hint="eastAsia" w:ascii="Calibri" w:hAnsi="Calibri" w:cs="Times New Roman"/>
                      <w:color w:val="auto"/>
                      <w:kern w:val="0"/>
                      <w:szCs w:val="21"/>
                      <w:vertAlign w:val="baseline"/>
                      <w:lang w:eastAsia="zh-CN"/>
                    </w:rPr>
                    <w:t>）</w:t>
                  </w:r>
                  <w:r>
                    <w:rPr>
                      <w:rFonts w:hint="default" w:ascii="Times New Roman" w:hAnsi="Times New Roman" w:cs="Times New Roman"/>
                      <w:color w:val="auto"/>
                      <w:kern w:val="0"/>
                      <w:szCs w:val="21"/>
                      <w:vertAlign w:val="baseline"/>
                    </w:rPr>
                    <w:t>公用工程、环境保护设计应符合GB51186《机制砂石骨料工厂设计规范》等有关标准规定，配套建设的环境保护设施应与主体工程同时设计、同时施工、同时投入使用。</w:t>
                  </w:r>
                </w:p>
              </w:tc>
              <w:tc>
                <w:tcPr>
                  <w:tcW w:w="2534"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left"/>
                    <w:rPr>
                      <w:rFonts w:hint="eastAsia" w:ascii="Times New Roman" w:hAnsi="Times New Roman" w:eastAsia="宋体" w:cs="Times New Roman"/>
                      <w:color w:val="000000" w:themeColor="text1"/>
                      <w:kern w:val="0"/>
                      <w:szCs w:val="21"/>
                      <w:vertAlign w:val="baseline"/>
                      <w:lang w:val="en-US" w:eastAsia="zh-CN"/>
                      <w14:textFill>
                        <w14:solidFill>
                          <w14:schemeClr w14:val="tx1"/>
                        </w14:solidFill>
                      </w14:textFill>
                    </w:rPr>
                  </w:pPr>
                  <w:r>
                    <w:rPr>
                      <w:rFonts w:hint="eastAsia" w:ascii="Times New Roman" w:hAnsi="Times New Roman" w:eastAsia="宋体" w:cs="Times New Roman"/>
                      <w:color w:val="000000" w:themeColor="text1"/>
                      <w:kern w:val="0"/>
                      <w:szCs w:val="21"/>
                      <w:vertAlign w:val="baseline"/>
                      <w:lang w:val="en-US" w:eastAsia="zh-CN"/>
                      <w14:textFill>
                        <w14:solidFill>
                          <w14:schemeClr w14:val="tx1"/>
                        </w14:solidFill>
                      </w14:textFill>
                    </w:rPr>
                    <w:t>1、本环评要求建设单位制</w:t>
                  </w:r>
                </w:p>
                <w:p>
                  <w:pPr>
                    <w:keepNext w:val="0"/>
                    <w:keepLines w:val="0"/>
                    <w:suppressLineNumbers w:val="0"/>
                    <w:autoSpaceDE w:val="0"/>
                    <w:autoSpaceDN w:val="0"/>
                    <w:adjustRightInd w:val="0"/>
                    <w:snapToGrid w:val="0"/>
                    <w:spacing w:before="0" w:beforeAutospacing="0" w:after="0" w:afterAutospacing="0"/>
                    <w:ind w:left="0" w:right="0"/>
                    <w:jc w:val="left"/>
                    <w:rPr>
                      <w:rFonts w:hint="eastAsia" w:ascii="Times New Roman" w:hAnsi="Times New Roman" w:eastAsia="宋体" w:cs="Times New Roman"/>
                      <w:color w:val="000000" w:themeColor="text1"/>
                      <w:kern w:val="0"/>
                      <w:szCs w:val="21"/>
                      <w:vertAlign w:val="baseline"/>
                      <w:lang w:val="en-US" w:eastAsia="zh-CN"/>
                      <w14:textFill>
                        <w14:solidFill>
                          <w14:schemeClr w14:val="tx1"/>
                        </w14:solidFill>
                      </w14:textFill>
                    </w:rPr>
                  </w:pPr>
                  <w:r>
                    <w:rPr>
                      <w:rFonts w:hint="eastAsia" w:ascii="Times New Roman" w:hAnsi="Times New Roman" w:eastAsia="宋体" w:cs="Times New Roman"/>
                      <w:color w:val="000000" w:themeColor="text1"/>
                      <w:kern w:val="0"/>
                      <w:szCs w:val="21"/>
                      <w:vertAlign w:val="baseline"/>
                      <w:lang w:val="en-US" w:eastAsia="zh-CN"/>
                      <w14:textFill>
                        <w14:solidFill>
                          <w14:schemeClr w14:val="tx1"/>
                        </w14:solidFill>
                      </w14:textFill>
                    </w:rPr>
                    <w:t>定相关环境保护管理体系</w:t>
                  </w:r>
                </w:p>
                <w:p>
                  <w:pPr>
                    <w:keepNext w:val="0"/>
                    <w:keepLines w:val="0"/>
                    <w:suppressLineNumbers w:val="0"/>
                    <w:autoSpaceDE w:val="0"/>
                    <w:autoSpaceDN w:val="0"/>
                    <w:adjustRightInd w:val="0"/>
                    <w:snapToGrid w:val="0"/>
                    <w:spacing w:before="0" w:beforeAutospacing="0" w:after="0" w:afterAutospacing="0"/>
                    <w:ind w:left="0" w:right="0"/>
                    <w:jc w:val="left"/>
                    <w:rPr>
                      <w:rFonts w:hint="eastAsia" w:ascii="Times New Roman" w:hAnsi="Times New Roman" w:eastAsia="宋体" w:cs="Times New Roman"/>
                      <w:color w:val="000000" w:themeColor="text1"/>
                      <w:kern w:val="0"/>
                      <w:szCs w:val="21"/>
                      <w:vertAlign w:val="baseline"/>
                      <w:lang w:val="en-US" w:eastAsia="zh-CN"/>
                      <w14:textFill>
                        <w14:solidFill>
                          <w14:schemeClr w14:val="tx1"/>
                        </w14:solidFill>
                      </w14:textFill>
                    </w:rPr>
                  </w:pPr>
                  <w:r>
                    <w:rPr>
                      <w:rFonts w:hint="eastAsia" w:ascii="Times New Roman" w:hAnsi="Times New Roman" w:eastAsia="宋体" w:cs="Times New Roman"/>
                      <w:color w:val="000000" w:themeColor="text1"/>
                      <w:kern w:val="0"/>
                      <w:szCs w:val="21"/>
                      <w:vertAlign w:val="baseline"/>
                      <w:lang w:val="en-US" w:eastAsia="zh-CN"/>
                      <w14:textFill>
                        <w14:solidFill>
                          <w14:schemeClr w14:val="tx1"/>
                        </w14:solidFill>
                      </w14:textFill>
                    </w:rPr>
                    <w:t>文件和环境突发事件应急</w:t>
                  </w:r>
                </w:p>
                <w:p>
                  <w:pPr>
                    <w:keepNext w:val="0"/>
                    <w:keepLines w:val="0"/>
                    <w:suppressLineNumbers w:val="0"/>
                    <w:autoSpaceDE w:val="0"/>
                    <w:autoSpaceDN w:val="0"/>
                    <w:adjustRightInd w:val="0"/>
                    <w:snapToGrid w:val="0"/>
                    <w:spacing w:before="0" w:beforeAutospacing="0" w:after="0" w:afterAutospacing="0"/>
                    <w:ind w:left="0" w:right="0"/>
                    <w:jc w:val="left"/>
                    <w:rPr>
                      <w:rFonts w:hint="eastAsia" w:ascii="Times New Roman" w:hAnsi="Times New Roman" w:eastAsia="宋体" w:cs="Times New Roman"/>
                      <w:color w:val="000000" w:themeColor="text1"/>
                      <w:kern w:val="0"/>
                      <w:szCs w:val="21"/>
                      <w:vertAlign w:val="baseline"/>
                      <w:lang w:val="en-US" w:eastAsia="zh-CN"/>
                      <w14:textFill>
                        <w14:solidFill>
                          <w14:schemeClr w14:val="tx1"/>
                        </w14:solidFill>
                      </w14:textFill>
                    </w:rPr>
                  </w:pPr>
                  <w:r>
                    <w:rPr>
                      <w:rFonts w:hint="eastAsia" w:ascii="Times New Roman" w:hAnsi="Times New Roman" w:eastAsia="宋体" w:cs="Times New Roman"/>
                      <w:color w:val="000000" w:themeColor="text1"/>
                      <w:kern w:val="0"/>
                      <w:szCs w:val="21"/>
                      <w:vertAlign w:val="baseline"/>
                      <w:lang w:val="en-US" w:eastAsia="zh-CN"/>
                      <w14:textFill>
                        <w14:solidFill>
                          <w14:schemeClr w14:val="tx1"/>
                        </w14:solidFill>
                      </w14:textFill>
                    </w:rPr>
                    <w:t>预案等。</w:t>
                  </w:r>
                </w:p>
                <w:p>
                  <w:pPr>
                    <w:keepNext w:val="0"/>
                    <w:keepLines w:val="0"/>
                    <w:suppressLineNumbers w:val="0"/>
                    <w:autoSpaceDE w:val="0"/>
                    <w:autoSpaceDN w:val="0"/>
                    <w:adjustRightInd w:val="0"/>
                    <w:snapToGrid w:val="0"/>
                    <w:spacing w:before="0" w:beforeAutospacing="0" w:after="0" w:afterAutospacing="0"/>
                    <w:ind w:left="0" w:right="0"/>
                    <w:jc w:val="left"/>
                    <w:rPr>
                      <w:rFonts w:hint="eastAsia" w:ascii="Times New Roman" w:hAnsi="Times New Roman" w:eastAsia="宋体" w:cs="Times New Roman"/>
                      <w:color w:val="000000" w:themeColor="text1"/>
                      <w:kern w:val="0"/>
                      <w:szCs w:val="21"/>
                      <w:vertAlign w:val="baseline"/>
                      <w:lang w:val="en-US" w:eastAsia="zh-CN"/>
                      <w14:textFill>
                        <w14:solidFill>
                          <w14:schemeClr w14:val="tx1"/>
                        </w14:solidFill>
                      </w14:textFill>
                    </w:rPr>
                  </w:pPr>
                  <w:r>
                    <w:rPr>
                      <w:rFonts w:hint="eastAsia" w:ascii="Times New Roman" w:hAnsi="Times New Roman" w:eastAsia="宋体" w:cs="Times New Roman"/>
                      <w:color w:val="000000" w:themeColor="text1"/>
                      <w:kern w:val="0"/>
                      <w:szCs w:val="21"/>
                      <w:vertAlign w:val="baseline"/>
                      <w:lang w:val="en-US" w:eastAsia="zh-CN"/>
                      <w14:textFill>
                        <w14:solidFill>
                          <w14:schemeClr w14:val="tx1"/>
                        </w14:solidFill>
                      </w14:textFill>
                    </w:rPr>
                    <w:t>2、项目工业广场实现全封</w:t>
                  </w:r>
                </w:p>
                <w:p>
                  <w:pPr>
                    <w:keepNext w:val="0"/>
                    <w:keepLines w:val="0"/>
                    <w:suppressLineNumbers w:val="0"/>
                    <w:autoSpaceDE w:val="0"/>
                    <w:autoSpaceDN w:val="0"/>
                    <w:adjustRightInd w:val="0"/>
                    <w:snapToGrid w:val="0"/>
                    <w:spacing w:before="0" w:beforeAutospacing="0" w:after="0" w:afterAutospacing="0"/>
                    <w:ind w:left="0" w:right="0"/>
                    <w:jc w:val="left"/>
                    <w:rPr>
                      <w:rFonts w:hint="eastAsia" w:ascii="Times New Roman" w:hAnsi="Times New Roman" w:eastAsia="宋体" w:cs="Times New Roman"/>
                      <w:color w:val="000000" w:themeColor="text1"/>
                      <w:kern w:val="0"/>
                      <w:szCs w:val="21"/>
                      <w:vertAlign w:val="baseline"/>
                      <w:lang w:val="en-US" w:eastAsia="zh-CN"/>
                      <w14:textFill>
                        <w14:solidFill>
                          <w14:schemeClr w14:val="tx1"/>
                        </w14:solidFill>
                      </w14:textFill>
                    </w:rPr>
                  </w:pPr>
                  <w:r>
                    <w:rPr>
                      <w:rFonts w:hint="eastAsia" w:ascii="Times New Roman" w:hAnsi="Times New Roman" w:eastAsia="宋体" w:cs="Times New Roman"/>
                      <w:color w:val="000000" w:themeColor="text1"/>
                      <w:kern w:val="0"/>
                      <w:szCs w:val="21"/>
                      <w:vertAlign w:val="baseline"/>
                      <w:lang w:val="en-US" w:eastAsia="zh-CN"/>
                      <w14:textFill>
                        <w14:solidFill>
                          <w14:schemeClr w14:val="tx1"/>
                        </w14:solidFill>
                      </w14:textFill>
                    </w:rPr>
                    <w:t>闭，并配套雾化喷淋设施抑尘，破碎粉尘、筛分粉尘、制砂粉尘等经负压收集后，通过脉冲式布袋除尘器净化，再通过15m排气筒排放，粉尘排放满足《大气污染物综合排放标准》(GB16297-1996)要求。矿山开采选用湿式凿岩工艺，且作业场所采用洒水抑尘措施。</w:t>
                  </w:r>
                </w:p>
                <w:p>
                  <w:pPr>
                    <w:keepNext w:val="0"/>
                    <w:keepLines w:val="0"/>
                    <w:suppressLineNumbers w:val="0"/>
                    <w:autoSpaceDE w:val="0"/>
                    <w:autoSpaceDN w:val="0"/>
                    <w:adjustRightInd w:val="0"/>
                    <w:snapToGrid w:val="0"/>
                    <w:spacing w:before="0" w:beforeAutospacing="0" w:after="0" w:afterAutospacing="0"/>
                    <w:ind w:left="0" w:right="0"/>
                    <w:jc w:val="left"/>
                    <w:rPr>
                      <w:rFonts w:hint="eastAsia" w:ascii="Times New Roman" w:hAnsi="Times New Roman" w:eastAsia="宋体" w:cs="Times New Roman"/>
                      <w:color w:val="000000" w:themeColor="text1"/>
                      <w:kern w:val="0"/>
                      <w:szCs w:val="21"/>
                      <w:vertAlign w:val="baseline"/>
                      <w:lang w:val="en-US" w:eastAsia="zh-CN"/>
                      <w14:textFill>
                        <w14:solidFill>
                          <w14:schemeClr w14:val="tx1"/>
                        </w14:solidFill>
                      </w14:textFill>
                    </w:rPr>
                  </w:pPr>
                  <w:r>
                    <w:rPr>
                      <w:rFonts w:hint="eastAsia" w:ascii="Times New Roman" w:hAnsi="Times New Roman" w:eastAsia="宋体" w:cs="Times New Roman"/>
                      <w:color w:val="000000" w:themeColor="text1"/>
                      <w:kern w:val="0"/>
                      <w:szCs w:val="21"/>
                      <w:vertAlign w:val="baseline"/>
                      <w:lang w:val="en-US" w:eastAsia="zh-CN"/>
                      <w14:textFill>
                        <w14:solidFill>
                          <w14:schemeClr w14:val="tx1"/>
                        </w14:solidFill>
                      </w14:textFill>
                    </w:rPr>
                    <w:t>3、项目无废水外排。</w:t>
                  </w:r>
                </w:p>
                <w:p>
                  <w:pPr>
                    <w:keepNext w:val="0"/>
                    <w:keepLines w:val="0"/>
                    <w:suppressLineNumbers w:val="0"/>
                    <w:autoSpaceDE w:val="0"/>
                    <w:autoSpaceDN w:val="0"/>
                    <w:adjustRightInd w:val="0"/>
                    <w:snapToGrid w:val="0"/>
                    <w:spacing w:before="0" w:beforeAutospacing="0" w:after="0" w:afterAutospacing="0"/>
                    <w:ind w:left="0" w:right="0"/>
                    <w:jc w:val="left"/>
                    <w:rPr>
                      <w:rFonts w:hint="eastAsia" w:ascii="Times New Roman" w:hAnsi="Times New Roman" w:eastAsia="宋体" w:cs="Times New Roman"/>
                      <w:color w:val="000000" w:themeColor="text1"/>
                      <w:kern w:val="0"/>
                      <w:szCs w:val="21"/>
                      <w:vertAlign w:val="baseline"/>
                      <w:lang w:val="en-US" w:eastAsia="zh-CN"/>
                      <w14:textFill>
                        <w14:solidFill>
                          <w14:schemeClr w14:val="tx1"/>
                        </w14:solidFill>
                      </w14:textFill>
                    </w:rPr>
                  </w:pPr>
                  <w:r>
                    <w:rPr>
                      <w:rFonts w:hint="eastAsia" w:ascii="Times New Roman" w:hAnsi="Times New Roman" w:eastAsia="宋体" w:cs="Times New Roman"/>
                      <w:color w:val="000000" w:themeColor="text1"/>
                      <w:kern w:val="0"/>
                      <w:szCs w:val="21"/>
                      <w:vertAlign w:val="baseline"/>
                      <w:lang w:val="en-US" w:eastAsia="zh-CN"/>
                      <w14:textFill>
                        <w14:solidFill>
                          <w14:schemeClr w14:val="tx1"/>
                        </w14:solidFill>
                      </w14:textFill>
                    </w:rPr>
                    <w:t>4、生产线设备配备减震、</w:t>
                  </w:r>
                </w:p>
                <w:p>
                  <w:pPr>
                    <w:keepNext w:val="0"/>
                    <w:keepLines w:val="0"/>
                    <w:suppressLineNumbers w:val="0"/>
                    <w:autoSpaceDE w:val="0"/>
                    <w:autoSpaceDN w:val="0"/>
                    <w:adjustRightInd w:val="0"/>
                    <w:snapToGrid w:val="0"/>
                    <w:spacing w:before="0" w:beforeAutospacing="0" w:after="0" w:afterAutospacing="0"/>
                    <w:ind w:left="0" w:right="0"/>
                    <w:jc w:val="left"/>
                    <w:rPr>
                      <w:rFonts w:hint="eastAsia" w:ascii="Times New Roman" w:hAnsi="Times New Roman" w:eastAsia="宋体" w:cs="Times New Roman"/>
                      <w:color w:val="000000" w:themeColor="text1"/>
                      <w:kern w:val="0"/>
                      <w:szCs w:val="21"/>
                      <w:vertAlign w:val="baseline"/>
                      <w:lang w:val="en-US" w:eastAsia="zh-CN"/>
                      <w14:textFill>
                        <w14:solidFill>
                          <w14:schemeClr w14:val="tx1"/>
                        </w14:solidFill>
                      </w14:textFill>
                    </w:rPr>
                  </w:pPr>
                  <w:r>
                    <w:rPr>
                      <w:rFonts w:hint="eastAsia" w:ascii="Times New Roman" w:hAnsi="Times New Roman" w:eastAsia="宋体" w:cs="Times New Roman"/>
                      <w:color w:val="000000" w:themeColor="text1"/>
                      <w:kern w:val="0"/>
                      <w:szCs w:val="21"/>
                      <w:vertAlign w:val="baseline"/>
                      <w:lang w:val="en-US" w:eastAsia="zh-CN"/>
                      <w14:textFill>
                        <w14:solidFill>
                          <w14:schemeClr w14:val="tx1"/>
                        </w14:solidFill>
                      </w14:textFill>
                    </w:rPr>
                    <w:t>消声、隔振等措施后，工业广场厂界噪声满足《工业企业厂界环境噪声排放标准》要求。</w:t>
                  </w:r>
                </w:p>
                <w:p>
                  <w:pPr>
                    <w:keepNext w:val="0"/>
                    <w:keepLines w:val="0"/>
                    <w:suppressLineNumbers w:val="0"/>
                    <w:autoSpaceDE w:val="0"/>
                    <w:autoSpaceDN w:val="0"/>
                    <w:adjustRightInd w:val="0"/>
                    <w:snapToGrid w:val="0"/>
                    <w:spacing w:before="0" w:beforeAutospacing="0" w:after="0" w:afterAutospacing="0"/>
                    <w:ind w:left="0" w:right="0"/>
                    <w:jc w:val="left"/>
                    <w:rPr>
                      <w:rFonts w:hint="eastAsia" w:ascii="Times New Roman" w:hAnsi="Times New Roman" w:eastAsia="宋体" w:cs="Times New Roman"/>
                      <w:color w:val="000000" w:themeColor="text1"/>
                      <w:kern w:val="0"/>
                      <w:szCs w:val="21"/>
                      <w:vertAlign w:val="baseline"/>
                      <w:lang w:val="en-US" w:eastAsia="zh-CN"/>
                      <w14:textFill>
                        <w14:solidFill>
                          <w14:schemeClr w14:val="tx1"/>
                        </w14:solidFill>
                      </w14:textFill>
                    </w:rPr>
                  </w:pPr>
                  <w:r>
                    <w:rPr>
                      <w:rFonts w:hint="eastAsia" w:ascii="Times New Roman" w:hAnsi="Times New Roman" w:eastAsia="宋体" w:cs="Times New Roman"/>
                      <w:color w:val="000000" w:themeColor="text1"/>
                      <w:kern w:val="0"/>
                      <w:szCs w:val="21"/>
                      <w:vertAlign w:val="baseline"/>
                      <w:lang w:val="en-US" w:eastAsia="zh-CN"/>
                      <w14:textFill>
                        <w14:solidFill>
                          <w14:schemeClr w14:val="tx1"/>
                        </w14:solidFill>
                      </w14:textFill>
                    </w:rPr>
                    <w:t>5、本环评要求项目配套环</w:t>
                  </w:r>
                </w:p>
                <w:p>
                  <w:pPr>
                    <w:keepNext w:val="0"/>
                    <w:keepLines w:val="0"/>
                    <w:suppressLineNumbers w:val="0"/>
                    <w:autoSpaceDE w:val="0"/>
                    <w:autoSpaceDN w:val="0"/>
                    <w:adjustRightInd w:val="0"/>
                    <w:snapToGrid w:val="0"/>
                    <w:spacing w:before="0" w:beforeAutospacing="0" w:after="0" w:afterAutospacing="0"/>
                    <w:ind w:left="0" w:right="0"/>
                    <w:jc w:val="left"/>
                    <w:rPr>
                      <w:rFonts w:hint="eastAsia" w:ascii="Times New Roman" w:hAnsi="Times New Roman" w:eastAsia="宋体" w:cs="Times New Roman"/>
                      <w:color w:val="000000" w:themeColor="text1"/>
                      <w:kern w:val="0"/>
                      <w:szCs w:val="21"/>
                      <w:vertAlign w:val="baseline"/>
                      <w:lang w:val="en-US" w:eastAsia="zh-CN"/>
                      <w14:textFill>
                        <w14:solidFill>
                          <w14:schemeClr w14:val="tx1"/>
                        </w14:solidFill>
                      </w14:textFill>
                    </w:rPr>
                  </w:pPr>
                  <w:r>
                    <w:rPr>
                      <w:rFonts w:hint="eastAsia" w:ascii="Times New Roman" w:hAnsi="Times New Roman" w:eastAsia="宋体" w:cs="Times New Roman"/>
                      <w:color w:val="000000" w:themeColor="text1"/>
                      <w:kern w:val="0"/>
                      <w:szCs w:val="21"/>
                      <w:vertAlign w:val="baseline"/>
                      <w:lang w:val="en-US" w:eastAsia="zh-CN"/>
                      <w14:textFill>
                        <w14:solidFill>
                          <w14:schemeClr w14:val="tx1"/>
                        </w14:solidFill>
                      </w14:textFill>
                    </w:rPr>
                    <w:t>境保护设施与主体工程同</w:t>
                  </w:r>
                </w:p>
                <w:p>
                  <w:pPr>
                    <w:keepNext w:val="0"/>
                    <w:keepLines w:val="0"/>
                    <w:suppressLineNumbers w:val="0"/>
                    <w:autoSpaceDE w:val="0"/>
                    <w:autoSpaceDN w:val="0"/>
                    <w:adjustRightInd w:val="0"/>
                    <w:snapToGrid w:val="0"/>
                    <w:spacing w:before="0" w:beforeAutospacing="0" w:after="0" w:afterAutospacing="0"/>
                    <w:ind w:left="0" w:right="0"/>
                    <w:jc w:val="left"/>
                    <w:rPr>
                      <w:rFonts w:hint="eastAsia" w:ascii="Times New Roman" w:hAnsi="Times New Roman" w:eastAsia="宋体" w:cs="Times New Roman"/>
                      <w:color w:val="000000" w:themeColor="text1"/>
                      <w:kern w:val="0"/>
                      <w:szCs w:val="21"/>
                      <w:vertAlign w:val="baseline"/>
                      <w:lang w:val="en-US" w:eastAsia="zh-CN"/>
                      <w14:textFill>
                        <w14:solidFill>
                          <w14:schemeClr w14:val="tx1"/>
                        </w14:solidFill>
                      </w14:textFill>
                    </w:rPr>
                  </w:pPr>
                  <w:r>
                    <w:rPr>
                      <w:rFonts w:hint="eastAsia" w:ascii="Times New Roman" w:hAnsi="Times New Roman" w:eastAsia="宋体" w:cs="Times New Roman"/>
                      <w:color w:val="000000" w:themeColor="text1"/>
                      <w:kern w:val="0"/>
                      <w:szCs w:val="21"/>
                      <w:vertAlign w:val="baseline"/>
                      <w:lang w:val="en-US" w:eastAsia="zh-CN"/>
                      <w14:textFill>
                        <w14:solidFill>
                          <w14:schemeClr w14:val="tx1"/>
                        </w14:solidFill>
                      </w14:textFill>
                    </w:rPr>
                    <w:t>时设计、同时施工、同时投入使用，同时，公用工程、环境保护设计应符合GB51186《机制砂石骨料工厂设计规范》等有关标准规定。</w:t>
                  </w:r>
                </w:p>
              </w:tc>
              <w:tc>
                <w:tcPr>
                  <w:tcW w:w="1214" w:type="dxa"/>
                  <w:noWrap w:val="0"/>
                  <w:vAlign w:val="center"/>
                </w:tcPr>
                <w:p>
                  <w:pPr>
                    <w:pStyle w:val="62"/>
                    <w:keepNext w:val="0"/>
                    <w:keepLines w:val="0"/>
                    <w:pageBreakBefore w:val="0"/>
                    <w:widowControl w:val="0"/>
                    <w:suppressLineNumbers w:val="0"/>
                    <w:kinsoku/>
                    <w:wordWrap/>
                    <w:overflowPunct/>
                    <w:topLinePunct w:val="0"/>
                    <w:autoSpaceDE/>
                    <w:autoSpaceDN/>
                    <w:bidi w:val="0"/>
                    <w:adjustRightInd/>
                    <w:snapToGrid/>
                    <w:spacing w:before="0" w:beforeLines="0" w:beforeAutospacing="0" w:after="0" w:afterLines="0" w:afterAutospacing="0" w:line="240" w:lineRule="auto"/>
                    <w:ind w:left="0" w:leftChars="0" w:right="0" w:firstLine="0" w:firstLineChars="0"/>
                    <w:jc w:val="center"/>
                    <w:textAlignment w:val="auto"/>
                    <w:rPr>
                      <w:rFonts w:hint="default" w:ascii="Times New Roman" w:hAnsi="Times New Roman" w:cs="Times New Roman"/>
                      <w:color w:val="FF0000"/>
                      <w:kern w:val="0"/>
                      <w:szCs w:val="21"/>
                      <w:vertAlign w:val="baseline"/>
                    </w:rPr>
                  </w:pPr>
                  <w:r>
                    <w:rPr>
                      <w:rFonts w:hint="default" w:ascii="Times New Roman" w:hAnsi="Times New Roman" w:eastAsia="宋体" w:cs="Times New Roman"/>
                      <w:b w:val="0"/>
                      <w:bCs w:val="0"/>
                      <w:color w:val="auto"/>
                      <w:sz w:val="21"/>
                      <w:szCs w:val="21"/>
                      <w:vertAlign w:val="baseline"/>
                      <w:lang w:val="en-US" w:eastAsia="zh-CN"/>
                    </w:rPr>
                    <w:t>符合</w:t>
                  </w:r>
                </w:p>
              </w:tc>
            </w:tr>
          </w:tbl>
          <w:p>
            <w:pPr>
              <w:pStyle w:val="12"/>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right="0"/>
              <w:textAlignment w:val="auto"/>
              <w:rPr>
                <w:rFonts w:hint="default" w:ascii="Calibri" w:hAnsi="Calibri" w:cs="Times New Roman"/>
                <w:sz w:val="24"/>
                <w:szCs w:val="24"/>
              </w:rPr>
            </w:pPr>
            <w:r>
              <w:rPr>
                <w:rFonts w:hint="default" w:ascii="Calibri" w:hAnsi="Calibri" w:cs="Times New Roman"/>
                <w:sz w:val="24"/>
                <w:szCs w:val="24"/>
              </w:rPr>
              <w:t>综上，本项目的建设符合《关于全面推动矿业绿色发展的若干意见》（湘政办发〔2019〕71号）的相关要求。</w:t>
            </w:r>
          </w:p>
          <w:p>
            <w:pPr>
              <w:keepNext w:val="0"/>
              <w:keepLines w:val="0"/>
              <w:suppressLineNumbers w:val="0"/>
              <w:autoSpaceDE w:val="0"/>
              <w:autoSpaceDN w:val="0"/>
              <w:adjustRightInd w:val="0"/>
              <w:snapToGrid w:val="0"/>
              <w:spacing w:before="0" w:beforeAutospacing="0" w:after="0" w:afterAutospacing="0" w:line="360" w:lineRule="auto"/>
              <w:ind w:left="0" w:right="0" w:firstLine="435"/>
              <w:jc w:val="left"/>
              <w:rPr>
                <w:rFonts w:hint="eastAsia" w:ascii="Calibri" w:hAnsi="Calibri" w:cs="Times New Roman"/>
                <w:b/>
                <w:color w:val="000000" w:themeColor="text1"/>
                <w:kern w:val="0"/>
                <w:sz w:val="24"/>
                <w:szCs w:val="24"/>
                <w14:textFill>
                  <w14:solidFill>
                    <w14:schemeClr w14:val="tx1"/>
                  </w14:solidFill>
                </w14:textFill>
              </w:rPr>
            </w:pPr>
            <w:r>
              <w:rPr>
                <w:rFonts w:hint="eastAsia" w:ascii="Calibri" w:hAnsi="Calibri" w:cs="Times New Roman"/>
                <w:b/>
                <w:color w:val="000000" w:themeColor="text1"/>
                <w:kern w:val="0"/>
                <w:sz w:val="24"/>
                <w:szCs w:val="24"/>
                <w:lang w:val="en-US" w:eastAsia="zh-CN"/>
                <w14:textFill>
                  <w14:solidFill>
                    <w14:schemeClr w14:val="tx1"/>
                  </w14:solidFill>
                </w14:textFill>
              </w:rPr>
              <w:t>4</w:t>
            </w:r>
            <w:r>
              <w:rPr>
                <w:rFonts w:ascii="Calibri" w:hAnsi="Calibri" w:cs="Times New Roman"/>
                <w:b/>
                <w:color w:val="000000" w:themeColor="text1"/>
                <w:kern w:val="0"/>
                <w:sz w:val="24"/>
                <w:szCs w:val="24"/>
                <w14:textFill>
                  <w14:solidFill>
                    <w14:schemeClr w14:val="tx1"/>
                  </w14:solidFill>
                </w14:textFill>
              </w:rPr>
              <w:t>.</w:t>
            </w:r>
            <w:r>
              <w:rPr>
                <w:rFonts w:hint="eastAsia" w:ascii="Calibri" w:hAnsi="Calibri" w:cs="Times New Roman"/>
                <w:b/>
                <w:color w:val="000000" w:themeColor="text1"/>
                <w:kern w:val="0"/>
                <w:sz w:val="24"/>
                <w:szCs w:val="24"/>
                <w14:textFill>
                  <w14:solidFill>
                    <w14:schemeClr w14:val="tx1"/>
                  </w14:solidFill>
                </w14:textFill>
              </w:rPr>
              <w:t>与《矿山生态环境保护与污染防治技术政策》(环发[2005]109号)的相符性</w:t>
            </w:r>
          </w:p>
          <w:p>
            <w:pPr>
              <w:keepNext w:val="0"/>
              <w:keepLines w:val="0"/>
              <w:pageBreakBefore w:val="0"/>
              <w:widowControl w:val="0"/>
              <w:numPr>
                <w:ilvl w:val="0"/>
                <w:numId w:val="0"/>
              </w:numPr>
              <w:suppressLineNumbers w:val="0"/>
              <w:kinsoku/>
              <w:wordWrap/>
              <w:overflowPunct/>
              <w:topLinePunct w:val="0"/>
              <w:autoSpaceDE w:val="0"/>
              <w:autoSpaceDN w:val="0"/>
              <w:bidi w:val="0"/>
              <w:adjustRightInd w:val="0"/>
              <w:snapToGrid w:val="0"/>
              <w:spacing w:before="0" w:beforeAutospacing="0" w:after="0" w:afterAutospacing="0" w:line="360" w:lineRule="auto"/>
              <w:ind w:left="0" w:right="0" w:firstLine="480" w:firstLineChars="200"/>
              <w:jc w:val="left"/>
              <w:textAlignment w:val="auto"/>
              <w:rPr>
                <w:rFonts w:hint="default" w:ascii="Times New Roman" w:hAnsi="Times New Roman" w:eastAsia="宋体" w:cs="Times New Roman"/>
                <w:color w:val="000000" w:themeColor="text1"/>
                <w:kern w:val="0"/>
                <w:sz w:val="24"/>
                <w:szCs w:val="24"/>
                <w14:textFill>
                  <w14:solidFill>
                    <w14:schemeClr w14:val="tx1"/>
                  </w14:solidFill>
                </w14:textFill>
              </w:rPr>
            </w:pPr>
            <w:r>
              <w:rPr>
                <w:rFonts w:hint="default" w:ascii="Times New Roman" w:hAnsi="Times New Roman" w:eastAsia="宋体" w:cs="Times New Roman"/>
                <w:color w:val="000000" w:themeColor="text1"/>
                <w:kern w:val="0"/>
                <w:sz w:val="24"/>
                <w:szCs w:val="24"/>
                <w14:textFill>
                  <w14:solidFill>
                    <w14:schemeClr w14:val="tx1"/>
                  </w14:solidFill>
                </w14:textFill>
              </w:rPr>
              <w:t>本项目与《矿山生态环境保护与污染防治技术政策》(环发[2005]109号)的相符性见</w:t>
            </w:r>
            <w:r>
              <w:rPr>
                <w:rFonts w:hint="eastAsia" w:ascii="Calibri" w:hAnsi="Calibri" w:cs="Times New Roman"/>
                <w:color w:val="000000" w:themeColor="text1"/>
                <w:kern w:val="0"/>
                <w:sz w:val="24"/>
                <w:szCs w:val="24"/>
                <w:lang w:val="en-US" w:eastAsia="zh-CN"/>
                <w14:textFill>
                  <w14:solidFill>
                    <w14:schemeClr w14:val="tx1"/>
                  </w14:solidFill>
                </w14:textFill>
              </w:rPr>
              <w:t>下表</w:t>
            </w:r>
            <w:r>
              <w:rPr>
                <w:rFonts w:hint="default" w:ascii="Times New Roman" w:hAnsi="Times New Roman" w:eastAsia="宋体" w:cs="Times New Roman"/>
                <w:color w:val="000000" w:themeColor="text1"/>
                <w:kern w:val="0"/>
                <w:sz w:val="24"/>
                <w:szCs w:val="24"/>
                <w14:textFill>
                  <w14:solidFill>
                    <w14:schemeClr w14:val="tx1"/>
                  </w14:solidFill>
                </w14:textFill>
              </w:rPr>
              <w:t>。</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jc w:val="center"/>
              <w:textAlignment w:val="auto"/>
              <w:rPr>
                <w:rFonts w:hint="eastAsia" w:ascii="Calibri" w:hAnsi="Calibri" w:cs="Times New Roman"/>
                <w:b/>
                <w:bCs/>
                <w:color w:val="auto"/>
                <w:sz w:val="21"/>
                <w:szCs w:val="21"/>
                <w:lang w:val="en-US" w:eastAsia="zh-CN"/>
              </w:rPr>
            </w:pPr>
            <w:r>
              <w:rPr>
                <w:rFonts w:hint="eastAsia" w:ascii="Calibri" w:hAnsi="Calibri" w:cs="Times New Roman"/>
                <w:b/>
                <w:bCs/>
                <w:color w:val="auto"/>
                <w:sz w:val="21"/>
                <w:szCs w:val="21"/>
              </w:rPr>
              <w:t>表1-</w:t>
            </w:r>
            <w:r>
              <w:rPr>
                <w:rFonts w:hint="eastAsia" w:ascii="Calibri" w:hAnsi="Calibri" w:cs="Times New Roman"/>
                <w:b/>
                <w:bCs/>
                <w:color w:val="auto"/>
                <w:sz w:val="21"/>
                <w:szCs w:val="21"/>
                <w:lang w:val="en-US" w:eastAsia="zh-CN"/>
              </w:rPr>
              <w:t>5与《矿山生态环境保护与污染防治技术政策》的相符性</w:t>
            </w:r>
          </w:p>
          <w:tbl>
            <w:tblPr>
              <w:tblStyle w:val="22"/>
              <w:tblW w:w="749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8"/>
              <w:gridCol w:w="2966"/>
              <w:gridCol w:w="2534"/>
              <w:gridCol w:w="12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78" w:type="dxa"/>
                  <w:noWrap w:val="0"/>
                  <w:vAlign w:val="top"/>
                </w:tcPr>
                <w:p>
                  <w:pPr>
                    <w:keepNext w:val="0"/>
                    <w:keepLines w:val="0"/>
                    <w:suppressLineNumbers w:val="0"/>
                    <w:autoSpaceDE w:val="0"/>
                    <w:autoSpaceDN w:val="0"/>
                    <w:adjustRightInd w:val="0"/>
                    <w:snapToGrid w:val="0"/>
                    <w:spacing w:before="0" w:beforeAutospacing="0" w:after="0" w:afterAutospacing="0"/>
                    <w:ind w:left="0" w:right="0"/>
                    <w:jc w:val="center"/>
                    <w:rPr>
                      <w:rFonts w:hint="eastAsia" w:ascii="Times New Roman" w:hAnsi="Times New Roman" w:eastAsia="宋体" w:cs="Times New Roman"/>
                      <w:b/>
                      <w:bCs/>
                      <w:color w:val="auto"/>
                      <w:kern w:val="0"/>
                      <w:szCs w:val="21"/>
                      <w:vertAlign w:val="baseline"/>
                      <w:lang w:val="en-US" w:eastAsia="zh-CN"/>
                    </w:rPr>
                  </w:pPr>
                  <w:r>
                    <w:rPr>
                      <w:rFonts w:hint="eastAsia" w:ascii="Times New Roman" w:hAnsi="Times New Roman" w:cs="Times New Roman"/>
                      <w:b/>
                      <w:bCs/>
                      <w:color w:val="auto"/>
                      <w:kern w:val="0"/>
                      <w:szCs w:val="21"/>
                      <w:vertAlign w:val="baseline"/>
                      <w:lang w:val="en-US" w:eastAsia="zh-CN"/>
                    </w:rPr>
                    <w:t>序号</w:t>
                  </w:r>
                </w:p>
              </w:tc>
              <w:tc>
                <w:tcPr>
                  <w:tcW w:w="2966" w:type="dxa"/>
                  <w:noWrap w:val="0"/>
                  <w:vAlign w:val="top"/>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bCs/>
                      <w:color w:val="auto"/>
                      <w:kern w:val="0"/>
                      <w:szCs w:val="21"/>
                      <w:vertAlign w:val="baseline"/>
                      <w:lang w:val="en-US" w:eastAsia="zh-CN"/>
                    </w:rPr>
                  </w:pPr>
                  <w:r>
                    <w:rPr>
                      <w:rFonts w:hint="eastAsia" w:ascii="Times New Roman" w:hAnsi="Times New Roman" w:cs="Times New Roman"/>
                      <w:b/>
                      <w:bCs/>
                      <w:color w:val="auto"/>
                      <w:kern w:val="0"/>
                      <w:szCs w:val="21"/>
                      <w:vertAlign w:val="baseline"/>
                      <w:lang w:val="en-US" w:eastAsia="zh-CN"/>
                    </w:rPr>
                    <w:t>文件要求</w:t>
                  </w:r>
                </w:p>
              </w:tc>
              <w:tc>
                <w:tcPr>
                  <w:tcW w:w="2534" w:type="dxa"/>
                  <w:noWrap w:val="0"/>
                  <w:vAlign w:val="top"/>
                </w:tcPr>
                <w:p>
                  <w:pPr>
                    <w:keepNext w:val="0"/>
                    <w:keepLines w:val="0"/>
                    <w:suppressLineNumbers w:val="0"/>
                    <w:autoSpaceDE w:val="0"/>
                    <w:autoSpaceDN w:val="0"/>
                    <w:adjustRightInd w:val="0"/>
                    <w:snapToGrid w:val="0"/>
                    <w:spacing w:before="0" w:beforeAutospacing="0" w:after="0" w:afterAutospacing="0"/>
                    <w:ind w:left="0" w:right="0"/>
                    <w:jc w:val="center"/>
                    <w:rPr>
                      <w:rFonts w:hint="eastAsia" w:ascii="Times New Roman" w:hAnsi="Times New Roman" w:eastAsia="宋体" w:cs="Times New Roman"/>
                      <w:b/>
                      <w:bCs/>
                      <w:color w:val="auto"/>
                      <w:kern w:val="0"/>
                      <w:szCs w:val="21"/>
                      <w:vertAlign w:val="baseline"/>
                      <w:lang w:val="en-US" w:eastAsia="zh-CN"/>
                    </w:rPr>
                  </w:pPr>
                  <w:r>
                    <w:rPr>
                      <w:rFonts w:hint="eastAsia" w:ascii="Times New Roman" w:hAnsi="Times New Roman" w:cs="Times New Roman"/>
                      <w:b/>
                      <w:bCs/>
                      <w:color w:val="auto"/>
                      <w:kern w:val="0"/>
                      <w:szCs w:val="21"/>
                      <w:vertAlign w:val="baseline"/>
                      <w:lang w:val="en-US" w:eastAsia="zh-CN"/>
                    </w:rPr>
                    <w:t>本项目情况</w:t>
                  </w:r>
                </w:p>
              </w:tc>
              <w:tc>
                <w:tcPr>
                  <w:tcW w:w="1215" w:type="dxa"/>
                  <w:noWrap w:val="0"/>
                  <w:vAlign w:val="top"/>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bCs/>
                      <w:color w:val="auto"/>
                      <w:kern w:val="0"/>
                      <w:szCs w:val="21"/>
                      <w:vertAlign w:val="baseline"/>
                      <w:lang w:val="en-US" w:eastAsia="zh-CN"/>
                    </w:rPr>
                  </w:pPr>
                  <w:r>
                    <w:rPr>
                      <w:rFonts w:hint="eastAsia" w:ascii="Times New Roman" w:hAnsi="Times New Roman" w:cs="Times New Roman"/>
                      <w:b/>
                      <w:bCs/>
                      <w:color w:val="auto"/>
                      <w:kern w:val="0"/>
                      <w:szCs w:val="21"/>
                      <w:vertAlign w:val="baseline"/>
                      <w:lang w:val="en-US" w:eastAsia="zh-CN"/>
                    </w:rPr>
                    <w:t>是否附合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78" w:type="dxa"/>
                  <w:vMerge w:val="restart"/>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eastAsia" w:ascii="Times New Roman" w:hAnsi="Times New Roman" w:cs="Times New Roman"/>
                      <w:color w:val="auto"/>
                      <w:kern w:val="0"/>
                      <w:szCs w:val="21"/>
                      <w:vertAlign w:val="baseline"/>
                      <w:lang w:val="en-US" w:eastAsia="zh-CN"/>
                    </w:rPr>
                  </w:pPr>
                  <w:r>
                    <w:rPr>
                      <w:rFonts w:hint="eastAsia" w:ascii="Times New Roman" w:hAnsi="Times New Roman" w:cs="Times New Roman"/>
                      <w:color w:val="auto"/>
                      <w:kern w:val="0"/>
                      <w:szCs w:val="21"/>
                      <w:vertAlign w:val="baseline"/>
                      <w:lang w:val="en-US" w:eastAsia="zh-CN"/>
                    </w:rPr>
                    <w:t>禁止</w:t>
                  </w:r>
                </w:p>
                <w:p>
                  <w:pPr>
                    <w:keepNext w:val="0"/>
                    <w:keepLines w:val="0"/>
                    <w:suppressLineNumbers w:val="0"/>
                    <w:autoSpaceDE w:val="0"/>
                    <w:autoSpaceDN w:val="0"/>
                    <w:adjustRightInd w:val="0"/>
                    <w:snapToGrid w:val="0"/>
                    <w:spacing w:before="0" w:beforeAutospacing="0" w:after="0" w:afterAutospacing="0"/>
                    <w:ind w:left="0" w:right="0"/>
                    <w:jc w:val="center"/>
                    <w:rPr>
                      <w:rFonts w:hint="eastAsia" w:ascii="Times New Roman" w:hAnsi="Times New Roman" w:cs="Times New Roman"/>
                      <w:color w:val="auto"/>
                      <w:kern w:val="0"/>
                      <w:szCs w:val="21"/>
                      <w:vertAlign w:val="baseline"/>
                      <w:lang w:val="en-US" w:eastAsia="zh-CN"/>
                    </w:rPr>
                  </w:pPr>
                  <w:r>
                    <w:rPr>
                      <w:rFonts w:hint="eastAsia" w:ascii="Times New Roman" w:hAnsi="Times New Roman" w:cs="Times New Roman"/>
                      <w:color w:val="auto"/>
                      <w:kern w:val="0"/>
                      <w:szCs w:val="21"/>
                      <w:vertAlign w:val="baseline"/>
                      <w:lang w:val="en-US" w:eastAsia="zh-CN"/>
                    </w:rPr>
                    <w:t>的矿</w:t>
                  </w:r>
                </w:p>
                <w:p>
                  <w:pPr>
                    <w:keepNext w:val="0"/>
                    <w:keepLines w:val="0"/>
                    <w:suppressLineNumbers w:val="0"/>
                    <w:autoSpaceDE w:val="0"/>
                    <w:autoSpaceDN w:val="0"/>
                    <w:adjustRightInd w:val="0"/>
                    <w:snapToGrid w:val="0"/>
                    <w:spacing w:before="0" w:beforeAutospacing="0" w:after="0" w:afterAutospacing="0"/>
                    <w:ind w:left="0" w:right="0"/>
                    <w:jc w:val="center"/>
                    <w:rPr>
                      <w:rFonts w:hint="eastAsia" w:ascii="Times New Roman" w:hAnsi="Times New Roman" w:cs="Times New Roman"/>
                      <w:color w:val="auto"/>
                      <w:kern w:val="0"/>
                      <w:szCs w:val="21"/>
                      <w:vertAlign w:val="baseline"/>
                      <w:lang w:val="en-US" w:eastAsia="zh-CN"/>
                    </w:rPr>
                  </w:pPr>
                  <w:r>
                    <w:rPr>
                      <w:rFonts w:hint="eastAsia" w:ascii="Times New Roman" w:hAnsi="Times New Roman" w:cs="Times New Roman"/>
                      <w:color w:val="auto"/>
                      <w:kern w:val="0"/>
                      <w:szCs w:val="21"/>
                      <w:vertAlign w:val="baseline"/>
                      <w:lang w:val="en-US" w:eastAsia="zh-CN"/>
                    </w:rPr>
                    <w:t>产资</w:t>
                  </w:r>
                </w:p>
                <w:p>
                  <w:pPr>
                    <w:keepNext w:val="0"/>
                    <w:keepLines w:val="0"/>
                    <w:suppressLineNumbers w:val="0"/>
                    <w:autoSpaceDE w:val="0"/>
                    <w:autoSpaceDN w:val="0"/>
                    <w:adjustRightInd w:val="0"/>
                    <w:snapToGrid w:val="0"/>
                    <w:spacing w:before="0" w:beforeAutospacing="0" w:after="0" w:afterAutospacing="0"/>
                    <w:ind w:left="0" w:right="0"/>
                    <w:jc w:val="center"/>
                    <w:rPr>
                      <w:rFonts w:hint="eastAsia" w:ascii="Times New Roman" w:hAnsi="Times New Roman" w:cs="Times New Roman"/>
                      <w:color w:val="auto"/>
                      <w:kern w:val="0"/>
                      <w:szCs w:val="21"/>
                      <w:vertAlign w:val="baseline"/>
                      <w:lang w:val="en-US" w:eastAsia="zh-CN"/>
                    </w:rPr>
                  </w:pPr>
                  <w:r>
                    <w:rPr>
                      <w:rFonts w:hint="eastAsia" w:ascii="Times New Roman" w:hAnsi="Times New Roman" w:cs="Times New Roman"/>
                      <w:color w:val="auto"/>
                      <w:kern w:val="0"/>
                      <w:szCs w:val="21"/>
                      <w:vertAlign w:val="baseline"/>
                      <w:lang w:val="en-US" w:eastAsia="zh-CN"/>
                    </w:rPr>
                    <w:t>源开</w:t>
                  </w:r>
                </w:p>
                <w:p>
                  <w:pPr>
                    <w:keepNext w:val="0"/>
                    <w:keepLines w:val="0"/>
                    <w:suppressLineNumbers w:val="0"/>
                    <w:autoSpaceDE w:val="0"/>
                    <w:autoSpaceDN w:val="0"/>
                    <w:adjustRightInd w:val="0"/>
                    <w:snapToGrid w:val="0"/>
                    <w:spacing w:before="0" w:beforeAutospacing="0" w:after="0" w:afterAutospacing="0"/>
                    <w:ind w:left="0" w:right="0"/>
                    <w:jc w:val="center"/>
                    <w:rPr>
                      <w:rFonts w:hint="eastAsia" w:ascii="Times New Roman" w:hAnsi="Times New Roman" w:cs="Times New Roman"/>
                      <w:color w:val="auto"/>
                      <w:kern w:val="0"/>
                      <w:szCs w:val="21"/>
                      <w:vertAlign w:val="baseline"/>
                      <w:lang w:val="en-US" w:eastAsia="zh-CN"/>
                    </w:rPr>
                  </w:pPr>
                  <w:r>
                    <w:rPr>
                      <w:rFonts w:hint="eastAsia" w:ascii="Times New Roman" w:hAnsi="Times New Roman" w:cs="Times New Roman"/>
                      <w:color w:val="auto"/>
                      <w:kern w:val="0"/>
                      <w:szCs w:val="21"/>
                      <w:vertAlign w:val="baseline"/>
                      <w:lang w:val="en-US" w:eastAsia="zh-CN"/>
                    </w:rPr>
                    <w:t>发活</w:t>
                  </w:r>
                </w:p>
                <w:p>
                  <w:pPr>
                    <w:keepNext w:val="0"/>
                    <w:keepLines w:val="0"/>
                    <w:suppressLineNumbers w:val="0"/>
                    <w:autoSpaceDE w:val="0"/>
                    <w:autoSpaceDN w:val="0"/>
                    <w:adjustRightInd w:val="0"/>
                    <w:snapToGrid w:val="0"/>
                    <w:spacing w:before="0" w:beforeAutospacing="0" w:after="0" w:afterAutospacing="0"/>
                    <w:ind w:left="0" w:right="0"/>
                    <w:jc w:val="center"/>
                    <w:rPr>
                      <w:rFonts w:hint="eastAsia" w:ascii="Times New Roman" w:hAnsi="Times New Roman" w:eastAsia="宋体" w:cs="Times New Roman"/>
                      <w:color w:val="auto"/>
                      <w:kern w:val="0"/>
                      <w:szCs w:val="21"/>
                      <w:vertAlign w:val="baseline"/>
                      <w:lang w:val="en-US" w:eastAsia="zh-CN"/>
                    </w:rPr>
                  </w:pPr>
                  <w:r>
                    <w:rPr>
                      <w:rFonts w:hint="eastAsia" w:ascii="Times New Roman" w:hAnsi="Times New Roman" w:cs="Times New Roman"/>
                      <w:color w:val="auto"/>
                      <w:kern w:val="0"/>
                      <w:szCs w:val="21"/>
                      <w:vertAlign w:val="baseline"/>
                      <w:lang w:val="en-US" w:eastAsia="zh-CN"/>
                    </w:rPr>
                    <w:t>动</w:t>
                  </w:r>
                </w:p>
              </w:tc>
              <w:tc>
                <w:tcPr>
                  <w:tcW w:w="2966"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both"/>
                    <w:rPr>
                      <w:rFonts w:hint="default" w:ascii="Times New Roman" w:hAnsi="Times New Roman" w:cs="Times New Roman"/>
                      <w:color w:val="auto"/>
                      <w:kern w:val="0"/>
                      <w:szCs w:val="21"/>
                      <w:vertAlign w:val="baseline"/>
                    </w:rPr>
                  </w:pPr>
                  <w:r>
                    <w:rPr>
                      <w:rFonts w:hint="default" w:ascii="Times New Roman" w:hAnsi="Times New Roman" w:cs="Times New Roman"/>
                      <w:color w:val="auto"/>
                      <w:kern w:val="0"/>
                      <w:szCs w:val="21"/>
                      <w:vertAlign w:val="baseline"/>
                    </w:rPr>
                    <w:t>禁止在依法划定的自然保护区(核心区、缓冲区)、风景名胜区、森林公园、饮用水水源保护区、重要湖泊周边、文物古迹所在地、地质遗迹保护区、基本农田保护区等区域内采矿</w:t>
                  </w:r>
                </w:p>
              </w:tc>
              <w:tc>
                <w:tcPr>
                  <w:tcW w:w="2534"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color w:val="000000" w:themeColor="text1"/>
                      <w:kern w:val="0"/>
                      <w:szCs w:val="21"/>
                      <w:vertAlign w:val="baseline"/>
                      <w:lang w:val="en-US" w:eastAsia="zh-CN"/>
                      <w14:textFill>
                        <w14:solidFill>
                          <w14:schemeClr w14:val="tx1"/>
                        </w14:solidFill>
                      </w14:textFill>
                    </w:rPr>
                  </w:pPr>
                  <w:r>
                    <w:rPr>
                      <w:rFonts w:hint="default" w:ascii="Times New Roman" w:hAnsi="Times New Roman" w:eastAsia="宋体" w:cs="Times New Roman"/>
                      <w:color w:val="000000" w:themeColor="text1"/>
                      <w:kern w:val="0"/>
                      <w:szCs w:val="21"/>
                      <w:vertAlign w:val="baseline"/>
                      <w:lang w:val="en-US" w:eastAsia="zh-CN"/>
                      <w14:textFill>
                        <w14:solidFill>
                          <w14:schemeClr w14:val="tx1"/>
                        </w14:solidFill>
                      </w14:textFill>
                    </w:rPr>
                    <w:t>本项目矿界不在上</w:t>
                  </w:r>
                </w:p>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color w:val="000000" w:themeColor="text1"/>
                      <w:kern w:val="0"/>
                      <w:szCs w:val="21"/>
                      <w:vertAlign w:val="baseline"/>
                      <w:lang w:val="en-US" w:eastAsia="zh-CN"/>
                      <w14:textFill>
                        <w14:solidFill>
                          <w14:schemeClr w14:val="tx1"/>
                        </w14:solidFill>
                      </w14:textFill>
                    </w:rPr>
                  </w:pPr>
                  <w:r>
                    <w:rPr>
                      <w:rFonts w:hint="default" w:ascii="Times New Roman" w:hAnsi="Times New Roman" w:eastAsia="宋体" w:cs="Times New Roman"/>
                      <w:color w:val="000000" w:themeColor="text1"/>
                      <w:kern w:val="0"/>
                      <w:szCs w:val="21"/>
                      <w:vertAlign w:val="baseline"/>
                      <w:lang w:val="en-US" w:eastAsia="zh-CN"/>
                      <w14:textFill>
                        <w14:solidFill>
                          <w14:schemeClr w14:val="tx1"/>
                        </w14:solidFill>
                      </w14:textFill>
                    </w:rPr>
                    <w:t>述敏感区域范围内。</w:t>
                  </w:r>
                </w:p>
              </w:tc>
              <w:tc>
                <w:tcPr>
                  <w:tcW w:w="1215"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color w:val="000000" w:themeColor="text1"/>
                      <w:kern w:val="0"/>
                      <w:szCs w:val="21"/>
                      <w:vertAlign w:val="baseline"/>
                      <w:lang w:val="en-US" w:eastAsia="zh-CN"/>
                      <w14:textFill>
                        <w14:solidFill>
                          <w14:schemeClr w14:val="tx1"/>
                        </w14:solidFill>
                      </w14:textFill>
                    </w:rPr>
                  </w:pPr>
                  <w:r>
                    <w:rPr>
                      <w:rFonts w:hint="eastAsia" w:ascii="Calibri" w:hAnsi="Calibri" w:cs="Times New Roman"/>
                      <w:color w:val="000000" w:themeColor="text1"/>
                      <w:kern w:val="0"/>
                      <w:szCs w:val="21"/>
                      <w:vertAlign w:val="baseline"/>
                      <w:lang w:val="en-US" w:eastAsia="zh-CN"/>
                      <w14:textFill>
                        <w14:solidFill>
                          <w14:schemeClr w14:val="tx1"/>
                        </w14:solidFill>
                      </w14:textFill>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78" w:type="dxa"/>
                  <w:vMerge w:val="continue"/>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eastAsia" w:ascii="Times New Roman" w:hAnsi="Times New Roman" w:eastAsia="宋体" w:cs="Times New Roman"/>
                      <w:color w:val="auto"/>
                      <w:kern w:val="0"/>
                      <w:szCs w:val="21"/>
                      <w:vertAlign w:val="baseline"/>
                      <w:lang w:val="en-US" w:eastAsia="zh-CN"/>
                    </w:rPr>
                  </w:pPr>
                </w:p>
              </w:tc>
              <w:tc>
                <w:tcPr>
                  <w:tcW w:w="2966"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left"/>
                    <w:rPr>
                      <w:rFonts w:hint="default" w:ascii="Times New Roman" w:hAnsi="Times New Roman" w:cs="Times New Roman"/>
                      <w:color w:val="auto"/>
                      <w:kern w:val="0"/>
                      <w:szCs w:val="21"/>
                      <w:vertAlign w:val="baseline"/>
                    </w:rPr>
                  </w:pPr>
                  <w:r>
                    <w:rPr>
                      <w:rFonts w:hint="default" w:ascii="Times New Roman" w:hAnsi="Times New Roman" w:cs="Times New Roman"/>
                      <w:color w:val="auto"/>
                      <w:kern w:val="0"/>
                      <w:szCs w:val="21"/>
                      <w:vertAlign w:val="baseline"/>
                    </w:rPr>
                    <w:t>禁止在铁路、国道、省道两侧的直观可视范围内进行露天开采。</w:t>
                  </w:r>
                </w:p>
              </w:tc>
              <w:tc>
                <w:tcPr>
                  <w:tcW w:w="2534"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eastAsia" w:ascii="Times New Roman" w:hAnsi="Times New Roman" w:eastAsia="宋体" w:cs="Times New Roman"/>
                      <w:color w:val="000000" w:themeColor="text1"/>
                      <w:kern w:val="0"/>
                      <w:szCs w:val="21"/>
                      <w:vertAlign w:val="baseline"/>
                      <w:lang w:val="en-US" w:eastAsia="zh-CN"/>
                      <w14:textFill>
                        <w14:solidFill>
                          <w14:schemeClr w14:val="tx1"/>
                        </w14:solidFill>
                      </w14:textFill>
                    </w:rPr>
                  </w:pPr>
                  <w:r>
                    <w:rPr>
                      <w:rFonts w:hint="eastAsia" w:ascii="Times New Roman" w:hAnsi="Times New Roman" w:eastAsia="宋体" w:cs="Times New Roman"/>
                      <w:color w:val="000000" w:themeColor="text1"/>
                      <w:kern w:val="0"/>
                      <w:szCs w:val="21"/>
                      <w:vertAlign w:val="baseline"/>
                      <w:lang w:val="en-US" w:eastAsia="zh-CN"/>
                      <w14:textFill>
                        <w14:solidFill>
                          <w14:schemeClr w14:val="tx1"/>
                        </w14:solidFill>
                      </w14:textFill>
                    </w:rPr>
                    <w:t>本项目不在铁路、国道</w:t>
                  </w:r>
                  <w:r>
                    <w:rPr>
                      <w:rFonts w:hint="eastAsia" w:ascii="Calibri" w:hAnsi="Calibri" w:cs="Times New Roman"/>
                      <w:color w:val="000000" w:themeColor="text1"/>
                      <w:kern w:val="0"/>
                      <w:szCs w:val="21"/>
                      <w:vertAlign w:val="baseline"/>
                      <w:lang w:val="en-US" w:eastAsia="zh-CN"/>
                      <w14:textFill>
                        <w14:solidFill>
                          <w14:schemeClr w14:val="tx1"/>
                        </w14:solidFill>
                      </w14:textFill>
                    </w:rPr>
                    <w:t>、</w:t>
                  </w:r>
                  <w:r>
                    <w:rPr>
                      <w:rFonts w:hint="eastAsia" w:ascii="Times New Roman" w:hAnsi="Times New Roman" w:eastAsia="宋体" w:cs="Times New Roman"/>
                      <w:color w:val="000000" w:themeColor="text1"/>
                      <w:kern w:val="0"/>
                      <w:szCs w:val="21"/>
                      <w:vertAlign w:val="baseline"/>
                      <w:lang w:val="en-US" w:eastAsia="zh-CN"/>
                      <w14:textFill>
                        <w14:solidFill>
                          <w14:schemeClr w14:val="tx1"/>
                        </w14:solidFill>
                      </w14:textFill>
                    </w:rPr>
                    <w:t>省道的直观可视范围内。</w:t>
                  </w:r>
                </w:p>
              </w:tc>
              <w:tc>
                <w:tcPr>
                  <w:tcW w:w="1215"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000000" w:themeColor="text1"/>
                      <w:kern w:val="0"/>
                      <w:szCs w:val="21"/>
                      <w:vertAlign w:val="baseline"/>
                      <w14:textFill>
                        <w14:solidFill>
                          <w14:schemeClr w14:val="tx1"/>
                        </w14:solidFill>
                      </w14:textFill>
                    </w:rPr>
                  </w:pPr>
                  <w:r>
                    <w:rPr>
                      <w:rFonts w:hint="eastAsia" w:ascii="Calibri" w:hAnsi="Calibri" w:cs="Times New Roman"/>
                      <w:color w:val="000000" w:themeColor="text1"/>
                      <w:kern w:val="0"/>
                      <w:szCs w:val="21"/>
                      <w:vertAlign w:val="baseline"/>
                      <w:lang w:val="en-US" w:eastAsia="zh-CN"/>
                      <w14:textFill>
                        <w14:solidFill>
                          <w14:schemeClr w14:val="tx1"/>
                        </w14:solidFill>
                      </w14:textFill>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78" w:type="dxa"/>
                  <w:vMerge w:val="continue"/>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eastAsia" w:ascii="Times New Roman" w:hAnsi="Times New Roman" w:eastAsia="宋体" w:cs="Times New Roman"/>
                      <w:color w:val="auto"/>
                      <w:kern w:val="0"/>
                      <w:szCs w:val="21"/>
                      <w:vertAlign w:val="baseline"/>
                      <w:lang w:val="en-US" w:eastAsia="zh-CN"/>
                    </w:rPr>
                  </w:pPr>
                </w:p>
              </w:tc>
              <w:tc>
                <w:tcPr>
                  <w:tcW w:w="2966"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left"/>
                    <w:rPr>
                      <w:rFonts w:hint="default" w:ascii="Times New Roman" w:hAnsi="Times New Roman" w:cs="Times New Roman"/>
                      <w:color w:val="auto"/>
                      <w:kern w:val="0"/>
                      <w:szCs w:val="21"/>
                      <w:vertAlign w:val="baseline"/>
                    </w:rPr>
                  </w:pPr>
                  <w:r>
                    <w:rPr>
                      <w:rFonts w:hint="default" w:ascii="Times New Roman" w:hAnsi="Times New Roman" w:cs="Times New Roman"/>
                      <w:color w:val="auto"/>
                      <w:kern w:val="0"/>
                      <w:szCs w:val="21"/>
                      <w:vertAlign w:val="baseline"/>
                    </w:rPr>
                    <w:t>禁止在地质灾害危险区开采矿产资源</w:t>
                  </w:r>
                </w:p>
              </w:tc>
              <w:tc>
                <w:tcPr>
                  <w:tcW w:w="2534"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eastAsia" w:ascii="Times New Roman" w:hAnsi="Times New Roman" w:eastAsia="宋体" w:cs="Times New Roman"/>
                      <w:color w:val="000000" w:themeColor="text1"/>
                      <w:kern w:val="0"/>
                      <w:szCs w:val="21"/>
                      <w:vertAlign w:val="baseline"/>
                      <w:lang w:val="en-US" w:eastAsia="zh-CN"/>
                      <w14:textFill>
                        <w14:solidFill>
                          <w14:schemeClr w14:val="tx1"/>
                        </w14:solidFill>
                      </w14:textFill>
                    </w:rPr>
                  </w:pPr>
                  <w:r>
                    <w:rPr>
                      <w:rFonts w:hint="eastAsia" w:ascii="Times New Roman" w:hAnsi="Times New Roman" w:eastAsia="宋体" w:cs="Times New Roman"/>
                      <w:color w:val="000000" w:themeColor="text1"/>
                      <w:kern w:val="0"/>
                      <w:szCs w:val="21"/>
                      <w:vertAlign w:val="baseline"/>
                      <w:lang w:val="en-US" w:eastAsia="zh-CN"/>
                      <w14:textFill>
                        <w14:solidFill>
                          <w14:schemeClr w14:val="tx1"/>
                        </w14:solidFill>
                      </w14:textFill>
                    </w:rPr>
                    <w:t>矿山不属于地质灾害危险区</w:t>
                  </w:r>
                </w:p>
              </w:tc>
              <w:tc>
                <w:tcPr>
                  <w:tcW w:w="1215"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000000" w:themeColor="text1"/>
                      <w:kern w:val="0"/>
                      <w:szCs w:val="21"/>
                      <w:vertAlign w:val="baseline"/>
                      <w14:textFill>
                        <w14:solidFill>
                          <w14:schemeClr w14:val="tx1"/>
                        </w14:solidFill>
                      </w14:textFill>
                    </w:rPr>
                  </w:pPr>
                  <w:r>
                    <w:rPr>
                      <w:rFonts w:hint="eastAsia" w:ascii="Calibri" w:hAnsi="Calibri" w:cs="Times New Roman"/>
                      <w:color w:val="000000" w:themeColor="text1"/>
                      <w:kern w:val="0"/>
                      <w:szCs w:val="21"/>
                      <w:vertAlign w:val="baseline"/>
                      <w:lang w:val="en-US" w:eastAsia="zh-CN"/>
                      <w14:textFill>
                        <w14:solidFill>
                          <w14:schemeClr w14:val="tx1"/>
                        </w14:solidFill>
                      </w14:textFill>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78" w:type="dxa"/>
                  <w:vMerge w:val="continue"/>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kern w:val="0"/>
                      <w:szCs w:val="21"/>
                      <w:vertAlign w:val="baseline"/>
                      <w:lang w:val="en-US" w:eastAsia="zh-CN"/>
                    </w:rPr>
                  </w:pPr>
                </w:p>
              </w:tc>
              <w:tc>
                <w:tcPr>
                  <w:tcW w:w="2966"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left"/>
                    <w:rPr>
                      <w:rFonts w:hint="default" w:ascii="Times New Roman" w:hAnsi="Times New Roman" w:cs="Times New Roman"/>
                      <w:color w:val="auto"/>
                      <w:kern w:val="0"/>
                      <w:szCs w:val="21"/>
                      <w:vertAlign w:val="baseline"/>
                    </w:rPr>
                  </w:pPr>
                  <w:r>
                    <w:rPr>
                      <w:rFonts w:hint="default" w:ascii="Times New Roman" w:hAnsi="Times New Roman" w:cs="Times New Roman"/>
                      <w:color w:val="auto"/>
                      <w:kern w:val="0"/>
                      <w:szCs w:val="21"/>
                      <w:vertAlign w:val="baseline"/>
                    </w:rPr>
                    <w:t>禁止土法采、选冶金矿和土法冶炼汞、砷、铅、锌、焦、硫、钒等矿产资源开发活动</w:t>
                  </w:r>
                </w:p>
              </w:tc>
              <w:tc>
                <w:tcPr>
                  <w:tcW w:w="2534"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eastAsia" w:ascii="Times New Roman" w:hAnsi="Times New Roman" w:cs="Times New Roman"/>
                      <w:color w:val="000000" w:themeColor="text1"/>
                      <w:kern w:val="0"/>
                      <w:szCs w:val="21"/>
                      <w:u w:val="none"/>
                      <w:vertAlign w:val="baseline"/>
                      <w:lang w:val="en-US" w:eastAsia="zh-CN"/>
                      <w14:textFill>
                        <w14:solidFill>
                          <w14:schemeClr w14:val="tx1"/>
                        </w14:solidFill>
                      </w14:textFill>
                    </w:rPr>
                  </w:pPr>
                  <w:r>
                    <w:rPr>
                      <w:rFonts w:hint="eastAsia" w:ascii="Times New Roman" w:hAnsi="Times New Roman" w:cs="Times New Roman"/>
                      <w:color w:val="000000" w:themeColor="text1"/>
                      <w:kern w:val="0"/>
                      <w:szCs w:val="21"/>
                      <w:u w:val="none"/>
                      <w:vertAlign w:val="baseline"/>
                      <w:lang w:val="en-US" w:eastAsia="zh-CN"/>
                      <w14:textFill>
                        <w14:solidFill>
                          <w14:schemeClr w14:val="tx1"/>
                        </w14:solidFill>
                      </w14:textFill>
                    </w:rPr>
                    <w:t>本项目为非金属采矿</w:t>
                  </w:r>
                </w:p>
              </w:tc>
              <w:tc>
                <w:tcPr>
                  <w:tcW w:w="1215"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eastAsia" w:ascii="Times New Roman" w:hAnsi="Times New Roman" w:cs="Times New Roman"/>
                      <w:color w:val="000000" w:themeColor="text1"/>
                      <w:kern w:val="0"/>
                      <w:szCs w:val="21"/>
                      <w:vertAlign w:val="baseline"/>
                      <w:lang w:val="en-US" w:eastAsia="zh-CN"/>
                      <w14:textFill>
                        <w14:solidFill>
                          <w14:schemeClr w14:val="tx1"/>
                        </w14:solidFill>
                      </w14:textFill>
                    </w:rPr>
                  </w:pPr>
                  <w:r>
                    <w:rPr>
                      <w:rFonts w:hint="eastAsia" w:ascii="Calibri" w:hAnsi="Calibri" w:cs="Times New Roman"/>
                      <w:color w:val="000000" w:themeColor="text1"/>
                      <w:kern w:val="0"/>
                      <w:szCs w:val="21"/>
                      <w:vertAlign w:val="baseline"/>
                      <w:lang w:val="en-US" w:eastAsia="zh-CN"/>
                      <w14:textFill>
                        <w14:solidFill>
                          <w14:schemeClr w14:val="tx1"/>
                        </w14:solidFill>
                      </w14:textFill>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78" w:type="dxa"/>
                  <w:vMerge w:val="continue"/>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Calibri" w:hAnsi="Calibri" w:cs="Times New Roman"/>
                      <w:color w:val="auto"/>
                      <w:kern w:val="0"/>
                      <w:szCs w:val="21"/>
                      <w:vertAlign w:val="baseline"/>
                      <w:lang w:val="en-US" w:eastAsia="zh-CN"/>
                    </w:rPr>
                  </w:pPr>
                </w:p>
              </w:tc>
              <w:tc>
                <w:tcPr>
                  <w:tcW w:w="2966"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left"/>
                    <w:rPr>
                      <w:rFonts w:hint="default" w:ascii="Times New Roman" w:hAnsi="Times New Roman" w:cs="Times New Roman"/>
                      <w:color w:val="auto"/>
                      <w:kern w:val="0"/>
                      <w:szCs w:val="21"/>
                      <w:vertAlign w:val="baseline"/>
                    </w:rPr>
                  </w:pPr>
                  <w:r>
                    <w:rPr>
                      <w:rFonts w:hint="default" w:ascii="Times New Roman" w:hAnsi="Times New Roman" w:cs="Times New Roman"/>
                      <w:color w:val="auto"/>
                      <w:kern w:val="0"/>
                      <w:szCs w:val="21"/>
                      <w:vertAlign w:val="baseline"/>
                    </w:rPr>
                    <w:t>禁止新建对生态环境产生不可恢复利用的、产生破坏性影响的矿产资源开发项目</w:t>
                  </w:r>
                </w:p>
              </w:tc>
              <w:tc>
                <w:tcPr>
                  <w:tcW w:w="2534"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eastAsia" w:ascii="Times New Roman" w:hAnsi="Times New Roman" w:cs="Times New Roman"/>
                      <w:color w:val="000000" w:themeColor="text1"/>
                      <w:kern w:val="0"/>
                      <w:szCs w:val="21"/>
                      <w:u w:val="none"/>
                      <w:vertAlign w:val="baseline"/>
                      <w:lang w:val="en-US" w:eastAsia="zh-CN"/>
                      <w14:textFill>
                        <w14:solidFill>
                          <w14:schemeClr w14:val="tx1"/>
                        </w14:solidFill>
                      </w14:textFill>
                    </w:rPr>
                  </w:pPr>
                  <w:r>
                    <w:rPr>
                      <w:rFonts w:hint="eastAsia" w:ascii="Times New Roman" w:hAnsi="Times New Roman" w:cs="Times New Roman"/>
                      <w:color w:val="000000" w:themeColor="text1"/>
                      <w:kern w:val="0"/>
                      <w:szCs w:val="21"/>
                      <w:u w:val="none"/>
                      <w:vertAlign w:val="baseline"/>
                      <w:lang w:val="en-US" w:eastAsia="zh-CN"/>
                      <w14:textFill>
                        <w14:solidFill>
                          <w14:schemeClr w14:val="tx1"/>
                        </w14:solidFill>
                      </w14:textFill>
                    </w:rPr>
                    <w:t>本项目实施生态恢复方案，对环境的影响在可控范围内</w:t>
                  </w:r>
                </w:p>
              </w:tc>
              <w:tc>
                <w:tcPr>
                  <w:tcW w:w="1215"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eastAsia" w:ascii="Times New Roman" w:hAnsi="Times New Roman" w:cs="Times New Roman"/>
                      <w:color w:val="000000" w:themeColor="text1"/>
                      <w:kern w:val="0"/>
                      <w:szCs w:val="21"/>
                      <w:vertAlign w:val="baseline"/>
                      <w:lang w:val="en-US" w:eastAsia="zh-CN"/>
                      <w14:textFill>
                        <w14:solidFill>
                          <w14:schemeClr w14:val="tx1"/>
                        </w14:solidFill>
                      </w14:textFill>
                    </w:rPr>
                  </w:pPr>
                  <w:r>
                    <w:rPr>
                      <w:rFonts w:hint="eastAsia" w:ascii="Calibri" w:hAnsi="Calibri" w:cs="Times New Roman"/>
                      <w:color w:val="000000" w:themeColor="text1"/>
                      <w:kern w:val="0"/>
                      <w:szCs w:val="21"/>
                      <w:vertAlign w:val="baseline"/>
                      <w:lang w:val="en-US" w:eastAsia="zh-CN"/>
                      <w14:textFill>
                        <w14:solidFill>
                          <w14:schemeClr w14:val="tx1"/>
                        </w14:solidFill>
                      </w14:textFill>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78" w:type="dxa"/>
                  <w:vMerge w:val="continue"/>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Calibri" w:hAnsi="Calibri" w:cs="Times New Roman"/>
                      <w:color w:val="auto"/>
                      <w:kern w:val="0"/>
                      <w:szCs w:val="21"/>
                      <w:vertAlign w:val="baseline"/>
                      <w:lang w:val="en-US" w:eastAsia="zh-CN"/>
                    </w:rPr>
                  </w:pPr>
                </w:p>
              </w:tc>
              <w:tc>
                <w:tcPr>
                  <w:tcW w:w="2966"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left"/>
                    <w:rPr>
                      <w:rFonts w:hint="default" w:ascii="Times New Roman" w:hAnsi="Times New Roman" w:cs="Times New Roman"/>
                      <w:color w:val="auto"/>
                      <w:kern w:val="0"/>
                      <w:szCs w:val="21"/>
                      <w:vertAlign w:val="baseline"/>
                    </w:rPr>
                  </w:pPr>
                  <w:r>
                    <w:rPr>
                      <w:rFonts w:hint="default" w:ascii="Times New Roman" w:hAnsi="Times New Roman" w:cs="Times New Roman"/>
                      <w:color w:val="auto"/>
                      <w:kern w:val="0"/>
                      <w:szCs w:val="21"/>
                      <w:vertAlign w:val="baseline"/>
                    </w:rPr>
                    <w:t>禁止新建煤层含硫量大于3%的煤矿</w:t>
                  </w:r>
                </w:p>
              </w:tc>
              <w:tc>
                <w:tcPr>
                  <w:tcW w:w="2534"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eastAsia" w:ascii="Times New Roman" w:hAnsi="Times New Roman" w:cs="Times New Roman"/>
                      <w:color w:val="000000" w:themeColor="text1"/>
                      <w:kern w:val="0"/>
                      <w:szCs w:val="21"/>
                      <w:u w:val="none"/>
                      <w:vertAlign w:val="baseline"/>
                      <w:lang w:val="en-US" w:eastAsia="zh-CN"/>
                      <w14:textFill>
                        <w14:solidFill>
                          <w14:schemeClr w14:val="tx1"/>
                        </w14:solidFill>
                      </w14:textFill>
                    </w:rPr>
                  </w:pPr>
                  <w:r>
                    <w:rPr>
                      <w:rFonts w:hint="eastAsia" w:ascii="Times New Roman" w:hAnsi="Times New Roman" w:cs="Times New Roman"/>
                      <w:color w:val="000000" w:themeColor="text1"/>
                      <w:kern w:val="0"/>
                      <w:szCs w:val="21"/>
                      <w:u w:val="none"/>
                      <w:vertAlign w:val="baseline"/>
                      <w:lang w:val="en-US" w:eastAsia="zh-CN"/>
                      <w14:textFill>
                        <w14:solidFill>
                          <w14:schemeClr w14:val="tx1"/>
                        </w14:solidFill>
                      </w14:textFill>
                    </w:rPr>
                    <w:t>本项目不涉及煤矿的采选</w:t>
                  </w:r>
                </w:p>
              </w:tc>
              <w:tc>
                <w:tcPr>
                  <w:tcW w:w="1215"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eastAsia" w:ascii="Times New Roman" w:hAnsi="Times New Roman" w:cs="Times New Roman"/>
                      <w:color w:val="000000" w:themeColor="text1"/>
                      <w:kern w:val="0"/>
                      <w:szCs w:val="21"/>
                      <w:vertAlign w:val="baseline"/>
                      <w:lang w:val="en-US" w:eastAsia="zh-CN"/>
                      <w14:textFill>
                        <w14:solidFill>
                          <w14:schemeClr w14:val="tx1"/>
                        </w14:solidFill>
                      </w14:textFill>
                    </w:rPr>
                  </w:pPr>
                  <w:r>
                    <w:rPr>
                      <w:rFonts w:hint="eastAsia" w:ascii="Calibri" w:hAnsi="Calibri" w:cs="Times New Roman"/>
                      <w:color w:val="000000" w:themeColor="text1"/>
                      <w:kern w:val="0"/>
                      <w:szCs w:val="21"/>
                      <w:vertAlign w:val="baseline"/>
                      <w:lang w:val="en-US" w:eastAsia="zh-CN"/>
                      <w14:textFill>
                        <w14:solidFill>
                          <w14:schemeClr w14:val="tx1"/>
                        </w14:solidFill>
                      </w14:textFill>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78"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Calibri" w:hAnsi="Calibri" w:cs="Times New Roman"/>
                      <w:color w:val="auto"/>
                      <w:kern w:val="0"/>
                      <w:szCs w:val="21"/>
                      <w:vertAlign w:val="baseline"/>
                      <w:lang w:val="en-US" w:eastAsia="zh-CN"/>
                    </w:rPr>
                  </w:pPr>
                  <w:r>
                    <w:rPr>
                      <w:rFonts w:hint="eastAsia" w:ascii="Calibri" w:hAnsi="Calibri" w:cs="Times New Roman"/>
                      <w:color w:val="auto"/>
                      <w:kern w:val="0"/>
                      <w:szCs w:val="21"/>
                      <w:vertAlign w:val="baseline"/>
                      <w:lang w:val="en-US" w:eastAsia="zh-CN"/>
                    </w:rPr>
                    <w:t>7</w:t>
                  </w:r>
                </w:p>
              </w:tc>
              <w:tc>
                <w:tcPr>
                  <w:tcW w:w="2966"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left"/>
                    <w:rPr>
                      <w:rFonts w:hint="default" w:ascii="Times New Roman" w:hAnsi="Times New Roman" w:cs="Times New Roman"/>
                      <w:color w:val="auto"/>
                      <w:kern w:val="0"/>
                      <w:szCs w:val="21"/>
                      <w:vertAlign w:val="baseline"/>
                    </w:rPr>
                  </w:pPr>
                  <w:r>
                    <w:rPr>
                      <w:rFonts w:hint="default" w:ascii="Times New Roman" w:hAnsi="Times New Roman" w:cs="Times New Roman"/>
                      <w:color w:val="auto"/>
                      <w:kern w:val="0"/>
                      <w:szCs w:val="21"/>
                      <w:vertAlign w:val="baseline"/>
                    </w:rPr>
                    <w:t>限制在生态功能保护区和自然保护区(过渡区)内开采矿产资源</w:t>
                  </w:r>
                </w:p>
              </w:tc>
              <w:tc>
                <w:tcPr>
                  <w:tcW w:w="2534"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eastAsia" w:ascii="Times New Roman" w:hAnsi="Times New Roman" w:cs="Times New Roman"/>
                      <w:color w:val="000000" w:themeColor="text1"/>
                      <w:kern w:val="0"/>
                      <w:szCs w:val="21"/>
                      <w:u w:val="none"/>
                      <w:vertAlign w:val="baseline"/>
                      <w:lang w:val="en-US" w:eastAsia="zh-CN"/>
                      <w14:textFill>
                        <w14:solidFill>
                          <w14:schemeClr w14:val="tx1"/>
                        </w14:solidFill>
                      </w14:textFill>
                    </w:rPr>
                  </w:pPr>
                  <w:r>
                    <w:rPr>
                      <w:rFonts w:hint="eastAsia" w:ascii="Times New Roman" w:hAnsi="Times New Roman" w:cs="Times New Roman"/>
                      <w:color w:val="000000" w:themeColor="text1"/>
                      <w:kern w:val="0"/>
                      <w:szCs w:val="21"/>
                      <w:u w:val="none"/>
                      <w:vertAlign w:val="baseline"/>
                      <w:lang w:val="en-US" w:eastAsia="zh-CN"/>
                      <w14:textFill>
                        <w14:solidFill>
                          <w14:schemeClr w14:val="tx1"/>
                        </w14:solidFill>
                      </w14:textFill>
                    </w:rPr>
                    <w:t>矿区不在生态功能保护区和自然保护区(过渡区)</w:t>
                  </w:r>
                </w:p>
              </w:tc>
              <w:tc>
                <w:tcPr>
                  <w:tcW w:w="1215"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eastAsia" w:ascii="Times New Roman" w:hAnsi="Times New Roman" w:cs="Times New Roman"/>
                      <w:color w:val="000000" w:themeColor="text1"/>
                      <w:kern w:val="0"/>
                      <w:szCs w:val="21"/>
                      <w:vertAlign w:val="baseline"/>
                      <w:lang w:val="en-US" w:eastAsia="zh-CN"/>
                      <w14:textFill>
                        <w14:solidFill>
                          <w14:schemeClr w14:val="tx1"/>
                        </w14:solidFill>
                      </w14:textFill>
                    </w:rPr>
                  </w:pPr>
                  <w:r>
                    <w:rPr>
                      <w:rFonts w:hint="eastAsia" w:ascii="Calibri" w:hAnsi="Calibri" w:cs="Times New Roman"/>
                      <w:color w:val="000000" w:themeColor="text1"/>
                      <w:kern w:val="0"/>
                      <w:szCs w:val="21"/>
                      <w:vertAlign w:val="baseline"/>
                      <w:lang w:val="en-US" w:eastAsia="zh-CN"/>
                      <w14:textFill>
                        <w14:solidFill>
                          <w14:schemeClr w14:val="tx1"/>
                        </w14:solidFill>
                      </w14:textFill>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78"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Calibri" w:hAnsi="Calibri" w:cs="Times New Roman"/>
                      <w:color w:val="auto"/>
                      <w:kern w:val="0"/>
                      <w:szCs w:val="21"/>
                      <w:vertAlign w:val="baseline"/>
                      <w:lang w:val="en-US" w:eastAsia="zh-CN"/>
                    </w:rPr>
                  </w:pPr>
                  <w:r>
                    <w:rPr>
                      <w:rFonts w:hint="eastAsia" w:ascii="Calibri" w:hAnsi="Calibri" w:cs="Times New Roman"/>
                      <w:color w:val="auto"/>
                      <w:kern w:val="0"/>
                      <w:szCs w:val="21"/>
                      <w:vertAlign w:val="baseline"/>
                      <w:lang w:val="en-US" w:eastAsia="zh-CN"/>
                    </w:rPr>
                    <w:t>8</w:t>
                  </w:r>
                </w:p>
              </w:tc>
              <w:tc>
                <w:tcPr>
                  <w:tcW w:w="2966"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left"/>
                    <w:rPr>
                      <w:rFonts w:hint="default" w:ascii="Times New Roman" w:hAnsi="Times New Roman" w:cs="Times New Roman"/>
                      <w:color w:val="auto"/>
                      <w:kern w:val="0"/>
                      <w:szCs w:val="21"/>
                      <w:vertAlign w:val="baseline"/>
                    </w:rPr>
                  </w:pPr>
                  <w:r>
                    <w:rPr>
                      <w:rFonts w:hint="default" w:ascii="Times New Roman" w:hAnsi="Times New Roman" w:cs="Times New Roman"/>
                      <w:color w:val="auto"/>
                      <w:kern w:val="0"/>
                      <w:szCs w:val="21"/>
                      <w:vertAlign w:val="baseline"/>
                    </w:rPr>
                    <w:t>限制在地质灾害易发区、水土流失严重区域等生态脆弱区内开采矿产资源。</w:t>
                  </w:r>
                </w:p>
              </w:tc>
              <w:tc>
                <w:tcPr>
                  <w:tcW w:w="2534"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eastAsia" w:ascii="Times New Roman" w:hAnsi="Times New Roman" w:cs="Times New Roman"/>
                      <w:color w:val="000000" w:themeColor="text1"/>
                      <w:kern w:val="0"/>
                      <w:szCs w:val="21"/>
                      <w:u w:val="none"/>
                      <w:vertAlign w:val="baseline"/>
                      <w:lang w:val="en-US" w:eastAsia="zh-CN"/>
                      <w14:textFill>
                        <w14:solidFill>
                          <w14:schemeClr w14:val="tx1"/>
                        </w14:solidFill>
                      </w14:textFill>
                    </w:rPr>
                  </w:pPr>
                  <w:r>
                    <w:rPr>
                      <w:rFonts w:hint="eastAsia" w:ascii="Times New Roman" w:hAnsi="Times New Roman" w:cs="Times New Roman"/>
                      <w:color w:val="000000" w:themeColor="text1"/>
                      <w:kern w:val="0"/>
                      <w:szCs w:val="21"/>
                      <w:u w:val="none"/>
                      <w:vertAlign w:val="baseline"/>
                      <w:lang w:val="en-US" w:eastAsia="zh-CN"/>
                      <w14:textFill>
                        <w14:solidFill>
                          <w14:schemeClr w14:val="tx1"/>
                        </w14:solidFill>
                      </w14:textFill>
                    </w:rPr>
                    <w:t>本项目位于零陵区石山脚街道和梳子铺乡，不属于地质灾害易发区、水土流失严重区域等生态脆</w:t>
                  </w:r>
                </w:p>
                <w:p>
                  <w:pPr>
                    <w:keepNext w:val="0"/>
                    <w:keepLines w:val="0"/>
                    <w:suppressLineNumbers w:val="0"/>
                    <w:autoSpaceDE w:val="0"/>
                    <w:autoSpaceDN w:val="0"/>
                    <w:adjustRightInd w:val="0"/>
                    <w:snapToGrid w:val="0"/>
                    <w:spacing w:before="0" w:beforeAutospacing="0" w:after="0" w:afterAutospacing="0"/>
                    <w:ind w:left="0" w:right="0"/>
                    <w:jc w:val="center"/>
                    <w:rPr>
                      <w:rFonts w:hint="eastAsia" w:ascii="Times New Roman" w:hAnsi="Times New Roman" w:cs="Times New Roman"/>
                      <w:color w:val="000000" w:themeColor="text1"/>
                      <w:kern w:val="0"/>
                      <w:szCs w:val="21"/>
                      <w:u w:val="none"/>
                      <w:vertAlign w:val="baseline"/>
                      <w:lang w:val="en-US" w:eastAsia="zh-CN"/>
                      <w14:textFill>
                        <w14:solidFill>
                          <w14:schemeClr w14:val="tx1"/>
                        </w14:solidFill>
                      </w14:textFill>
                    </w:rPr>
                  </w:pPr>
                  <w:r>
                    <w:rPr>
                      <w:rFonts w:hint="eastAsia" w:ascii="Times New Roman" w:hAnsi="Times New Roman" w:cs="Times New Roman"/>
                      <w:color w:val="000000" w:themeColor="text1"/>
                      <w:kern w:val="0"/>
                      <w:szCs w:val="21"/>
                      <w:u w:val="none"/>
                      <w:vertAlign w:val="baseline"/>
                      <w:lang w:val="en-US" w:eastAsia="zh-CN"/>
                      <w14:textFill>
                        <w14:solidFill>
                          <w14:schemeClr w14:val="tx1"/>
                        </w14:solidFill>
                      </w14:textFill>
                    </w:rPr>
                    <w:t>弱区</w:t>
                  </w:r>
                </w:p>
              </w:tc>
              <w:tc>
                <w:tcPr>
                  <w:tcW w:w="1215"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eastAsia" w:ascii="Times New Roman" w:hAnsi="Times New Roman" w:cs="Times New Roman"/>
                      <w:color w:val="000000" w:themeColor="text1"/>
                      <w:kern w:val="0"/>
                      <w:szCs w:val="21"/>
                      <w:vertAlign w:val="baseline"/>
                      <w:lang w:val="en-US" w:eastAsia="zh-CN"/>
                      <w14:textFill>
                        <w14:solidFill>
                          <w14:schemeClr w14:val="tx1"/>
                        </w14:solidFill>
                      </w14:textFill>
                    </w:rPr>
                  </w:pPr>
                  <w:r>
                    <w:rPr>
                      <w:rFonts w:hint="eastAsia" w:ascii="Calibri" w:hAnsi="Calibri" w:cs="Times New Roman"/>
                      <w:color w:val="000000" w:themeColor="text1"/>
                      <w:kern w:val="0"/>
                      <w:szCs w:val="21"/>
                      <w:vertAlign w:val="baseline"/>
                      <w:lang w:val="en-US" w:eastAsia="zh-CN"/>
                      <w14:textFill>
                        <w14:solidFill>
                          <w14:schemeClr w14:val="tx1"/>
                        </w14:solidFill>
                      </w14:textFill>
                    </w:rPr>
                    <w:t>符合</w:t>
                  </w:r>
                </w:p>
              </w:tc>
            </w:tr>
          </w:tbl>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left"/>
              <w:textAlignment w:val="auto"/>
              <w:rPr>
                <w:rFonts w:hint="eastAsia" w:ascii="Calibri" w:hAnsi="Calibri" w:cs="Times New Roman"/>
                <w:color w:val="auto"/>
                <w:kern w:val="0"/>
                <w:sz w:val="24"/>
                <w:szCs w:val="24"/>
                <w:lang w:val="en-US" w:eastAsia="zh-CN"/>
              </w:rPr>
            </w:pPr>
            <w:r>
              <w:rPr>
                <w:rFonts w:hint="eastAsia" w:ascii="Calibri" w:hAnsi="Calibri" w:cs="Times New Roman"/>
                <w:color w:val="auto"/>
                <w:kern w:val="0"/>
                <w:sz w:val="24"/>
                <w:szCs w:val="24"/>
                <w:lang w:val="en-US" w:eastAsia="zh-CN"/>
              </w:rPr>
              <w:t>综上，本项目的建设符合《矿山生态环境保护与污染防治技术政策》(环发[2005]109号)的相关要求。</w:t>
            </w:r>
          </w:p>
          <w:p>
            <w:pPr>
              <w:keepNext w:val="0"/>
              <w:keepLines w:val="0"/>
              <w:pageBreakBefore w:val="0"/>
              <w:widowControl w:val="0"/>
              <w:numPr>
                <w:ilvl w:val="0"/>
                <w:numId w:val="0"/>
              </w:numPr>
              <w:suppressLineNumbers w:val="0"/>
              <w:kinsoku/>
              <w:wordWrap/>
              <w:overflowPunct/>
              <w:topLinePunct w:val="0"/>
              <w:autoSpaceDE w:val="0"/>
              <w:autoSpaceDN w:val="0"/>
              <w:bidi w:val="0"/>
              <w:adjustRightInd w:val="0"/>
              <w:snapToGrid w:val="0"/>
              <w:spacing w:before="0" w:beforeAutospacing="0" w:after="0" w:afterAutospacing="0" w:line="360" w:lineRule="auto"/>
              <w:ind w:left="0" w:right="0" w:firstLine="482" w:firstLineChars="200"/>
              <w:jc w:val="left"/>
              <w:textAlignment w:val="auto"/>
              <w:rPr>
                <w:rFonts w:hint="eastAsia" w:ascii="Times New Roman" w:hAnsi="Times New Roman" w:eastAsia="宋体" w:cs="Times New Roman"/>
                <w:b/>
                <w:bCs/>
                <w:color w:val="auto"/>
                <w:kern w:val="0"/>
                <w:sz w:val="24"/>
                <w:szCs w:val="24"/>
                <w:lang w:val="en-US" w:eastAsia="zh-CN"/>
              </w:rPr>
            </w:pPr>
            <w:r>
              <w:rPr>
                <w:rFonts w:hint="eastAsia" w:ascii="Calibri" w:hAnsi="Calibri" w:cs="Times New Roman"/>
                <w:b/>
                <w:bCs/>
                <w:color w:val="auto"/>
                <w:kern w:val="0"/>
                <w:sz w:val="24"/>
                <w:szCs w:val="24"/>
                <w:lang w:val="en-US" w:eastAsia="zh-CN" w:bidi="ar-SA"/>
              </w:rPr>
              <w:t>5</w:t>
            </w:r>
            <w:r>
              <w:rPr>
                <w:rFonts w:hint="eastAsia" w:ascii="Times New Roman" w:hAnsi="Times New Roman" w:eastAsia="宋体" w:cs="Times New Roman"/>
                <w:b/>
                <w:bCs/>
                <w:color w:val="auto"/>
                <w:kern w:val="0"/>
                <w:sz w:val="24"/>
                <w:szCs w:val="24"/>
                <w:lang w:val="en-US" w:eastAsia="zh-CN" w:bidi="ar-SA"/>
              </w:rPr>
              <w:t>、</w:t>
            </w:r>
            <w:r>
              <w:rPr>
                <w:rFonts w:hint="eastAsia" w:ascii="Times New Roman" w:hAnsi="Times New Roman" w:eastAsia="宋体" w:cs="Times New Roman"/>
                <w:b/>
                <w:bCs/>
                <w:color w:val="auto"/>
                <w:kern w:val="0"/>
                <w:sz w:val="24"/>
                <w:szCs w:val="24"/>
                <w:lang w:val="en-US" w:eastAsia="zh-CN"/>
              </w:rPr>
              <w:t>与《矿山生态环境保护与恢复治理技术规范(试行)》(HJ651-2013)的符合性分析</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left"/>
              <w:textAlignment w:val="auto"/>
              <w:rPr>
                <w:rFonts w:hint="eastAsia" w:ascii="Calibri" w:hAnsi="Calibri" w:cs="Times New Roman"/>
                <w:color w:val="auto"/>
                <w:kern w:val="0"/>
                <w:sz w:val="24"/>
                <w:szCs w:val="24"/>
                <w:lang w:val="en-US" w:eastAsia="zh-CN"/>
              </w:rPr>
            </w:pPr>
            <w:r>
              <w:rPr>
                <w:rFonts w:hint="eastAsia" w:ascii="Calibri" w:hAnsi="Calibri" w:cs="Times New Roman"/>
                <w:color w:val="auto"/>
                <w:kern w:val="0"/>
                <w:sz w:val="24"/>
                <w:szCs w:val="24"/>
                <w:lang w:val="en-US" w:eastAsia="zh-CN"/>
              </w:rPr>
              <w:t>本项目与《矿山生态环境保护与恢复治理技术规范(试行)》符合性分析见下表。</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jc w:val="center"/>
              <w:textAlignment w:val="auto"/>
              <w:rPr>
                <w:rFonts w:hint="eastAsia" w:ascii="Calibri" w:hAnsi="Calibri" w:cs="Times New Roman"/>
                <w:b/>
                <w:bCs/>
                <w:color w:val="auto"/>
                <w:sz w:val="21"/>
                <w:szCs w:val="21"/>
              </w:rPr>
            </w:pPr>
            <w:r>
              <w:rPr>
                <w:rFonts w:hint="eastAsia" w:ascii="Calibri" w:hAnsi="Calibri" w:cs="Times New Roman"/>
                <w:b/>
                <w:bCs/>
                <w:color w:val="auto"/>
                <w:sz w:val="21"/>
                <w:szCs w:val="21"/>
              </w:rPr>
              <w:t>表1-</w:t>
            </w:r>
            <w:r>
              <w:rPr>
                <w:rFonts w:hint="eastAsia" w:ascii="Calibri" w:hAnsi="Calibri" w:cs="Times New Roman"/>
                <w:b/>
                <w:bCs/>
                <w:color w:val="auto"/>
                <w:sz w:val="21"/>
                <w:szCs w:val="21"/>
                <w:lang w:val="en-US" w:eastAsia="zh-CN"/>
              </w:rPr>
              <w:t>6本项目与《矿山生态环境保护与恢复治理技术规范(试行)》对照表</w:t>
            </w:r>
          </w:p>
          <w:tbl>
            <w:tblPr>
              <w:tblStyle w:val="22"/>
              <w:tblW w:w="749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8"/>
              <w:gridCol w:w="2966"/>
              <w:gridCol w:w="2534"/>
              <w:gridCol w:w="12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78" w:type="dxa"/>
                  <w:noWrap w:val="0"/>
                  <w:vAlign w:val="top"/>
                </w:tcPr>
                <w:p>
                  <w:pPr>
                    <w:keepNext w:val="0"/>
                    <w:keepLines w:val="0"/>
                    <w:suppressLineNumbers w:val="0"/>
                    <w:autoSpaceDE w:val="0"/>
                    <w:autoSpaceDN w:val="0"/>
                    <w:adjustRightInd w:val="0"/>
                    <w:snapToGrid w:val="0"/>
                    <w:spacing w:before="0" w:beforeAutospacing="0" w:after="0" w:afterAutospacing="0"/>
                    <w:ind w:left="0" w:right="0"/>
                    <w:jc w:val="center"/>
                    <w:rPr>
                      <w:rFonts w:hint="eastAsia" w:ascii="Times New Roman" w:hAnsi="Times New Roman" w:eastAsia="宋体" w:cs="Times New Roman"/>
                      <w:b/>
                      <w:bCs/>
                      <w:color w:val="auto"/>
                      <w:kern w:val="0"/>
                      <w:szCs w:val="21"/>
                      <w:vertAlign w:val="baseline"/>
                      <w:lang w:val="en-US" w:eastAsia="zh-CN"/>
                    </w:rPr>
                  </w:pPr>
                  <w:r>
                    <w:rPr>
                      <w:rFonts w:hint="eastAsia" w:ascii="Times New Roman" w:hAnsi="Times New Roman" w:cs="Times New Roman"/>
                      <w:b/>
                      <w:bCs/>
                      <w:color w:val="auto"/>
                      <w:kern w:val="0"/>
                      <w:szCs w:val="21"/>
                      <w:vertAlign w:val="baseline"/>
                      <w:lang w:val="en-US" w:eastAsia="zh-CN"/>
                    </w:rPr>
                    <w:t>序号</w:t>
                  </w:r>
                </w:p>
              </w:tc>
              <w:tc>
                <w:tcPr>
                  <w:tcW w:w="2966" w:type="dxa"/>
                  <w:noWrap w:val="0"/>
                  <w:vAlign w:val="top"/>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bCs/>
                      <w:color w:val="auto"/>
                      <w:kern w:val="0"/>
                      <w:szCs w:val="21"/>
                      <w:vertAlign w:val="baseline"/>
                      <w:lang w:val="en-US" w:eastAsia="zh-CN"/>
                    </w:rPr>
                  </w:pPr>
                  <w:r>
                    <w:rPr>
                      <w:rFonts w:hint="eastAsia" w:ascii="Times New Roman" w:hAnsi="Times New Roman" w:cs="Times New Roman"/>
                      <w:b/>
                      <w:bCs/>
                      <w:color w:val="auto"/>
                      <w:kern w:val="0"/>
                      <w:szCs w:val="21"/>
                      <w:vertAlign w:val="baseline"/>
                      <w:lang w:val="en-US" w:eastAsia="zh-CN"/>
                    </w:rPr>
                    <w:t>文件要求</w:t>
                  </w:r>
                </w:p>
              </w:tc>
              <w:tc>
                <w:tcPr>
                  <w:tcW w:w="2534" w:type="dxa"/>
                  <w:noWrap w:val="0"/>
                  <w:vAlign w:val="top"/>
                </w:tcPr>
                <w:p>
                  <w:pPr>
                    <w:keepNext w:val="0"/>
                    <w:keepLines w:val="0"/>
                    <w:suppressLineNumbers w:val="0"/>
                    <w:autoSpaceDE w:val="0"/>
                    <w:autoSpaceDN w:val="0"/>
                    <w:adjustRightInd w:val="0"/>
                    <w:snapToGrid w:val="0"/>
                    <w:spacing w:before="0" w:beforeAutospacing="0" w:after="0" w:afterAutospacing="0"/>
                    <w:ind w:left="0" w:right="0"/>
                    <w:jc w:val="center"/>
                    <w:rPr>
                      <w:rFonts w:hint="eastAsia" w:ascii="Times New Roman" w:hAnsi="Times New Roman" w:eastAsia="宋体" w:cs="Times New Roman"/>
                      <w:b/>
                      <w:bCs/>
                      <w:color w:val="auto"/>
                      <w:kern w:val="0"/>
                      <w:szCs w:val="21"/>
                      <w:vertAlign w:val="baseline"/>
                      <w:lang w:val="en-US" w:eastAsia="zh-CN"/>
                    </w:rPr>
                  </w:pPr>
                  <w:r>
                    <w:rPr>
                      <w:rFonts w:hint="eastAsia" w:ascii="Times New Roman" w:hAnsi="Times New Roman" w:cs="Times New Roman"/>
                      <w:b/>
                      <w:bCs/>
                      <w:color w:val="auto"/>
                      <w:kern w:val="0"/>
                      <w:szCs w:val="21"/>
                      <w:vertAlign w:val="baseline"/>
                      <w:lang w:val="en-US" w:eastAsia="zh-CN"/>
                    </w:rPr>
                    <w:t>本项目情况</w:t>
                  </w:r>
                </w:p>
              </w:tc>
              <w:tc>
                <w:tcPr>
                  <w:tcW w:w="1215" w:type="dxa"/>
                  <w:noWrap w:val="0"/>
                  <w:vAlign w:val="top"/>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bCs/>
                      <w:color w:val="auto"/>
                      <w:kern w:val="0"/>
                      <w:szCs w:val="21"/>
                      <w:vertAlign w:val="baseline"/>
                      <w:lang w:val="en-US" w:eastAsia="zh-CN"/>
                    </w:rPr>
                  </w:pPr>
                  <w:r>
                    <w:rPr>
                      <w:rFonts w:hint="eastAsia" w:ascii="Times New Roman" w:hAnsi="Times New Roman" w:cs="Times New Roman"/>
                      <w:b/>
                      <w:bCs/>
                      <w:color w:val="auto"/>
                      <w:kern w:val="0"/>
                      <w:szCs w:val="21"/>
                      <w:vertAlign w:val="baseline"/>
                      <w:lang w:val="en-US" w:eastAsia="zh-CN"/>
                    </w:rPr>
                    <w:t>是否附合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78"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eastAsia" w:ascii="Times New Roman" w:hAnsi="Times New Roman" w:eastAsia="宋体" w:cs="Times New Roman"/>
                      <w:color w:val="auto"/>
                      <w:kern w:val="0"/>
                      <w:szCs w:val="21"/>
                      <w:vertAlign w:val="baseline"/>
                      <w:lang w:val="en-US" w:eastAsia="zh-CN"/>
                    </w:rPr>
                  </w:pPr>
                  <w:r>
                    <w:rPr>
                      <w:rFonts w:hint="eastAsia" w:ascii="Times New Roman" w:hAnsi="Times New Roman" w:cs="Times New Roman"/>
                      <w:color w:val="auto"/>
                      <w:kern w:val="0"/>
                      <w:szCs w:val="21"/>
                      <w:vertAlign w:val="baseline"/>
                      <w:lang w:val="en-US" w:eastAsia="zh-CN"/>
                    </w:rPr>
                    <w:t>1</w:t>
                  </w:r>
                </w:p>
              </w:tc>
              <w:tc>
                <w:tcPr>
                  <w:tcW w:w="2966"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both"/>
                    <w:rPr>
                      <w:rFonts w:hint="default" w:ascii="Times New Roman" w:hAnsi="Times New Roman" w:cs="Times New Roman"/>
                      <w:color w:val="auto"/>
                      <w:kern w:val="0"/>
                      <w:szCs w:val="21"/>
                      <w:vertAlign w:val="baseline"/>
                    </w:rPr>
                  </w:pPr>
                  <w:r>
                    <w:rPr>
                      <w:rFonts w:hint="default" w:ascii="Times New Roman" w:hAnsi="Times New Roman" w:cs="Times New Roman"/>
                      <w:color w:val="auto"/>
                      <w:kern w:val="0"/>
                      <w:szCs w:val="21"/>
                      <w:vertAlign w:val="baseline"/>
                    </w:rPr>
                    <w:t>风景名胜区、森林公园、饮用水水源保护区、文物古迹所在地、地质遗迹保护区、基本农田保护区等重要生态保护地以及其他法律法规规定的禁采区域内采矿。禁止在重要道路、航道两侧及重要生态环境敏感目标可视范围内进行对景观破坏明显的露天开采</w:t>
                  </w:r>
                </w:p>
              </w:tc>
              <w:tc>
                <w:tcPr>
                  <w:tcW w:w="2534"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color w:val="000000" w:themeColor="text1"/>
                      <w:kern w:val="0"/>
                      <w:szCs w:val="21"/>
                      <w:vertAlign w:val="baseline"/>
                      <w:lang w:val="en-US" w:eastAsia="zh-CN"/>
                      <w14:textFill>
                        <w14:solidFill>
                          <w14:schemeClr w14:val="tx1"/>
                        </w14:solidFill>
                      </w14:textFill>
                    </w:rPr>
                  </w:pPr>
                  <w:r>
                    <w:rPr>
                      <w:rFonts w:hint="default" w:ascii="Times New Roman" w:hAnsi="Times New Roman" w:eastAsia="宋体" w:cs="Times New Roman"/>
                      <w:color w:val="000000" w:themeColor="text1"/>
                      <w:kern w:val="0"/>
                      <w:szCs w:val="21"/>
                      <w:vertAlign w:val="baseline"/>
                      <w:lang w:val="en-US" w:eastAsia="zh-CN"/>
                      <w14:textFill>
                        <w14:solidFill>
                          <w14:schemeClr w14:val="tx1"/>
                        </w14:solidFill>
                      </w14:textFill>
                    </w:rPr>
                    <w:t>本项目所在地不在自然保护区等区域，不占用基本农田，不在重要道路的可视范围内</w:t>
                  </w:r>
                </w:p>
              </w:tc>
              <w:tc>
                <w:tcPr>
                  <w:tcW w:w="1215"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eastAsia" w:ascii="Times New Roman" w:hAnsi="Times New Roman" w:eastAsia="宋体" w:cs="Times New Roman"/>
                      <w:color w:val="FF0000"/>
                      <w:kern w:val="0"/>
                      <w:szCs w:val="21"/>
                      <w:vertAlign w:val="baseline"/>
                      <w:lang w:val="en-US" w:eastAsia="zh-CN"/>
                    </w:rPr>
                  </w:pPr>
                  <w:r>
                    <w:rPr>
                      <w:rFonts w:hint="eastAsia" w:ascii="Calibri" w:hAnsi="Calibri" w:cs="Times New Roman"/>
                      <w:color w:val="000000" w:themeColor="text1"/>
                      <w:kern w:val="0"/>
                      <w:szCs w:val="21"/>
                      <w:vertAlign w:val="baseline"/>
                      <w:lang w:val="en-US" w:eastAsia="zh-CN"/>
                      <w14:textFill>
                        <w14:solidFill>
                          <w14:schemeClr w14:val="tx1"/>
                        </w14:solidFill>
                      </w14:textFill>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78"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eastAsia" w:ascii="Times New Roman" w:hAnsi="Times New Roman" w:eastAsia="宋体" w:cs="Times New Roman"/>
                      <w:color w:val="auto"/>
                      <w:kern w:val="0"/>
                      <w:szCs w:val="21"/>
                      <w:vertAlign w:val="baseline"/>
                      <w:lang w:val="en-US" w:eastAsia="zh-CN"/>
                    </w:rPr>
                  </w:pPr>
                  <w:r>
                    <w:rPr>
                      <w:rFonts w:hint="eastAsia" w:ascii="Times New Roman" w:hAnsi="Times New Roman" w:cs="Times New Roman"/>
                      <w:color w:val="auto"/>
                      <w:kern w:val="0"/>
                      <w:szCs w:val="21"/>
                      <w:vertAlign w:val="baseline"/>
                      <w:lang w:val="en-US" w:eastAsia="zh-CN"/>
                    </w:rPr>
                    <w:t>2</w:t>
                  </w:r>
                </w:p>
              </w:tc>
              <w:tc>
                <w:tcPr>
                  <w:tcW w:w="2966"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left"/>
                    <w:rPr>
                      <w:rFonts w:hint="default" w:ascii="Times New Roman" w:hAnsi="Times New Roman" w:cs="Times New Roman"/>
                      <w:color w:val="auto"/>
                      <w:kern w:val="0"/>
                      <w:szCs w:val="21"/>
                      <w:vertAlign w:val="baseline"/>
                    </w:rPr>
                  </w:pPr>
                  <w:r>
                    <w:rPr>
                      <w:rFonts w:hint="default" w:ascii="Times New Roman" w:hAnsi="Times New Roman" w:cs="Times New Roman"/>
                      <w:color w:val="auto"/>
                      <w:kern w:val="0"/>
                      <w:szCs w:val="21"/>
                      <w:vertAlign w:val="baseline"/>
                    </w:rPr>
                    <w:t>矿产资源开发活动应符合国家和区域主体功能区规划、生态功能区划、生态环境保护规划的要求，采取有效预防和保护措施，避免或减轻矿产资源开发活动造成的生态破坏和环境污染</w:t>
                  </w:r>
                </w:p>
              </w:tc>
              <w:tc>
                <w:tcPr>
                  <w:tcW w:w="2534"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eastAsia" w:ascii="Times New Roman" w:hAnsi="Times New Roman" w:eastAsia="宋体" w:cs="Times New Roman"/>
                      <w:color w:val="000000" w:themeColor="text1"/>
                      <w:kern w:val="0"/>
                      <w:szCs w:val="21"/>
                      <w:vertAlign w:val="baseline"/>
                      <w:lang w:val="en-US" w:eastAsia="zh-CN"/>
                      <w14:textFill>
                        <w14:solidFill>
                          <w14:schemeClr w14:val="tx1"/>
                        </w14:solidFill>
                      </w14:textFill>
                    </w:rPr>
                  </w:pPr>
                  <w:r>
                    <w:rPr>
                      <w:rFonts w:hint="eastAsia" w:ascii="Times New Roman" w:hAnsi="Times New Roman" w:eastAsia="宋体" w:cs="Times New Roman"/>
                      <w:color w:val="000000" w:themeColor="text1"/>
                      <w:kern w:val="0"/>
                      <w:szCs w:val="21"/>
                      <w:vertAlign w:val="baseline"/>
                      <w:lang w:val="en-US" w:eastAsia="zh-CN"/>
                      <w14:textFill>
                        <w14:solidFill>
                          <w14:schemeClr w14:val="tx1"/>
                        </w14:solidFill>
                      </w14:textFill>
                    </w:rPr>
                    <w:t>本项目符合区域主体功能区规划、生态功能区划、生态保护规划，并采取有效的预防和保护措施</w:t>
                  </w:r>
                </w:p>
              </w:tc>
              <w:tc>
                <w:tcPr>
                  <w:tcW w:w="1215"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FF0000"/>
                      <w:kern w:val="0"/>
                      <w:szCs w:val="21"/>
                      <w:vertAlign w:val="baseline"/>
                    </w:rPr>
                  </w:pPr>
                  <w:r>
                    <w:rPr>
                      <w:rFonts w:hint="eastAsia" w:ascii="Calibri" w:hAnsi="Calibri" w:cs="Times New Roman"/>
                      <w:color w:val="000000" w:themeColor="text1"/>
                      <w:kern w:val="0"/>
                      <w:szCs w:val="21"/>
                      <w:vertAlign w:val="baseline"/>
                      <w:lang w:val="en-US" w:eastAsia="zh-CN"/>
                      <w14:textFill>
                        <w14:solidFill>
                          <w14:schemeClr w14:val="tx1"/>
                        </w14:solidFill>
                      </w14:textFill>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78"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eastAsia" w:ascii="Times New Roman" w:hAnsi="Times New Roman" w:eastAsia="宋体" w:cs="Times New Roman"/>
                      <w:color w:val="auto"/>
                      <w:kern w:val="0"/>
                      <w:szCs w:val="21"/>
                      <w:vertAlign w:val="baseline"/>
                      <w:lang w:val="en-US" w:eastAsia="zh-CN"/>
                    </w:rPr>
                  </w:pPr>
                  <w:r>
                    <w:rPr>
                      <w:rFonts w:hint="eastAsia" w:ascii="Times New Roman" w:hAnsi="Times New Roman" w:cs="Times New Roman"/>
                      <w:color w:val="auto"/>
                      <w:kern w:val="0"/>
                      <w:szCs w:val="21"/>
                      <w:vertAlign w:val="baseline"/>
                      <w:lang w:val="en-US" w:eastAsia="zh-CN"/>
                    </w:rPr>
                    <w:t>3</w:t>
                  </w:r>
                </w:p>
              </w:tc>
              <w:tc>
                <w:tcPr>
                  <w:tcW w:w="2966"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left"/>
                    <w:rPr>
                      <w:rFonts w:hint="default" w:ascii="Times New Roman" w:hAnsi="Times New Roman" w:cs="Times New Roman"/>
                      <w:color w:val="auto"/>
                      <w:kern w:val="0"/>
                      <w:szCs w:val="21"/>
                      <w:vertAlign w:val="baseline"/>
                    </w:rPr>
                  </w:pPr>
                  <w:r>
                    <w:rPr>
                      <w:rFonts w:hint="default" w:ascii="Times New Roman" w:hAnsi="Times New Roman" w:cs="Times New Roman"/>
                      <w:color w:val="auto"/>
                      <w:kern w:val="0"/>
                      <w:szCs w:val="21"/>
                      <w:vertAlign w:val="baseline"/>
                    </w:rPr>
                    <w:t>坚持“预防为主、防治结合、过</w:t>
                  </w:r>
                </w:p>
                <w:p>
                  <w:pPr>
                    <w:keepNext w:val="0"/>
                    <w:keepLines w:val="0"/>
                    <w:suppressLineNumbers w:val="0"/>
                    <w:autoSpaceDE w:val="0"/>
                    <w:autoSpaceDN w:val="0"/>
                    <w:adjustRightInd w:val="0"/>
                    <w:snapToGrid w:val="0"/>
                    <w:spacing w:before="0" w:beforeAutospacing="0" w:after="0" w:afterAutospacing="0"/>
                    <w:ind w:left="0" w:right="0"/>
                    <w:jc w:val="left"/>
                    <w:rPr>
                      <w:rFonts w:hint="default" w:ascii="Times New Roman" w:hAnsi="Times New Roman" w:cs="Times New Roman"/>
                      <w:color w:val="auto"/>
                      <w:kern w:val="0"/>
                      <w:szCs w:val="21"/>
                      <w:vertAlign w:val="baseline"/>
                    </w:rPr>
                  </w:pPr>
                  <w:r>
                    <w:rPr>
                      <w:rFonts w:hint="default" w:ascii="Times New Roman" w:hAnsi="Times New Roman" w:cs="Times New Roman"/>
                      <w:color w:val="auto"/>
                      <w:kern w:val="0"/>
                      <w:szCs w:val="21"/>
                      <w:vertAlign w:val="baseline"/>
                    </w:rPr>
                    <w:t>程控制”的原则，将矿山生态环境保护与恢复治理贯穿矿产资源开采的全过程。根据矿山生态环境保护与恢复治理的重点任务，合理确定矿山生态保护与恢复治理分区，优化矿区生产与生活空间格局。采用新技术、新方法、新工艺提高矿山生态环境保护和恢复治理水平</w:t>
                  </w:r>
                </w:p>
              </w:tc>
              <w:tc>
                <w:tcPr>
                  <w:tcW w:w="2534"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eastAsia" w:ascii="Times New Roman" w:hAnsi="Times New Roman" w:eastAsia="宋体" w:cs="Times New Roman"/>
                      <w:color w:val="000000" w:themeColor="text1"/>
                      <w:kern w:val="0"/>
                      <w:szCs w:val="21"/>
                      <w:vertAlign w:val="baseline"/>
                      <w:lang w:val="en-US" w:eastAsia="zh-CN"/>
                      <w14:textFill>
                        <w14:solidFill>
                          <w14:schemeClr w14:val="tx1"/>
                        </w14:solidFill>
                      </w14:textFill>
                    </w:rPr>
                  </w:pPr>
                  <w:r>
                    <w:rPr>
                      <w:rFonts w:hint="eastAsia" w:ascii="Times New Roman" w:hAnsi="Times New Roman" w:eastAsia="宋体" w:cs="Times New Roman"/>
                      <w:color w:val="000000" w:themeColor="text1"/>
                      <w:kern w:val="0"/>
                      <w:szCs w:val="21"/>
                      <w:vertAlign w:val="baseline"/>
                      <w:lang w:val="en-US" w:eastAsia="zh-CN"/>
                      <w14:textFill>
                        <w14:solidFill>
                          <w14:schemeClr w14:val="tx1"/>
                        </w14:solidFill>
                      </w14:textFill>
                    </w:rPr>
                    <w:t>制定方案保护矿山生态环境和恢复治理矿山周边生态环境</w:t>
                  </w:r>
                </w:p>
              </w:tc>
              <w:tc>
                <w:tcPr>
                  <w:tcW w:w="1215"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FF0000"/>
                      <w:kern w:val="0"/>
                      <w:szCs w:val="21"/>
                      <w:vertAlign w:val="baseline"/>
                    </w:rPr>
                  </w:pPr>
                  <w:r>
                    <w:rPr>
                      <w:rFonts w:hint="eastAsia" w:ascii="Calibri" w:hAnsi="Calibri" w:cs="Times New Roman"/>
                      <w:color w:val="000000" w:themeColor="text1"/>
                      <w:kern w:val="0"/>
                      <w:szCs w:val="21"/>
                      <w:vertAlign w:val="baseline"/>
                      <w:lang w:val="en-US" w:eastAsia="zh-CN"/>
                      <w14:textFill>
                        <w14:solidFill>
                          <w14:schemeClr w14:val="tx1"/>
                        </w14:solidFill>
                      </w14:textFill>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78"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kern w:val="0"/>
                      <w:szCs w:val="21"/>
                      <w:vertAlign w:val="baseline"/>
                      <w:lang w:val="en-US" w:eastAsia="zh-CN"/>
                    </w:rPr>
                  </w:pPr>
                  <w:r>
                    <w:rPr>
                      <w:rFonts w:hint="eastAsia" w:ascii="Calibri" w:hAnsi="Calibri" w:cs="Times New Roman"/>
                      <w:color w:val="auto"/>
                      <w:kern w:val="0"/>
                      <w:szCs w:val="21"/>
                      <w:vertAlign w:val="baseline"/>
                      <w:lang w:val="en-US" w:eastAsia="zh-CN"/>
                    </w:rPr>
                    <w:t>4</w:t>
                  </w:r>
                </w:p>
              </w:tc>
              <w:tc>
                <w:tcPr>
                  <w:tcW w:w="2966"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left"/>
                    <w:rPr>
                      <w:rFonts w:hint="default" w:ascii="Times New Roman" w:hAnsi="Times New Roman" w:cs="Times New Roman"/>
                      <w:color w:val="auto"/>
                      <w:kern w:val="0"/>
                      <w:szCs w:val="21"/>
                      <w:vertAlign w:val="baseline"/>
                    </w:rPr>
                  </w:pPr>
                  <w:r>
                    <w:rPr>
                      <w:rFonts w:hint="default" w:ascii="Times New Roman" w:hAnsi="Times New Roman" w:cs="Times New Roman"/>
                      <w:color w:val="auto"/>
                      <w:kern w:val="0"/>
                      <w:szCs w:val="21"/>
                      <w:vertAlign w:val="baseline"/>
                    </w:rPr>
                    <w:t>所有矿山企业均应对照本标准各项要求，编制实施矿山生态环境保护与恢复治理方案</w:t>
                  </w:r>
                </w:p>
              </w:tc>
              <w:tc>
                <w:tcPr>
                  <w:tcW w:w="2534"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eastAsia" w:ascii="Times New Roman" w:hAnsi="Times New Roman" w:cs="Times New Roman"/>
                      <w:color w:val="000000" w:themeColor="text1"/>
                      <w:kern w:val="0"/>
                      <w:szCs w:val="21"/>
                      <w:u w:val="none"/>
                      <w:vertAlign w:val="baseline"/>
                      <w:lang w:val="en-US" w:eastAsia="zh-CN"/>
                      <w14:textFill>
                        <w14:solidFill>
                          <w14:schemeClr w14:val="tx1"/>
                        </w14:solidFill>
                      </w14:textFill>
                    </w:rPr>
                  </w:pPr>
                  <w:r>
                    <w:rPr>
                      <w:rFonts w:hint="eastAsia" w:ascii="Times New Roman" w:hAnsi="Times New Roman" w:cs="Times New Roman"/>
                      <w:color w:val="000000" w:themeColor="text1"/>
                      <w:kern w:val="0"/>
                      <w:szCs w:val="21"/>
                      <w:u w:val="none"/>
                      <w:vertAlign w:val="baseline"/>
                      <w:lang w:val="en-US" w:eastAsia="zh-CN"/>
                      <w14:textFill>
                        <w14:solidFill>
                          <w14:schemeClr w14:val="tx1"/>
                        </w14:solidFill>
                      </w14:textFill>
                    </w:rPr>
                    <w:t>项目已编制矿山生态环境保护与恢复治理方案</w:t>
                  </w:r>
                </w:p>
              </w:tc>
              <w:tc>
                <w:tcPr>
                  <w:tcW w:w="1215"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eastAsia" w:ascii="Times New Roman" w:hAnsi="Times New Roman" w:cs="Times New Roman"/>
                      <w:color w:val="FF0000"/>
                      <w:kern w:val="0"/>
                      <w:szCs w:val="21"/>
                      <w:vertAlign w:val="baseline"/>
                      <w:lang w:val="en-US" w:eastAsia="zh-CN"/>
                    </w:rPr>
                  </w:pPr>
                  <w:r>
                    <w:rPr>
                      <w:rFonts w:hint="eastAsia" w:ascii="Calibri" w:hAnsi="Calibri" w:cs="Times New Roman"/>
                      <w:color w:val="000000" w:themeColor="text1"/>
                      <w:kern w:val="0"/>
                      <w:szCs w:val="21"/>
                      <w:vertAlign w:val="baseline"/>
                      <w:lang w:val="en-US" w:eastAsia="zh-CN"/>
                      <w14:textFill>
                        <w14:solidFill>
                          <w14:schemeClr w14:val="tx1"/>
                        </w14:solidFill>
                      </w14:textFill>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78"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Calibri" w:hAnsi="Calibri" w:cs="Times New Roman"/>
                      <w:color w:val="auto"/>
                      <w:kern w:val="0"/>
                      <w:szCs w:val="21"/>
                      <w:vertAlign w:val="baseline"/>
                      <w:lang w:val="en-US" w:eastAsia="zh-CN"/>
                    </w:rPr>
                  </w:pPr>
                  <w:r>
                    <w:rPr>
                      <w:rFonts w:hint="eastAsia" w:ascii="Calibri" w:hAnsi="Calibri" w:cs="Times New Roman"/>
                      <w:color w:val="auto"/>
                      <w:kern w:val="0"/>
                      <w:szCs w:val="21"/>
                      <w:vertAlign w:val="baseline"/>
                      <w:lang w:val="en-US" w:eastAsia="zh-CN"/>
                    </w:rPr>
                    <w:t>5</w:t>
                  </w:r>
                </w:p>
              </w:tc>
              <w:tc>
                <w:tcPr>
                  <w:tcW w:w="2966"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left"/>
                    <w:rPr>
                      <w:rFonts w:hint="default" w:ascii="Times New Roman" w:hAnsi="Times New Roman" w:cs="Times New Roman"/>
                      <w:color w:val="auto"/>
                      <w:kern w:val="0"/>
                      <w:szCs w:val="21"/>
                      <w:vertAlign w:val="baseline"/>
                    </w:rPr>
                  </w:pPr>
                  <w:r>
                    <w:rPr>
                      <w:rFonts w:hint="default" w:ascii="Times New Roman" w:hAnsi="Times New Roman" w:cs="Times New Roman"/>
                      <w:color w:val="auto"/>
                      <w:kern w:val="0"/>
                      <w:szCs w:val="21"/>
                      <w:vertAlign w:val="baseline"/>
                    </w:rPr>
                    <w:t>恢复治理后的各类场地应实现：安全稳定，对人类和动植物不造成威胁；对周边环境不产生污染；与周边自然环境和景观相协调；恢复土地基本功能，因地制宜实现土地可持续利用；区域整体生态功能得到保护和恢复</w:t>
                  </w:r>
                </w:p>
              </w:tc>
              <w:tc>
                <w:tcPr>
                  <w:tcW w:w="2534"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eastAsia" w:ascii="Times New Roman" w:hAnsi="Times New Roman" w:cs="Times New Roman"/>
                      <w:color w:val="000000" w:themeColor="text1"/>
                      <w:kern w:val="0"/>
                      <w:szCs w:val="21"/>
                      <w:u w:val="none"/>
                      <w:vertAlign w:val="baseline"/>
                      <w:lang w:val="en-US" w:eastAsia="zh-CN"/>
                      <w14:textFill>
                        <w14:solidFill>
                          <w14:schemeClr w14:val="tx1"/>
                        </w14:solidFill>
                      </w14:textFill>
                    </w:rPr>
                  </w:pPr>
                  <w:r>
                    <w:rPr>
                      <w:rFonts w:hint="eastAsia" w:ascii="Times New Roman" w:hAnsi="Times New Roman" w:cs="Times New Roman"/>
                      <w:color w:val="000000" w:themeColor="text1"/>
                      <w:kern w:val="0"/>
                      <w:szCs w:val="21"/>
                      <w:u w:val="none"/>
                      <w:vertAlign w:val="baseline"/>
                      <w:lang w:val="en-US" w:eastAsia="zh-CN"/>
                      <w14:textFill>
                        <w14:solidFill>
                          <w14:schemeClr w14:val="tx1"/>
                        </w14:solidFill>
                      </w14:textFill>
                    </w:rPr>
                    <w:t>制定方案确保恢复治理后的场地满足相关要求</w:t>
                  </w:r>
                </w:p>
              </w:tc>
              <w:tc>
                <w:tcPr>
                  <w:tcW w:w="1215"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eastAsia" w:ascii="Times New Roman" w:hAnsi="Times New Roman" w:cs="Times New Roman"/>
                      <w:color w:val="FF0000"/>
                      <w:kern w:val="0"/>
                      <w:szCs w:val="21"/>
                      <w:vertAlign w:val="baseline"/>
                      <w:lang w:val="en-US" w:eastAsia="zh-CN"/>
                    </w:rPr>
                  </w:pPr>
                  <w:r>
                    <w:rPr>
                      <w:rFonts w:hint="eastAsia" w:ascii="Calibri" w:hAnsi="Calibri" w:cs="Times New Roman"/>
                      <w:color w:val="000000" w:themeColor="text1"/>
                      <w:kern w:val="0"/>
                      <w:szCs w:val="21"/>
                      <w:vertAlign w:val="baseline"/>
                      <w:lang w:val="en-US" w:eastAsia="zh-CN"/>
                      <w14:textFill>
                        <w14:solidFill>
                          <w14:schemeClr w14:val="tx1"/>
                        </w14:solidFill>
                      </w14:textFill>
                    </w:rPr>
                    <w:t>符合</w:t>
                  </w:r>
                </w:p>
              </w:tc>
            </w:tr>
          </w:tbl>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Calibri" w:hAnsi="Calibri" w:cs="Times New Roman"/>
                <w:sz w:val="24"/>
                <w:szCs w:val="24"/>
                <w:lang w:val="en-US" w:eastAsia="zh-CN"/>
              </w:rPr>
            </w:pPr>
            <w:r>
              <w:rPr>
                <w:rFonts w:hint="eastAsia" w:ascii="Calibri" w:hAnsi="Calibri" w:cs="Times New Roman"/>
                <w:sz w:val="24"/>
                <w:szCs w:val="24"/>
                <w:lang w:val="en-US" w:eastAsia="zh-CN"/>
              </w:rPr>
              <w:t>综上，本项目的建设符合《矿山生态环境保护与恢复治理技术规范(试行)》(HJ651-2013)的相关要求。</w:t>
            </w:r>
          </w:p>
          <w:p>
            <w:pPr>
              <w:keepNext w:val="0"/>
              <w:keepLines w:val="0"/>
              <w:pageBreakBefore w:val="0"/>
              <w:widowControl w:val="0"/>
              <w:numPr>
                <w:ilvl w:val="0"/>
                <w:numId w:val="0"/>
              </w:numPr>
              <w:suppressLineNumbers w:val="0"/>
              <w:kinsoku/>
              <w:wordWrap/>
              <w:overflowPunct/>
              <w:topLinePunct w:val="0"/>
              <w:autoSpaceDE w:val="0"/>
              <w:autoSpaceDN w:val="0"/>
              <w:bidi w:val="0"/>
              <w:adjustRightInd w:val="0"/>
              <w:snapToGrid w:val="0"/>
              <w:spacing w:before="0" w:beforeAutospacing="0" w:after="0" w:afterAutospacing="0" w:line="360" w:lineRule="auto"/>
              <w:ind w:left="0" w:right="0" w:firstLine="482" w:firstLineChars="200"/>
              <w:jc w:val="left"/>
              <w:textAlignment w:val="auto"/>
              <w:rPr>
                <w:rFonts w:hint="eastAsia" w:ascii="Times New Roman" w:hAnsi="Times New Roman" w:eastAsia="宋体" w:cs="Times New Roman"/>
                <w:b/>
                <w:bCs/>
                <w:color w:val="auto"/>
                <w:kern w:val="0"/>
                <w:sz w:val="24"/>
                <w:szCs w:val="24"/>
                <w:lang w:val="en-US" w:eastAsia="zh-CN"/>
              </w:rPr>
            </w:pPr>
            <w:r>
              <w:rPr>
                <w:rFonts w:hint="eastAsia" w:ascii="Calibri" w:hAnsi="Calibri" w:cs="Times New Roman"/>
                <w:b/>
                <w:bCs/>
                <w:color w:val="auto"/>
                <w:kern w:val="0"/>
                <w:sz w:val="24"/>
                <w:szCs w:val="24"/>
                <w:lang w:val="en-US" w:eastAsia="zh-CN" w:bidi="ar-SA"/>
              </w:rPr>
              <w:t>6</w:t>
            </w:r>
            <w:r>
              <w:rPr>
                <w:rFonts w:hint="eastAsia" w:ascii="Times New Roman" w:hAnsi="Times New Roman" w:eastAsia="宋体" w:cs="Times New Roman"/>
                <w:b/>
                <w:bCs/>
                <w:color w:val="auto"/>
                <w:kern w:val="0"/>
                <w:sz w:val="24"/>
                <w:szCs w:val="24"/>
                <w:lang w:val="en-US" w:eastAsia="zh-CN" w:bidi="ar-SA"/>
              </w:rPr>
              <w:t>、</w:t>
            </w:r>
            <w:r>
              <w:rPr>
                <w:rFonts w:hint="eastAsia" w:ascii="Times New Roman" w:hAnsi="Times New Roman" w:eastAsia="宋体" w:cs="Times New Roman"/>
                <w:b/>
                <w:bCs/>
                <w:color w:val="auto"/>
                <w:kern w:val="0"/>
                <w:sz w:val="24"/>
                <w:szCs w:val="24"/>
                <w:lang w:val="en-US" w:eastAsia="zh-CN"/>
              </w:rPr>
              <w:t>与水土流失治理相关要求的符合性分析</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eastAsia="宋体" w:cs="Times New Roman"/>
                <w:color w:val="000000"/>
                <w:kern w:val="0"/>
                <w:sz w:val="24"/>
                <w:szCs w:val="24"/>
              </w:rPr>
            </w:pPr>
            <w:r>
              <w:rPr>
                <w:rFonts w:hint="eastAsia" w:ascii="Times New Roman" w:hAnsi="Times New Roman" w:eastAsia="宋体" w:cs="Times New Roman"/>
                <w:sz w:val="24"/>
                <w:szCs w:val="24"/>
                <w:lang w:val="en-US" w:eastAsia="zh-CN"/>
              </w:rPr>
              <w:t>根据《中华人民共和国水土保持法》，“生产建设项目选址、选线应当避让水土流失重点预防区和重点治理区；无法避让的，应当提高防治标准，优化施工工艺，减少地表扰动和植被损坏范围，有效控制可能造成的水土流失。在山区、丘陵区、风沙区以及水土保持规划确定的容易发生水土流失的其他区域开办可能造成水土流失的生产建设项目，生产建设单位应当编制水土保持方案，报县级以上人民政府水行政主管部门审批，并按照经批准的水土保持方案，采取水土流失预防和治理措施。没有能力编制水土保持方案的，应当委托具备相应技术条件的机构编制。”根据“附件</w:t>
            </w:r>
            <w:r>
              <w:rPr>
                <w:rFonts w:hint="eastAsia" w:cs="Times New Roman"/>
                <w:sz w:val="24"/>
                <w:szCs w:val="24"/>
                <w:lang w:val="en-US" w:eastAsia="zh-CN"/>
              </w:rPr>
              <w:t>5</w:t>
            </w:r>
            <w:r>
              <w:rPr>
                <w:rFonts w:hint="eastAsia" w:ascii="Times New Roman" w:hAnsi="Times New Roman" w:eastAsia="宋体" w:cs="Times New Roman"/>
                <w:sz w:val="24"/>
                <w:szCs w:val="24"/>
                <w:lang w:val="en-US" w:eastAsia="zh-CN"/>
              </w:rPr>
              <w:t>永州市零陵区水利局关于零陵区羊轱岭矿区项目选址意见的函”及对照湖南省水土流失重点预防区和重点治理区分布图（见附图8），本项目不在水土流失重点预防区和重点治理区，且项目</w:t>
            </w:r>
            <w:r>
              <w:rPr>
                <w:rFonts w:hint="eastAsia" w:cs="Times New Roman"/>
                <w:sz w:val="24"/>
                <w:szCs w:val="24"/>
                <w:lang w:val="en-US" w:eastAsia="zh-CN"/>
              </w:rPr>
              <w:t>已经</w:t>
            </w:r>
            <w:r>
              <w:rPr>
                <w:rFonts w:hint="eastAsia" w:ascii="Times New Roman" w:hAnsi="Times New Roman" w:eastAsia="宋体" w:cs="Times New Roman"/>
                <w:sz w:val="24"/>
                <w:szCs w:val="24"/>
                <w:lang w:val="en-US" w:eastAsia="zh-CN"/>
              </w:rPr>
              <w:t>编制水土保持方案，将积极落实各项水保措施。项目建设符合《中华人民共和国水土保持法》要求</w:t>
            </w:r>
          </w:p>
        </w:tc>
      </w:tr>
    </w:tbl>
    <w:p>
      <w:pPr>
        <w:spacing w:line="360" w:lineRule="auto"/>
        <w:outlineLvl w:val="9"/>
        <w:rPr>
          <w:rFonts w:hint="default" w:ascii="Times New Roman" w:hAnsi="Times New Roman" w:eastAsia="黑体" w:cs="Times New Roman"/>
          <w:color w:val="000000"/>
          <w:sz w:val="30"/>
        </w:rPr>
        <w:sectPr>
          <w:footerReference r:id="rId4" w:type="default"/>
          <w:pgSz w:w="11906" w:h="16838"/>
          <w:pgMar w:top="1701" w:right="1531" w:bottom="1701" w:left="1531" w:header="851" w:footer="1077" w:gutter="0"/>
          <w:pgBorders>
            <w:top w:val="none" w:sz="0" w:space="0"/>
            <w:left w:val="none" w:sz="0" w:space="0"/>
            <w:bottom w:val="none" w:sz="0" w:space="0"/>
            <w:right w:val="none" w:sz="0" w:space="0"/>
          </w:pgBorders>
          <w:pgNumType w:fmt="decimal" w:start="1"/>
          <w:cols w:space="720" w:num="1"/>
          <w:docGrid w:linePitch="312" w:charSpace="0"/>
        </w:sectPr>
      </w:pPr>
    </w:p>
    <w:p>
      <w:pPr>
        <w:pStyle w:val="16"/>
        <w:jc w:val="center"/>
        <w:outlineLvl w:val="0"/>
        <w:rPr>
          <w:rFonts w:hint="default" w:ascii="Times New Roman" w:hAnsi="Times New Roman" w:eastAsia="黑体" w:cs="Times New Roman"/>
          <w:snapToGrid w:val="0"/>
          <w:color w:val="000000"/>
          <w:sz w:val="30"/>
          <w:szCs w:val="30"/>
        </w:rPr>
      </w:pPr>
      <w:bookmarkStart w:id="7" w:name="_Toc4643"/>
      <w:bookmarkStart w:id="8" w:name="_Toc109"/>
      <w:bookmarkStart w:id="9" w:name="_Toc869"/>
      <w:bookmarkStart w:id="10" w:name="_Toc22562"/>
      <w:bookmarkStart w:id="11" w:name="_Toc24179"/>
      <w:bookmarkStart w:id="12" w:name="_Toc16932"/>
      <w:r>
        <w:rPr>
          <w:rFonts w:hint="default" w:ascii="Times New Roman" w:hAnsi="Times New Roman" w:eastAsia="黑体" w:cs="Times New Roman"/>
          <w:snapToGrid w:val="0"/>
          <w:color w:val="000000"/>
          <w:sz w:val="30"/>
          <w:szCs w:val="30"/>
        </w:rPr>
        <w:t>二、建设内容</w:t>
      </w:r>
      <w:bookmarkEnd w:id="7"/>
      <w:bookmarkEnd w:id="8"/>
      <w:bookmarkEnd w:id="9"/>
      <w:bookmarkEnd w:id="10"/>
      <w:bookmarkEnd w:id="11"/>
      <w:bookmarkEnd w:id="12"/>
    </w:p>
    <w:tbl>
      <w:tblPr>
        <w:tblStyle w:val="21"/>
        <w:tblW w:w="9090" w:type="dxa"/>
        <w:jc w:val="center"/>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10"/>
        <w:gridCol w:w="8380"/>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497" w:hRule="atLeast"/>
          <w:jc w:val="center"/>
        </w:trPr>
        <w:tc>
          <w:tcPr>
            <w:tcW w:w="710" w:type="dxa"/>
            <w:noWrap w:val="0"/>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000000"/>
                <w:kern w:val="0"/>
                <w:sz w:val="24"/>
                <w:szCs w:val="24"/>
              </w:rPr>
            </w:pPr>
            <w:r>
              <w:rPr>
                <w:rFonts w:hint="default" w:ascii="Times New Roman" w:hAnsi="Times New Roman" w:cs="Times New Roman"/>
                <w:color w:val="000000"/>
                <w:kern w:val="0"/>
                <w:sz w:val="24"/>
                <w:szCs w:val="24"/>
              </w:rPr>
              <w:t>地理位置</w:t>
            </w:r>
          </w:p>
        </w:tc>
        <w:tc>
          <w:tcPr>
            <w:tcW w:w="8380" w:type="dxa"/>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left"/>
              <w:textAlignment w:val="auto"/>
              <w:rPr>
                <w:rFonts w:hint="default" w:ascii="Times New Roman" w:hAnsi="Times New Roman" w:cs="Times New Roman"/>
                <w:color w:val="000000"/>
                <w:kern w:val="0"/>
                <w:sz w:val="24"/>
                <w:szCs w:val="24"/>
              </w:rPr>
            </w:pPr>
            <w:r>
              <w:rPr>
                <w:rFonts w:hint="default" w:ascii="Times New Roman" w:hAnsi="Times New Roman" w:eastAsia="宋体" w:cs="Times New Roman"/>
                <w:color w:val="000000"/>
                <w:kern w:val="0"/>
                <w:sz w:val="24"/>
                <w:szCs w:val="24"/>
              </w:rPr>
              <w:t>永州市零陵区羊轱岭矿区年开采120万吨石灰岩建设项目位于零陵区石山脚街道燕朝村和梳子铺乡红狮村，地理位置：东经111°30′03″～111°30′25″，北纬26°07′06″～26°07′22″。地理位置图见附图1。</w:t>
            </w:r>
            <w:r>
              <w:rPr>
                <w:rFonts w:hint="eastAsia" w:ascii="Times New Roman" w:hAnsi="Times New Roman" w:eastAsia="宋体" w:cs="Times New Roman"/>
                <w:color w:val="000000"/>
                <w:kern w:val="0"/>
                <w:sz w:val="24"/>
                <w:szCs w:val="24"/>
                <w:lang w:eastAsia="zh-CN"/>
              </w:rPr>
              <w:t>具体位置详见附图。</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2444" w:hRule="atLeast"/>
          <w:jc w:val="center"/>
        </w:trPr>
        <w:tc>
          <w:tcPr>
            <w:tcW w:w="710" w:type="dxa"/>
            <w:noWrap w:val="0"/>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000000"/>
                <w:kern w:val="0"/>
                <w:sz w:val="24"/>
                <w:szCs w:val="24"/>
              </w:rPr>
            </w:pPr>
            <w:r>
              <w:rPr>
                <w:rFonts w:hint="default" w:ascii="Times New Roman" w:hAnsi="Times New Roman" w:cs="Times New Roman"/>
                <w:color w:val="000000"/>
                <w:kern w:val="0"/>
                <w:sz w:val="24"/>
                <w:szCs w:val="24"/>
              </w:rPr>
              <w:t>项目组成及规模</w:t>
            </w:r>
          </w:p>
        </w:tc>
        <w:tc>
          <w:tcPr>
            <w:tcW w:w="8380" w:type="dxa"/>
            <w:noWrap w:val="0"/>
            <w:vAlign w:val="center"/>
          </w:tcPr>
          <w:p>
            <w:pPr>
              <w:keepNext w:val="0"/>
              <w:keepLines w:val="0"/>
              <w:numPr>
                <w:ilvl w:val="0"/>
                <w:numId w:val="2"/>
              </w:numPr>
              <w:suppressLineNumbers w:val="0"/>
              <w:adjustRightInd w:val="0"/>
              <w:snapToGrid w:val="0"/>
              <w:spacing w:before="0" w:beforeAutospacing="0" w:after="0" w:afterAutospacing="0"/>
              <w:ind w:left="0" w:right="0" w:firstLine="482" w:firstLineChars="200"/>
              <w:jc w:val="both"/>
              <w:rPr>
                <w:rFonts w:hint="default" w:ascii="Times New Roman" w:hAnsi="Times New Roman" w:cs="Times New Roman"/>
                <w:b/>
                <w:bCs/>
                <w:kern w:val="0"/>
                <w:sz w:val="24"/>
                <w:szCs w:val="24"/>
              </w:rPr>
            </w:pPr>
            <w:r>
              <w:rPr>
                <w:rFonts w:hint="default" w:ascii="Times New Roman" w:hAnsi="Times New Roman" w:cs="Times New Roman"/>
                <w:b/>
                <w:bCs/>
                <w:kern w:val="0"/>
                <w:sz w:val="24"/>
                <w:szCs w:val="24"/>
              </w:rPr>
              <w:t>项目背景</w:t>
            </w:r>
          </w:p>
          <w:p>
            <w:pPr>
              <w:keepNext w:val="0"/>
              <w:keepLines w:val="0"/>
              <w:numPr>
                <w:ilvl w:val="0"/>
                <w:numId w:val="0"/>
              </w:numPr>
              <w:suppressLineNumbers w:val="0"/>
              <w:adjustRightInd w:val="0"/>
              <w:snapToGrid w:val="0"/>
              <w:spacing w:before="0" w:beforeAutospacing="0" w:after="0" w:afterAutospacing="0"/>
              <w:ind w:left="0" w:right="0" w:firstLine="241" w:firstLineChars="100"/>
              <w:jc w:val="both"/>
              <w:rPr>
                <w:rFonts w:hint="default" w:ascii="Times New Roman" w:hAnsi="Times New Roman" w:eastAsia="宋体" w:cs="Times New Roman"/>
                <w:b/>
                <w:bCs/>
                <w:kern w:val="0"/>
                <w:sz w:val="24"/>
                <w:szCs w:val="24"/>
                <w:lang w:eastAsia="zh-CN"/>
              </w:rPr>
            </w:pPr>
            <w:r>
              <w:rPr>
                <w:rFonts w:hint="default" w:ascii="Times New Roman" w:hAnsi="Times New Roman" w:cs="Times New Roman"/>
                <w:b/>
                <w:bCs/>
                <w:kern w:val="0"/>
                <w:sz w:val="24"/>
                <w:szCs w:val="24"/>
                <w:lang w:eastAsia="zh-CN"/>
              </w:rPr>
              <w:t>（</w:t>
            </w:r>
            <w:r>
              <w:rPr>
                <w:rFonts w:hint="default" w:ascii="Times New Roman" w:hAnsi="Times New Roman" w:cs="Times New Roman"/>
                <w:b/>
                <w:bCs/>
                <w:kern w:val="0"/>
                <w:sz w:val="24"/>
                <w:szCs w:val="24"/>
                <w:lang w:val="en-US" w:eastAsia="zh-CN"/>
              </w:rPr>
              <w:t>1</w:t>
            </w:r>
            <w:r>
              <w:rPr>
                <w:rFonts w:hint="default" w:ascii="Times New Roman" w:hAnsi="Times New Roman" w:cs="Times New Roman"/>
                <w:b/>
                <w:bCs/>
                <w:kern w:val="0"/>
                <w:sz w:val="24"/>
                <w:szCs w:val="24"/>
                <w:lang w:eastAsia="zh-CN"/>
              </w:rPr>
              <w:t>）原环评基本情况说明</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left"/>
              <w:textAlignment w:val="auto"/>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湖南省永州市零陵区羊轱岭矿区建筑石料用石灰岩矿系湖南省自然资源厅拟列入2020年度出让采矿权的新建矿山。2020年7月中国建筑材料工业地质勘查中心湖南总队组织测量及地质人员在对矿区进行地形、地质测量及地质勘查工作的基础上，编写了《湖南省永州市零陵区羊轱岭矿区建筑用石灰岩矿勘查报告》（备案文号：湘自然资储备字「2020」80号文），在矿山范围内+145m标高以上，共求得建筑石料用灰岩矿控制资源量493万立方米（1329万吨），其中Ⅰ号矿体控制资源量108万立方米（295万吨）、Ⅱ号矿体控制资源量347万立方米（934万吨）、Ⅲ号矿体控制资源量38万立方米（100万吨）。</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left"/>
              <w:textAlignment w:val="auto"/>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目前，零陵区羊轱岭矿区建筑石料用石灰岩矿矿权已出让，由湖南泰盛矿业有限责任公司负责年开采120万吨石灰岩建设项目，湖南泰盛矿业有限责任公司特委托</w:t>
            </w:r>
            <w:r>
              <w:rPr>
                <w:rFonts w:hint="eastAsia" w:cs="Times New Roman"/>
                <w:kern w:val="0"/>
                <w:sz w:val="24"/>
                <w:szCs w:val="24"/>
                <w:lang w:eastAsia="zh-CN"/>
              </w:rPr>
              <w:t>湖南振德环保科技有限公司</w:t>
            </w:r>
            <w:r>
              <w:rPr>
                <w:rFonts w:hint="default" w:ascii="Times New Roman" w:hAnsi="Times New Roman" w:eastAsia="宋体" w:cs="Times New Roman"/>
                <w:kern w:val="0"/>
                <w:sz w:val="24"/>
                <w:szCs w:val="24"/>
              </w:rPr>
              <w:t>对永州市零陵区羊轱岭矿区年开采120万吨石灰岩建设项目进行环境影响评价</w:t>
            </w:r>
            <w:r>
              <w:rPr>
                <w:rFonts w:hint="default" w:ascii="Times New Roman" w:hAnsi="Times New Roman" w:cs="Times New Roman"/>
                <w:kern w:val="0"/>
                <w:sz w:val="24"/>
                <w:szCs w:val="24"/>
                <w:lang w:eastAsia="zh-CN"/>
              </w:rPr>
              <w:t>，</w:t>
            </w:r>
            <w:r>
              <w:rPr>
                <w:rFonts w:hint="default" w:ascii="Times New Roman" w:hAnsi="Times New Roman" w:cs="Times New Roman"/>
                <w:kern w:val="0"/>
                <w:sz w:val="24"/>
                <w:szCs w:val="24"/>
                <w:lang w:val="en-US" w:eastAsia="zh-CN"/>
              </w:rPr>
              <w:t>2023年2月2日取得《关于永州市零陵区羊轴岭矿区年开采120万吨石灰岩建设项目环境影响报告表的批复》（零环评【2023】01号）</w:t>
            </w:r>
            <w:r>
              <w:rPr>
                <w:rFonts w:hint="default" w:ascii="Times New Roman" w:hAnsi="Times New Roman" w:eastAsia="宋体" w:cs="Times New Roman"/>
                <w:kern w:val="0"/>
                <w:sz w:val="24"/>
                <w:szCs w:val="24"/>
              </w:rPr>
              <w:t>。</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2" w:firstLineChars="200"/>
              <w:jc w:val="left"/>
              <w:textAlignment w:val="auto"/>
              <w:rPr>
                <w:rFonts w:hint="default" w:ascii="Times New Roman" w:hAnsi="Times New Roman" w:cs="Times New Roman"/>
                <w:b/>
                <w:bCs/>
                <w:color w:val="auto"/>
                <w:kern w:val="0"/>
                <w:sz w:val="24"/>
                <w:szCs w:val="24"/>
                <w:lang w:val="en-US" w:eastAsia="zh-CN"/>
              </w:rPr>
            </w:pPr>
            <w:r>
              <w:rPr>
                <w:rFonts w:hint="default" w:ascii="Times New Roman" w:hAnsi="Times New Roman" w:cs="Times New Roman"/>
                <w:b/>
                <w:bCs/>
                <w:color w:val="auto"/>
                <w:kern w:val="0"/>
                <w:sz w:val="24"/>
                <w:szCs w:val="24"/>
                <w:lang w:val="en-US" w:eastAsia="zh-CN"/>
              </w:rPr>
              <w:t>（2）重大变动判定</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2" w:firstLineChars="200"/>
              <w:jc w:val="left"/>
              <w:textAlignment w:val="auto"/>
              <w:rPr>
                <w:rFonts w:hint="default" w:ascii="Times New Roman" w:hAnsi="Times New Roman" w:cs="Times New Roman"/>
                <w:b/>
                <w:bCs/>
                <w:color w:val="auto"/>
                <w:kern w:val="0"/>
                <w:sz w:val="24"/>
                <w:szCs w:val="24"/>
                <w:lang w:val="en-US" w:eastAsia="zh-CN"/>
              </w:rPr>
            </w:pPr>
            <w:r>
              <w:rPr>
                <w:rFonts w:hint="default" w:ascii="Times New Roman" w:hAnsi="Times New Roman" w:cs="Times New Roman"/>
                <w:b/>
                <w:bCs/>
                <w:color w:val="auto"/>
                <w:kern w:val="0"/>
                <w:sz w:val="24"/>
                <w:szCs w:val="24"/>
                <w:lang w:val="en-US" w:eastAsia="zh-CN"/>
              </w:rPr>
              <w:t>企业取得环评批复后已经完成基本建设，现由于企业自身发展需求及储存需要等，企业拟调整建设规模并进行重新报批。根据《永州市零陵区羊轴岭矿区年开采120万吨石灰岩建设项目环境影响报告表》、“零环评【2023】01号”及重新选址后项目的设计资料，并对选址前后地块进行现场踏勘核实，对永州市零陵区羊牯岭矿区年开采120万吨石灰岩建设项目变动情况列表如下：</w:t>
            </w:r>
          </w:p>
          <w:p>
            <w:pPr>
              <w:keepNext w:val="0"/>
              <w:keepLines w:val="0"/>
              <w:suppressLineNumbers w:val="0"/>
              <w:adjustRightInd w:val="0"/>
              <w:snapToGrid w:val="0"/>
              <w:spacing w:before="0" w:beforeAutospacing="0" w:after="0" w:afterAutospacing="0" w:line="360" w:lineRule="auto"/>
              <w:ind w:left="0" w:right="0" w:firstLine="482" w:firstLineChars="200"/>
              <w:jc w:val="center"/>
              <w:rPr>
                <w:rFonts w:hint="default" w:ascii="Times New Roman" w:hAnsi="Times New Roman" w:eastAsia="宋体" w:cs="Times New Roman"/>
                <w:b/>
                <w:bCs/>
                <w:color w:val="000000"/>
                <w:sz w:val="24"/>
                <w:szCs w:val="24"/>
                <w:u w:val="none"/>
                <w:lang w:val="en-US" w:eastAsia="zh-CN"/>
              </w:rPr>
            </w:pPr>
            <w:r>
              <w:rPr>
                <w:rFonts w:hint="default" w:ascii="Times New Roman" w:hAnsi="Times New Roman" w:eastAsia="宋体" w:cs="Times New Roman"/>
                <w:b/>
                <w:bCs/>
                <w:color w:val="000000"/>
                <w:sz w:val="24"/>
                <w:szCs w:val="24"/>
                <w:u w:val="none"/>
                <w:lang w:val="en-US" w:eastAsia="zh-CN"/>
              </w:rPr>
              <w:t>表2-</w:t>
            </w:r>
            <w:r>
              <w:rPr>
                <w:rFonts w:hint="eastAsia" w:ascii="Times New Roman" w:hAnsi="Times New Roman" w:cs="Times New Roman"/>
                <w:b/>
                <w:bCs/>
                <w:color w:val="000000"/>
                <w:sz w:val="24"/>
                <w:szCs w:val="24"/>
                <w:u w:val="none"/>
                <w:lang w:val="en-US" w:eastAsia="zh-CN"/>
              </w:rPr>
              <w:t>1</w:t>
            </w:r>
            <w:r>
              <w:rPr>
                <w:rFonts w:hint="default" w:ascii="Times New Roman" w:hAnsi="Times New Roman" w:eastAsia="宋体" w:cs="Times New Roman"/>
                <w:b/>
                <w:bCs/>
                <w:color w:val="000000"/>
                <w:sz w:val="24"/>
                <w:szCs w:val="24"/>
                <w:u w:val="none"/>
                <w:lang w:val="en-US" w:eastAsia="zh-CN"/>
              </w:rPr>
              <w:t>本项目变动内容一览表</w:t>
            </w:r>
          </w:p>
          <w:tbl>
            <w:tblPr>
              <w:tblStyle w:val="21"/>
              <w:tblW w:w="8164" w:type="dxa"/>
              <w:tblInd w:w="-1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512"/>
              <w:gridCol w:w="1996"/>
              <w:gridCol w:w="2169"/>
              <w:gridCol w:w="1327"/>
              <w:gridCol w:w="116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PrEx>
              <w:tc>
                <w:tcPr>
                  <w:tcW w:w="1512" w:type="dxa"/>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
                      <w:bCs/>
                      <w:color w:val="000000"/>
                      <w:kern w:val="0"/>
                      <w:sz w:val="21"/>
                      <w:szCs w:val="21"/>
                      <w:u w:val="none"/>
                      <w:vertAlign w:val="baseline"/>
                      <w:lang w:val="en-US" w:eastAsia="zh-CN"/>
                    </w:rPr>
                  </w:pPr>
                  <w:r>
                    <w:rPr>
                      <w:rFonts w:hint="default" w:ascii="Times New Roman" w:hAnsi="Times New Roman" w:eastAsia="宋体" w:cs="Times New Roman"/>
                      <w:b/>
                      <w:bCs/>
                      <w:color w:val="000000"/>
                      <w:kern w:val="0"/>
                      <w:sz w:val="21"/>
                      <w:szCs w:val="21"/>
                      <w:u w:val="none"/>
                      <w:vertAlign w:val="baseline"/>
                      <w:lang w:val="en-US" w:eastAsia="zh-CN"/>
                    </w:rPr>
                    <w:t>工程内容</w:t>
                  </w:r>
                </w:p>
              </w:tc>
              <w:tc>
                <w:tcPr>
                  <w:tcW w:w="1996" w:type="dxa"/>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
                      <w:bCs/>
                      <w:color w:val="000000"/>
                      <w:kern w:val="0"/>
                      <w:sz w:val="21"/>
                      <w:szCs w:val="21"/>
                      <w:u w:val="none"/>
                      <w:vertAlign w:val="baseline"/>
                      <w:lang w:val="en-US" w:eastAsia="zh-CN"/>
                    </w:rPr>
                  </w:pPr>
                  <w:r>
                    <w:rPr>
                      <w:rFonts w:hint="default" w:ascii="Times New Roman" w:hAnsi="Times New Roman" w:eastAsia="宋体" w:cs="Times New Roman"/>
                      <w:b/>
                      <w:bCs/>
                      <w:color w:val="000000"/>
                      <w:kern w:val="0"/>
                      <w:sz w:val="21"/>
                      <w:szCs w:val="21"/>
                      <w:u w:val="none"/>
                      <w:vertAlign w:val="baseline"/>
                      <w:lang w:val="en-US" w:eastAsia="zh-CN"/>
                    </w:rPr>
                    <w:t>原批复内容</w:t>
                  </w:r>
                </w:p>
              </w:tc>
              <w:tc>
                <w:tcPr>
                  <w:tcW w:w="2169" w:type="dxa"/>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
                      <w:bCs/>
                      <w:color w:val="000000"/>
                      <w:kern w:val="0"/>
                      <w:sz w:val="21"/>
                      <w:szCs w:val="21"/>
                      <w:u w:val="none"/>
                      <w:vertAlign w:val="baseline"/>
                      <w:lang w:val="en-US" w:eastAsia="zh-CN"/>
                    </w:rPr>
                  </w:pPr>
                  <w:r>
                    <w:rPr>
                      <w:rFonts w:hint="default" w:ascii="Times New Roman" w:hAnsi="Times New Roman" w:eastAsia="宋体" w:cs="Times New Roman"/>
                      <w:b/>
                      <w:bCs/>
                      <w:color w:val="000000"/>
                      <w:kern w:val="0"/>
                      <w:sz w:val="21"/>
                      <w:szCs w:val="21"/>
                      <w:u w:val="none"/>
                      <w:vertAlign w:val="baseline"/>
                      <w:lang w:val="en-US" w:eastAsia="zh-CN"/>
                    </w:rPr>
                    <w:t>变动后内容</w:t>
                  </w:r>
                </w:p>
              </w:tc>
              <w:tc>
                <w:tcPr>
                  <w:tcW w:w="1327" w:type="dxa"/>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
                      <w:bCs/>
                      <w:color w:val="000000"/>
                      <w:kern w:val="0"/>
                      <w:sz w:val="21"/>
                      <w:szCs w:val="21"/>
                      <w:u w:val="none"/>
                      <w:vertAlign w:val="baseline"/>
                      <w:lang w:val="en-US" w:eastAsia="zh-CN"/>
                    </w:rPr>
                  </w:pPr>
                  <w:r>
                    <w:rPr>
                      <w:rFonts w:hint="default" w:ascii="Times New Roman" w:hAnsi="Times New Roman" w:eastAsia="宋体" w:cs="Times New Roman"/>
                      <w:b/>
                      <w:bCs/>
                      <w:color w:val="000000"/>
                      <w:kern w:val="0"/>
                      <w:sz w:val="21"/>
                      <w:szCs w:val="21"/>
                      <w:u w:val="none"/>
                      <w:vertAlign w:val="baseline"/>
                      <w:lang w:val="en-US" w:eastAsia="zh-CN"/>
                    </w:rPr>
                    <w:t>变化情况</w:t>
                  </w:r>
                </w:p>
              </w:tc>
              <w:tc>
                <w:tcPr>
                  <w:tcW w:w="1160" w:type="dxa"/>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
                      <w:bCs/>
                      <w:color w:val="000000"/>
                      <w:kern w:val="0"/>
                      <w:sz w:val="21"/>
                      <w:szCs w:val="21"/>
                      <w:u w:val="none"/>
                      <w:vertAlign w:val="baseline"/>
                      <w:lang w:val="en-US" w:eastAsia="zh-CN"/>
                    </w:rPr>
                  </w:pPr>
                  <w:r>
                    <w:rPr>
                      <w:rFonts w:hint="default" w:ascii="Times New Roman" w:hAnsi="Times New Roman" w:eastAsia="宋体" w:cs="Times New Roman"/>
                      <w:b/>
                      <w:bCs/>
                      <w:color w:val="000000"/>
                      <w:kern w:val="0"/>
                      <w:sz w:val="21"/>
                      <w:szCs w:val="21"/>
                      <w:u w:val="none"/>
                      <w:vertAlign w:val="baseline"/>
                      <w:lang w:val="en-US" w:eastAsia="zh-CN"/>
                    </w:rPr>
                    <w:t>是否构成重大变动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c>
                <w:tcPr>
                  <w:tcW w:w="1512" w:type="dxa"/>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color w:val="000000"/>
                      <w:kern w:val="0"/>
                      <w:sz w:val="21"/>
                      <w:szCs w:val="21"/>
                      <w:u w:val="none"/>
                      <w:vertAlign w:val="baseline"/>
                      <w:lang w:val="en-US" w:eastAsia="zh-CN"/>
                    </w:rPr>
                  </w:pPr>
                  <w:r>
                    <w:rPr>
                      <w:rFonts w:hint="default" w:ascii="Times New Roman" w:hAnsi="Times New Roman" w:eastAsia="宋体" w:cs="Times New Roman"/>
                      <w:color w:val="000000"/>
                      <w:kern w:val="0"/>
                      <w:sz w:val="21"/>
                      <w:szCs w:val="21"/>
                      <w:u w:val="none"/>
                      <w:vertAlign w:val="baseline"/>
                      <w:lang w:val="en-US" w:eastAsia="zh-CN"/>
                    </w:rPr>
                    <w:t>建设内容</w:t>
                  </w:r>
                </w:p>
              </w:tc>
              <w:tc>
                <w:tcPr>
                  <w:tcW w:w="1996" w:type="dxa"/>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color w:val="000000"/>
                      <w:kern w:val="0"/>
                      <w:sz w:val="21"/>
                      <w:szCs w:val="21"/>
                      <w:u w:val="none"/>
                      <w:vertAlign w:val="baseline"/>
                      <w:lang w:val="en-US" w:eastAsia="zh-CN"/>
                    </w:rPr>
                  </w:pPr>
                  <w:r>
                    <w:rPr>
                      <w:rFonts w:hint="default" w:ascii="Times New Roman" w:hAnsi="Times New Roman" w:eastAsia="宋体" w:cs="Times New Roman"/>
                      <w:color w:val="000000"/>
                      <w:kern w:val="0"/>
                      <w:sz w:val="21"/>
                      <w:szCs w:val="21"/>
                      <w:u w:val="none"/>
                      <w:vertAlign w:val="baseline"/>
                      <w:lang w:val="en-US" w:eastAsia="zh-CN"/>
                    </w:rPr>
                    <w:t>项目总面积约205144m</w:t>
                  </w:r>
                  <w:r>
                    <w:rPr>
                      <w:rFonts w:hint="default" w:ascii="Times New Roman" w:hAnsi="Times New Roman" w:eastAsia="宋体" w:cs="Times New Roman"/>
                      <w:color w:val="000000"/>
                      <w:kern w:val="0"/>
                      <w:sz w:val="21"/>
                      <w:szCs w:val="21"/>
                      <w:u w:val="none"/>
                      <w:vertAlign w:val="superscript"/>
                      <w:lang w:val="en-US" w:eastAsia="zh-CN"/>
                    </w:rPr>
                    <w:t>2</w:t>
                  </w:r>
                  <w:r>
                    <w:rPr>
                      <w:rFonts w:hint="default" w:ascii="Times New Roman" w:hAnsi="Times New Roman" w:eastAsia="宋体" w:cs="Times New Roman"/>
                      <w:color w:val="000000"/>
                      <w:kern w:val="0"/>
                      <w:sz w:val="21"/>
                      <w:szCs w:val="21"/>
                      <w:u w:val="none"/>
                      <w:vertAlign w:val="baseline"/>
                      <w:lang w:val="en-US" w:eastAsia="zh-CN"/>
                    </w:rPr>
                    <w:t>其中露天开采面181000m</w:t>
                  </w:r>
                  <w:r>
                    <w:rPr>
                      <w:rFonts w:hint="default" w:ascii="Times New Roman" w:hAnsi="Times New Roman" w:eastAsia="宋体" w:cs="Times New Roman"/>
                      <w:color w:val="000000"/>
                      <w:kern w:val="0"/>
                      <w:sz w:val="21"/>
                      <w:szCs w:val="21"/>
                      <w:u w:val="none"/>
                      <w:vertAlign w:val="superscript"/>
                      <w:lang w:val="en-US" w:eastAsia="zh-CN"/>
                    </w:rPr>
                    <w:t>2</w:t>
                  </w:r>
                  <w:r>
                    <w:rPr>
                      <w:rFonts w:hint="default" w:ascii="Times New Roman" w:hAnsi="Times New Roman" w:eastAsia="宋体" w:cs="Times New Roman"/>
                      <w:color w:val="000000"/>
                      <w:kern w:val="0"/>
                      <w:sz w:val="21"/>
                      <w:szCs w:val="21"/>
                      <w:u w:val="none"/>
                      <w:vertAlign w:val="baseline"/>
                      <w:lang w:val="en-US" w:eastAsia="zh-CN"/>
                    </w:rPr>
                    <w:t>，工业场地占地面积22800m</w:t>
                  </w:r>
                  <w:r>
                    <w:rPr>
                      <w:rFonts w:hint="default" w:ascii="Times New Roman" w:hAnsi="Times New Roman" w:eastAsia="宋体" w:cs="Times New Roman"/>
                      <w:color w:val="000000"/>
                      <w:kern w:val="0"/>
                      <w:sz w:val="21"/>
                      <w:szCs w:val="21"/>
                      <w:u w:val="none"/>
                      <w:vertAlign w:val="superscript"/>
                      <w:lang w:val="en-US" w:eastAsia="zh-CN"/>
                    </w:rPr>
                    <w:t>2</w:t>
                  </w:r>
                  <w:r>
                    <w:rPr>
                      <w:rFonts w:hint="default" w:ascii="Times New Roman" w:hAnsi="Times New Roman" w:eastAsia="宋体" w:cs="Times New Roman"/>
                      <w:color w:val="000000"/>
                      <w:kern w:val="0"/>
                      <w:sz w:val="21"/>
                      <w:szCs w:val="21"/>
                      <w:u w:val="none"/>
                      <w:vertAlign w:val="baseline"/>
                      <w:lang w:val="en-US" w:eastAsia="zh-CN"/>
                    </w:rPr>
                    <w:t>，办公生活区占地面1344m</w:t>
                  </w:r>
                  <w:r>
                    <w:rPr>
                      <w:rFonts w:hint="default" w:ascii="Times New Roman" w:hAnsi="Times New Roman" w:eastAsia="宋体" w:cs="Times New Roman"/>
                      <w:color w:val="000000"/>
                      <w:kern w:val="0"/>
                      <w:sz w:val="21"/>
                      <w:szCs w:val="21"/>
                      <w:u w:val="none"/>
                      <w:vertAlign w:val="superscript"/>
                      <w:lang w:val="en-US" w:eastAsia="zh-CN"/>
                    </w:rPr>
                    <w:t>2</w:t>
                  </w:r>
                  <w:r>
                    <w:rPr>
                      <w:rFonts w:hint="default" w:ascii="Times New Roman" w:hAnsi="Times New Roman" w:eastAsia="宋体" w:cs="Times New Roman"/>
                      <w:color w:val="000000"/>
                      <w:kern w:val="0"/>
                      <w:sz w:val="21"/>
                      <w:szCs w:val="21"/>
                      <w:u w:val="none"/>
                      <w:vertAlign w:val="baseline"/>
                      <w:lang w:val="en-US" w:eastAsia="zh-CN"/>
                    </w:rPr>
                    <w:t>)。项目主要建设露天开采区、工业广场、排土场、办公区及配套运输公路等。</w:t>
                  </w:r>
                </w:p>
              </w:tc>
              <w:tc>
                <w:tcPr>
                  <w:tcW w:w="2169" w:type="dxa"/>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color w:val="000000"/>
                      <w:kern w:val="0"/>
                      <w:sz w:val="21"/>
                      <w:szCs w:val="21"/>
                      <w:u w:val="none"/>
                      <w:vertAlign w:val="baseline"/>
                      <w:lang w:val="en-US" w:eastAsia="zh-CN"/>
                    </w:rPr>
                  </w:pPr>
                  <w:r>
                    <w:rPr>
                      <w:rFonts w:hint="default" w:ascii="Times New Roman" w:hAnsi="Times New Roman" w:eastAsia="宋体" w:cs="Times New Roman"/>
                      <w:color w:val="000000"/>
                      <w:kern w:val="0"/>
                      <w:sz w:val="21"/>
                      <w:szCs w:val="21"/>
                      <w:u w:val="none"/>
                      <w:vertAlign w:val="baseline"/>
                      <w:lang w:val="en-US" w:eastAsia="zh-CN"/>
                    </w:rPr>
                    <w:t>项目总面积约</w:t>
                  </w:r>
                  <w:r>
                    <w:rPr>
                      <w:rFonts w:hint="eastAsia" w:cs="Times New Roman"/>
                      <w:color w:val="auto"/>
                      <w:kern w:val="0"/>
                      <w:sz w:val="21"/>
                      <w:szCs w:val="21"/>
                      <w:u w:val="none"/>
                      <w:vertAlign w:val="baseline"/>
                      <w:lang w:val="en-US" w:eastAsia="zh-CN"/>
                    </w:rPr>
                    <w:t>229371</w:t>
                  </w:r>
                  <w:r>
                    <w:rPr>
                      <w:rFonts w:hint="default" w:ascii="Times New Roman" w:hAnsi="Times New Roman" w:eastAsia="宋体" w:cs="Times New Roman"/>
                      <w:color w:val="000000"/>
                      <w:kern w:val="0"/>
                      <w:sz w:val="21"/>
                      <w:szCs w:val="21"/>
                      <w:u w:val="none"/>
                      <w:vertAlign w:val="baseline"/>
                      <w:lang w:val="en-US" w:eastAsia="zh-CN"/>
                    </w:rPr>
                    <w:t>m</w:t>
                  </w:r>
                  <w:r>
                    <w:rPr>
                      <w:rFonts w:hint="default" w:ascii="Times New Roman" w:hAnsi="Times New Roman" w:eastAsia="宋体" w:cs="Times New Roman"/>
                      <w:color w:val="000000"/>
                      <w:kern w:val="0"/>
                      <w:sz w:val="21"/>
                      <w:szCs w:val="21"/>
                      <w:u w:val="none"/>
                      <w:vertAlign w:val="superscript"/>
                      <w:lang w:val="en-US" w:eastAsia="zh-CN"/>
                    </w:rPr>
                    <w:t>2</w:t>
                  </w:r>
                  <w:r>
                    <w:rPr>
                      <w:rFonts w:hint="default" w:ascii="Times New Roman" w:hAnsi="Times New Roman" w:eastAsia="宋体" w:cs="Times New Roman"/>
                      <w:color w:val="000000"/>
                      <w:kern w:val="0"/>
                      <w:sz w:val="21"/>
                      <w:szCs w:val="21"/>
                      <w:u w:val="none"/>
                      <w:vertAlign w:val="baseline"/>
                      <w:lang w:val="en-US" w:eastAsia="zh-CN"/>
                    </w:rPr>
                    <w:t>其中露天开采面181000m</w:t>
                  </w:r>
                  <w:r>
                    <w:rPr>
                      <w:rFonts w:hint="default" w:ascii="Times New Roman" w:hAnsi="Times New Roman" w:eastAsia="宋体" w:cs="Times New Roman"/>
                      <w:color w:val="000000"/>
                      <w:kern w:val="0"/>
                      <w:sz w:val="21"/>
                      <w:szCs w:val="21"/>
                      <w:u w:val="none"/>
                      <w:vertAlign w:val="superscript"/>
                      <w:lang w:val="en-US" w:eastAsia="zh-CN"/>
                    </w:rPr>
                    <w:t>2</w:t>
                  </w:r>
                  <w:r>
                    <w:rPr>
                      <w:rFonts w:hint="default" w:ascii="Times New Roman" w:hAnsi="Times New Roman" w:eastAsia="宋体" w:cs="Times New Roman"/>
                      <w:color w:val="000000"/>
                      <w:kern w:val="0"/>
                      <w:sz w:val="21"/>
                      <w:szCs w:val="21"/>
                      <w:u w:val="none"/>
                      <w:vertAlign w:val="baseline"/>
                      <w:lang w:val="en-US" w:eastAsia="zh-CN"/>
                    </w:rPr>
                    <w:t>，工业场地占地面积22800m</w:t>
                  </w:r>
                  <w:r>
                    <w:rPr>
                      <w:rFonts w:hint="default" w:ascii="Times New Roman" w:hAnsi="Times New Roman" w:eastAsia="宋体" w:cs="Times New Roman"/>
                      <w:color w:val="000000"/>
                      <w:kern w:val="0"/>
                      <w:sz w:val="21"/>
                      <w:szCs w:val="21"/>
                      <w:u w:val="none"/>
                      <w:vertAlign w:val="superscript"/>
                      <w:lang w:val="en-US" w:eastAsia="zh-CN"/>
                    </w:rPr>
                    <w:t>2</w:t>
                  </w:r>
                  <w:r>
                    <w:rPr>
                      <w:rFonts w:hint="default" w:ascii="Times New Roman" w:hAnsi="Times New Roman" w:eastAsia="宋体" w:cs="Times New Roman"/>
                      <w:color w:val="000000"/>
                      <w:kern w:val="0"/>
                      <w:sz w:val="21"/>
                      <w:szCs w:val="21"/>
                      <w:u w:val="none"/>
                      <w:vertAlign w:val="baseline"/>
                      <w:lang w:val="en-US" w:eastAsia="zh-CN"/>
                    </w:rPr>
                    <w:t>，办公生活区占地面1344m</w:t>
                  </w:r>
                  <w:r>
                    <w:rPr>
                      <w:rFonts w:hint="default" w:ascii="Times New Roman" w:hAnsi="Times New Roman" w:eastAsia="宋体" w:cs="Times New Roman"/>
                      <w:color w:val="000000"/>
                      <w:kern w:val="0"/>
                      <w:sz w:val="21"/>
                      <w:szCs w:val="21"/>
                      <w:u w:val="none"/>
                      <w:vertAlign w:val="superscript"/>
                      <w:lang w:val="en-US" w:eastAsia="zh-CN"/>
                    </w:rPr>
                    <w:t>2</w:t>
                  </w:r>
                  <w:r>
                    <w:rPr>
                      <w:rFonts w:hint="default" w:ascii="Times New Roman" w:hAnsi="Times New Roman" w:cs="Times New Roman"/>
                      <w:color w:val="000000"/>
                      <w:kern w:val="0"/>
                      <w:sz w:val="21"/>
                      <w:szCs w:val="21"/>
                      <w:u w:val="none"/>
                      <w:vertAlign w:val="baseline"/>
                      <w:lang w:val="en-US" w:eastAsia="zh-CN"/>
                    </w:rPr>
                    <w:t>、</w:t>
                  </w:r>
                  <w:r>
                    <w:rPr>
                      <w:rFonts w:hint="default" w:ascii="Times New Roman" w:hAnsi="Times New Roman" w:eastAsia="宋体" w:cs="Times New Roman"/>
                      <w:color w:val="000000"/>
                      <w:kern w:val="0"/>
                      <w:sz w:val="21"/>
                      <w:szCs w:val="21"/>
                      <w:u w:val="none"/>
                      <w:vertAlign w:val="baseline"/>
                      <w:lang w:val="en-US" w:eastAsia="zh-CN"/>
                    </w:rPr>
                    <w:t>新增表土堆场19927m</w:t>
                  </w:r>
                  <w:r>
                    <w:rPr>
                      <w:rFonts w:hint="default" w:ascii="Times New Roman" w:hAnsi="Times New Roman" w:eastAsia="宋体" w:cs="Times New Roman"/>
                      <w:color w:val="000000"/>
                      <w:kern w:val="0"/>
                      <w:sz w:val="21"/>
                      <w:szCs w:val="21"/>
                      <w:u w:val="none"/>
                      <w:vertAlign w:val="superscript"/>
                      <w:lang w:val="en-US" w:eastAsia="zh-CN"/>
                    </w:rPr>
                    <w:t>2</w:t>
                  </w:r>
                  <w:r>
                    <w:rPr>
                      <w:rFonts w:hint="default" w:ascii="Times New Roman" w:hAnsi="Times New Roman" w:eastAsia="宋体" w:cs="Times New Roman"/>
                      <w:color w:val="000000"/>
                      <w:kern w:val="0"/>
                      <w:sz w:val="21"/>
                      <w:szCs w:val="21"/>
                      <w:u w:val="none"/>
                      <w:vertAlign w:val="baseline"/>
                      <w:lang w:val="en-US" w:eastAsia="zh-CN"/>
                    </w:rPr>
                    <w:t>、</w:t>
                  </w:r>
                  <w:r>
                    <w:rPr>
                      <w:rFonts w:hint="eastAsia" w:cs="Times New Roman"/>
                      <w:color w:val="000000"/>
                      <w:kern w:val="0"/>
                      <w:sz w:val="21"/>
                      <w:szCs w:val="21"/>
                      <w:u w:val="none"/>
                      <w:vertAlign w:val="baseline"/>
                      <w:lang w:val="en-US" w:eastAsia="zh-CN"/>
                    </w:rPr>
                    <w:t>成品中转堆场4300</w:t>
                  </w:r>
                  <w:r>
                    <w:rPr>
                      <w:rFonts w:hint="default" w:ascii="Times New Roman" w:hAnsi="Times New Roman" w:eastAsia="宋体" w:cs="Times New Roman"/>
                      <w:color w:val="000000"/>
                      <w:kern w:val="0"/>
                      <w:sz w:val="21"/>
                      <w:szCs w:val="21"/>
                      <w:u w:val="none"/>
                      <w:vertAlign w:val="baseline"/>
                      <w:lang w:val="en-US" w:eastAsia="zh-CN"/>
                    </w:rPr>
                    <w:t>m</w:t>
                  </w:r>
                  <w:r>
                    <w:rPr>
                      <w:rFonts w:hint="default" w:ascii="Times New Roman" w:hAnsi="Times New Roman" w:eastAsia="宋体" w:cs="Times New Roman"/>
                      <w:color w:val="000000"/>
                      <w:kern w:val="0"/>
                      <w:sz w:val="21"/>
                      <w:szCs w:val="21"/>
                      <w:u w:val="none"/>
                      <w:vertAlign w:val="superscript"/>
                      <w:lang w:val="en-US" w:eastAsia="zh-CN"/>
                    </w:rPr>
                    <w:t>2</w:t>
                  </w:r>
                  <w:r>
                    <w:rPr>
                      <w:rFonts w:hint="default" w:ascii="Times New Roman" w:hAnsi="Times New Roman" w:eastAsia="宋体" w:cs="Times New Roman"/>
                      <w:color w:val="000000"/>
                      <w:kern w:val="0"/>
                      <w:sz w:val="21"/>
                      <w:szCs w:val="21"/>
                      <w:u w:val="none"/>
                      <w:vertAlign w:val="baseline"/>
                      <w:lang w:val="en-US" w:eastAsia="zh-CN"/>
                    </w:rPr>
                    <w:t>)。项目主要建设露天开采区、工业广场、表土堆场、</w:t>
                  </w:r>
                  <w:r>
                    <w:rPr>
                      <w:rFonts w:hint="eastAsia" w:cs="Times New Roman"/>
                      <w:color w:val="000000"/>
                      <w:kern w:val="0"/>
                      <w:sz w:val="21"/>
                      <w:szCs w:val="21"/>
                      <w:u w:val="none"/>
                      <w:vertAlign w:val="baseline"/>
                      <w:lang w:val="en-US" w:eastAsia="zh-CN"/>
                    </w:rPr>
                    <w:t>成品中转堆场、</w:t>
                  </w:r>
                  <w:r>
                    <w:rPr>
                      <w:rFonts w:hint="eastAsia" w:ascii="Times New Roman" w:hAnsi="Times New Roman" w:cs="Times New Roman"/>
                      <w:color w:val="000000"/>
                      <w:kern w:val="0"/>
                      <w:sz w:val="21"/>
                      <w:szCs w:val="21"/>
                      <w:u w:val="none"/>
                      <w:vertAlign w:val="baseline"/>
                      <w:lang w:val="en-US" w:eastAsia="zh-CN"/>
                    </w:rPr>
                    <w:t>坑内排土场、</w:t>
                  </w:r>
                  <w:r>
                    <w:rPr>
                      <w:rFonts w:hint="default" w:ascii="Times New Roman" w:hAnsi="Times New Roman" w:eastAsia="宋体" w:cs="Times New Roman"/>
                      <w:color w:val="000000"/>
                      <w:kern w:val="0"/>
                      <w:sz w:val="21"/>
                      <w:szCs w:val="21"/>
                      <w:u w:val="none"/>
                      <w:vertAlign w:val="baseline"/>
                      <w:lang w:val="en-US" w:eastAsia="zh-CN"/>
                    </w:rPr>
                    <w:t>办公区及配套运输公路等</w:t>
                  </w:r>
                </w:p>
              </w:tc>
              <w:tc>
                <w:tcPr>
                  <w:tcW w:w="1327" w:type="dxa"/>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color w:val="000000"/>
                      <w:kern w:val="0"/>
                      <w:sz w:val="21"/>
                      <w:szCs w:val="21"/>
                      <w:u w:val="none"/>
                      <w:vertAlign w:val="baseline"/>
                      <w:lang w:val="en-US" w:eastAsia="zh-CN"/>
                    </w:rPr>
                  </w:pPr>
                  <w:r>
                    <w:rPr>
                      <w:rFonts w:hint="default" w:ascii="Times New Roman" w:hAnsi="Times New Roman" w:eastAsia="宋体" w:cs="Times New Roman"/>
                      <w:color w:val="000000"/>
                      <w:kern w:val="0"/>
                      <w:sz w:val="21"/>
                      <w:szCs w:val="21"/>
                      <w:u w:val="none"/>
                      <w:vertAlign w:val="baseline"/>
                      <w:lang w:val="en-US" w:eastAsia="zh-CN"/>
                    </w:rPr>
                    <w:t>新增表土堆场</w:t>
                  </w:r>
                  <w:r>
                    <w:rPr>
                      <w:rFonts w:hint="default" w:ascii="Times New Roman" w:hAnsi="Times New Roman" w:cs="Times New Roman"/>
                      <w:color w:val="000000"/>
                      <w:kern w:val="0"/>
                      <w:sz w:val="21"/>
                      <w:szCs w:val="21"/>
                      <w:u w:val="none"/>
                      <w:vertAlign w:val="baseline"/>
                      <w:lang w:val="en-US" w:eastAsia="zh-CN"/>
                    </w:rPr>
                    <w:t>，用于堆存剥离的表土；</w:t>
                  </w:r>
                  <w:r>
                    <w:rPr>
                      <w:rFonts w:hint="eastAsia" w:cs="Times New Roman"/>
                      <w:color w:val="000000"/>
                      <w:kern w:val="0"/>
                      <w:sz w:val="21"/>
                      <w:szCs w:val="21"/>
                      <w:u w:val="none"/>
                      <w:vertAlign w:val="baseline"/>
                      <w:lang w:val="en-US" w:eastAsia="zh-CN"/>
                    </w:rPr>
                    <w:t>成品中转堆场，用于成品中转暂存。为便于生产，工业广场生产线内容不变仅布局调整，整体向左偏移</w:t>
                  </w:r>
                </w:p>
              </w:tc>
              <w:tc>
                <w:tcPr>
                  <w:tcW w:w="1160" w:type="dxa"/>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color w:val="000000"/>
                      <w:kern w:val="0"/>
                      <w:sz w:val="21"/>
                      <w:szCs w:val="21"/>
                      <w:u w:val="none"/>
                      <w:vertAlign w:val="baseline"/>
                      <w:lang w:val="en-US" w:eastAsia="zh-CN"/>
                    </w:rPr>
                  </w:pPr>
                  <w:r>
                    <w:rPr>
                      <w:rFonts w:hint="default" w:ascii="Times New Roman" w:hAnsi="Times New Roman" w:eastAsia="宋体" w:cs="Times New Roman"/>
                      <w:color w:val="000000"/>
                      <w:kern w:val="0"/>
                      <w:sz w:val="21"/>
                      <w:szCs w:val="21"/>
                      <w:u w:val="none"/>
                      <w:vertAlign w:val="baseline"/>
                      <w:lang w:val="en-US" w:eastAsia="zh-CN"/>
                    </w:rPr>
                    <w:t>是</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c>
                <w:tcPr>
                  <w:tcW w:w="1512" w:type="dxa"/>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color w:val="000000"/>
                      <w:kern w:val="0"/>
                      <w:sz w:val="21"/>
                      <w:szCs w:val="21"/>
                      <w:u w:val="none"/>
                      <w:vertAlign w:val="baseline"/>
                      <w:lang w:val="en-US" w:eastAsia="zh-CN"/>
                    </w:rPr>
                  </w:pPr>
                  <w:r>
                    <w:rPr>
                      <w:rFonts w:hint="default" w:ascii="Times New Roman" w:hAnsi="Times New Roman" w:eastAsia="宋体" w:cs="Times New Roman"/>
                      <w:color w:val="000000"/>
                      <w:kern w:val="0"/>
                      <w:sz w:val="21"/>
                      <w:szCs w:val="21"/>
                      <w:u w:val="none"/>
                      <w:vertAlign w:val="baseline"/>
                      <w:lang w:val="en-US" w:eastAsia="zh-CN"/>
                    </w:rPr>
                    <w:t>建设地点</w:t>
                  </w:r>
                </w:p>
              </w:tc>
              <w:tc>
                <w:tcPr>
                  <w:tcW w:w="1996" w:type="dxa"/>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color w:val="000000"/>
                      <w:kern w:val="0"/>
                      <w:sz w:val="21"/>
                      <w:szCs w:val="21"/>
                      <w:u w:val="none"/>
                      <w:vertAlign w:val="baseline"/>
                      <w:lang w:val="en-US" w:eastAsia="zh-CN"/>
                    </w:rPr>
                  </w:pPr>
                  <w:r>
                    <w:rPr>
                      <w:rFonts w:hint="default" w:ascii="Times New Roman" w:hAnsi="Times New Roman" w:eastAsia="宋体" w:cs="Times New Roman"/>
                      <w:color w:val="000000"/>
                      <w:kern w:val="0"/>
                      <w:sz w:val="21"/>
                      <w:szCs w:val="21"/>
                      <w:u w:val="none"/>
                      <w:vertAlign w:val="baseline"/>
                      <w:lang w:val="en-US" w:eastAsia="zh-CN"/>
                    </w:rPr>
                    <w:t>永州市零陵区石山脚办事处燕朝村和梳子铺乡红狮村</w:t>
                  </w:r>
                </w:p>
              </w:tc>
              <w:tc>
                <w:tcPr>
                  <w:tcW w:w="2169" w:type="dxa"/>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color w:val="000000"/>
                      <w:kern w:val="0"/>
                      <w:sz w:val="21"/>
                      <w:szCs w:val="21"/>
                      <w:u w:val="none"/>
                      <w:vertAlign w:val="baseline"/>
                      <w:lang w:val="en-US" w:eastAsia="zh-CN"/>
                    </w:rPr>
                  </w:pPr>
                  <w:r>
                    <w:rPr>
                      <w:rFonts w:hint="default" w:ascii="Times New Roman" w:hAnsi="Times New Roman" w:eastAsia="宋体" w:cs="Times New Roman"/>
                      <w:color w:val="000000"/>
                      <w:kern w:val="0"/>
                      <w:sz w:val="21"/>
                      <w:szCs w:val="21"/>
                      <w:u w:val="none"/>
                      <w:vertAlign w:val="baseline"/>
                      <w:lang w:val="en-US" w:eastAsia="zh-CN"/>
                    </w:rPr>
                    <w:t>在原有建设地点不变的情况下新增用地</w:t>
                  </w:r>
                  <w:r>
                    <w:rPr>
                      <w:rFonts w:hint="default" w:ascii="Times New Roman" w:hAnsi="Times New Roman" w:cs="Times New Roman"/>
                      <w:color w:val="000000"/>
                      <w:kern w:val="0"/>
                      <w:sz w:val="21"/>
                      <w:szCs w:val="21"/>
                      <w:u w:val="none"/>
                      <w:vertAlign w:val="baseline"/>
                      <w:lang w:val="en-US" w:eastAsia="zh-CN"/>
                    </w:rPr>
                    <w:t>范围</w:t>
                  </w:r>
                </w:p>
              </w:tc>
              <w:tc>
                <w:tcPr>
                  <w:tcW w:w="1327" w:type="dxa"/>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color w:val="000000"/>
                      <w:kern w:val="0"/>
                      <w:sz w:val="21"/>
                      <w:szCs w:val="21"/>
                      <w:u w:val="none"/>
                      <w:vertAlign w:val="baseline"/>
                      <w:lang w:val="en-US" w:eastAsia="zh-CN"/>
                    </w:rPr>
                  </w:pPr>
                  <w:r>
                    <w:rPr>
                      <w:rFonts w:hint="eastAsia" w:cs="Times New Roman"/>
                      <w:color w:val="000000"/>
                      <w:kern w:val="0"/>
                      <w:sz w:val="21"/>
                      <w:szCs w:val="21"/>
                      <w:u w:val="none"/>
                      <w:vertAlign w:val="baseline"/>
                      <w:lang w:val="en-US" w:eastAsia="zh-CN"/>
                    </w:rPr>
                    <w:t>新增</w:t>
                  </w:r>
                  <w:r>
                    <w:rPr>
                      <w:rFonts w:hint="default" w:ascii="Times New Roman" w:hAnsi="Times New Roman" w:eastAsia="宋体" w:cs="Times New Roman"/>
                      <w:color w:val="000000"/>
                      <w:kern w:val="0"/>
                      <w:sz w:val="21"/>
                      <w:szCs w:val="21"/>
                      <w:u w:val="none"/>
                      <w:vertAlign w:val="baseline"/>
                      <w:lang w:val="en-US" w:eastAsia="zh-CN"/>
                    </w:rPr>
                    <w:t>用地面积，建设地点发生变化</w:t>
                  </w:r>
                </w:p>
              </w:tc>
              <w:tc>
                <w:tcPr>
                  <w:tcW w:w="1160" w:type="dxa"/>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color w:val="000000"/>
                      <w:kern w:val="0"/>
                      <w:sz w:val="21"/>
                      <w:szCs w:val="21"/>
                      <w:u w:val="none"/>
                      <w:vertAlign w:val="baseline"/>
                      <w:lang w:val="en-US" w:eastAsia="zh-CN"/>
                    </w:rPr>
                  </w:pPr>
                  <w:r>
                    <w:rPr>
                      <w:rFonts w:hint="default" w:ascii="Times New Roman" w:hAnsi="Times New Roman" w:eastAsia="宋体" w:cs="Times New Roman"/>
                      <w:color w:val="000000"/>
                      <w:kern w:val="0"/>
                      <w:sz w:val="21"/>
                      <w:szCs w:val="21"/>
                      <w:u w:val="none"/>
                      <w:vertAlign w:val="baseline"/>
                      <w:lang w:val="en-US" w:eastAsia="zh-CN"/>
                    </w:rPr>
                    <w:t>是</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c>
                <w:tcPr>
                  <w:tcW w:w="1512" w:type="dxa"/>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color w:val="000000"/>
                      <w:kern w:val="0"/>
                      <w:sz w:val="21"/>
                      <w:szCs w:val="21"/>
                      <w:u w:val="none"/>
                      <w:vertAlign w:val="baseline"/>
                      <w:lang w:val="en-US" w:eastAsia="zh-CN"/>
                    </w:rPr>
                  </w:pPr>
                  <w:r>
                    <w:rPr>
                      <w:rFonts w:hint="default" w:ascii="Times New Roman" w:hAnsi="Times New Roman" w:eastAsia="宋体" w:cs="Times New Roman"/>
                      <w:color w:val="000000"/>
                      <w:kern w:val="0"/>
                      <w:sz w:val="21"/>
                      <w:szCs w:val="21"/>
                      <w:u w:val="none"/>
                      <w:vertAlign w:val="baseline"/>
                      <w:lang w:val="en-US" w:eastAsia="zh-CN"/>
                    </w:rPr>
                    <w:t>环境敏感目标</w:t>
                  </w:r>
                </w:p>
              </w:tc>
              <w:tc>
                <w:tcPr>
                  <w:tcW w:w="1996" w:type="dxa"/>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color w:val="000000"/>
                      <w:kern w:val="0"/>
                      <w:sz w:val="21"/>
                      <w:szCs w:val="21"/>
                      <w:u w:val="none"/>
                      <w:vertAlign w:val="baseline"/>
                      <w:lang w:val="en-US" w:eastAsia="zh-CN"/>
                    </w:rPr>
                  </w:pPr>
                  <w:r>
                    <w:rPr>
                      <w:rFonts w:hint="default" w:ascii="Times New Roman" w:hAnsi="Times New Roman" w:cs="Times New Roman"/>
                      <w:color w:val="000000"/>
                      <w:kern w:val="0"/>
                      <w:sz w:val="21"/>
                      <w:szCs w:val="21"/>
                      <w:u w:val="none"/>
                      <w:vertAlign w:val="baseline"/>
                      <w:lang w:val="en-US" w:eastAsia="zh-CN"/>
                    </w:rPr>
                    <w:t>维护区域生态环境质量。定期对台阶及坡面进行检查，开采项目退役后，对矿区进行全面的生态恢复，使其与周边环境相协调，强化生态保护和水体保持措施，防止水土流失和生态破坏。</w:t>
                  </w:r>
                </w:p>
              </w:tc>
              <w:tc>
                <w:tcPr>
                  <w:tcW w:w="2169" w:type="dxa"/>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color w:val="000000"/>
                      <w:kern w:val="0"/>
                      <w:sz w:val="21"/>
                      <w:szCs w:val="21"/>
                      <w:u w:val="none"/>
                      <w:vertAlign w:val="baseline"/>
                      <w:lang w:val="en-US" w:eastAsia="zh-CN"/>
                    </w:rPr>
                  </w:pPr>
                  <w:r>
                    <w:rPr>
                      <w:rFonts w:hint="default" w:ascii="Times New Roman" w:hAnsi="Times New Roman" w:eastAsia="宋体" w:cs="Times New Roman"/>
                      <w:color w:val="000000"/>
                      <w:kern w:val="0"/>
                      <w:sz w:val="21"/>
                      <w:szCs w:val="21"/>
                      <w:u w:val="none"/>
                      <w:vertAlign w:val="baseline"/>
                      <w:lang w:val="en-US" w:eastAsia="zh-CN"/>
                    </w:rPr>
                    <w:t>新增堆场，增大项目占地面积，林地占用面积增大，</w:t>
                  </w:r>
                </w:p>
              </w:tc>
              <w:tc>
                <w:tcPr>
                  <w:tcW w:w="1327" w:type="dxa"/>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color w:val="000000"/>
                      <w:kern w:val="0"/>
                      <w:sz w:val="21"/>
                      <w:szCs w:val="21"/>
                      <w:u w:val="none"/>
                      <w:vertAlign w:val="baseline"/>
                      <w:lang w:val="en-US" w:eastAsia="zh-CN"/>
                    </w:rPr>
                  </w:pPr>
                  <w:r>
                    <w:rPr>
                      <w:rFonts w:hint="default" w:ascii="Times New Roman" w:hAnsi="Times New Roman" w:eastAsia="宋体" w:cs="Times New Roman"/>
                      <w:color w:val="000000"/>
                      <w:kern w:val="0"/>
                      <w:sz w:val="21"/>
                      <w:szCs w:val="21"/>
                      <w:u w:val="none"/>
                      <w:vertAlign w:val="baseline"/>
                      <w:lang w:val="en-US" w:eastAsia="zh-CN"/>
                    </w:rPr>
                    <w:t>新增用地，生态环境保护目标发生变化</w:t>
                  </w:r>
                </w:p>
              </w:tc>
              <w:tc>
                <w:tcPr>
                  <w:tcW w:w="1160" w:type="dxa"/>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color w:val="000000"/>
                      <w:kern w:val="0"/>
                      <w:sz w:val="21"/>
                      <w:szCs w:val="21"/>
                      <w:u w:val="none"/>
                      <w:vertAlign w:val="baseline"/>
                      <w:lang w:val="en-US" w:eastAsia="zh-CN"/>
                    </w:rPr>
                  </w:pPr>
                  <w:r>
                    <w:rPr>
                      <w:rFonts w:hint="default" w:ascii="Times New Roman" w:hAnsi="Times New Roman" w:eastAsia="宋体" w:cs="Times New Roman"/>
                      <w:color w:val="000000"/>
                      <w:kern w:val="0"/>
                      <w:sz w:val="21"/>
                      <w:szCs w:val="21"/>
                      <w:u w:val="none"/>
                      <w:vertAlign w:val="baseline"/>
                      <w:lang w:val="en-US" w:eastAsia="zh-CN"/>
                    </w:rPr>
                    <w:t>是</w:t>
                  </w:r>
                </w:p>
              </w:tc>
            </w:tr>
          </w:tbl>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根据《中华人民共和国环境影响评价法》及《建设项目环境保护管理条例》等法律法规文件的要求，建设项目的环境影响评价文件经批准后，建设项目的性质、规模地点、采用的生产工艺或者防治污染、防止生态破坏的措施发生重大变动的，建设单位应当重新报批建设项目的环境影响评价文件。现阶段生态环境部发布的建设项目重大变动清单《关于印发环评管理中部分行业建设项目重大变动清单的通知》（环办〔2015〕52号）、《关于印发制浆造纸等十四个行业建设项目重大变动清单的通知》（环办环评〔2018〕6号）以及《关于印发淀粉等五个行业建设项目重大变动清单的通知》（环办环评函〔2019〕934号），包括水电、水利、火电、煤炭、油气管道、铁路、高速公路、港口、石油炼制与石油化工、制浆造纸、制药、农药、纺织印染、铝冶炼等十九个已发布重大变动清单的行业建设项目。原项目属于“C3099其他非金属矿物制品制造”项目，属于未发布重大变动清单的行业建设项目，因此，原项目重大变动判定依据《关于印发&lt;污染物影响类建设项目重大变动清单（试行）&gt;的通知》（环办环评函〔2020〕688号）进行。</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本项目环评获批后新增表土堆场、</w:t>
            </w:r>
            <w:r>
              <w:rPr>
                <w:rFonts w:hint="eastAsia" w:cs="Times New Roman"/>
                <w:sz w:val="24"/>
                <w:szCs w:val="24"/>
                <w:lang w:val="en-US" w:eastAsia="zh-CN"/>
              </w:rPr>
              <w:t>成品中转堆场</w:t>
            </w:r>
            <w:r>
              <w:rPr>
                <w:rFonts w:hint="default" w:ascii="Times New Roman" w:hAnsi="Times New Roman" w:cs="Times New Roman"/>
                <w:sz w:val="24"/>
                <w:szCs w:val="24"/>
                <w:lang w:val="en-US" w:eastAsia="zh-CN"/>
              </w:rPr>
              <w:t>，根据《污染物影响类建设项目重大变动清单（试行）》，属于重新选址（在原厂址附近调整（包括总平面布置变化）导致环境防护距离范围变化且新增敏感点的），重新选址属于重大变动，因此，永州市零陵区羊轱岭矿区年开采120万吨石灰岩建设项目需重新报批环境影响评价文件</w:t>
            </w:r>
          </w:p>
          <w:p>
            <w:pPr>
              <w:keepNext w:val="0"/>
              <w:keepLines w:val="0"/>
              <w:numPr>
                <w:ilvl w:val="0"/>
                <w:numId w:val="0"/>
              </w:numPr>
              <w:suppressLineNumbers w:val="0"/>
              <w:adjustRightInd w:val="0"/>
              <w:snapToGrid w:val="0"/>
              <w:spacing w:before="0" w:beforeAutospacing="0" w:after="0" w:afterAutospacing="0" w:line="360" w:lineRule="auto"/>
              <w:ind w:left="0" w:right="0" w:firstLine="482" w:firstLineChars="200"/>
              <w:jc w:val="both"/>
              <w:rPr>
                <w:rFonts w:hint="default" w:ascii="Times New Roman" w:hAnsi="Times New Roman" w:cs="Times New Roman"/>
                <w:b/>
                <w:bCs/>
                <w:kern w:val="0"/>
                <w:sz w:val="24"/>
                <w:szCs w:val="24"/>
              </w:rPr>
            </w:pPr>
            <w:r>
              <w:rPr>
                <w:rFonts w:hint="default" w:ascii="Times New Roman" w:hAnsi="Times New Roman" w:cs="Times New Roman"/>
                <w:b/>
                <w:bCs/>
                <w:kern w:val="0"/>
                <w:sz w:val="24"/>
                <w:szCs w:val="24"/>
                <w:lang w:val="en-US" w:eastAsia="zh-CN" w:bidi="ar-SA"/>
              </w:rPr>
              <w:t>2.</w:t>
            </w:r>
            <w:r>
              <w:rPr>
                <w:rFonts w:hint="default" w:ascii="Times New Roman" w:hAnsi="Times New Roman" w:cs="Times New Roman"/>
                <w:b/>
                <w:bCs/>
                <w:kern w:val="0"/>
                <w:sz w:val="24"/>
                <w:szCs w:val="24"/>
                <w:lang w:val="en-US" w:eastAsia="zh-CN"/>
              </w:rPr>
              <w:t>工程建设内容</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default" w:ascii="Times New Roman" w:hAnsi="Times New Roman" w:eastAsia="宋体" w:cs="Times New Roman"/>
                <w:b w:val="0"/>
                <w:bCs w:val="0"/>
                <w:kern w:val="0"/>
                <w:sz w:val="24"/>
                <w:szCs w:val="24"/>
                <w:lang w:val="en-US" w:eastAsia="zh-CN"/>
              </w:rPr>
            </w:pPr>
            <w:r>
              <w:rPr>
                <w:rFonts w:hint="default" w:ascii="Times New Roman" w:hAnsi="Times New Roman" w:cs="Times New Roman"/>
                <w:b w:val="0"/>
                <w:bCs w:val="0"/>
                <w:kern w:val="0"/>
                <w:sz w:val="24"/>
                <w:szCs w:val="24"/>
                <w:lang w:val="en-US" w:eastAsia="zh-CN"/>
              </w:rPr>
              <w:t>本项目主体工程已经建成，本次仅新增</w:t>
            </w:r>
            <w:r>
              <w:rPr>
                <w:rFonts w:hint="eastAsia" w:cs="Times New Roman"/>
                <w:b w:val="0"/>
                <w:bCs w:val="0"/>
                <w:kern w:val="0"/>
                <w:sz w:val="24"/>
                <w:szCs w:val="24"/>
                <w:lang w:val="en-US" w:eastAsia="zh-CN"/>
              </w:rPr>
              <w:t>成品中转堆场</w:t>
            </w:r>
            <w:r>
              <w:rPr>
                <w:rFonts w:hint="default" w:ascii="Times New Roman" w:hAnsi="Times New Roman" w:cs="Times New Roman"/>
                <w:b w:val="0"/>
                <w:bCs w:val="0"/>
                <w:kern w:val="0"/>
                <w:sz w:val="24"/>
                <w:szCs w:val="24"/>
                <w:lang w:val="en-US" w:eastAsia="zh-CN"/>
              </w:rPr>
              <w:t>和表土堆场，具体</w:t>
            </w:r>
            <w:r>
              <w:rPr>
                <w:rFonts w:hint="default" w:ascii="Times New Roman" w:hAnsi="Times New Roman" w:cs="Times New Roman"/>
                <w:b w:val="0"/>
                <w:bCs w:val="0"/>
                <w:kern w:val="0"/>
                <w:sz w:val="24"/>
                <w:szCs w:val="24"/>
              </w:rPr>
              <w:t>工程内容详见</w:t>
            </w:r>
            <w:r>
              <w:rPr>
                <w:rFonts w:hint="default" w:ascii="Times New Roman" w:hAnsi="Times New Roman" w:cs="Times New Roman"/>
                <w:b w:val="0"/>
                <w:bCs w:val="0"/>
                <w:kern w:val="0"/>
                <w:sz w:val="24"/>
                <w:szCs w:val="24"/>
                <w:lang w:val="en-US" w:eastAsia="zh-CN"/>
              </w:rPr>
              <w:t>下</w:t>
            </w:r>
            <w:r>
              <w:rPr>
                <w:rFonts w:hint="default" w:ascii="Times New Roman" w:hAnsi="Times New Roman" w:cs="Times New Roman"/>
                <w:b w:val="0"/>
                <w:bCs w:val="0"/>
                <w:kern w:val="0"/>
                <w:sz w:val="24"/>
                <w:szCs w:val="24"/>
              </w:rPr>
              <w:t>表</w:t>
            </w:r>
            <w:r>
              <w:rPr>
                <w:rFonts w:hint="default" w:ascii="Times New Roman" w:hAnsi="Times New Roman" w:cs="Times New Roman"/>
                <w:b w:val="0"/>
                <w:bCs w:val="0"/>
                <w:kern w:val="0"/>
                <w:sz w:val="24"/>
                <w:szCs w:val="24"/>
                <w:lang w:val="en-US" w:eastAsia="zh-CN"/>
              </w:rPr>
              <w:t>2-2：</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360" w:lineRule="auto"/>
              <w:ind w:left="0" w:right="0"/>
              <w:jc w:val="center"/>
              <w:textAlignment w:val="auto"/>
              <w:rPr>
                <w:rFonts w:hint="default" w:ascii="Times New Roman" w:hAnsi="Times New Roman" w:cs="Times New Roman"/>
                <w:b/>
                <w:bCs/>
                <w:kern w:val="0"/>
                <w:sz w:val="24"/>
                <w:szCs w:val="24"/>
              </w:rPr>
            </w:pPr>
            <w:r>
              <w:rPr>
                <w:rFonts w:hint="default" w:ascii="Times New Roman" w:hAnsi="Times New Roman" w:cs="Times New Roman"/>
                <w:b/>
                <w:bCs/>
                <w:kern w:val="0"/>
                <w:sz w:val="24"/>
                <w:szCs w:val="24"/>
                <w:lang w:val="en-US" w:eastAsia="zh-CN"/>
              </w:rPr>
              <w:t>表</w:t>
            </w:r>
            <w:r>
              <w:rPr>
                <w:rFonts w:hint="default" w:ascii="Times New Roman" w:hAnsi="Times New Roman" w:cs="Times New Roman"/>
                <w:b/>
                <w:bCs/>
                <w:kern w:val="0"/>
                <w:sz w:val="24"/>
                <w:szCs w:val="24"/>
              </w:rPr>
              <w:t>2-</w:t>
            </w:r>
            <w:r>
              <w:rPr>
                <w:rFonts w:hint="default" w:ascii="Times New Roman" w:hAnsi="Times New Roman" w:cs="Times New Roman"/>
                <w:b/>
                <w:bCs/>
                <w:kern w:val="0"/>
                <w:sz w:val="24"/>
                <w:szCs w:val="24"/>
                <w:lang w:val="en-US" w:eastAsia="zh-CN"/>
              </w:rPr>
              <w:t>2</w:t>
            </w:r>
            <w:r>
              <w:rPr>
                <w:rFonts w:hint="default" w:ascii="Times New Roman" w:hAnsi="Times New Roman" w:cs="Times New Roman"/>
                <w:b/>
                <w:bCs/>
                <w:kern w:val="0"/>
                <w:sz w:val="24"/>
                <w:szCs w:val="24"/>
              </w:rPr>
              <w:t>本项目主要建设内容</w:t>
            </w:r>
          </w:p>
          <w:tbl>
            <w:tblPr>
              <w:tblStyle w:val="21"/>
              <w:tblW w:w="8164"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506"/>
              <w:gridCol w:w="608"/>
              <w:gridCol w:w="2583"/>
              <w:gridCol w:w="2552"/>
              <w:gridCol w:w="726"/>
              <w:gridCol w:w="6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8" w:hRule="atLeast"/>
                <w:jc w:val="center"/>
              </w:trPr>
              <w:tc>
                <w:tcPr>
                  <w:tcW w:w="534" w:type="dxa"/>
                  <w:vMerge w:val="restart"/>
                  <w:tcBorders>
                    <w:top w:val="single" w:color="auto" w:sz="4" w:space="0"/>
                    <w:lef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
                      <w:bCs/>
                      <w:szCs w:val="21"/>
                    </w:rPr>
                  </w:pPr>
                  <w:r>
                    <w:rPr>
                      <w:rFonts w:hint="default" w:ascii="Times New Roman" w:hAnsi="Times New Roman" w:cs="Times New Roman"/>
                      <w:b/>
                      <w:bCs/>
                      <w:szCs w:val="21"/>
                    </w:rPr>
                    <w:t>工程类别</w:t>
                  </w:r>
                </w:p>
              </w:tc>
              <w:tc>
                <w:tcPr>
                  <w:tcW w:w="1114" w:type="dxa"/>
                  <w:gridSpan w:val="2"/>
                  <w:vMerge w:val="restart"/>
                  <w:tcBorders>
                    <w:top w:val="single" w:color="auto" w:sz="4" w:space="0"/>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eastAsia="宋体" w:cs="Times New Roman"/>
                      <w:b/>
                      <w:bCs/>
                      <w:szCs w:val="21"/>
                      <w:lang w:val="en-US" w:eastAsia="zh-CN"/>
                    </w:rPr>
                  </w:pPr>
                  <w:r>
                    <w:rPr>
                      <w:rFonts w:hint="default" w:ascii="Times New Roman" w:hAnsi="Times New Roman" w:cs="Times New Roman"/>
                      <w:b/>
                      <w:bCs/>
                      <w:szCs w:val="21"/>
                      <w:lang w:val="en-US" w:eastAsia="zh-CN"/>
                    </w:rPr>
                    <w:t>名称</w:t>
                  </w:r>
                </w:p>
              </w:tc>
              <w:tc>
                <w:tcPr>
                  <w:tcW w:w="5135" w:type="dxa"/>
                  <w:gridSpan w:val="2"/>
                  <w:tcBorders>
                    <w:top w:val="single" w:color="auto" w:sz="4" w:space="0"/>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
                      <w:bCs/>
                      <w:szCs w:val="21"/>
                    </w:rPr>
                  </w:pPr>
                  <w:r>
                    <w:rPr>
                      <w:rFonts w:hint="default" w:ascii="Times New Roman" w:hAnsi="Times New Roman" w:cs="Times New Roman"/>
                      <w:b/>
                      <w:bCs/>
                      <w:szCs w:val="21"/>
                    </w:rPr>
                    <w:t>建设内容及规模</w:t>
                  </w:r>
                </w:p>
              </w:tc>
              <w:tc>
                <w:tcPr>
                  <w:tcW w:w="726" w:type="dxa"/>
                  <w:vMerge w:val="restart"/>
                  <w:tcBorders>
                    <w:top w:val="single" w:color="auto" w:sz="4" w:space="0"/>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
                      <w:bCs/>
                      <w:szCs w:val="21"/>
                      <w:lang w:val="en-US" w:eastAsia="zh-CN"/>
                    </w:rPr>
                  </w:pPr>
                  <w:r>
                    <w:rPr>
                      <w:rFonts w:hint="default" w:ascii="Times New Roman" w:hAnsi="Times New Roman" w:cs="Times New Roman"/>
                      <w:b/>
                      <w:bCs/>
                      <w:szCs w:val="21"/>
                      <w:lang w:val="en-US" w:eastAsia="zh-CN"/>
                    </w:rPr>
                    <w:t>变动情况</w:t>
                  </w:r>
                </w:p>
              </w:tc>
              <w:tc>
                <w:tcPr>
                  <w:tcW w:w="655" w:type="dxa"/>
                  <w:vMerge w:val="restart"/>
                  <w:tcBorders>
                    <w:top w:val="single" w:color="auto" w:sz="4" w:space="0"/>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eastAsia="宋体" w:cs="Times New Roman"/>
                      <w:b/>
                      <w:bCs/>
                      <w:szCs w:val="21"/>
                      <w:lang w:val="en-US" w:eastAsia="zh-CN"/>
                    </w:rPr>
                  </w:pPr>
                  <w:r>
                    <w:rPr>
                      <w:rFonts w:hint="default" w:ascii="Times New Roman" w:hAnsi="Times New Roman" w:cs="Times New Roman"/>
                      <w:b/>
                      <w:bCs/>
                      <w:szCs w:val="21"/>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8" w:hRule="atLeast"/>
                <w:jc w:val="center"/>
              </w:trPr>
              <w:tc>
                <w:tcPr>
                  <w:tcW w:w="534" w:type="dxa"/>
                  <w:vMerge w:val="continue"/>
                  <w:tcBorders>
                    <w:lef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rPr>
                  </w:pPr>
                </w:p>
              </w:tc>
              <w:tc>
                <w:tcPr>
                  <w:tcW w:w="1114" w:type="dxa"/>
                  <w:gridSpan w:val="2"/>
                  <w:vMerge w:val="continue"/>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rPr>
                  </w:pPr>
                </w:p>
              </w:tc>
              <w:tc>
                <w:tcPr>
                  <w:tcW w:w="2583" w:type="dxa"/>
                  <w:tcBorders>
                    <w:top w:val="single" w:color="auto" w:sz="4" w:space="0"/>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eastAsia="宋体" w:cs="Times New Roman"/>
                      <w:b/>
                      <w:bCs/>
                      <w:lang w:val="en-US" w:eastAsia="zh-CN"/>
                    </w:rPr>
                  </w:pPr>
                  <w:r>
                    <w:rPr>
                      <w:rFonts w:hint="default" w:ascii="Times New Roman" w:hAnsi="Times New Roman" w:cs="Times New Roman"/>
                      <w:b/>
                      <w:bCs/>
                      <w:lang w:val="en-US" w:eastAsia="zh-CN"/>
                    </w:rPr>
                    <w:t>重大变动前</w:t>
                  </w:r>
                </w:p>
              </w:tc>
              <w:tc>
                <w:tcPr>
                  <w:tcW w:w="2552" w:type="dxa"/>
                  <w:tcBorders>
                    <w:top w:val="single" w:color="auto" w:sz="4" w:space="0"/>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eastAsia="宋体" w:cs="Times New Roman"/>
                      <w:b/>
                      <w:bCs/>
                      <w:lang w:val="en-US" w:eastAsia="zh-CN"/>
                    </w:rPr>
                  </w:pPr>
                  <w:r>
                    <w:rPr>
                      <w:rFonts w:hint="default" w:ascii="Times New Roman" w:hAnsi="Times New Roman" w:cs="Times New Roman"/>
                      <w:b/>
                      <w:bCs/>
                      <w:lang w:val="en-US" w:eastAsia="zh-CN"/>
                    </w:rPr>
                    <w:t>重大变动</w:t>
                  </w:r>
                  <w:r>
                    <w:rPr>
                      <w:rFonts w:hint="eastAsia" w:cs="Times New Roman"/>
                      <w:b/>
                      <w:bCs/>
                      <w:lang w:val="en-US" w:eastAsia="zh-CN"/>
                    </w:rPr>
                    <w:t>后</w:t>
                  </w:r>
                </w:p>
              </w:tc>
              <w:tc>
                <w:tcPr>
                  <w:tcW w:w="726" w:type="dxa"/>
                  <w:vMerge w:val="continue"/>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rPr>
                  </w:pPr>
                </w:p>
              </w:tc>
              <w:tc>
                <w:tcPr>
                  <w:tcW w:w="655" w:type="dxa"/>
                  <w:vMerge w:val="continue"/>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8" w:hRule="atLeast"/>
                <w:jc w:val="center"/>
              </w:trPr>
              <w:tc>
                <w:tcPr>
                  <w:tcW w:w="534" w:type="dxa"/>
                  <w:vMerge w:val="restart"/>
                  <w:tcBorders>
                    <w:left w:val="single" w:color="auto" w:sz="4" w:space="0"/>
                  </w:tcBorders>
                  <w:shd w:val="clear" w:color="auto" w:fill="auto"/>
                  <w:noWrap w:val="0"/>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rPr>
                  </w:pPr>
                  <w:r>
                    <w:rPr>
                      <w:rFonts w:hint="default" w:ascii="Times New Roman" w:hAnsi="Times New Roman" w:cs="Times New Roman"/>
                    </w:rPr>
                    <w:t>主体工程</w:t>
                  </w:r>
                </w:p>
              </w:tc>
              <w:tc>
                <w:tcPr>
                  <w:tcW w:w="1114" w:type="dxa"/>
                  <w:gridSpan w:val="2"/>
                  <w:shd w:val="clear" w:color="auto" w:fill="auto"/>
                  <w:noWrap w:val="0"/>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露天开采区</w:t>
                  </w:r>
                </w:p>
              </w:tc>
              <w:tc>
                <w:tcPr>
                  <w:tcW w:w="2583"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40" w:lineRule="auto"/>
                    <w:ind w:left="0" w:right="0"/>
                    <w:jc w:val="both"/>
                    <w:rPr>
                      <w:rFonts w:hint="default" w:ascii="Times New Roman" w:hAnsi="Times New Roman" w:cs="Times New Roman"/>
                      <w:bCs/>
                      <w:color w:val="auto"/>
                      <w:szCs w:val="21"/>
                      <w:lang w:val="en-US" w:eastAsia="zh-CN"/>
                    </w:rPr>
                  </w:pPr>
                  <w:r>
                    <w:rPr>
                      <w:rFonts w:hint="default" w:ascii="Times New Roman" w:hAnsi="Times New Roman" w:cs="Times New Roman"/>
                      <w:bCs/>
                      <w:color w:val="auto"/>
                      <w:szCs w:val="21"/>
                      <w:lang w:val="en-US" w:eastAsia="zh-CN"/>
                    </w:rPr>
                    <w:t>采区面积为181000m</w:t>
                  </w:r>
                  <w:r>
                    <w:rPr>
                      <w:rFonts w:hint="default" w:ascii="Times New Roman" w:hAnsi="Times New Roman" w:cs="Times New Roman"/>
                      <w:bCs/>
                      <w:color w:val="auto"/>
                      <w:szCs w:val="21"/>
                      <w:vertAlign w:val="superscript"/>
                      <w:lang w:val="en-US" w:eastAsia="zh-CN"/>
                    </w:rPr>
                    <w:t>2</w:t>
                  </w:r>
                  <w:r>
                    <w:rPr>
                      <w:rFonts w:hint="default" w:ascii="Times New Roman" w:hAnsi="Times New Roman" w:cs="Times New Roman"/>
                      <w:bCs/>
                      <w:color w:val="auto"/>
                      <w:szCs w:val="21"/>
                      <w:lang w:val="en-US" w:eastAsia="zh-CN"/>
                    </w:rPr>
                    <w:t>，准采标高+206米~+145米，采用台阶式开采</w:t>
                  </w:r>
                </w:p>
              </w:tc>
              <w:tc>
                <w:tcPr>
                  <w:tcW w:w="2552"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40" w:lineRule="auto"/>
                    <w:ind w:left="0" w:leftChars="0" w:right="0" w:rightChars="0"/>
                    <w:jc w:val="both"/>
                    <w:rPr>
                      <w:rFonts w:hint="default" w:ascii="Times New Roman" w:hAnsi="Times New Roman" w:cs="Times New Roman"/>
                      <w:bCs/>
                      <w:color w:val="auto"/>
                      <w:szCs w:val="21"/>
                      <w:lang w:val="en-US" w:eastAsia="zh-CN"/>
                    </w:rPr>
                  </w:pPr>
                  <w:r>
                    <w:rPr>
                      <w:rFonts w:hint="default" w:ascii="Times New Roman" w:hAnsi="Times New Roman" w:cs="Times New Roman"/>
                      <w:bCs/>
                      <w:color w:val="auto"/>
                      <w:szCs w:val="21"/>
                      <w:lang w:val="en-US" w:eastAsia="zh-CN"/>
                    </w:rPr>
                    <w:t>采区面积为181000m</w:t>
                  </w:r>
                  <w:r>
                    <w:rPr>
                      <w:rFonts w:hint="default" w:ascii="Times New Roman" w:hAnsi="Times New Roman" w:cs="Times New Roman"/>
                      <w:bCs/>
                      <w:color w:val="auto"/>
                      <w:szCs w:val="21"/>
                      <w:vertAlign w:val="superscript"/>
                      <w:lang w:val="en-US" w:eastAsia="zh-CN"/>
                    </w:rPr>
                    <w:t>2</w:t>
                  </w:r>
                  <w:r>
                    <w:rPr>
                      <w:rFonts w:hint="default" w:ascii="Times New Roman" w:hAnsi="Times New Roman" w:cs="Times New Roman"/>
                      <w:bCs/>
                      <w:color w:val="auto"/>
                      <w:szCs w:val="21"/>
                      <w:lang w:val="en-US" w:eastAsia="zh-CN"/>
                    </w:rPr>
                    <w:t>，准采标高+206米~+145米，采用台阶式开采</w:t>
                  </w:r>
                </w:p>
              </w:tc>
              <w:tc>
                <w:tcPr>
                  <w:tcW w:w="726"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40" w:lineRule="auto"/>
                    <w:ind w:left="0" w:right="0"/>
                    <w:jc w:val="both"/>
                    <w:rPr>
                      <w:rFonts w:hint="default" w:ascii="Times New Roman" w:hAnsi="Times New Roman" w:cs="Times New Roman"/>
                      <w:bCs/>
                      <w:color w:val="auto"/>
                      <w:szCs w:val="21"/>
                      <w:lang w:val="en-US" w:eastAsia="zh-CN"/>
                    </w:rPr>
                  </w:pPr>
                  <w:r>
                    <w:rPr>
                      <w:rFonts w:hint="default" w:ascii="Times New Roman" w:hAnsi="Times New Roman" w:cs="Times New Roman"/>
                      <w:bCs/>
                      <w:color w:val="auto"/>
                      <w:szCs w:val="21"/>
                      <w:lang w:val="en-US" w:eastAsia="zh-CN"/>
                    </w:rPr>
                    <w:t>不变</w:t>
                  </w:r>
                </w:p>
              </w:tc>
              <w:tc>
                <w:tcPr>
                  <w:tcW w:w="655"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40" w:lineRule="auto"/>
                    <w:ind w:left="0" w:right="0"/>
                    <w:jc w:val="both"/>
                    <w:rPr>
                      <w:rFonts w:hint="default" w:ascii="Times New Roman" w:hAnsi="Times New Roman" w:cs="Times New Roman"/>
                      <w:bCs/>
                      <w:color w:val="auto"/>
                      <w:szCs w:val="21"/>
                      <w:lang w:val="en-US" w:eastAsia="zh-CN"/>
                    </w:rPr>
                  </w:pPr>
                  <w:r>
                    <w:rPr>
                      <w:rFonts w:hint="default" w:ascii="Times New Roman" w:hAnsi="Times New Roman" w:cs="Times New Roman"/>
                      <w:bCs/>
                      <w:color w:val="auto"/>
                      <w:szCs w:val="21"/>
                      <w:lang w:val="en-US" w:eastAsia="zh-CN"/>
                    </w:rPr>
                    <w:t>已建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1" w:hRule="atLeast"/>
                <w:jc w:val="center"/>
              </w:trPr>
              <w:tc>
                <w:tcPr>
                  <w:tcW w:w="534" w:type="dxa"/>
                  <w:vMerge w:val="continue"/>
                  <w:tcBorders>
                    <w:left w:val="single" w:color="auto" w:sz="4" w:space="0"/>
                  </w:tcBorders>
                  <w:shd w:val="clear" w:color="auto" w:fill="auto"/>
                  <w:noWrap w:val="0"/>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rPr>
                  </w:pPr>
                </w:p>
              </w:tc>
              <w:tc>
                <w:tcPr>
                  <w:tcW w:w="506" w:type="dxa"/>
                  <w:vMerge w:val="restart"/>
                  <w:shd w:val="clear" w:color="auto" w:fill="auto"/>
                  <w:noWrap w:val="0"/>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rPr>
                  </w:pPr>
                  <w:r>
                    <w:rPr>
                      <w:rFonts w:hint="default" w:ascii="Times New Roman" w:hAnsi="Times New Roman" w:cs="Times New Roman"/>
                      <w:lang w:val="en-US"/>
                    </w:rPr>
                    <w:t>工业广场</w:t>
                  </w:r>
                </w:p>
              </w:tc>
              <w:tc>
                <w:tcPr>
                  <w:tcW w:w="608" w:type="dxa"/>
                  <w:shd w:val="clear" w:color="auto" w:fill="auto"/>
                  <w:noWrap w:val="0"/>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矿石加工厂房</w:t>
                  </w:r>
                </w:p>
              </w:tc>
              <w:tc>
                <w:tcPr>
                  <w:tcW w:w="2583" w:type="dxa"/>
                  <w:tcBorders>
                    <w:right w:val="single" w:color="auto" w:sz="4" w:space="0"/>
                  </w:tcBorders>
                  <w:shd w:val="clear" w:color="auto" w:fill="auto"/>
                  <w:noWrap w:val="0"/>
                  <w:vAlign w:val="center"/>
                </w:tcPr>
                <w:p>
                  <w:pPr>
                    <w:keepNext w:val="0"/>
                    <w:keepLines w:val="0"/>
                    <w:widowControl/>
                    <w:suppressLineNumbers w:val="0"/>
                    <w:spacing w:before="0" w:beforeAutospacing="0" w:after="0" w:afterAutospacing="0"/>
                    <w:ind w:left="0" w:right="0"/>
                    <w:jc w:val="both"/>
                    <w:rPr>
                      <w:rFonts w:hint="default" w:ascii="Times New Roman" w:hAnsi="Times New Roman" w:cs="Times New Roman"/>
                      <w:bCs/>
                      <w:color w:val="auto"/>
                      <w:szCs w:val="21"/>
                      <w:lang w:val="en-US" w:eastAsia="zh-CN"/>
                    </w:rPr>
                  </w:pPr>
                  <w:r>
                    <w:rPr>
                      <w:rFonts w:hint="default" w:ascii="Times New Roman" w:hAnsi="Times New Roman" w:cs="Times New Roman"/>
                      <w:bCs/>
                      <w:color w:val="auto"/>
                      <w:szCs w:val="21"/>
                      <w:lang w:val="en-US" w:eastAsia="zh-CN"/>
                    </w:rPr>
                    <w:t>钢结构厂房，包含破碎、筛分、制砂、选粉生产线</w:t>
                  </w:r>
                </w:p>
              </w:tc>
              <w:tc>
                <w:tcPr>
                  <w:tcW w:w="2552" w:type="dxa"/>
                  <w:tcBorders>
                    <w:right w:val="single" w:color="auto" w:sz="4" w:space="0"/>
                  </w:tcBorders>
                  <w:shd w:val="clear" w:color="auto" w:fill="auto"/>
                  <w:noWrap w:val="0"/>
                  <w:vAlign w:val="center"/>
                </w:tcPr>
                <w:p>
                  <w:pPr>
                    <w:keepNext w:val="0"/>
                    <w:keepLines w:val="0"/>
                    <w:widowControl/>
                    <w:suppressLineNumbers w:val="0"/>
                    <w:spacing w:before="0" w:beforeAutospacing="0" w:after="0" w:afterAutospacing="0"/>
                    <w:ind w:left="0" w:leftChars="0" w:right="0" w:rightChars="0"/>
                    <w:jc w:val="both"/>
                    <w:rPr>
                      <w:rFonts w:hint="default" w:ascii="Times New Roman" w:hAnsi="Times New Roman" w:cs="Times New Roman"/>
                      <w:bCs/>
                      <w:color w:val="auto"/>
                      <w:szCs w:val="21"/>
                      <w:lang w:val="en-US" w:eastAsia="zh-CN"/>
                    </w:rPr>
                  </w:pPr>
                  <w:r>
                    <w:rPr>
                      <w:rFonts w:hint="default" w:ascii="Times New Roman" w:hAnsi="Times New Roman" w:cs="Times New Roman"/>
                      <w:bCs/>
                      <w:color w:val="auto"/>
                      <w:szCs w:val="21"/>
                      <w:lang w:val="en-US" w:eastAsia="zh-CN"/>
                    </w:rPr>
                    <w:t>钢结构厂房，包含破碎、筛分、制砂、选粉生产线</w:t>
                  </w:r>
                </w:p>
              </w:tc>
              <w:tc>
                <w:tcPr>
                  <w:tcW w:w="726" w:type="dxa"/>
                  <w:tcBorders>
                    <w:right w:val="single" w:color="auto" w:sz="4" w:space="0"/>
                  </w:tcBorders>
                  <w:shd w:val="clear" w:color="auto" w:fill="auto"/>
                  <w:noWrap w:val="0"/>
                  <w:vAlign w:val="center"/>
                </w:tcPr>
                <w:p>
                  <w:pPr>
                    <w:keepNext w:val="0"/>
                    <w:keepLines w:val="0"/>
                    <w:widowControl/>
                    <w:suppressLineNumbers w:val="0"/>
                    <w:spacing w:before="0" w:beforeAutospacing="0" w:after="0" w:afterAutospacing="0"/>
                    <w:ind w:left="0" w:right="0"/>
                    <w:jc w:val="both"/>
                    <w:rPr>
                      <w:rFonts w:hint="default" w:ascii="Times New Roman" w:hAnsi="Times New Roman" w:cs="Times New Roman"/>
                      <w:bCs/>
                      <w:color w:val="auto"/>
                      <w:szCs w:val="21"/>
                      <w:lang w:val="en-US" w:eastAsia="zh-CN"/>
                    </w:rPr>
                  </w:pPr>
                  <w:r>
                    <w:rPr>
                      <w:rFonts w:hint="default" w:ascii="Times New Roman" w:hAnsi="Times New Roman" w:cs="Times New Roman"/>
                      <w:bCs/>
                      <w:color w:val="auto"/>
                      <w:szCs w:val="21"/>
                      <w:lang w:val="en-US" w:eastAsia="zh-CN"/>
                    </w:rPr>
                    <w:t>不变</w:t>
                  </w:r>
                </w:p>
              </w:tc>
              <w:tc>
                <w:tcPr>
                  <w:tcW w:w="655" w:type="dxa"/>
                  <w:tcBorders>
                    <w:right w:val="single" w:color="auto" w:sz="4" w:space="0"/>
                  </w:tcBorders>
                  <w:shd w:val="clear" w:color="auto" w:fill="auto"/>
                  <w:noWrap w:val="0"/>
                  <w:vAlign w:val="center"/>
                </w:tcPr>
                <w:p>
                  <w:pPr>
                    <w:keepNext w:val="0"/>
                    <w:keepLines w:val="0"/>
                    <w:widowControl/>
                    <w:suppressLineNumbers w:val="0"/>
                    <w:spacing w:before="0" w:beforeAutospacing="0" w:after="0" w:afterAutospacing="0"/>
                    <w:ind w:left="0" w:right="0"/>
                    <w:jc w:val="both"/>
                    <w:rPr>
                      <w:rFonts w:hint="default" w:ascii="Times New Roman" w:hAnsi="Times New Roman" w:cs="Times New Roman"/>
                      <w:bCs/>
                      <w:color w:val="auto"/>
                      <w:szCs w:val="21"/>
                      <w:lang w:val="en-US" w:eastAsia="zh-CN"/>
                    </w:rPr>
                  </w:pPr>
                  <w:r>
                    <w:rPr>
                      <w:rFonts w:hint="default" w:ascii="Times New Roman" w:hAnsi="Times New Roman" w:cs="Times New Roman"/>
                      <w:bCs/>
                      <w:color w:val="auto"/>
                      <w:szCs w:val="21"/>
                      <w:lang w:val="en-US" w:eastAsia="zh-CN"/>
                    </w:rPr>
                    <w:t>已建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4" w:hRule="atLeast"/>
                <w:jc w:val="center"/>
              </w:trPr>
              <w:tc>
                <w:tcPr>
                  <w:tcW w:w="534" w:type="dxa"/>
                  <w:vMerge w:val="continue"/>
                  <w:tcBorders>
                    <w:left w:val="single" w:color="auto" w:sz="4" w:space="0"/>
                  </w:tcBorders>
                  <w:shd w:val="clear" w:color="auto" w:fill="auto"/>
                  <w:noWrap w:val="0"/>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rPr>
                  </w:pPr>
                </w:p>
              </w:tc>
              <w:tc>
                <w:tcPr>
                  <w:tcW w:w="506" w:type="dxa"/>
                  <w:vMerge w:val="continue"/>
                  <w:shd w:val="clear" w:color="auto" w:fill="auto"/>
                  <w:noWrap w:val="0"/>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rPr>
                  </w:pPr>
                </w:p>
              </w:tc>
              <w:tc>
                <w:tcPr>
                  <w:tcW w:w="608" w:type="dxa"/>
                  <w:shd w:val="clear" w:color="auto" w:fill="auto"/>
                  <w:noWrap w:val="0"/>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堆料厂房</w:t>
                  </w:r>
                </w:p>
              </w:tc>
              <w:tc>
                <w:tcPr>
                  <w:tcW w:w="2583"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40" w:lineRule="auto"/>
                    <w:ind w:left="0" w:right="0"/>
                    <w:jc w:val="both"/>
                    <w:rPr>
                      <w:rFonts w:hint="default" w:ascii="Times New Roman" w:hAnsi="Times New Roman" w:cs="Times New Roman"/>
                      <w:bCs/>
                      <w:color w:val="auto"/>
                      <w:szCs w:val="21"/>
                      <w:lang w:val="en-US" w:eastAsia="zh-CN"/>
                    </w:rPr>
                  </w:pPr>
                  <w:r>
                    <w:rPr>
                      <w:rFonts w:hint="default" w:ascii="Times New Roman" w:hAnsi="Times New Roman" w:cs="Times New Roman"/>
                      <w:bCs/>
                      <w:color w:val="auto"/>
                      <w:szCs w:val="21"/>
                      <w:lang w:val="en-US" w:eastAsia="zh-CN"/>
                    </w:rPr>
                    <w:t>用于储存筛分出来的不同产品，包括0-5籽仓、石粉仓、精品砂仓、1-2骨料仓、1-3骨料仓</w:t>
                  </w:r>
                </w:p>
              </w:tc>
              <w:tc>
                <w:tcPr>
                  <w:tcW w:w="2552"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40" w:lineRule="auto"/>
                    <w:ind w:left="0" w:leftChars="0" w:right="0" w:rightChars="0"/>
                    <w:jc w:val="both"/>
                    <w:rPr>
                      <w:rFonts w:hint="default" w:ascii="Times New Roman" w:hAnsi="Times New Roman" w:cs="Times New Roman"/>
                      <w:bCs/>
                      <w:color w:val="auto"/>
                      <w:szCs w:val="21"/>
                      <w:lang w:val="en-US" w:eastAsia="zh-CN"/>
                    </w:rPr>
                  </w:pPr>
                  <w:r>
                    <w:rPr>
                      <w:rFonts w:hint="default" w:ascii="Times New Roman" w:hAnsi="Times New Roman" w:cs="Times New Roman"/>
                      <w:bCs/>
                      <w:color w:val="auto"/>
                      <w:szCs w:val="21"/>
                      <w:lang w:val="en-US" w:eastAsia="zh-CN"/>
                    </w:rPr>
                    <w:t>用于储存筛分出来的不同产品，包括0-5籽仓、石粉仓、精品砂仓、1-2骨料仓、1-3骨料仓</w:t>
                  </w:r>
                </w:p>
              </w:tc>
              <w:tc>
                <w:tcPr>
                  <w:tcW w:w="726"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40" w:lineRule="auto"/>
                    <w:ind w:left="0" w:right="0"/>
                    <w:jc w:val="both"/>
                    <w:rPr>
                      <w:rFonts w:hint="default" w:ascii="Times New Roman" w:hAnsi="Times New Roman" w:cs="Times New Roman"/>
                      <w:bCs/>
                      <w:color w:val="auto"/>
                      <w:szCs w:val="21"/>
                      <w:lang w:val="en-US" w:eastAsia="zh-CN"/>
                    </w:rPr>
                  </w:pPr>
                  <w:r>
                    <w:rPr>
                      <w:rFonts w:hint="default" w:ascii="Times New Roman" w:hAnsi="Times New Roman" w:cs="Times New Roman"/>
                      <w:bCs/>
                      <w:color w:val="auto"/>
                      <w:szCs w:val="21"/>
                      <w:lang w:val="en-US" w:eastAsia="zh-CN"/>
                    </w:rPr>
                    <w:t>不变</w:t>
                  </w:r>
                </w:p>
              </w:tc>
              <w:tc>
                <w:tcPr>
                  <w:tcW w:w="655"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40" w:lineRule="auto"/>
                    <w:ind w:left="0" w:right="0"/>
                    <w:jc w:val="both"/>
                    <w:rPr>
                      <w:rFonts w:hint="default" w:ascii="Times New Roman" w:hAnsi="Times New Roman" w:cs="Times New Roman"/>
                      <w:bCs/>
                      <w:color w:val="auto"/>
                      <w:szCs w:val="21"/>
                      <w:lang w:val="en-US" w:eastAsia="zh-CN"/>
                    </w:rPr>
                  </w:pPr>
                  <w:r>
                    <w:rPr>
                      <w:rFonts w:hint="default" w:ascii="Times New Roman" w:hAnsi="Times New Roman" w:cs="Times New Roman"/>
                      <w:bCs/>
                      <w:color w:val="auto"/>
                      <w:szCs w:val="21"/>
                      <w:lang w:val="en-US" w:eastAsia="zh-CN"/>
                    </w:rPr>
                    <w:t>已建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1" w:hRule="atLeast"/>
                <w:jc w:val="center"/>
              </w:trPr>
              <w:tc>
                <w:tcPr>
                  <w:tcW w:w="534" w:type="dxa"/>
                  <w:vMerge w:val="continue"/>
                  <w:tcBorders>
                    <w:left w:val="single" w:color="auto" w:sz="4" w:space="0"/>
                  </w:tcBorders>
                  <w:shd w:val="clear" w:color="auto" w:fill="auto"/>
                  <w:noWrap w:val="0"/>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rPr>
                  </w:pPr>
                </w:p>
              </w:tc>
              <w:tc>
                <w:tcPr>
                  <w:tcW w:w="506" w:type="dxa"/>
                  <w:vMerge w:val="continue"/>
                  <w:shd w:val="clear" w:color="auto" w:fill="auto"/>
                  <w:noWrap w:val="0"/>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p>
              </w:tc>
              <w:tc>
                <w:tcPr>
                  <w:tcW w:w="608" w:type="dxa"/>
                  <w:shd w:val="clear" w:color="auto" w:fill="auto"/>
                  <w:noWrap w:val="0"/>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中控室</w:t>
                  </w:r>
                </w:p>
              </w:tc>
              <w:tc>
                <w:tcPr>
                  <w:tcW w:w="2583" w:type="dxa"/>
                  <w:tcBorders>
                    <w:right w:val="single" w:color="auto" w:sz="4" w:space="0"/>
                  </w:tcBorders>
                  <w:shd w:val="clear" w:color="auto" w:fill="auto"/>
                  <w:noWrap w:val="0"/>
                  <w:vAlign w:val="center"/>
                </w:tcPr>
                <w:p>
                  <w:pPr>
                    <w:pStyle w:val="59"/>
                    <w:keepNext w:val="0"/>
                    <w:keepLines w:val="0"/>
                    <w:pageBreakBefore w:val="0"/>
                    <w:widowControl w:val="0"/>
                    <w:suppressLineNumbers w:val="0"/>
                    <w:kinsoku/>
                    <w:wordWrap/>
                    <w:overflowPunct/>
                    <w:topLinePunct w:val="0"/>
                    <w:autoSpaceDE/>
                    <w:autoSpaceDN/>
                    <w:bidi w:val="0"/>
                    <w:adjustRightInd/>
                    <w:snapToGrid/>
                    <w:spacing w:before="37" w:beforeAutospacing="0" w:after="0" w:afterAutospacing="0" w:line="260" w:lineRule="auto"/>
                    <w:ind w:left="0" w:right="28" w:rightChars="0"/>
                    <w:jc w:val="both"/>
                    <w:textAlignment w:val="auto"/>
                    <w:rPr>
                      <w:rFonts w:hint="default" w:ascii="Times New Roman" w:hAnsi="Times New Roman" w:cs="Times New Roman"/>
                      <w:bCs/>
                      <w:color w:val="FF0000"/>
                      <w:szCs w:val="21"/>
                      <w:vertAlign w:val="baseline"/>
                      <w:lang w:val="en-US" w:eastAsia="zh-CN"/>
                    </w:rPr>
                  </w:pPr>
                  <w:r>
                    <w:rPr>
                      <w:rFonts w:hint="default" w:ascii="Times New Roman" w:hAnsi="Times New Roman" w:cs="Times New Roman"/>
                      <w:bCs/>
                      <w:color w:val="auto"/>
                      <w:sz w:val="21"/>
                      <w:szCs w:val="21"/>
                      <w:lang w:val="en-US" w:eastAsia="zh-CN"/>
                    </w:rPr>
                    <w:t>位于加工厂房和堆料厂房之间，2F框架结构，占地面积260</w:t>
                  </w:r>
                  <w:r>
                    <w:rPr>
                      <w:rFonts w:hint="default" w:ascii="Times New Roman" w:hAnsi="Times New Roman" w:cs="Times New Roman"/>
                      <w:bCs/>
                      <w:color w:val="auto"/>
                      <w:szCs w:val="21"/>
                      <w:lang w:val="en-US" w:eastAsia="zh-CN"/>
                    </w:rPr>
                    <w:t>m</w:t>
                  </w:r>
                  <w:r>
                    <w:rPr>
                      <w:rFonts w:hint="default" w:ascii="Times New Roman" w:hAnsi="Times New Roman" w:cs="Times New Roman"/>
                      <w:bCs/>
                      <w:color w:val="auto"/>
                      <w:szCs w:val="21"/>
                      <w:vertAlign w:val="superscript"/>
                      <w:lang w:val="en-US" w:eastAsia="zh-CN"/>
                    </w:rPr>
                    <w:t>2</w:t>
                  </w:r>
                  <w:r>
                    <w:rPr>
                      <w:rFonts w:hint="default" w:ascii="Times New Roman" w:hAnsi="Times New Roman" w:cs="Times New Roman"/>
                      <w:bCs/>
                      <w:color w:val="auto"/>
                      <w:szCs w:val="21"/>
                      <w:vertAlign w:val="baseline"/>
                      <w:lang w:val="en-US" w:eastAsia="zh-CN"/>
                    </w:rPr>
                    <w:t>，</w:t>
                  </w:r>
                  <w:r>
                    <w:rPr>
                      <w:rFonts w:hint="default" w:ascii="Times New Roman" w:hAnsi="Times New Roman" w:cs="Times New Roman"/>
                      <w:bCs/>
                      <w:color w:val="auto"/>
                      <w:sz w:val="21"/>
                      <w:szCs w:val="21"/>
                      <w:lang w:val="en-US" w:eastAsia="zh-CN"/>
                    </w:rPr>
                    <w:t>建筑面积</w:t>
                  </w:r>
                  <w:r>
                    <w:rPr>
                      <w:rFonts w:hint="default" w:ascii="Times New Roman" w:hAnsi="Times New Roman" w:cs="Times New Roman"/>
                      <w:bCs/>
                      <w:color w:val="auto"/>
                      <w:szCs w:val="21"/>
                      <w:vertAlign w:val="baseline"/>
                      <w:lang w:val="en-US" w:eastAsia="zh-CN"/>
                    </w:rPr>
                    <w:t>500</w:t>
                  </w:r>
                  <w:r>
                    <w:rPr>
                      <w:rFonts w:hint="default" w:ascii="Times New Roman" w:hAnsi="Times New Roman" w:cs="Times New Roman"/>
                      <w:bCs/>
                      <w:color w:val="auto"/>
                      <w:szCs w:val="21"/>
                      <w:lang w:val="en-US" w:eastAsia="zh-CN"/>
                    </w:rPr>
                    <w:t>m</w:t>
                  </w:r>
                  <w:r>
                    <w:rPr>
                      <w:rFonts w:hint="default" w:ascii="Times New Roman" w:hAnsi="Times New Roman" w:cs="Times New Roman"/>
                      <w:bCs/>
                      <w:color w:val="auto"/>
                      <w:szCs w:val="21"/>
                      <w:vertAlign w:val="superscript"/>
                      <w:lang w:val="en-US" w:eastAsia="zh-CN"/>
                    </w:rPr>
                    <w:t>2</w:t>
                  </w:r>
                </w:p>
              </w:tc>
              <w:tc>
                <w:tcPr>
                  <w:tcW w:w="2552" w:type="dxa"/>
                  <w:tcBorders>
                    <w:right w:val="single" w:color="auto" w:sz="4" w:space="0"/>
                  </w:tcBorders>
                  <w:shd w:val="clear" w:color="auto" w:fill="auto"/>
                  <w:noWrap w:val="0"/>
                  <w:vAlign w:val="center"/>
                </w:tcPr>
                <w:p>
                  <w:pPr>
                    <w:pStyle w:val="59"/>
                    <w:keepNext w:val="0"/>
                    <w:keepLines w:val="0"/>
                    <w:pageBreakBefore w:val="0"/>
                    <w:widowControl w:val="0"/>
                    <w:suppressLineNumbers w:val="0"/>
                    <w:kinsoku/>
                    <w:wordWrap/>
                    <w:overflowPunct/>
                    <w:topLinePunct w:val="0"/>
                    <w:autoSpaceDE/>
                    <w:autoSpaceDN/>
                    <w:bidi w:val="0"/>
                    <w:adjustRightInd/>
                    <w:snapToGrid/>
                    <w:spacing w:before="37" w:beforeAutospacing="0" w:after="0" w:afterAutospacing="0" w:line="260" w:lineRule="auto"/>
                    <w:ind w:left="0" w:leftChars="0" w:right="28" w:rightChars="0"/>
                    <w:jc w:val="both"/>
                    <w:textAlignment w:val="auto"/>
                    <w:rPr>
                      <w:rFonts w:hint="default" w:ascii="Times New Roman" w:hAnsi="Times New Roman" w:cs="Times New Roman"/>
                      <w:bCs/>
                      <w:color w:val="auto"/>
                      <w:sz w:val="21"/>
                      <w:szCs w:val="21"/>
                      <w:lang w:val="en-US" w:eastAsia="zh-CN"/>
                    </w:rPr>
                  </w:pPr>
                  <w:r>
                    <w:rPr>
                      <w:rFonts w:hint="default" w:ascii="Times New Roman" w:hAnsi="Times New Roman" w:cs="Times New Roman"/>
                      <w:bCs/>
                      <w:color w:val="auto"/>
                      <w:sz w:val="21"/>
                      <w:szCs w:val="21"/>
                      <w:lang w:val="en-US" w:eastAsia="zh-CN"/>
                    </w:rPr>
                    <w:t>位于加工厂房和堆料厂房之间，2F框架结构，占地面积260</w:t>
                  </w:r>
                  <w:r>
                    <w:rPr>
                      <w:rFonts w:hint="default" w:ascii="Times New Roman" w:hAnsi="Times New Roman" w:cs="Times New Roman"/>
                      <w:bCs/>
                      <w:color w:val="auto"/>
                      <w:szCs w:val="21"/>
                      <w:lang w:val="en-US" w:eastAsia="zh-CN"/>
                    </w:rPr>
                    <w:t>m</w:t>
                  </w:r>
                  <w:r>
                    <w:rPr>
                      <w:rFonts w:hint="default" w:ascii="Times New Roman" w:hAnsi="Times New Roman" w:cs="Times New Roman"/>
                      <w:bCs/>
                      <w:color w:val="auto"/>
                      <w:szCs w:val="21"/>
                      <w:vertAlign w:val="superscript"/>
                      <w:lang w:val="en-US" w:eastAsia="zh-CN"/>
                    </w:rPr>
                    <w:t>2</w:t>
                  </w:r>
                  <w:r>
                    <w:rPr>
                      <w:rFonts w:hint="default" w:ascii="Times New Roman" w:hAnsi="Times New Roman" w:cs="Times New Roman"/>
                      <w:bCs/>
                      <w:color w:val="auto"/>
                      <w:szCs w:val="21"/>
                      <w:vertAlign w:val="baseline"/>
                      <w:lang w:val="en-US" w:eastAsia="zh-CN"/>
                    </w:rPr>
                    <w:t>，</w:t>
                  </w:r>
                  <w:r>
                    <w:rPr>
                      <w:rFonts w:hint="default" w:ascii="Times New Roman" w:hAnsi="Times New Roman" w:cs="Times New Roman"/>
                      <w:bCs/>
                      <w:color w:val="auto"/>
                      <w:sz w:val="21"/>
                      <w:szCs w:val="21"/>
                      <w:lang w:val="en-US" w:eastAsia="zh-CN"/>
                    </w:rPr>
                    <w:t>建筑面积</w:t>
                  </w:r>
                  <w:r>
                    <w:rPr>
                      <w:rFonts w:hint="default" w:ascii="Times New Roman" w:hAnsi="Times New Roman" w:cs="Times New Roman"/>
                      <w:bCs/>
                      <w:color w:val="auto"/>
                      <w:szCs w:val="21"/>
                      <w:vertAlign w:val="baseline"/>
                      <w:lang w:val="en-US" w:eastAsia="zh-CN"/>
                    </w:rPr>
                    <w:t>500</w:t>
                  </w:r>
                  <w:r>
                    <w:rPr>
                      <w:rFonts w:hint="default" w:ascii="Times New Roman" w:hAnsi="Times New Roman" w:cs="Times New Roman"/>
                      <w:bCs/>
                      <w:color w:val="auto"/>
                      <w:szCs w:val="21"/>
                      <w:lang w:val="en-US" w:eastAsia="zh-CN"/>
                    </w:rPr>
                    <w:t>m</w:t>
                  </w:r>
                  <w:r>
                    <w:rPr>
                      <w:rFonts w:hint="default" w:ascii="Times New Roman" w:hAnsi="Times New Roman" w:cs="Times New Roman"/>
                      <w:bCs/>
                      <w:color w:val="auto"/>
                      <w:szCs w:val="21"/>
                      <w:vertAlign w:val="superscript"/>
                      <w:lang w:val="en-US" w:eastAsia="zh-CN"/>
                    </w:rPr>
                    <w:t>2</w:t>
                  </w:r>
                </w:p>
              </w:tc>
              <w:tc>
                <w:tcPr>
                  <w:tcW w:w="726" w:type="dxa"/>
                  <w:tcBorders>
                    <w:right w:val="single" w:color="auto" w:sz="4" w:space="0"/>
                  </w:tcBorders>
                  <w:shd w:val="clear" w:color="auto" w:fill="auto"/>
                  <w:noWrap w:val="0"/>
                  <w:vAlign w:val="center"/>
                </w:tcPr>
                <w:p>
                  <w:pPr>
                    <w:keepNext w:val="0"/>
                    <w:keepLines w:val="0"/>
                    <w:suppressLineNumbers w:val="0"/>
                    <w:spacing w:before="0" w:beforeAutospacing="0" w:after="0" w:afterAutospacing="0"/>
                    <w:ind w:left="0" w:right="0"/>
                    <w:rPr>
                      <w:rFonts w:hint="default" w:ascii="Times New Roman" w:hAnsi="Times New Roman" w:cs="Times New Roman"/>
                      <w:lang w:val="en-US" w:eastAsia="zh-CN"/>
                    </w:rPr>
                  </w:pPr>
                  <w:r>
                    <w:rPr>
                      <w:rFonts w:hint="default" w:ascii="Times New Roman" w:hAnsi="Times New Roman" w:cs="Times New Roman"/>
                      <w:bCs/>
                      <w:color w:val="auto"/>
                      <w:szCs w:val="21"/>
                      <w:lang w:val="en-US" w:eastAsia="zh-CN"/>
                    </w:rPr>
                    <w:t>不变</w:t>
                  </w:r>
                </w:p>
              </w:tc>
              <w:tc>
                <w:tcPr>
                  <w:tcW w:w="655" w:type="dxa"/>
                  <w:tcBorders>
                    <w:right w:val="single" w:color="auto" w:sz="4" w:space="0"/>
                  </w:tcBorders>
                  <w:shd w:val="clear" w:color="auto" w:fill="auto"/>
                  <w:noWrap w:val="0"/>
                  <w:vAlign w:val="center"/>
                </w:tcPr>
                <w:p>
                  <w:pPr>
                    <w:keepNext w:val="0"/>
                    <w:keepLines w:val="0"/>
                    <w:suppressLineNumbers w:val="0"/>
                    <w:spacing w:before="0" w:beforeAutospacing="0" w:after="0" w:afterAutospacing="0"/>
                    <w:ind w:left="0" w:right="0"/>
                    <w:rPr>
                      <w:rFonts w:hint="default" w:ascii="Times New Roman" w:hAnsi="Times New Roman" w:cs="Times New Roman"/>
                      <w:lang w:val="en-US" w:eastAsia="zh-CN"/>
                    </w:rPr>
                  </w:pPr>
                  <w:r>
                    <w:rPr>
                      <w:rFonts w:hint="default" w:ascii="Times New Roman" w:hAnsi="Times New Roman" w:cs="Times New Roman"/>
                      <w:bCs/>
                      <w:color w:val="auto"/>
                      <w:szCs w:val="21"/>
                      <w:lang w:val="en-US" w:eastAsia="zh-CN"/>
                    </w:rPr>
                    <w:t>已建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2" w:hRule="atLeast"/>
                <w:jc w:val="center"/>
              </w:trPr>
              <w:tc>
                <w:tcPr>
                  <w:tcW w:w="534" w:type="dxa"/>
                  <w:vMerge w:val="restart"/>
                  <w:tcBorders>
                    <w:left w:val="single" w:color="auto" w:sz="4" w:space="0"/>
                  </w:tcBorders>
                  <w:shd w:val="clear" w:color="auto" w:fill="auto"/>
                  <w:noWrap w:val="0"/>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rPr>
                  </w:pPr>
                  <w:r>
                    <w:rPr>
                      <w:rFonts w:hint="default" w:ascii="Times New Roman" w:hAnsi="Times New Roman" w:cs="Times New Roman"/>
                      <w:lang w:val="en-US" w:eastAsia="zh-CN"/>
                    </w:rPr>
                    <w:t>辅助工程</w:t>
                  </w:r>
                </w:p>
              </w:tc>
              <w:tc>
                <w:tcPr>
                  <w:tcW w:w="1114" w:type="dxa"/>
                  <w:gridSpan w:val="2"/>
                  <w:shd w:val="clear" w:color="auto" w:fill="auto"/>
                  <w:noWrap w:val="0"/>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生活区</w:t>
                  </w:r>
                </w:p>
              </w:tc>
              <w:tc>
                <w:tcPr>
                  <w:tcW w:w="2583"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color w:val="auto"/>
                      <w:szCs w:val="21"/>
                      <w:lang w:val="en-US" w:eastAsia="zh-CN"/>
                    </w:rPr>
                  </w:pPr>
                  <w:r>
                    <w:rPr>
                      <w:rFonts w:hint="default" w:ascii="Times New Roman" w:hAnsi="Times New Roman" w:cs="Times New Roman"/>
                      <w:bCs/>
                      <w:color w:val="auto"/>
                      <w:szCs w:val="21"/>
                      <w:lang w:val="en-US" w:eastAsia="zh-CN"/>
                    </w:rPr>
                    <w:t>设置设置，占地面积1344m</w:t>
                  </w:r>
                  <w:r>
                    <w:rPr>
                      <w:rFonts w:hint="default" w:ascii="Times New Roman" w:hAnsi="Times New Roman" w:cs="Times New Roman"/>
                      <w:bCs/>
                      <w:color w:val="auto"/>
                      <w:szCs w:val="21"/>
                      <w:vertAlign w:val="superscript"/>
                      <w:lang w:val="en-US" w:eastAsia="zh-CN"/>
                    </w:rPr>
                    <w:t>2</w:t>
                  </w:r>
                  <w:r>
                    <w:rPr>
                      <w:rFonts w:hint="default" w:ascii="Times New Roman" w:hAnsi="Times New Roman" w:cs="Times New Roman"/>
                      <w:bCs/>
                      <w:color w:val="auto"/>
                      <w:szCs w:val="21"/>
                      <w:lang w:val="en-US" w:eastAsia="zh-CN"/>
                    </w:rPr>
                    <w:t>，总建筑面积约1300m</w:t>
                  </w:r>
                  <w:r>
                    <w:rPr>
                      <w:rFonts w:hint="default" w:ascii="Times New Roman" w:hAnsi="Times New Roman" w:cs="Times New Roman"/>
                      <w:bCs/>
                      <w:color w:val="auto"/>
                      <w:szCs w:val="21"/>
                      <w:vertAlign w:val="superscript"/>
                      <w:lang w:val="en-US" w:eastAsia="zh-CN"/>
                    </w:rPr>
                    <w:t>2</w:t>
                  </w:r>
                  <w:r>
                    <w:rPr>
                      <w:rFonts w:hint="default" w:ascii="Times New Roman" w:hAnsi="Times New Roman" w:cs="Times New Roman"/>
                      <w:bCs/>
                      <w:color w:val="auto"/>
                      <w:szCs w:val="21"/>
                      <w:lang w:val="en-US" w:eastAsia="zh-CN"/>
                    </w:rPr>
                    <w:t>，砖混结构。综合楼</w:t>
                  </w:r>
                  <w:r>
                    <w:rPr>
                      <w:rFonts w:hint="eastAsia" w:cs="Times New Roman"/>
                      <w:bCs/>
                      <w:color w:val="auto"/>
                      <w:szCs w:val="21"/>
                      <w:lang w:val="en-US" w:eastAsia="zh-CN"/>
                    </w:rPr>
                    <w:t>3</w:t>
                  </w:r>
                  <w:r>
                    <w:rPr>
                      <w:rFonts w:hint="default" w:ascii="Times New Roman" w:hAnsi="Times New Roman" w:cs="Times New Roman"/>
                      <w:bCs/>
                      <w:color w:val="auto"/>
                      <w:szCs w:val="21"/>
                      <w:lang w:val="en-US" w:eastAsia="zh-CN"/>
                    </w:rPr>
                    <w:t>F共864m</w:t>
                  </w:r>
                  <w:r>
                    <w:rPr>
                      <w:rFonts w:hint="default" w:ascii="Times New Roman" w:hAnsi="Times New Roman" w:cs="Times New Roman"/>
                      <w:bCs/>
                      <w:color w:val="auto"/>
                      <w:szCs w:val="21"/>
                      <w:vertAlign w:val="superscript"/>
                      <w:lang w:val="en-US" w:eastAsia="zh-CN"/>
                    </w:rPr>
                    <w:t>2</w:t>
                  </w:r>
                  <w:r>
                    <w:rPr>
                      <w:rFonts w:hint="default" w:ascii="Times New Roman" w:hAnsi="Times New Roman" w:cs="Times New Roman"/>
                      <w:bCs/>
                      <w:color w:val="auto"/>
                      <w:szCs w:val="21"/>
                      <w:lang w:val="en-US" w:eastAsia="zh-CN"/>
                    </w:rPr>
                    <w:t>，宿舍和食堂均为2F</w:t>
                  </w:r>
                  <w:r>
                    <w:rPr>
                      <w:rFonts w:hint="eastAsia" w:cs="Times New Roman"/>
                      <w:bCs/>
                      <w:color w:val="auto"/>
                      <w:szCs w:val="21"/>
                      <w:lang w:val="en-US" w:eastAsia="zh-CN"/>
                    </w:rPr>
                    <w:t>面积</w:t>
                  </w:r>
                  <w:r>
                    <w:rPr>
                      <w:rFonts w:hint="default" w:ascii="Times New Roman" w:hAnsi="Times New Roman" w:cs="Times New Roman"/>
                      <w:bCs/>
                      <w:color w:val="auto"/>
                      <w:szCs w:val="21"/>
                      <w:lang w:val="en-US" w:eastAsia="zh-CN"/>
                    </w:rPr>
                    <w:t>216m</w:t>
                  </w:r>
                  <w:r>
                    <w:rPr>
                      <w:rFonts w:hint="default" w:ascii="Times New Roman" w:hAnsi="Times New Roman" w:cs="Times New Roman"/>
                      <w:bCs/>
                      <w:color w:val="auto"/>
                      <w:szCs w:val="21"/>
                      <w:vertAlign w:val="superscript"/>
                      <w:lang w:val="en-US" w:eastAsia="zh-CN"/>
                    </w:rPr>
                    <w:t>2</w:t>
                  </w:r>
                </w:p>
              </w:tc>
              <w:tc>
                <w:tcPr>
                  <w:tcW w:w="2552"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leftChars="0" w:right="0" w:rightChars="0"/>
                    <w:jc w:val="center"/>
                    <w:rPr>
                      <w:rFonts w:hint="default" w:ascii="Times New Roman" w:hAnsi="Times New Roman" w:cs="Times New Roman"/>
                      <w:bCs/>
                      <w:color w:val="auto"/>
                      <w:szCs w:val="21"/>
                      <w:lang w:val="en-US" w:eastAsia="zh-CN"/>
                    </w:rPr>
                  </w:pPr>
                  <w:r>
                    <w:rPr>
                      <w:rFonts w:hint="eastAsia" w:cs="Times New Roman"/>
                      <w:bCs/>
                      <w:color w:val="auto"/>
                      <w:szCs w:val="21"/>
                      <w:lang w:val="en-US" w:eastAsia="zh-CN"/>
                    </w:rPr>
                    <w:t>建设地点向南偏移，仍在在矿区东南方，位于令塘右侧，</w:t>
                  </w:r>
                  <w:r>
                    <w:rPr>
                      <w:rFonts w:hint="default" w:ascii="Times New Roman" w:hAnsi="Times New Roman" w:cs="Times New Roman"/>
                      <w:bCs/>
                      <w:color w:val="auto"/>
                      <w:szCs w:val="21"/>
                      <w:lang w:val="en-US" w:eastAsia="zh-CN"/>
                    </w:rPr>
                    <w:t>综合楼</w:t>
                  </w:r>
                  <w:r>
                    <w:rPr>
                      <w:rFonts w:hint="eastAsia" w:cs="Times New Roman"/>
                      <w:bCs/>
                      <w:color w:val="auto"/>
                      <w:szCs w:val="21"/>
                      <w:lang w:val="en-US" w:eastAsia="zh-CN"/>
                    </w:rPr>
                    <w:t>2</w:t>
                  </w:r>
                  <w:r>
                    <w:rPr>
                      <w:rFonts w:hint="default" w:ascii="Times New Roman" w:hAnsi="Times New Roman" w:cs="Times New Roman"/>
                      <w:bCs/>
                      <w:color w:val="auto"/>
                      <w:szCs w:val="21"/>
                      <w:lang w:val="en-US" w:eastAsia="zh-CN"/>
                    </w:rPr>
                    <w:t>F共</w:t>
                  </w:r>
                  <w:r>
                    <w:rPr>
                      <w:rFonts w:hint="eastAsia" w:cs="Times New Roman"/>
                      <w:bCs/>
                      <w:color w:val="auto"/>
                      <w:szCs w:val="21"/>
                      <w:lang w:val="en-US" w:eastAsia="zh-CN"/>
                    </w:rPr>
                    <w:t>576</w:t>
                  </w:r>
                  <w:r>
                    <w:rPr>
                      <w:rFonts w:hint="default" w:ascii="Times New Roman" w:hAnsi="Times New Roman" w:cs="Times New Roman"/>
                      <w:bCs/>
                      <w:color w:val="auto"/>
                      <w:szCs w:val="21"/>
                      <w:lang w:val="en-US" w:eastAsia="zh-CN"/>
                    </w:rPr>
                    <w:t>m</w:t>
                  </w:r>
                  <w:r>
                    <w:rPr>
                      <w:rFonts w:hint="default" w:ascii="Times New Roman" w:hAnsi="Times New Roman" w:cs="Times New Roman"/>
                      <w:bCs/>
                      <w:color w:val="auto"/>
                      <w:szCs w:val="21"/>
                      <w:vertAlign w:val="superscript"/>
                      <w:lang w:val="en-US" w:eastAsia="zh-CN"/>
                    </w:rPr>
                    <w:t>2</w:t>
                  </w:r>
                  <w:r>
                    <w:rPr>
                      <w:rFonts w:hint="default" w:ascii="Times New Roman" w:hAnsi="Times New Roman" w:cs="Times New Roman"/>
                      <w:bCs/>
                      <w:color w:val="auto"/>
                      <w:szCs w:val="21"/>
                      <w:lang w:val="en-US" w:eastAsia="zh-CN"/>
                    </w:rPr>
                    <w:t>，宿舍和食堂均为2F</w:t>
                  </w:r>
                  <w:r>
                    <w:rPr>
                      <w:rFonts w:hint="eastAsia" w:cs="Times New Roman"/>
                      <w:bCs/>
                      <w:color w:val="auto"/>
                      <w:szCs w:val="21"/>
                      <w:lang w:val="en-US" w:eastAsia="zh-CN"/>
                    </w:rPr>
                    <w:t>面积</w:t>
                  </w:r>
                  <w:r>
                    <w:rPr>
                      <w:rFonts w:hint="default" w:ascii="Times New Roman" w:hAnsi="Times New Roman" w:cs="Times New Roman"/>
                      <w:bCs/>
                      <w:color w:val="auto"/>
                      <w:szCs w:val="21"/>
                      <w:lang w:val="en-US" w:eastAsia="zh-CN"/>
                    </w:rPr>
                    <w:t>216m</w:t>
                  </w:r>
                  <w:r>
                    <w:rPr>
                      <w:rFonts w:hint="default" w:ascii="Times New Roman" w:hAnsi="Times New Roman" w:cs="Times New Roman"/>
                      <w:bCs/>
                      <w:color w:val="auto"/>
                      <w:szCs w:val="21"/>
                      <w:vertAlign w:val="superscript"/>
                      <w:lang w:val="en-US" w:eastAsia="zh-CN"/>
                    </w:rPr>
                    <w:t>2</w:t>
                  </w:r>
                </w:p>
              </w:tc>
              <w:tc>
                <w:tcPr>
                  <w:tcW w:w="726"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color w:val="auto"/>
                      <w:szCs w:val="21"/>
                      <w:lang w:val="en-US" w:eastAsia="zh-CN"/>
                    </w:rPr>
                  </w:pPr>
                  <w:r>
                    <w:rPr>
                      <w:rFonts w:hint="eastAsia" w:cs="Times New Roman"/>
                      <w:bCs/>
                      <w:color w:val="auto"/>
                      <w:szCs w:val="21"/>
                      <w:lang w:val="en-US" w:eastAsia="zh-CN"/>
                    </w:rPr>
                    <w:t>建设地点变动</w:t>
                  </w:r>
                </w:p>
              </w:tc>
              <w:tc>
                <w:tcPr>
                  <w:tcW w:w="655"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color w:val="auto"/>
                      <w:szCs w:val="21"/>
                      <w:lang w:val="en-US" w:eastAsia="zh-CN"/>
                    </w:rPr>
                  </w:pPr>
                  <w:r>
                    <w:rPr>
                      <w:rFonts w:hint="default" w:ascii="Times New Roman" w:hAnsi="Times New Roman" w:cs="Times New Roman"/>
                      <w:bCs/>
                      <w:color w:val="auto"/>
                      <w:szCs w:val="21"/>
                      <w:lang w:val="en-US" w:eastAsia="zh-CN"/>
                    </w:rPr>
                    <w:t>已建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9" w:hRule="atLeast"/>
                <w:jc w:val="center"/>
              </w:trPr>
              <w:tc>
                <w:tcPr>
                  <w:tcW w:w="534" w:type="dxa"/>
                  <w:vMerge w:val="continue"/>
                  <w:tcBorders>
                    <w:left w:val="single" w:color="auto" w:sz="4" w:space="0"/>
                  </w:tcBorders>
                  <w:shd w:val="clear" w:color="auto" w:fill="auto"/>
                  <w:noWrap w:val="0"/>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p>
              </w:tc>
              <w:tc>
                <w:tcPr>
                  <w:tcW w:w="1114" w:type="dxa"/>
                  <w:gridSpan w:val="2"/>
                  <w:shd w:val="clear" w:color="auto" w:fill="auto"/>
                  <w:noWrap w:val="0"/>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门卫室</w:t>
                  </w:r>
                </w:p>
              </w:tc>
              <w:tc>
                <w:tcPr>
                  <w:tcW w:w="2583"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color w:val="auto"/>
                      <w:szCs w:val="21"/>
                      <w:lang w:val="en-US" w:eastAsia="zh-CN"/>
                    </w:rPr>
                  </w:pPr>
                  <w:r>
                    <w:rPr>
                      <w:rFonts w:hint="default" w:ascii="Times New Roman" w:hAnsi="Times New Roman" w:cs="Times New Roman"/>
                      <w:bCs/>
                      <w:color w:val="auto"/>
                      <w:szCs w:val="21"/>
                      <w:lang w:val="en-US" w:eastAsia="zh-CN"/>
                    </w:rPr>
                    <w:t>设置在东侧进厂道路南侧，框架结构2F</w:t>
                  </w:r>
                </w:p>
              </w:tc>
              <w:tc>
                <w:tcPr>
                  <w:tcW w:w="2552"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color w:val="auto"/>
                      <w:szCs w:val="21"/>
                      <w:lang w:val="en-US" w:eastAsia="zh-CN"/>
                    </w:rPr>
                  </w:pPr>
                  <w:r>
                    <w:rPr>
                      <w:rFonts w:hint="default" w:ascii="Times New Roman" w:hAnsi="Times New Roman" w:cs="Times New Roman"/>
                      <w:bCs/>
                      <w:color w:val="auto"/>
                      <w:szCs w:val="21"/>
                      <w:lang w:val="en-US" w:eastAsia="zh-CN"/>
                    </w:rPr>
                    <w:t>设置在东侧进厂道路南侧，框架结构2F</w:t>
                  </w:r>
                </w:p>
              </w:tc>
              <w:tc>
                <w:tcPr>
                  <w:tcW w:w="726"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color w:val="auto"/>
                      <w:szCs w:val="21"/>
                      <w:lang w:val="en-US" w:eastAsia="zh-CN"/>
                    </w:rPr>
                  </w:pPr>
                  <w:r>
                    <w:rPr>
                      <w:rFonts w:hint="default" w:ascii="Times New Roman" w:hAnsi="Times New Roman" w:cs="Times New Roman"/>
                      <w:bCs/>
                      <w:color w:val="auto"/>
                      <w:szCs w:val="21"/>
                      <w:lang w:val="en-US" w:eastAsia="zh-CN"/>
                    </w:rPr>
                    <w:t>不变</w:t>
                  </w:r>
                </w:p>
              </w:tc>
              <w:tc>
                <w:tcPr>
                  <w:tcW w:w="655"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color w:val="auto"/>
                      <w:szCs w:val="21"/>
                      <w:lang w:val="en-US" w:eastAsia="zh-CN"/>
                    </w:rPr>
                  </w:pPr>
                  <w:r>
                    <w:rPr>
                      <w:rFonts w:hint="default" w:ascii="Times New Roman" w:hAnsi="Times New Roman" w:cs="Times New Roman"/>
                      <w:bCs/>
                      <w:color w:val="auto"/>
                      <w:szCs w:val="21"/>
                      <w:lang w:val="en-US" w:eastAsia="zh-CN"/>
                    </w:rPr>
                    <w:t>已建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9" w:hRule="atLeast"/>
                <w:jc w:val="center"/>
              </w:trPr>
              <w:tc>
                <w:tcPr>
                  <w:tcW w:w="534" w:type="dxa"/>
                  <w:vMerge w:val="continue"/>
                  <w:tcBorders>
                    <w:left w:val="single" w:color="auto" w:sz="4" w:space="0"/>
                  </w:tcBorders>
                  <w:shd w:val="clear" w:color="auto" w:fill="auto"/>
                  <w:noWrap w:val="0"/>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p>
              </w:tc>
              <w:tc>
                <w:tcPr>
                  <w:tcW w:w="1114" w:type="dxa"/>
                  <w:gridSpan w:val="2"/>
                  <w:shd w:val="clear" w:color="auto" w:fill="auto"/>
                  <w:noWrap w:val="0"/>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柴油罐</w:t>
                  </w:r>
                </w:p>
              </w:tc>
              <w:tc>
                <w:tcPr>
                  <w:tcW w:w="2583"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eastAsia" w:cs="Times New Roman"/>
                      <w:bCs/>
                      <w:color w:val="auto"/>
                      <w:szCs w:val="21"/>
                      <w:lang w:val="en-US" w:eastAsia="zh-CN"/>
                    </w:rPr>
                  </w:pPr>
                  <w:r>
                    <w:rPr>
                      <w:rFonts w:hint="eastAsia" w:cs="Times New Roman"/>
                      <w:bCs/>
                      <w:color w:val="auto"/>
                      <w:szCs w:val="21"/>
                      <w:lang w:val="en-US" w:eastAsia="zh-CN"/>
                    </w:rPr>
                    <w:t>、</w:t>
                  </w:r>
                </w:p>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color w:val="auto"/>
                      <w:szCs w:val="21"/>
                      <w:lang w:val="en-US" w:eastAsia="zh-CN"/>
                    </w:rPr>
                  </w:pPr>
                  <w:r>
                    <w:rPr>
                      <w:rFonts w:hint="default" w:ascii="Times New Roman" w:hAnsi="Times New Roman" w:cs="Times New Roman"/>
                      <w:bCs/>
                      <w:color w:val="auto"/>
                      <w:szCs w:val="21"/>
                      <w:lang w:val="en-US" w:eastAsia="zh-CN"/>
                    </w:rPr>
                    <w:t>设地埋式储罐区，柴油最大储量 50t</w:t>
                  </w:r>
                </w:p>
                <w:p>
                  <w:pPr>
                    <w:keepNext w:val="0"/>
                    <w:keepLines w:val="0"/>
                    <w:suppressLineNumbers w:val="0"/>
                    <w:adjustRightInd w:val="0"/>
                    <w:snapToGrid w:val="0"/>
                    <w:spacing w:before="0" w:beforeAutospacing="0" w:after="0" w:afterAutospacing="0" w:line="276" w:lineRule="auto"/>
                    <w:ind w:left="0" w:right="0"/>
                    <w:jc w:val="both"/>
                    <w:rPr>
                      <w:rFonts w:hint="default" w:ascii="Times New Roman" w:hAnsi="Times New Roman" w:cs="Times New Roman"/>
                      <w:bCs/>
                      <w:color w:val="auto"/>
                      <w:szCs w:val="21"/>
                      <w:lang w:val="en-US" w:eastAsia="zh-CN"/>
                    </w:rPr>
                  </w:pPr>
                </w:p>
              </w:tc>
              <w:tc>
                <w:tcPr>
                  <w:tcW w:w="2552"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color w:val="auto"/>
                      <w:szCs w:val="21"/>
                      <w:lang w:val="en-US" w:eastAsia="zh-CN"/>
                    </w:rPr>
                  </w:pPr>
                  <w:r>
                    <w:rPr>
                      <w:rFonts w:hint="eastAsia" w:cs="Times New Roman"/>
                      <w:bCs/>
                      <w:color w:val="auto"/>
                      <w:szCs w:val="21"/>
                      <w:lang w:val="en-US" w:eastAsia="zh-CN"/>
                    </w:rPr>
                    <w:t>/</w:t>
                  </w:r>
                </w:p>
              </w:tc>
              <w:tc>
                <w:tcPr>
                  <w:tcW w:w="726"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color w:val="auto"/>
                      <w:szCs w:val="21"/>
                      <w:lang w:val="en-US" w:eastAsia="zh-CN"/>
                    </w:rPr>
                  </w:pPr>
                  <w:r>
                    <w:rPr>
                      <w:rFonts w:hint="eastAsia" w:cs="Times New Roman"/>
                      <w:bCs/>
                      <w:color w:val="auto"/>
                      <w:szCs w:val="21"/>
                      <w:lang w:val="en-US" w:eastAsia="zh-CN"/>
                    </w:rPr>
                    <w:t>未建设</w:t>
                  </w:r>
                </w:p>
              </w:tc>
              <w:tc>
                <w:tcPr>
                  <w:tcW w:w="655"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color w:val="auto"/>
                      <w:szCs w:val="21"/>
                      <w:lang w:val="en-US" w:eastAsia="zh-CN"/>
                    </w:rPr>
                  </w:pPr>
                  <w:r>
                    <w:rPr>
                      <w:rFonts w:hint="eastAsia" w:cs="Times New Roman"/>
                      <w:bCs/>
                      <w:color w:val="auto"/>
                      <w:szCs w:val="21"/>
                      <w:lang w:val="en-US" w:eastAsia="zh-CN"/>
                    </w:rPr>
                    <w:t>未获得审批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8" w:hRule="atLeast"/>
                <w:jc w:val="center"/>
              </w:trPr>
              <w:tc>
                <w:tcPr>
                  <w:tcW w:w="534" w:type="dxa"/>
                  <w:vMerge w:val="restart"/>
                  <w:tcBorders>
                    <w:left w:val="single" w:color="auto" w:sz="4" w:space="0"/>
                  </w:tcBorders>
                  <w:shd w:val="clear" w:color="auto" w:fill="auto"/>
                  <w:noWrap w:val="0"/>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储运工程</w:t>
                  </w:r>
                </w:p>
              </w:tc>
              <w:tc>
                <w:tcPr>
                  <w:tcW w:w="1114" w:type="dxa"/>
                  <w:gridSpan w:val="2"/>
                  <w:shd w:val="clear" w:color="auto" w:fill="auto"/>
                  <w:noWrap w:val="0"/>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lang w:val="en-US" w:eastAsia="zh-CN"/>
                    </w:rPr>
                  </w:pPr>
                  <w:r>
                    <w:rPr>
                      <w:rFonts w:hint="eastAsia" w:cs="Times New Roman"/>
                      <w:color w:val="auto"/>
                      <w:lang w:val="en-US" w:eastAsia="zh-CN"/>
                    </w:rPr>
                    <w:t>成品中转堆场</w:t>
                  </w:r>
                </w:p>
              </w:tc>
              <w:tc>
                <w:tcPr>
                  <w:tcW w:w="2583"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eastAsia="宋体" w:cs="Times New Roman"/>
                      <w:bCs/>
                      <w:sz w:val="21"/>
                      <w:szCs w:val="21"/>
                      <w:lang w:val="en-US" w:eastAsia="zh-CN"/>
                    </w:rPr>
                  </w:pPr>
                  <w:r>
                    <w:rPr>
                      <w:rFonts w:hint="default" w:ascii="Times New Roman" w:hAnsi="Times New Roman" w:cs="Times New Roman"/>
                      <w:bCs/>
                      <w:sz w:val="21"/>
                      <w:szCs w:val="21"/>
                      <w:lang w:val="en-US" w:eastAsia="zh-CN"/>
                    </w:rPr>
                    <w:t>/</w:t>
                  </w:r>
                </w:p>
              </w:tc>
              <w:tc>
                <w:tcPr>
                  <w:tcW w:w="2552"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leftChars="0" w:right="0" w:rightChars="0"/>
                    <w:jc w:val="center"/>
                    <w:rPr>
                      <w:rFonts w:hint="default" w:ascii="Times New Roman" w:hAnsi="Times New Roman" w:eastAsia="宋体" w:cs="Times New Roman"/>
                      <w:bCs/>
                      <w:sz w:val="21"/>
                      <w:szCs w:val="21"/>
                      <w:lang w:val="en-US" w:eastAsia="zh-CN"/>
                    </w:rPr>
                  </w:pPr>
                  <w:r>
                    <w:rPr>
                      <w:rFonts w:hint="default" w:ascii="Times New Roman" w:hAnsi="Times New Roman" w:cs="Times New Roman"/>
                      <w:bCs/>
                      <w:sz w:val="21"/>
                      <w:szCs w:val="21"/>
                      <w:lang w:val="en-US" w:eastAsia="zh-CN"/>
                    </w:rPr>
                    <w:t>堆料厂房不满足储存需求，新增临时</w:t>
                  </w:r>
                  <w:r>
                    <w:rPr>
                      <w:rFonts w:hint="default" w:ascii="Times New Roman" w:hAnsi="Times New Roman" w:cs="Times New Roman"/>
                      <w:bCs/>
                      <w:sz w:val="21"/>
                      <w:szCs w:val="21"/>
                    </w:rPr>
                    <w:t>用地</w:t>
                  </w:r>
                  <w:r>
                    <w:rPr>
                      <w:rFonts w:hint="eastAsia" w:cs="Times New Roman"/>
                      <w:bCs/>
                      <w:sz w:val="21"/>
                      <w:szCs w:val="21"/>
                      <w:lang w:eastAsia="zh-CN"/>
                    </w:rPr>
                    <w:t>4300</w:t>
                  </w:r>
                  <w:r>
                    <w:rPr>
                      <w:rFonts w:hint="default" w:ascii="Times New Roman" w:hAnsi="Times New Roman" w:cs="Times New Roman"/>
                      <w:bCs/>
                      <w:sz w:val="21"/>
                      <w:szCs w:val="21"/>
                      <w:lang w:val="en-US" w:eastAsia="zh-CN"/>
                    </w:rPr>
                    <w:t>m</w:t>
                  </w:r>
                  <w:r>
                    <w:rPr>
                      <w:rFonts w:hint="default" w:ascii="Times New Roman" w:hAnsi="Times New Roman" w:cs="Times New Roman"/>
                      <w:bCs/>
                      <w:sz w:val="21"/>
                      <w:szCs w:val="21"/>
                      <w:vertAlign w:val="superscript"/>
                      <w:lang w:val="en-US" w:eastAsia="zh-CN"/>
                    </w:rPr>
                    <w:t>2</w:t>
                  </w:r>
                  <w:r>
                    <w:rPr>
                      <w:rFonts w:hint="default" w:ascii="Times New Roman" w:hAnsi="Times New Roman" w:cs="Times New Roman"/>
                      <w:bCs/>
                      <w:sz w:val="21"/>
                      <w:szCs w:val="21"/>
                      <w:lang w:eastAsia="zh-CN"/>
                    </w:rPr>
                    <w:t>，</w:t>
                  </w:r>
                  <w:r>
                    <w:rPr>
                      <w:rFonts w:hint="default" w:ascii="Times New Roman" w:hAnsi="Times New Roman" w:cs="Times New Roman"/>
                      <w:bCs/>
                      <w:sz w:val="21"/>
                      <w:szCs w:val="21"/>
                      <w:lang w:val="en-US" w:eastAsia="zh-CN"/>
                    </w:rPr>
                    <w:t>用于</w:t>
                  </w:r>
                  <w:r>
                    <w:rPr>
                      <w:rFonts w:hint="eastAsia" w:cs="Times New Roman"/>
                      <w:bCs/>
                      <w:sz w:val="21"/>
                      <w:szCs w:val="21"/>
                      <w:lang w:val="en-US" w:eastAsia="zh-CN"/>
                    </w:rPr>
                    <w:t>成品中转</w:t>
                  </w:r>
                </w:p>
              </w:tc>
              <w:tc>
                <w:tcPr>
                  <w:tcW w:w="726"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sz w:val="21"/>
                      <w:szCs w:val="21"/>
                      <w:lang w:val="en-US" w:eastAsia="zh-CN"/>
                    </w:rPr>
                  </w:pPr>
                  <w:r>
                    <w:rPr>
                      <w:rFonts w:hint="default" w:ascii="Times New Roman" w:hAnsi="Times New Roman" w:cs="Times New Roman"/>
                      <w:bCs/>
                      <w:sz w:val="21"/>
                      <w:szCs w:val="21"/>
                      <w:lang w:val="en-US" w:eastAsia="zh-CN"/>
                    </w:rPr>
                    <w:t>新增审批用地</w:t>
                  </w:r>
                </w:p>
              </w:tc>
              <w:tc>
                <w:tcPr>
                  <w:tcW w:w="655"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eastAsia="宋体" w:cs="Times New Roman"/>
                      <w:bCs/>
                      <w:sz w:val="21"/>
                      <w:szCs w:val="21"/>
                      <w:lang w:val="en-US" w:eastAsia="zh-CN"/>
                    </w:rPr>
                  </w:pPr>
                  <w:r>
                    <w:rPr>
                      <w:rFonts w:hint="default" w:ascii="Times New Roman" w:hAnsi="Times New Roman" w:cs="Times New Roman"/>
                      <w:bCs/>
                      <w:sz w:val="21"/>
                      <w:szCs w:val="21"/>
                      <w:lang w:val="en-US" w:eastAsia="zh-CN"/>
                    </w:rPr>
                    <w:t>新增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8" w:hRule="atLeast"/>
                <w:jc w:val="center"/>
              </w:trPr>
              <w:tc>
                <w:tcPr>
                  <w:tcW w:w="534" w:type="dxa"/>
                  <w:vMerge w:val="continue"/>
                  <w:tcBorders>
                    <w:left w:val="single" w:color="auto" w:sz="4" w:space="0"/>
                  </w:tcBorders>
                  <w:shd w:val="clear" w:color="auto" w:fill="auto"/>
                  <w:noWrap w:val="0"/>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rPr>
                  </w:pPr>
                </w:p>
              </w:tc>
              <w:tc>
                <w:tcPr>
                  <w:tcW w:w="1114" w:type="dxa"/>
                  <w:gridSpan w:val="2"/>
                  <w:shd w:val="clear" w:color="auto" w:fill="auto"/>
                  <w:noWrap w:val="0"/>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lang w:val="en-US" w:eastAsia="zh-CN"/>
                    </w:rPr>
                  </w:pPr>
                  <w:r>
                    <w:rPr>
                      <w:rFonts w:hint="default" w:ascii="Times New Roman" w:hAnsi="Times New Roman" w:cs="Times New Roman"/>
                      <w:color w:val="auto"/>
                      <w:lang w:val="en-US" w:eastAsia="zh-CN"/>
                    </w:rPr>
                    <w:t>表土堆场</w:t>
                  </w:r>
                </w:p>
              </w:tc>
              <w:tc>
                <w:tcPr>
                  <w:tcW w:w="2583"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sz w:val="21"/>
                      <w:szCs w:val="21"/>
                      <w:lang w:val="en-US" w:eastAsia="zh-CN"/>
                    </w:rPr>
                  </w:pPr>
                  <w:r>
                    <w:rPr>
                      <w:rFonts w:hint="default" w:ascii="Times New Roman" w:hAnsi="Times New Roman" w:cs="Times New Roman"/>
                      <w:bCs/>
                      <w:sz w:val="21"/>
                      <w:szCs w:val="21"/>
                      <w:lang w:val="en-US" w:eastAsia="zh-CN"/>
                    </w:rPr>
                    <w:t>未有审批手续的临时用地用于表土堆存，设置于工业广场西侧低洼地带，面积约20000m</w:t>
                  </w:r>
                  <w:r>
                    <w:rPr>
                      <w:rFonts w:hint="default" w:ascii="Times New Roman" w:hAnsi="Times New Roman" w:cs="Times New Roman"/>
                      <w:bCs/>
                      <w:sz w:val="21"/>
                      <w:szCs w:val="21"/>
                      <w:vertAlign w:val="superscript"/>
                      <w:lang w:val="en-US" w:eastAsia="zh-CN"/>
                    </w:rPr>
                    <w:t>2</w:t>
                  </w:r>
                </w:p>
              </w:tc>
              <w:tc>
                <w:tcPr>
                  <w:tcW w:w="2552"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leftChars="0" w:right="0" w:rightChars="0"/>
                    <w:jc w:val="center"/>
                    <w:rPr>
                      <w:rFonts w:hint="default" w:ascii="Times New Roman" w:hAnsi="Times New Roman" w:eastAsia="宋体" w:cs="Times New Roman"/>
                      <w:bCs/>
                      <w:sz w:val="21"/>
                      <w:szCs w:val="21"/>
                      <w:lang w:val="en-US" w:eastAsia="zh-CN"/>
                    </w:rPr>
                  </w:pPr>
                  <w:r>
                    <w:rPr>
                      <w:rFonts w:hint="default" w:ascii="Times New Roman" w:hAnsi="Times New Roman" w:cs="Times New Roman"/>
                      <w:bCs/>
                      <w:sz w:val="21"/>
                      <w:szCs w:val="21"/>
                      <w:lang w:val="en-US" w:eastAsia="zh-CN"/>
                    </w:rPr>
                    <w:t>临时用地19927m</w:t>
                  </w:r>
                  <w:r>
                    <w:rPr>
                      <w:rFonts w:hint="default" w:ascii="Times New Roman" w:hAnsi="Times New Roman" w:cs="Times New Roman"/>
                      <w:bCs/>
                      <w:sz w:val="21"/>
                      <w:szCs w:val="21"/>
                      <w:vertAlign w:val="superscript"/>
                      <w:lang w:val="en-US" w:eastAsia="zh-CN"/>
                    </w:rPr>
                    <w:t>2</w:t>
                  </w:r>
                  <w:r>
                    <w:rPr>
                      <w:rFonts w:hint="default" w:ascii="Times New Roman" w:hAnsi="Times New Roman" w:cs="Times New Roman"/>
                      <w:lang w:eastAsia="zh-CN"/>
                    </w:rPr>
                    <w:t>，</w:t>
                  </w:r>
                  <w:r>
                    <w:rPr>
                      <w:rFonts w:hint="default" w:ascii="Times New Roman" w:hAnsi="Times New Roman" w:cs="Times New Roman"/>
                      <w:lang w:val="en-US" w:eastAsia="zh-CN"/>
                    </w:rPr>
                    <w:t>用于表土堆场</w:t>
                  </w:r>
                </w:p>
              </w:tc>
              <w:tc>
                <w:tcPr>
                  <w:tcW w:w="726"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sz w:val="21"/>
                      <w:szCs w:val="21"/>
                      <w:lang w:val="en-US" w:eastAsia="zh-CN"/>
                    </w:rPr>
                  </w:pPr>
                  <w:r>
                    <w:rPr>
                      <w:rFonts w:hint="default" w:ascii="Times New Roman" w:hAnsi="Times New Roman" w:cs="Times New Roman"/>
                      <w:bCs/>
                      <w:sz w:val="21"/>
                      <w:szCs w:val="21"/>
                      <w:lang w:val="en-US" w:eastAsia="zh-CN"/>
                    </w:rPr>
                    <w:t>新增审批用地</w:t>
                  </w:r>
                </w:p>
              </w:tc>
              <w:tc>
                <w:tcPr>
                  <w:tcW w:w="655"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sz w:val="21"/>
                      <w:szCs w:val="21"/>
                      <w:lang w:val="en-US" w:eastAsia="zh-CN"/>
                    </w:rPr>
                  </w:pPr>
                  <w:r>
                    <w:rPr>
                      <w:rFonts w:hint="default" w:ascii="Times New Roman" w:hAnsi="Times New Roman" w:cs="Times New Roman"/>
                      <w:bCs/>
                      <w:sz w:val="21"/>
                      <w:szCs w:val="21"/>
                      <w:lang w:val="en-US" w:eastAsia="zh-CN"/>
                    </w:rPr>
                    <w:t>新增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34" w:type="dxa"/>
                  <w:vMerge w:val="restart"/>
                  <w:tcBorders>
                    <w:left w:val="single" w:color="auto" w:sz="4" w:space="0"/>
                  </w:tcBorders>
                  <w:shd w:val="clear" w:color="auto" w:fill="auto"/>
                  <w:noWrap w:val="0"/>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rPr>
                  </w:pPr>
                  <w:r>
                    <w:rPr>
                      <w:rFonts w:hint="default" w:ascii="Times New Roman" w:hAnsi="Times New Roman" w:cs="Times New Roman"/>
                    </w:rPr>
                    <w:t>公用工程</w:t>
                  </w:r>
                </w:p>
              </w:tc>
              <w:tc>
                <w:tcPr>
                  <w:tcW w:w="1114" w:type="dxa"/>
                  <w:gridSpan w:val="2"/>
                  <w:shd w:val="clear" w:color="auto" w:fill="auto"/>
                  <w:noWrap w:val="0"/>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供水</w:t>
                  </w:r>
                </w:p>
              </w:tc>
              <w:tc>
                <w:tcPr>
                  <w:tcW w:w="2583"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szCs w:val="21"/>
                      <w:lang w:val="en-US" w:eastAsia="zh-CN"/>
                    </w:rPr>
                  </w:pPr>
                  <w:r>
                    <w:rPr>
                      <w:rFonts w:hint="default" w:ascii="Times New Roman" w:hAnsi="Times New Roman" w:cs="Times New Roman"/>
                      <w:bCs/>
                      <w:sz w:val="21"/>
                      <w:szCs w:val="21"/>
                    </w:rPr>
                    <w:t>工业广场西面设地下水井一座，生产、生活用水均取自地下水</w:t>
                  </w:r>
                </w:p>
              </w:tc>
              <w:tc>
                <w:tcPr>
                  <w:tcW w:w="2552"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leftChars="0" w:right="0" w:rightChars="0"/>
                    <w:jc w:val="center"/>
                    <w:rPr>
                      <w:rFonts w:hint="default" w:ascii="Times New Roman" w:hAnsi="Times New Roman" w:cs="Times New Roman"/>
                      <w:bCs/>
                      <w:sz w:val="21"/>
                      <w:szCs w:val="21"/>
                    </w:rPr>
                  </w:pPr>
                  <w:r>
                    <w:rPr>
                      <w:rFonts w:hint="default" w:ascii="Times New Roman" w:hAnsi="Times New Roman" w:cs="Times New Roman"/>
                      <w:bCs/>
                      <w:sz w:val="21"/>
                      <w:szCs w:val="21"/>
                    </w:rPr>
                    <w:t>工业广场西面设地下水井一座，生产、生活用水均取自地下水</w:t>
                  </w:r>
                </w:p>
              </w:tc>
              <w:tc>
                <w:tcPr>
                  <w:tcW w:w="726"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color w:val="000000" w:themeColor="text1"/>
                      <w:sz w:val="21"/>
                      <w:szCs w:val="21"/>
                      <w:lang w:val="en-US" w:eastAsia="zh-CN"/>
                      <w14:textFill>
                        <w14:solidFill>
                          <w14:schemeClr w14:val="tx1"/>
                        </w14:solidFill>
                      </w14:textFill>
                    </w:rPr>
                  </w:pPr>
                  <w:r>
                    <w:rPr>
                      <w:rFonts w:hint="default" w:ascii="Times New Roman" w:hAnsi="Times New Roman" w:cs="Times New Roman"/>
                      <w:bCs/>
                      <w:color w:val="auto"/>
                      <w:szCs w:val="21"/>
                      <w:lang w:val="en-US" w:eastAsia="zh-CN"/>
                    </w:rPr>
                    <w:t>不变</w:t>
                  </w:r>
                </w:p>
              </w:tc>
              <w:tc>
                <w:tcPr>
                  <w:tcW w:w="655"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40" w:lineRule="auto"/>
                    <w:ind w:left="0" w:leftChars="0" w:right="0" w:rightChars="0"/>
                    <w:jc w:val="both"/>
                    <w:rPr>
                      <w:rFonts w:hint="default" w:ascii="Times New Roman" w:hAnsi="Times New Roman" w:cs="Times New Roman"/>
                      <w:bCs/>
                      <w:sz w:val="21"/>
                      <w:szCs w:val="21"/>
                    </w:rPr>
                  </w:pPr>
                  <w:r>
                    <w:rPr>
                      <w:rFonts w:hint="default" w:ascii="Times New Roman" w:hAnsi="Times New Roman" w:cs="Times New Roman"/>
                      <w:bCs/>
                      <w:color w:val="auto"/>
                      <w:szCs w:val="21"/>
                      <w:lang w:val="en-US" w:eastAsia="zh-CN"/>
                    </w:rPr>
                    <w:t>已建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34" w:type="dxa"/>
                  <w:vMerge w:val="continue"/>
                  <w:tcBorders>
                    <w:left w:val="single" w:color="auto" w:sz="4" w:space="0"/>
                  </w:tcBorders>
                  <w:shd w:val="clear" w:color="auto" w:fill="auto"/>
                  <w:noWrap w:val="0"/>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rPr>
                  </w:pPr>
                </w:p>
              </w:tc>
              <w:tc>
                <w:tcPr>
                  <w:tcW w:w="1114" w:type="dxa"/>
                  <w:gridSpan w:val="2"/>
                  <w:shd w:val="clear" w:color="auto" w:fill="auto"/>
                  <w:noWrap w:val="0"/>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rPr>
                  </w:pPr>
                  <w:r>
                    <w:rPr>
                      <w:rFonts w:hint="default" w:ascii="Times New Roman" w:hAnsi="Times New Roman" w:cs="Times New Roman"/>
                      <w:lang w:val="en-US" w:eastAsia="zh-CN"/>
                    </w:rPr>
                    <w:t>供电</w:t>
                  </w:r>
                </w:p>
              </w:tc>
              <w:tc>
                <w:tcPr>
                  <w:tcW w:w="2583"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szCs w:val="21"/>
                    </w:rPr>
                  </w:pPr>
                  <w:r>
                    <w:rPr>
                      <w:rFonts w:hint="default" w:ascii="Times New Roman" w:hAnsi="Times New Roman" w:cs="Times New Roman"/>
                      <w:bCs/>
                      <w:sz w:val="21"/>
                      <w:szCs w:val="21"/>
                      <w:lang w:val="en-US" w:eastAsia="zh-CN"/>
                    </w:rPr>
                    <w:t>石山脚街道供电网接入</w:t>
                  </w:r>
                </w:p>
              </w:tc>
              <w:tc>
                <w:tcPr>
                  <w:tcW w:w="2552"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leftChars="0" w:right="0" w:rightChars="0"/>
                    <w:jc w:val="center"/>
                    <w:rPr>
                      <w:rFonts w:hint="default" w:ascii="Times New Roman" w:hAnsi="Times New Roman" w:cs="Times New Roman"/>
                      <w:bCs/>
                      <w:sz w:val="21"/>
                      <w:szCs w:val="21"/>
                      <w:lang w:val="en-US" w:eastAsia="zh-CN"/>
                    </w:rPr>
                  </w:pPr>
                  <w:r>
                    <w:rPr>
                      <w:rFonts w:hint="default" w:ascii="Times New Roman" w:hAnsi="Times New Roman" w:cs="Times New Roman"/>
                      <w:bCs/>
                      <w:sz w:val="21"/>
                      <w:szCs w:val="21"/>
                      <w:lang w:val="en-US" w:eastAsia="zh-CN"/>
                    </w:rPr>
                    <w:t>石山脚街道供电网接入</w:t>
                  </w:r>
                </w:p>
              </w:tc>
              <w:tc>
                <w:tcPr>
                  <w:tcW w:w="726"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color w:val="000000" w:themeColor="text1"/>
                      <w:sz w:val="21"/>
                      <w:szCs w:val="21"/>
                      <w:lang w:val="en-US" w:eastAsia="zh-CN"/>
                      <w14:textFill>
                        <w14:solidFill>
                          <w14:schemeClr w14:val="tx1"/>
                        </w14:solidFill>
                      </w14:textFill>
                    </w:rPr>
                  </w:pPr>
                  <w:r>
                    <w:rPr>
                      <w:rFonts w:hint="default" w:ascii="Times New Roman" w:hAnsi="Times New Roman" w:cs="Times New Roman"/>
                      <w:bCs/>
                      <w:color w:val="auto"/>
                      <w:szCs w:val="21"/>
                      <w:lang w:val="en-US" w:eastAsia="zh-CN"/>
                    </w:rPr>
                    <w:t>不变</w:t>
                  </w:r>
                </w:p>
              </w:tc>
              <w:tc>
                <w:tcPr>
                  <w:tcW w:w="655" w:type="dxa"/>
                  <w:tcBorders>
                    <w:right w:val="single" w:color="auto" w:sz="4" w:space="0"/>
                  </w:tcBorders>
                  <w:shd w:val="clear" w:color="auto" w:fill="auto"/>
                  <w:noWrap w:val="0"/>
                  <w:vAlign w:val="center"/>
                </w:tcPr>
                <w:p>
                  <w:pPr>
                    <w:keepNext w:val="0"/>
                    <w:keepLines w:val="0"/>
                    <w:widowControl/>
                    <w:suppressLineNumbers w:val="0"/>
                    <w:spacing w:before="0" w:beforeAutospacing="0" w:after="0" w:afterAutospacing="0"/>
                    <w:ind w:left="0" w:leftChars="0" w:right="0" w:rightChars="0"/>
                    <w:jc w:val="both"/>
                    <w:rPr>
                      <w:rFonts w:hint="default" w:ascii="Times New Roman" w:hAnsi="Times New Roman" w:cs="Times New Roman"/>
                      <w:bCs/>
                      <w:sz w:val="21"/>
                      <w:szCs w:val="21"/>
                      <w:lang w:val="en-US" w:eastAsia="zh-CN"/>
                    </w:rPr>
                  </w:pPr>
                  <w:r>
                    <w:rPr>
                      <w:rFonts w:hint="default" w:ascii="Times New Roman" w:hAnsi="Times New Roman" w:cs="Times New Roman"/>
                      <w:bCs/>
                      <w:color w:val="auto"/>
                      <w:szCs w:val="21"/>
                      <w:lang w:val="en-US" w:eastAsia="zh-CN"/>
                    </w:rPr>
                    <w:t>已建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1" w:hRule="atLeast"/>
                <w:jc w:val="center"/>
              </w:trPr>
              <w:tc>
                <w:tcPr>
                  <w:tcW w:w="534" w:type="dxa"/>
                  <w:vMerge w:val="restart"/>
                  <w:tcBorders>
                    <w:lef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sz w:val="21"/>
                      <w:szCs w:val="21"/>
                    </w:rPr>
                  </w:pPr>
                  <w:r>
                    <w:rPr>
                      <w:rFonts w:hint="default" w:ascii="Times New Roman" w:hAnsi="Times New Roman" w:cs="Times New Roman"/>
                      <w:bCs/>
                      <w:sz w:val="21"/>
                      <w:szCs w:val="21"/>
                    </w:rPr>
                    <w:t>环保工程</w:t>
                  </w:r>
                </w:p>
              </w:tc>
              <w:tc>
                <w:tcPr>
                  <w:tcW w:w="1114" w:type="dxa"/>
                  <w:gridSpan w:val="2"/>
                  <w:vMerge w:val="restart"/>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eastAsia="宋体" w:cs="Times New Roman"/>
                      <w:bCs/>
                      <w:sz w:val="21"/>
                      <w:szCs w:val="21"/>
                      <w:lang w:val="en-US" w:eastAsia="zh-CN"/>
                    </w:rPr>
                  </w:pPr>
                  <w:r>
                    <w:rPr>
                      <w:rFonts w:hint="default" w:ascii="Times New Roman" w:hAnsi="Times New Roman" w:cs="Times New Roman"/>
                      <w:bCs/>
                      <w:sz w:val="21"/>
                      <w:szCs w:val="21"/>
                      <w:lang w:val="en-US" w:eastAsia="zh-CN"/>
                    </w:rPr>
                    <w:t>废气</w:t>
                  </w:r>
                </w:p>
              </w:tc>
              <w:tc>
                <w:tcPr>
                  <w:tcW w:w="2583"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color w:val="000000" w:themeColor="text1"/>
                      <w:szCs w:val="21"/>
                      <w:lang w:val="en-US" w:eastAsia="zh-CN"/>
                      <w14:textFill>
                        <w14:solidFill>
                          <w14:schemeClr w14:val="tx1"/>
                        </w14:solidFill>
                      </w14:textFill>
                    </w:rPr>
                  </w:pPr>
                  <w:r>
                    <w:rPr>
                      <w:rFonts w:hint="default" w:ascii="Times New Roman" w:hAnsi="Times New Roman" w:cs="Times New Roman"/>
                      <w:bCs/>
                      <w:color w:val="000000" w:themeColor="text1"/>
                      <w:sz w:val="21"/>
                      <w:szCs w:val="21"/>
                      <w:lang w:val="en-US" w:eastAsia="zh-CN"/>
                      <w14:textFill>
                        <w14:solidFill>
                          <w14:schemeClr w14:val="tx1"/>
                        </w14:solidFill>
                      </w14:textFill>
                    </w:rPr>
                    <w:t>开采粉尘采用湿式凿岩钻孔、洒水抑尘</w:t>
                  </w:r>
                </w:p>
              </w:tc>
              <w:tc>
                <w:tcPr>
                  <w:tcW w:w="2552"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leftChars="0" w:right="0" w:rightChars="0"/>
                    <w:jc w:val="center"/>
                    <w:rPr>
                      <w:rFonts w:hint="default" w:ascii="Times New Roman" w:hAnsi="Times New Roman" w:cs="Times New Roman"/>
                      <w:bCs/>
                      <w:color w:val="000000" w:themeColor="text1"/>
                      <w:sz w:val="21"/>
                      <w:szCs w:val="21"/>
                      <w:lang w:val="en-US" w:eastAsia="zh-CN"/>
                      <w14:textFill>
                        <w14:solidFill>
                          <w14:schemeClr w14:val="tx1"/>
                        </w14:solidFill>
                      </w14:textFill>
                    </w:rPr>
                  </w:pPr>
                  <w:r>
                    <w:rPr>
                      <w:rFonts w:hint="default" w:ascii="Times New Roman" w:hAnsi="Times New Roman" w:cs="Times New Roman"/>
                      <w:bCs/>
                      <w:color w:val="000000" w:themeColor="text1"/>
                      <w:sz w:val="21"/>
                      <w:szCs w:val="21"/>
                      <w:lang w:val="en-US" w:eastAsia="zh-CN"/>
                      <w14:textFill>
                        <w14:solidFill>
                          <w14:schemeClr w14:val="tx1"/>
                        </w14:solidFill>
                      </w14:textFill>
                    </w:rPr>
                    <w:t>开采粉尘采用湿式凿岩钻孔、洒水抑尘</w:t>
                  </w:r>
                </w:p>
              </w:tc>
              <w:tc>
                <w:tcPr>
                  <w:tcW w:w="726"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color w:val="000000" w:themeColor="text1"/>
                      <w:sz w:val="21"/>
                      <w:szCs w:val="21"/>
                      <w:lang w:val="en-US" w:eastAsia="zh-CN"/>
                      <w14:textFill>
                        <w14:solidFill>
                          <w14:schemeClr w14:val="tx1"/>
                        </w14:solidFill>
                      </w14:textFill>
                    </w:rPr>
                  </w:pPr>
                  <w:r>
                    <w:rPr>
                      <w:rFonts w:hint="default" w:ascii="Times New Roman" w:hAnsi="Times New Roman" w:cs="Times New Roman"/>
                      <w:bCs/>
                      <w:color w:val="auto"/>
                      <w:szCs w:val="21"/>
                      <w:lang w:val="en-US" w:eastAsia="zh-CN"/>
                    </w:rPr>
                    <w:t>不变</w:t>
                  </w:r>
                </w:p>
              </w:tc>
              <w:tc>
                <w:tcPr>
                  <w:tcW w:w="655" w:type="dxa"/>
                  <w:vMerge w:val="restart"/>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40" w:lineRule="auto"/>
                    <w:ind w:left="0" w:leftChars="0" w:right="0" w:rightChars="0"/>
                    <w:jc w:val="both"/>
                    <w:rPr>
                      <w:rFonts w:hint="default" w:ascii="Times New Roman" w:hAnsi="Times New Roman" w:cs="Times New Roman"/>
                      <w:bCs/>
                      <w:color w:val="000000" w:themeColor="text1"/>
                      <w:sz w:val="21"/>
                      <w:szCs w:val="21"/>
                      <w:lang w:val="en-US" w:eastAsia="zh-CN"/>
                      <w14:textFill>
                        <w14:solidFill>
                          <w14:schemeClr w14:val="tx1"/>
                        </w14:solidFill>
                      </w14:textFill>
                    </w:rPr>
                  </w:pPr>
                  <w:r>
                    <w:rPr>
                      <w:rFonts w:hint="default" w:ascii="Times New Roman" w:hAnsi="Times New Roman" w:cs="Times New Roman"/>
                      <w:bCs/>
                      <w:color w:val="auto"/>
                      <w:szCs w:val="21"/>
                      <w:lang w:val="en-US" w:eastAsia="zh-CN"/>
                    </w:rPr>
                    <w:t>已建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8" w:hRule="atLeast"/>
                <w:jc w:val="center"/>
              </w:trPr>
              <w:tc>
                <w:tcPr>
                  <w:tcW w:w="534" w:type="dxa"/>
                  <w:vMerge w:val="continue"/>
                  <w:tcBorders>
                    <w:lef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sz w:val="21"/>
                      <w:szCs w:val="21"/>
                    </w:rPr>
                  </w:pPr>
                </w:p>
              </w:tc>
              <w:tc>
                <w:tcPr>
                  <w:tcW w:w="1114" w:type="dxa"/>
                  <w:gridSpan w:val="2"/>
                  <w:vMerge w:val="continue"/>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sz w:val="21"/>
                      <w:szCs w:val="21"/>
                      <w:lang w:val="en-US" w:eastAsia="zh-CN"/>
                    </w:rPr>
                  </w:pPr>
                </w:p>
              </w:tc>
              <w:tc>
                <w:tcPr>
                  <w:tcW w:w="2583"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color w:val="000000" w:themeColor="text1"/>
                      <w:sz w:val="21"/>
                      <w:szCs w:val="21"/>
                      <w:lang w:val="en-US" w:eastAsia="zh-CN"/>
                      <w14:textFill>
                        <w14:solidFill>
                          <w14:schemeClr w14:val="tx1"/>
                        </w14:solidFill>
                      </w14:textFill>
                    </w:rPr>
                  </w:pPr>
                  <w:r>
                    <w:rPr>
                      <w:rFonts w:hint="default" w:ascii="Times New Roman" w:hAnsi="Times New Roman" w:cs="Times New Roman"/>
                      <w:bCs/>
                      <w:color w:val="000000" w:themeColor="text1"/>
                      <w:sz w:val="21"/>
                      <w:szCs w:val="21"/>
                      <w:lang w:val="en-US" w:eastAsia="zh-CN"/>
                      <w14:textFill>
                        <w14:solidFill>
                          <w14:schemeClr w14:val="tx1"/>
                        </w14:solidFill>
                      </w14:textFill>
                    </w:rPr>
                    <w:t>工业广场厂棚设置环状喷头，工业广场全密闭，工业广场破碎机、振动筛与制砂机出口设置引风机+布袋除尘器+15m排气筒排放，生产线采取封闭厂房，内部皮带输送通道密闭</w:t>
                  </w:r>
                </w:p>
              </w:tc>
              <w:tc>
                <w:tcPr>
                  <w:tcW w:w="2552"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leftChars="0" w:right="0" w:rightChars="0"/>
                    <w:jc w:val="both"/>
                    <w:rPr>
                      <w:rFonts w:hint="default" w:ascii="Times New Roman" w:hAnsi="Times New Roman" w:cs="Times New Roman"/>
                      <w:bCs/>
                      <w:color w:val="000000" w:themeColor="text1"/>
                      <w:sz w:val="21"/>
                      <w:szCs w:val="21"/>
                      <w:lang w:val="en-US" w:eastAsia="zh-CN"/>
                      <w14:textFill>
                        <w14:solidFill>
                          <w14:schemeClr w14:val="tx1"/>
                        </w14:solidFill>
                      </w14:textFill>
                    </w:rPr>
                  </w:pPr>
                  <w:r>
                    <w:rPr>
                      <w:rFonts w:hint="default" w:ascii="Times New Roman" w:hAnsi="Times New Roman" w:cs="Times New Roman"/>
                      <w:bCs/>
                      <w:color w:val="000000" w:themeColor="text1"/>
                      <w:sz w:val="21"/>
                      <w:szCs w:val="21"/>
                      <w:lang w:val="en-US" w:eastAsia="zh-CN"/>
                      <w14:textFill>
                        <w14:solidFill>
                          <w14:schemeClr w14:val="tx1"/>
                        </w14:solidFill>
                      </w14:textFill>
                    </w:rPr>
                    <w:t>工业广场破碎生产线初破、二破、初筛出口设置引风机+脉冲布袋除尘器+15m排气筒DA001排放；制砂、选粉、复筛出口引风机+脉冲布袋除尘器+15m排气筒DA002排放；</w:t>
                  </w:r>
                </w:p>
              </w:tc>
              <w:tc>
                <w:tcPr>
                  <w:tcW w:w="726"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color w:val="000000" w:themeColor="text1"/>
                      <w:sz w:val="21"/>
                      <w:szCs w:val="21"/>
                      <w:lang w:val="en-US" w:eastAsia="zh-CN"/>
                      <w14:textFill>
                        <w14:solidFill>
                          <w14:schemeClr w14:val="tx1"/>
                        </w14:solidFill>
                      </w14:textFill>
                    </w:rPr>
                  </w:pPr>
                  <w:r>
                    <w:rPr>
                      <w:rFonts w:hint="default" w:ascii="Times New Roman" w:hAnsi="Times New Roman" w:cs="Times New Roman"/>
                      <w:bCs/>
                      <w:color w:val="auto"/>
                      <w:szCs w:val="21"/>
                      <w:lang w:val="en-US" w:eastAsia="zh-CN"/>
                    </w:rPr>
                    <w:t>不变</w:t>
                  </w:r>
                </w:p>
              </w:tc>
              <w:tc>
                <w:tcPr>
                  <w:tcW w:w="655" w:type="dxa"/>
                  <w:vMerge w:val="continue"/>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color w:val="000000" w:themeColor="text1"/>
                      <w:sz w:val="21"/>
                      <w:szCs w:val="21"/>
                      <w:lang w:val="en-US"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6" w:hRule="atLeast"/>
                <w:jc w:val="center"/>
              </w:trPr>
              <w:tc>
                <w:tcPr>
                  <w:tcW w:w="534" w:type="dxa"/>
                  <w:vMerge w:val="continue"/>
                  <w:tcBorders>
                    <w:lef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sz w:val="21"/>
                      <w:szCs w:val="21"/>
                    </w:rPr>
                  </w:pPr>
                </w:p>
              </w:tc>
              <w:tc>
                <w:tcPr>
                  <w:tcW w:w="1114" w:type="dxa"/>
                  <w:gridSpan w:val="2"/>
                  <w:vMerge w:val="continue"/>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sz w:val="21"/>
                      <w:szCs w:val="21"/>
                      <w:lang w:val="en-US" w:eastAsia="zh-CN"/>
                    </w:rPr>
                  </w:pPr>
                </w:p>
              </w:tc>
              <w:tc>
                <w:tcPr>
                  <w:tcW w:w="2583"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color w:val="000000" w:themeColor="text1"/>
                      <w:sz w:val="21"/>
                      <w:szCs w:val="21"/>
                      <w:lang w:val="en-US" w:eastAsia="zh-CN"/>
                      <w14:textFill>
                        <w14:solidFill>
                          <w14:schemeClr w14:val="tx1"/>
                        </w14:solidFill>
                      </w14:textFill>
                    </w:rPr>
                  </w:pPr>
                  <w:r>
                    <w:rPr>
                      <w:rFonts w:hint="default" w:ascii="Times New Roman" w:hAnsi="Times New Roman" w:cs="Times New Roman"/>
                      <w:bCs/>
                      <w:color w:val="000000" w:themeColor="text1"/>
                      <w:sz w:val="21"/>
                      <w:szCs w:val="21"/>
                      <w:lang w:val="en-US" w:eastAsia="zh-CN"/>
                      <w14:textFill>
                        <w14:solidFill>
                          <w14:schemeClr w14:val="tx1"/>
                        </w14:solidFill>
                      </w14:textFill>
                    </w:rPr>
                    <w:t>道路扬尘地面硬化、洗车台、洒水抑尘</w:t>
                  </w:r>
                </w:p>
              </w:tc>
              <w:tc>
                <w:tcPr>
                  <w:tcW w:w="2552"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leftChars="0" w:right="0" w:rightChars="0"/>
                    <w:jc w:val="center"/>
                    <w:rPr>
                      <w:rFonts w:hint="default" w:ascii="Times New Roman" w:hAnsi="Times New Roman" w:cs="Times New Roman"/>
                      <w:bCs/>
                      <w:color w:val="000000" w:themeColor="text1"/>
                      <w:sz w:val="21"/>
                      <w:szCs w:val="21"/>
                      <w:lang w:val="en-US" w:eastAsia="zh-CN"/>
                      <w14:textFill>
                        <w14:solidFill>
                          <w14:schemeClr w14:val="tx1"/>
                        </w14:solidFill>
                      </w14:textFill>
                    </w:rPr>
                  </w:pPr>
                  <w:r>
                    <w:rPr>
                      <w:rFonts w:hint="default" w:ascii="Times New Roman" w:hAnsi="Times New Roman" w:cs="Times New Roman"/>
                      <w:bCs/>
                      <w:color w:val="000000" w:themeColor="text1"/>
                      <w:sz w:val="21"/>
                      <w:szCs w:val="21"/>
                      <w:lang w:val="en-US" w:eastAsia="zh-CN"/>
                      <w14:textFill>
                        <w14:solidFill>
                          <w14:schemeClr w14:val="tx1"/>
                        </w14:solidFill>
                      </w14:textFill>
                    </w:rPr>
                    <w:t>道路扬尘地面硬化、洗车台、洒水抑尘</w:t>
                  </w:r>
                </w:p>
              </w:tc>
              <w:tc>
                <w:tcPr>
                  <w:tcW w:w="726"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color w:val="000000" w:themeColor="text1"/>
                      <w:sz w:val="21"/>
                      <w:szCs w:val="21"/>
                      <w:lang w:val="en-US" w:eastAsia="zh-CN"/>
                      <w14:textFill>
                        <w14:solidFill>
                          <w14:schemeClr w14:val="tx1"/>
                        </w14:solidFill>
                      </w14:textFill>
                    </w:rPr>
                  </w:pPr>
                  <w:r>
                    <w:rPr>
                      <w:rFonts w:hint="default" w:ascii="Times New Roman" w:hAnsi="Times New Roman" w:cs="Times New Roman"/>
                      <w:bCs/>
                      <w:color w:val="auto"/>
                      <w:szCs w:val="21"/>
                      <w:lang w:val="en-US" w:eastAsia="zh-CN"/>
                    </w:rPr>
                    <w:t>不变</w:t>
                  </w:r>
                </w:p>
              </w:tc>
              <w:tc>
                <w:tcPr>
                  <w:tcW w:w="655" w:type="dxa"/>
                  <w:vMerge w:val="continue"/>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color w:val="000000" w:themeColor="text1"/>
                      <w:sz w:val="21"/>
                      <w:szCs w:val="21"/>
                      <w:lang w:val="en-US"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34" w:type="dxa"/>
                  <w:vMerge w:val="continue"/>
                  <w:tcBorders>
                    <w:lef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sz w:val="21"/>
                      <w:szCs w:val="21"/>
                    </w:rPr>
                  </w:pPr>
                </w:p>
              </w:tc>
              <w:tc>
                <w:tcPr>
                  <w:tcW w:w="1114" w:type="dxa"/>
                  <w:gridSpan w:val="2"/>
                  <w:vMerge w:val="restart"/>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eastAsia="宋体" w:cs="Times New Roman"/>
                      <w:bCs/>
                      <w:sz w:val="21"/>
                      <w:szCs w:val="21"/>
                      <w:lang w:val="en-US" w:eastAsia="zh-CN"/>
                    </w:rPr>
                  </w:pPr>
                  <w:r>
                    <w:rPr>
                      <w:rFonts w:hint="default" w:ascii="Times New Roman" w:hAnsi="Times New Roman" w:cs="Times New Roman"/>
                      <w:bCs/>
                      <w:sz w:val="21"/>
                      <w:szCs w:val="21"/>
                      <w:lang w:val="en-US" w:eastAsia="zh-CN"/>
                    </w:rPr>
                    <w:t>废水</w:t>
                  </w:r>
                </w:p>
              </w:tc>
              <w:tc>
                <w:tcPr>
                  <w:tcW w:w="2583"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color w:val="000000" w:themeColor="text1"/>
                      <w:szCs w:val="21"/>
                      <w14:textFill>
                        <w14:solidFill>
                          <w14:schemeClr w14:val="tx1"/>
                        </w14:solidFill>
                      </w14:textFill>
                    </w:rPr>
                  </w:pPr>
                  <w:r>
                    <w:rPr>
                      <w:rFonts w:hint="default" w:ascii="Times New Roman" w:hAnsi="Times New Roman" w:cs="Times New Roman"/>
                      <w:bCs/>
                      <w:color w:val="000000" w:themeColor="text1"/>
                      <w:sz w:val="21"/>
                      <w:szCs w:val="21"/>
                      <w:lang w:val="en-US" w:eastAsia="zh-CN"/>
                      <w14:textFill>
                        <w14:solidFill>
                          <w14:schemeClr w14:val="tx1"/>
                        </w14:solidFill>
                      </w14:textFill>
                    </w:rPr>
                    <w:t>洗车废水工业广场清洗平台配套洗车废水沉淀池</w:t>
                  </w:r>
                </w:p>
              </w:tc>
              <w:tc>
                <w:tcPr>
                  <w:tcW w:w="2552"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leftChars="0" w:right="0" w:rightChars="0"/>
                    <w:jc w:val="center"/>
                    <w:rPr>
                      <w:rFonts w:hint="default" w:ascii="Times New Roman" w:hAnsi="Times New Roman" w:cs="Times New Roman"/>
                      <w:bCs/>
                      <w:color w:val="000000" w:themeColor="text1"/>
                      <w:sz w:val="21"/>
                      <w:szCs w:val="21"/>
                      <w:lang w:val="en-US" w:eastAsia="zh-CN"/>
                      <w14:textFill>
                        <w14:solidFill>
                          <w14:schemeClr w14:val="tx1"/>
                        </w14:solidFill>
                      </w14:textFill>
                    </w:rPr>
                  </w:pPr>
                  <w:r>
                    <w:rPr>
                      <w:rFonts w:hint="default" w:ascii="Times New Roman" w:hAnsi="Times New Roman" w:cs="Times New Roman"/>
                      <w:bCs/>
                      <w:color w:val="000000" w:themeColor="text1"/>
                      <w:sz w:val="21"/>
                      <w:szCs w:val="21"/>
                      <w:lang w:val="en-US" w:eastAsia="zh-CN"/>
                      <w14:textFill>
                        <w14:solidFill>
                          <w14:schemeClr w14:val="tx1"/>
                        </w14:solidFill>
                      </w14:textFill>
                    </w:rPr>
                    <w:t>洗车废水工业广场清洗平台配套洗车废水沉淀池</w:t>
                  </w:r>
                </w:p>
              </w:tc>
              <w:tc>
                <w:tcPr>
                  <w:tcW w:w="726"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color w:val="000000" w:themeColor="text1"/>
                      <w:sz w:val="21"/>
                      <w:szCs w:val="21"/>
                      <w:lang w:val="en-US" w:eastAsia="zh-CN"/>
                      <w14:textFill>
                        <w14:solidFill>
                          <w14:schemeClr w14:val="tx1"/>
                        </w14:solidFill>
                      </w14:textFill>
                    </w:rPr>
                  </w:pPr>
                  <w:r>
                    <w:rPr>
                      <w:rFonts w:hint="default" w:ascii="Times New Roman" w:hAnsi="Times New Roman" w:cs="Times New Roman"/>
                      <w:bCs/>
                      <w:color w:val="000000" w:themeColor="text1"/>
                      <w:sz w:val="21"/>
                      <w:szCs w:val="21"/>
                      <w:lang w:val="en-US" w:eastAsia="zh-CN"/>
                      <w14:textFill>
                        <w14:solidFill>
                          <w14:schemeClr w14:val="tx1"/>
                        </w14:solidFill>
                      </w14:textFill>
                    </w:rPr>
                    <w:t>不变</w:t>
                  </w:r>
                </w:p>
              </w:tc>
              <w:tc>
                <w:tcPr>
                  <w:tcW w:w="655" w:type="dxa"/>
                  <w:vMerge w:val="restart"/>
                  <w:tcBorders>
                    <w:right w:val="single" w:color="auto" w:sz="4" w:space="0"/>
                  </w:tcBorders>
                  <w:shd w:val="clear" w:color="auto" w:fill="auto"/>
                  <w:noWrap w:val="0"/>
                  <w:vAlign w:val="center"/>
                </w:tcPr>
                <w:p>
                  <w:pPr>
                    <w:keepNext w:val="0"/>
                    <w:keepLines w:val="0"/>
                    <w:widowControl/>
                    <w:suppressLineNumbers w:val="0"/>
                    <w:spacing w:before="0" w:beforeAutospacing="0" w:after="0" w:afterAutospacing="0"/>
                    <w:ind w:left="0" w:leftChars="0" w:right="0" w:rightChars="0"/>
                    <w:jc w:val="both"/>
                    <w:rPr>
                      <w:rFonts w:hint="default" w:ascii="Times New Roman" w:hAnsi="Times New Roman" w:cs="Times New Roman"/>
                      <w:bCs/>
                      <w:color w:val="000000" w:themeColor="text1"/>
                      <w:sz w:val="21"/>
                      <w:szCs w:val="21"/>
                      <w:lang w:val="en-US" w:eastAsia="zh-CN"/>
                      <w14:textFill>
                        <w14:solidFill>
                          <w14:schemeClr w14:val="tx1"/>
                        </w14:solidFill>
                      </w14:textFill>
                    </w:rPr>
                  </w:pPr>
                  <w:r>
                    <w:rPr>
                      <w:rFonts w:hint="default" w:ascii="Times New Roman" w:hAnsi="Times New Roman" w:cs="Times New Roman"/>
                      <w:bCs/>
                      <w:color w:val="auto"/>
                      <w:szCs w:val="21"/>
                      <w:lang w:val="en-US" w:eastAsia="zh-CN"/>
                    </w:rPr>
                    <w:t>已建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0" w:hRule="atLeast"/>
                <w:jc w:val="center"/>
              </w:trPr>
              <w:tc>
                <w:tcPr>
                  <w:tcW w:w="534" w:type="dxa"/>
                  <w:vMerge w:val="continue"/>
                  <w:tcBorders>
                    <w:lef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sz w:val="21"/>
                      <w:szCs w:val="21"/>
                    </w:rPr>
                  </w:pPr>
                </w:p>
              </w:tc>
              <w:tc>
                <w:tcPr>
                  <w:tcW w:w="1114" w:type="dxa"/>
                  <w:gridSpan w:val="2"/>
                  <w:vMerge w:val="continue"/>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sz w:val="21"/>
                      <w:szCs w:val="21"/>
                    </w:rPr>
                  </w:pPr>
                </w:p>
              </w:tc>
              <w:tc>
                <w:tcPr>
                  <w:tcW w:w="2583"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color w:val="000000" w:themeColor="text1"/>
                      <w:szCs w:val="21"/>
                      <w:lang w:val="en-US"/>
                      <w14:textFill>
                        <w14:solidFill>
                          <w14:schemeClr w14:val="tx1"/>
                        </w14:solidFill>
                      </w14:textFill>
                    </w:rPr>
                  </w:pPr>
                  <w:r>
                    <w:rPr>
                      <w:rFonts w:hint="default" w:ascii="Times New Roman" w:hAnsi="Times New Roman" w:cs="Times New Roman"/>
                      <w:bCs/>
                      <w:color w:val="000000" w:themeColor="text1"/>
                      <w:sz w:val="21"/>
                      <w:szCs w:val="21"/>
                      <w:lang w:val="en-US" w:eastAsia="zh-CN"/>
                      <w14:textFill>
                        <w14:solidFill>
                          <w14:schemeClr w14:val="tx1"/>
                        </w14:solidFill>
                      </w14:textFill>
                    </w:rPr>
                    <w:t>设置截排水沟，采场外围设置截排水沟1100m；在采场底部内侧沿边坡修建截排水沟长1600m，平台修建两条横向截排水沟全长500m，截排水沟的规格为0.5m×0.3m，两壁厚0.3m，底厚0.15m，采用浆砌石结构，混凝土垫底，防水砂浆抹面。为防止地表水冲刷边坡台阶覆土层，采矿分层开采在各级边坡平台内侧和底部平台设计排水沟，边坡平台内侧分2级，排水沟长度2000m，断面尺寸0.4×0.4m。</w:t>
                  </w:r>
                </w:p>
              </w:tc>
              <w:tc>
                <w:tcPr>
                  <w:tcW w:w="2552"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leftChars="0" w:right="0" w:rightChars="0"/>
                    <w:jc w:val="center"/>
                    <w:rPr>
                      <w:rFonts w:hint="default" w:ascii="Times New Roman" w:hAnsi="Times New Roman" w:cs="Times New Roman"/>
                      <w:bCs/>
                      <w:color w:val="000000" w:themeColor="text1"/>
                      <w:sz w:val="21"/>
                      <w:szCs w:val="21"/>
                      <w:lang w:val="en-US" w:eastAsia="zh-CN"/>
                      <w14:textFill>
                        <w14:solidFill>
                          <w14:schemeClr w14:val="tx1"/>
                        </w14:solidFill>
                      </w14:textFill>
                    </w:rPr>
                  </w:pPr>
                  <w:r>
                    <w:rPr>
                      <w:rFonts w:hint="default" w:ascii="Times New Roman" w:hAnsi="Times New Roman" w:cs="Times New Roman"/>
                      <w:bCs/>
                      <w:color w:val="000000" w:themeColor="text1"/>
                      <w:sz w:val="21"/>
                      <w:szCs w:val="21"/>
                      <w:lang w:val="en-US" w:eastAsia="zh-CN"/>
                      <w14:textFill>
                        <w14:solidFill>
                          <w14:schemeClr w14:val="tx1"/>
                        </w14:solidFill>
                      </w14:textFill>
                    </w:rPr>
                    <w:t>设置截排水沟，采场外围设置截排水沟1100m；在采场底部内侧沿边坡修建截排水沟长1600m，平台修建两条横向截排水沟全长500m，截排水沟的规格为0.5m×0.3m，两壁厚0.3m，底厚0.15m，采用浆砌石结构，混凝土垫底，防水砂浆抹面。为防止地表水冲刷边坡台阶覆土层，采矿分层开采在各级边坡平台内侧和底部平台设计排水沟，边坡平台内侧分2级，排水沟长度2000m，断面尺寸0.4×0.4m。</w:t>
                  </w:r>
                </w:p>
              </w:tc>
              <w:tc>
                <w:tcPr>
                  <w:tcW w:w="726"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color w:val="000000" w:themeColor="text1"/>
                      <w:sz w:val="21"/>
                      <w:szCs w:val="21"/>
                      <w:lang w:val="en-US" w:eastAsia="zh-CN"/>
                      <w14:textFill>
                        <w14:solidFill>
                          <w14:schemeClr w14:val="tx1"/>
                        </w14:solidFill>
                      </w14:textFill>
                    </w:rPr>
                  </w:pPr>
                  <w:r>
                    <w:rPr>
                      <w:rFonts w:hint="default" w:ascii="Times New Roman" w:hAnsi="Times New Roman" w:cs="Times New Roman"/>
                      <w:bCs/>
                      <w:color w:val="000000" w:themeColor="text1"/>
                      <w:sz w:val="21"/>
                      <w:szCs w:val="21"/>
                      <w:lang w:val="en-US" w:eastAsia="zh-CN"/>
                      <w14:textFill>
                        <w14:solidFill>
                          <w14:schemeClr w14:val="tx1"/>
                        </w14:solidFill>
                      </w14:textFill>
                    </w:rPr>
                    <w:t>不变</w:t>
                  </w:r>
                </w:p>
              </w:tc>
              <w:tc>
                <w:tcPr>
                  <w:tcW w:w="655" w:type="dxa"/>
                  <w:vMerge w:val="continue"/>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color w:val="000000" w:themeColor="text1"/>
                      <w:sz w:val="21"/>
                      <w:szCs w:val="21"/>
                      <w:lang w:val="en-US"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0" w:hRule="atLeast"/>
                <w:jc w:val="center"/>
              </w:trPr>
              <w:tc>
                <w:tcPr>
                  <w:tcW w:w="534" w:type="dxa"/>
                  <w:vMerge w:val="continue"/>
                  <w:tcBorders>
                    <w:lef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sz w:val="21"/>
                      <w:szCs w:val="21"/>
                    </w:rPr>
                  </w:pPr>
                </w:p>
              </w:tc>
              <w:tc>
                <w:tcPr>
                  <w:tcW w:w="1114" w:type="dxa"/>
                  <w:gridSpan w:val="2"/>
                  <w:vMerge w:val="continue"/>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sz w:val="21"/>
                      <w:szCs w:val="21"/>
                    </w:rPr>
                  </w:pPr>
                </w:p>
              </w:tc>
              <w:tc>
                <w:tcPr>
                  <w:tcW w:w="2583"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color w:val="000000" w:themeColor="text1"/>
                      <w:sz w:val="21"/>
                      <w:szCs w:val="21"/>
                      <w:lang w:val="en-US" w:eastAsia="zh-CN"/>
                      <w14:textFill>
                        <w14:solidFill>
                          <w14:schemeClr w14:val="tx1"/>
                        </w14:solidFill>
                      </w14:textFill>
                    </w:rPr>
                  </w:pPr>
                  <w:r>
                    <w:rPr>
                      <w:rFonts w:hint="default" w:ascii="Times New Roman" w:hAnsi="Times New Roman" w:cs="Times New Roman"/>
                      <w:bCs/>
                      <w:color w:val="000000" w:themeColor="text1"/>
                      <w:sz w:val="21"/>
                      <w:szCs w:val="21"/>
                      <w:lang w:val="en-US" w:eastAsia="zh-CN"/>
                      <w14:textFill>
                        <w14:solidFill>
                          <w14:schemeClr w14:val="tx1"/>
                        </w14:solidFill>
                      </w14:textFill>
                    </w:rPr>
                    <w:t>初期雨水在矿区北东侧及矿区南侧各修建1个二级沉淀池（容积约60m</w:t>
                  </w:r>
                  <w:r>
                    <w:rPr>
                      <w:rFonts w:hint="default" w:ascii="Times New Roman" w:hAnsi="Times New Roman" w:cs="Times New Roman"/>
                      <w:bCs/>
                      <w:color w:val="000000" w:themeColor="text1"/>
                      <w:sz w:val="21"/>
                      <w:szCs w:val="21"/>
                      <w:vertAlign w:val="superscript"/>
                      <w:lang w:val="en-US" w:eastAsia="zh-CN"/>
                      <w14:textFill>
                        <w14:solidFill>
                          <w14:schemeClr w14:val="tx1"/>
                        </w14:solidFill>
                      </w14:textFill>
                    </w:rPr>
                    <w:t>3</w:t>
                  </w:r>
                  <w:r>
                    <w:rPr>
                      <w:rFonts w:hint="default" w:ascii="Times New Roman" w:hAnsi="Times New Roman" w:cs="Times New Roman"/>
                      <w:bCs/>
                      <w:color w:val="000000" w:themeColor="text1"/>
                      <w:sz w:val="21"/>
                      <w:szCs w:val="21"/>
                      <w:lang w:val="en-US" w:eastAsia="zh-CN"/>
                      <w14:textFill>
                        <w14:solidFill>
                          <w14:schemeClr w14:val="tx1"/>
                        </w14:solidFill>
                      </w14:textFill>
                    </w:rPr>
                    <w:t>），两个沉淀池总容积120m</w:t>
                  </w:r>
                  <w:r>
                    <w:rPr>
                      <w:rFonts w:hint="default" w:ascii="Times New Roman" w:hAnsi="Times New Roman" w:cs="Times New Roman"/>
                      <w:bCs/>
                      <w:color w:val="000000" w:themeColor="text1"/>
                      <w:sz w:val="21"/>
                      <w:szCs w:val="21"/>
                      <w:vertAlign w:val="superscript"/>
                      <w:lang w:val="en-US" w:eastAsia="zh-CN"/>
                      <w14:textFill>
                        <w14:solidFill>
                          <w14:schemeClr w14:val="tx1"/>
                        </w14:solidFill>
                      </w14:textFill>
                    </w:rPr>
                    <w:t>3</w:t>
                  </w:r>
                  <w:r>
                    <w:rPr>
                      <w:rFonts w:hint="default" w:ascii="Times New Roman" w:hAnsi="Times New Roman" w:cs="Times New Roman"/>
                      <w:bCs/>
                      <w:color w:val="000000" w:themeColor="text1"/>
                      <w:sz w:val="21"/>
                      <w:szCs w:val="21"/>
                      <w:lang w:val="en-US" w:eastAsia="zh-CN"/>
                      <w14:textFill>
                        <w14:solidFill>
                          <w14:schemeClr w14:val="tx1"/>
                        </w14:solidFill>
                      </w14:textFill>
                    </w:rPr>
                    <w:t>。初期雨水经沉淀处理后回用于洒水降尘</w:t>
                  </w:r>
                  <w:r>
                    <w:rPr>
                      <w:rFonts w:hint="eastAsia" w:cs="Times New Roman"/>
                      <w:bCs/>
                      <w:color w:val="000000" w:themeColor="text1"/>
                      <w:sz w:val="21"/>
                      <w:szCs w:val="21"/>
                      <w:lang w:val="en-US" w:eastAsia="zh-CN"/>
                      <w14:textFill>
                        <w14:solidFill>
                          <w14:schemeClr w14:val="tx1"/>
                        </w14:solidFill>
                      </w14:textFill>
                    </w:rPr>
                    <w:t>。后期雨水自然排放至外环境，无需收集处理。</w:t>
                  </w:r>
                </w:p>
              </w:tc>
              <w:tc>
                <w:tcPr>
                  <w:tcW w:w="2552"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leftChars="0" w:right="0" w:rightChars="0"/>
                    <w:jc w:val="center"/>
                    <w:rPr>
                      <w:rFonts w:hint="default" w:ascii="Times New Roman" w:hAnsi="Times New Roman" w:cs="Times New Roman"/>
                      <w:bCs/>
                      <w:color w:val="000000" w:themeColor="text1"/>
                      <w:sz w:val="21"/>
                      <w:szCs w:val="21"/>
                      <w:lang w:val="en-US" w:eastAsia="zh-CN"/>
                      <w14:textFill>
                        <w14:solidFill>
                          <w14:schemeClr w14:val="tx1"/>
                        </w14:solidFill>
                      </w14:textFill>
                    </w:rPr>
                  </w:pPr>
                  <w:r>
                    <w:rPr>
                      <w:rFonts w:hint="default" w:ascii="Times New Roman" w:hAnsi="Times New Roman" w:cs="Times New Roman"/>
                      <w:bCs/>
                      <w:color w:val="000000" w:themeColor="text1"/>
                      <w:sz w:val="21"/>
                      <w:szCs w:val="21"/>
                      <w:lang w:val="en-US" w:eastAsia="zh-CN"/>
                      <w14:textFill>
                        <w14:solidFill>
                          <w14:schemeClr w14:val="tx1"/>
                        </w14:solidFill>
                      </w14:textFill>
                    </w:rPr>
                    <w:t>初期雨水在矿区北东侧及矿区南侧各修建1个二级沉淀池（容积约300m</w:t>
                  </w:r>
                  <w:r>
                    <w:rPr>
                      <w:rFonts w:hint="default" w:ascii="Times New Roman" w:hAnsi="Times New Roman" w:cs="Times New Roman"/>
                      <w:bCs/>
                      <w:color w:val="000000" w:themeColor="text1"/>
                      <w:sz w:val="21"/>
                      <w:szCs w:val="21"/>
                      <w:vertAlign w:val="superscript"/>
                      <w:lang w:val="en-US" w:eastAsia="zh-CN"/>
                      <w14:textFill>
                        <w14:solidFill>
                          <w14:schemeClr w14:val="tx1"/>
                        </w14:solidFill>
                      </w14:textFill>
                    </w:rPr>
                    <w:t>3</w:t>
                  </w:r>
                  <w:r>
                    <w:rPr>
                      <w:rFonts w:hint="default" w:ascii="Times New Roman" w:hAnsi="Times New Roman" w:cs="Times New Roman"/>
                      <w:bCs/>
                      <w:color w:val="000000" w:themeColor="text1"/>
                      <w:sz w:val="21"/>
                      <w:szCs w:val="21"/>
                      <w:lang w:val="en-US" w:eastAsia="zh-CN"/>
                      <w14:textFill>
                        <w14:solidFill>
                          <w14:schemeClr w14:val="tx1"/>
                        </w14:solidFill>
                      </w14:textFill>
                    </w:rPr>
                    <w:t>），两个沉淀池总容积600m</w:t>
                  </w:r>
                  <w:r>
                    <w:rPr>
                      <w:rFonts w:hint="default" w:ascii="Times New Roman" w:hAnsi="Times New Roman" w:cs="Times New Roman"/>
                      <w:bCs/>
                      <w:color w:val="000000" w:themeColor="text1"/>
                      <w:sz w:val="21"/>
                      <w:szCs w:val="21"/>
                      <w:vertAlign w:val="superscript"/>
                      <w:lang w:val="en-US" w:eastAsia="zh-CN"/>
                      <w14:textFill>
                        <w14:solidFill>
                          <w14:schemeClr w14:val="tx1"/>
                        </w14:solidFill>
                      </w14:textFill>
                    </w:rPr>
                    <w:t>3</w:t>
                  </w:r>
                  <w:r>
                    <w:rPr>
                      <w:rFonts w:hint="default" w:ascii="Times New Roman" w:hAnsi="Times New Roman" w:cs="Times New Roman"/>
                      <w:bCs/>
                      <w:color w:val="000000" w:themeColor="text1"/>
                      <w:sz w:val="21"/>
                      <w:szCs w:val="21"/>
                      <w:lang w:val="en-US" w:eastAsia="zh-CN"/>
                      <w14:textFill>
                        <w14:solidFill>
                          <w14:schemeClr w14:val="tx1"/>
                        </w14:solidFill>
                      </w14:textFill>
                    </w:rPr>
                    <w:t>。初期雨水经沉淀处理后回用于洒水降尘</w:t>
                  </w:r>
                  <w:r>
                    <w:rPr>
                      <w:rFonts w:hint="eastAsia" w:cs="Times New Roman"/>
                      <w:bCs/>
                      <w:color w:val="000000" w:themeColor="text1"/>
                      <w:sz w:val="21"/>
                      <w:szCs w:val="21"/>
                      <w:lang w:val="en-US" w:eastAsia="zh-CN"/>
                      <w14:textFill>
                        <w14:solidFill>
                          <w14:schemeClr w14:val="tx1"/>
                        </w14:solidFill>
                      </w14:textFill>
                    </w:rPr>
                    <w:t>。后期雨水自然排放至外环境，无需收集处理</w:t>
                  </w:r>
                </w:p>
              </w:tc>
              <w:tc>
                <w:tcPr>
                  <w:tcW w:w="726"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color w:val="000000" w:themeColor="text1"/>
                      <w:sz w:val="21"/>
                      <w:szCs w:val="21"/>
                      <w:lang w:val="en-US" w:eastAsia="zh-CN"/>
                      <w14:textFill>
                        <w14:solidFill>
                          <w14:schemeClr w14:val="tx1"/>
                        </w14:solidFill>
                      </w14:textFill>
                    </w:rPr>
                  </w:pPr>
                  <w:r>
                    <w:rPr>
                      <w:rFonts w:hint="default" w:ascii="Times New Roman" w:hAnsi="Times New Roman" w:cs="Times New Roman"/>
                      <w:bCs/>
                      <w:color w:val="000000" w:themeColor="text1"/>
                      <w:sz w:val="21"/>
                      <w:szCs w:val="21"/>
                      <w:lang w:val="en-US" w:eastAsia="zh-CN"/>
                      <w14:textFill>
                        <w14:solidFill>
                          <w14:schemeClr w14:val="tx1"/>
                        </w14:solidFill>
                      </w14:textFill>
                    </w:rPr>
                    <w:t>不变</w:t>
                  </w:r>
                </w:p>
              </w:tc>
              <w:tc>
                <w:tcPr>
                  <w:tcW w:w="655" w:type="dxa"/>
                  <w:vMerge w:val="continue"/>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color w:val="000000" w:themeColor="text1"/>
                      <w:sz w:val="21"/>
                      <w:szCs w:val="21"/>
                      <w:lang w:val="en-US"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534" w:type="dxa"/>
                  <w:vMerge w:val="continue"/>
                  <w:tcBorders>
                    <w:lef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sz w:val="21"/>
                      <w:szCs w:val="21"/>
                    </w:rPr>
                  </w:pPr>
                </w:p>
              </w:tc>
              <w:tc>
                <w:tcPr>
                  <w:tcW w:w="1114" w:type="dxa"/>
                  <w:gridSpan w:val="2"/>
                  <w:vMerge w:val="continue"/>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sz w:val="21"/>
                      <w:szCs w:val="21"/>
                    </w:rPr>
                  </w:pPr>
                </w:p>
              </w:tc>
              <w:tc>
                <w:tcPr>
                  <w:tcW w:w="2583"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color w:val="000000" w:themeColor="text1"/>
                      <w:sz w:val="21"/>
                      <w:szCs w:val="21"/>
                      <w:lang w:val="en-US" w:eastAsia="zh-CN"/>
                      <w14:textFill>
                        <w14:solidFill>
                          <w14:schemeClr w14:val="tx1"/>
                        </w14:solidFill>
                      </w14:textFill>
                    </w:rPr>
                  </w:pPr>
                  <w:r>
                    <w:rPr>
                      <w:rFonts w:hint="default" w:ascii="Times New Roman" w:hAnsi="Times New Roman" w:cs="Times New Roman"/>
                      <w:bCs/>
                      <w:color w:val="000000" w:themeColor="text1"/>
                      <w:sz w:val="21"/>
                      <w:szCs w:val="21"/>
                      <w:lang w:val="en-US" w:eastAsia="zh-CN"/>
                      <w14:textFill>
                        <w14:solidFill>
                          <w14:schemeClr w14:val="tx1"/>
                        </w14:solidFill>
                      </w14:textFill>
                    </w:rPr>
                    <w:t>生活污水化粪池处理后委托当地农民清运用作农肥，不外排</w:t>
                  </w:r>
                </w:p>
              </w:tc>
              <w:tc>
                <w:tcPr>
                  <w:tcW w:w="2552"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leftChars="0" w:right="0" w:rightChars="0"/>
                    <w:jc w:val="center"/>
                    <w:rPr>
                      <w:rFonts w:hint="default" w:ascii="Times New Roman" w:hAnsi="Times New Roman" w:cs="Times New Roman"/>
                      <w:bCs/>
                      <w:color w:val="000000" w:themeColor="text1"/>
                      <w:sz w:val="21"/>
                      <w:szCs w:val="21"/>
                      <w:lang w:val="en-US" w:eastAsia="zh-CN"/>
                      <w14:textFill>
                        <w14:solidFill>
                          <w14:schemeClr w14:val="tx1"/>
                        </w14:solidFill>
                      </w14:textFill>
                    </w:rPr>
                  </w:pPr>
                  <w:r>
                    <w:rPr>
                      <w:rFonts w:hint="default" w:ascii="Times New Roman" w:hAnsi="Times New Roman" w:cs="Times New Roman"/>
                      <w:bCs/>
                      <w:color w:val="000000" w:themeColor="text1"/>
                      <w:sz w:val="21"/>
                      <w:szCs w:val="21"/>
                      <w:lang w:val="en-US" w:eastAsia="zh-CN"/>
                      <w14:textFill>
                        <w14:solidFill>
                          <w14:schemeClr w14:val="tx1"/>
                        </w14:solidFill>
                      </w14:textFill>
                    </w:rPr>
                    <w:t>生活污水化粪池处理后委托当地农民清运用作农肥，不外排</w:t>
                  </w:r>
                </w:p>
              </w:tc>
              <w:tc>
                <w:tcPr>
                  <w:tcW w:w="726"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color w:val="000000" w:themeColor="text1"/>
                      <w:sz w:val="21"/>
                      <w:szCs w:val="21"/>
                      <w:lang w:val="en-US" w:eastAsia="zh-CN"/>
                      <w14:textFill>
                        <w14:solidFill>
                          <w14:schemeClr w14:val="tx1"/>
                        </w14:solidFill>
                      </w14:textFill>
                    </w:rPr>
                  </w:pPr>
                  <w:r>
                    <w:rPr>
                      <w:rFonts w:hint="default" w:ascii="Times New Roman" w:hAnsi="Times New Roman" w:cs="Times New Roman"/>
                      <w:bCs/>
                      <w:color w:val="000000" w:themeColor="text1"/>
                      <w:sz w:val="21"/>
                      <w:szCs w:val="21"/>
                      <w:lang w:val="en-US" w:eastAsia="zh-CN"/>
                      <w14:textFill>
                        <w14:solidFill>
                          <w14:schemeClr w14:val="tx1"/>
                        </w14:solidFill>
                      </w14:textFill>
                    </w:rPr>
                    <w:t>不变</w:t>
                  </w:r>
                </w:p>
              </w:tc>
              <w:tc>
                <w:tcPr>
                  <w:tcW w:w="655" w:type="dxa"/>
                  <w:vMerge w:val="continue"/>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color w:val="000000" w:themeColor="text1"/>
                      <w:sz w:val="21"/>
                      <w:szCs w:val="21"/>
                      <w:lang w:val="en-US"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34" w:type="dxa"/>
                  <w:vMerge w:val="continue"/>
                  <w:tcBorders>
                    <w:lef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sz w:val="21"/>
                      <w:szCs w:val="21"/>
                    </w:rPr>
                  </w:pPr>
                </w:p>
              </w:tc>
              <w:tc>
                <w:tcPr>
                  <w:tcW w:w="1114" w:type="dxa"/>
                  <w:gridSpan w:val="2"/>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eastAsia="宋体" w:cs="Times New Roman"/>
                      <w:bCs/>
                      <w:sz w:val="21"/>
                      <w:szCs w:val="21"/>
                      <w:lang w:eastAsia="zh-CN"/>
                    </w:rPr>
                  </w:pPr>
                  <w:r>
                    <w:rPr>
                      <w:rFonts w:hint="default" w:ascii="Times New Roman" w:hAnsi="Times New Roman" w:eastAsia="宋体" w:cs="Times New Roman"/>
                      <w:bCs/>
                      <w:sz w:val="21"/>
                      <w:szCs w:val="21"/>
                      <w:lang w:eastAsia="zh-CN"/>
                    </w:rPr>
                    <w:t>噪声</w:t>
                  </w:r>
                </w:p>
              </w:tc>
              <w:tc>
                <w:tcPr>
                  <w:tcW w:w="2583"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color w:val="000000" w:themeColor="text1"/>
                      <w:szCs w:val="21"/>
                      <w14:textFill>
                        <w14:solidFill>
                          <w14:schemeClr w14:val="tx1"/>
                        </w14:solidFill>
                      </w14:textFill>
                    </w:rPr>
                  </w:pPr>
                  <w:r>
                    <w:rPr>
                      <w:rFonts w:hint="default" w:ascii="Times New Roman" w:hAnsi="Times New Roman" w:cs="Times New Roman"/>
                      <w:bCs/>
                      <w:color w:val="000000" w:themeColor="text1"/>
                      <w:sz w:val="21"/>
                      <w:szCs w:val="21"/>
                      <w14:textFill>
                        <w14:solidFill>
                          <w14:schemeClr w14:val="tx1"/>
                        </w14:solidFill>
                      </w14:textFill>
                    </w:rPr>
                    <w:t>厂房密闭，选择低噪设备、基础减振、厂房隔声、风机口消声</w:t>
                  </w:r>
                </w:p>
              </w:tc>
              <w:tc>
                <w:tcPr>
                  <w:tcW w:w="2552"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color w:val="000000" w:themeColor="text1"/>
                      <w:sz w:val="21"/>
                      <w:szCs w:val="21"/>
                      <w14:textFill>
                        <w14:solidFill>
                          <w14:schemeClr w14:val="tx1"/>
                        </w14:solidFill>
                      </w14:textFill>
                    </w:rPr>
                  </w:pPr>
                  <w:r>
                    <w:rPr>
                      <w:rFonts w:hint="default" w:ascii="Times New Roman" w:hAnsi="Times New Roman" w:cs="Times New Roman"/>
                      <w:bCs/>
                      <w:color w:val="000000" w:themeColor="text1"/>
                      <w:sz w:val="21"/>
                      <w:szCs w:val="21"/>
                      <w14:textFill>
                        <w14:solidFill>
                          <w14:schemeClr w14:val="tx1"/>
                        </w14:solidFill>
                      </w14:textFill>
                    </w:rPr>
                    <w:t>厂房密闭，选择低噪设备、基础减振、厂房隔声、风机口消声</w:t>
                  </w:r>
                </w:p>
              </w:tc>
              <w:tc>
                <w:tcPr>
                  <w:tcW w:w="726"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color w:val="000000" w:themeColor="text1"/>
                      <w:sz w:val="21"/>
                      <w:szCs w:val="21"/>
                      <w:lang w:val="en-US" w:eastAsia="zh-CN"/>
                      <w14:textFill>
                        <w14:solidFill>
                          <w14:schemeClr w14:val="tx1"/>
                        </w14:solidFill>
                      </w14:textFill>
                    </w:rPr>
                  </w:pPr>
                  <w:r>
                    <w:rPr>
                      <w:rFonts w:hint="default" w:ascii="Times New Roman" w:hAnsi="Times New Roman" w:cs="Times New Roman"/>
                      <w:bCs/>
                      <w:color w:val="000000" w:themeColor="text1"/>
                      <w:sz w:val="21"/>
                      <w:szCs w:val="21"/>
                      <w:lang w:val="en-US" w:eastAsia="zh-CN"/>
                      <w14:textFill>
                        <w14:solidFill>
                          <w14:schemeClr w14:val="tx1"/>
                        </w14:solidFill>
                      </w14:textFill>
                    </w:rPr>
                    <w:t>不变</w:t>
                  </w:r>
                </w:p>
              </w:tc>
              <w:tc>
                <w:tcPr>
                  <w:tcW w:w="655"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40" w:lineRule="auto"/>
                    <w:ind w:left="0" w:leftChars="0" w:right="0" w:rightChars="0"/>
                    <w:jc w:val="both"/>
                    <w:rPr>
                      <w:rFonts w:hint="default" w:ascii="Times New Roman" w:hAnsi="Times New Roman" w:cs="Times New Roman"/>
                      <w:bCs/>
                      <w:color w:val="000000" w:themeColor="text1"/>
                      <w:sz w:val="21"/>
                      <w:szCs w:val="21"/>
                      <w14:textFill>
                        <w14:solidFill>
                          <w14:schemeClr w14:val="tx1"/>
                        </w14:solidFill>
                      </w14:textFill>
                    </w:rPr>
                  </w:pPr>
                  <w:r>
                    <w:rPr>
                      <w:rFonts w:hint="default" w:ascii="Times New Roman" w:hAnsi="Times New Roman" w:cs="Times New Roman"/>
                      <w:bCs/>
                      <w:color w:val="auto"/>
                      <w:szCs w:val="21"/>
                      <w:lang w:val="en-US" w:eastAsia="zh-CN"/>
                    </w:rPr>
                    <w:t>已建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1" w:hRule="atLeast"/>
                <w:jc w:val="center"/>
              </w:trPr>
              <w:tc>
                <w:tcPr>
                  <w:tcW w:w="534" w:type="dxa"/>
                  <w:vMerge w:val="continue"/>
                  <w:tcBorders>
                    <w:lef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sz w:val="21"/>
                      <w:szCs w:val="21"/>
                    </w:rPr>
                  </w:pPr>
                </w:p>
              </w:tc>
              <w:tc>
                <w:tcPr>
                  <w:tcW w:w="1114" w:type="dxa"/>
                  <w:gridSpan w:val="2"/>
                  <w:vMerge w:val="restart"/>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eastAsia="宋体" w:cs="Times New Roman"/>
                      <w:bCs/>
                      <w:sz w:val="21"/>
                      <w:szCs w:val="21"/>
                      <w:lang w:val="en-US" w:eastAsia="zh-CN"/>
                    </w:rPr>
                  </w:pPr>
                  <w:r>
                    <w:rPr>
                      <w:rFonts w:hint="default" w:ascii="Times New Roman" w:hAnsi="Times New Roman" w:cs="Times New Roman"/>
                      <w:bCs/>
                      <w:sz w:val="21"/>
                      <w:szCs w:val="21"/>
                      <w:lang w:val="en-US" w:eastAsia="zh-CN"/>
                    </w:rPr>
                    <w:t>固废</w:t>
                  </w:r>
                </w:p>
              </w:tc>
              <w:tc>
                <w:tcPr>
                  <w:tcW w:w="2583"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color w:val="000000" w:themeColor="text1"/>
                      <w:szCs w:val="21"/>
                      <w14:textFill>
                        <w14:solidFill>
                          <w14:schemeClr w14:val="tx1"/>
                        </w14:solidFill>
                      </w14:textFill>
                    </w:rPr>
                  </w:pPr>
                  <w:r>
                    <w:rPr>
                      <w:rFonts w:hint="default" w:ascii="Times New Roman" w:hAnsi="Times New Roman" w:eastAsia="宋体" w:cs="Times New Roman"/>
                      <w:bCs/>
                      <w:color w:val="000000" w:themeColor="text1"/>
                      <w:sz w:val="21"/>
                      <w:szCs w:val="21"/>
                      <w:lang w:eastAsia="zh-CN"/>
                      <w14:textFill>
                        <w14:solidFill>
                          <w14:schemeClr w14:val="tx1"/>
                        </w14:solidFill>
                      </w14:textFill>
                    </w:rPr>
                    <w:t>生活垃圾交环卫部门定期清运处理</w:t>
                  </w:r>
                </w:p>
              </w:tc>
              <w:tc>
                <w:tcPr>
                  <w:tcW w:w="2552"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leftChars="0" w:right="0" w:rightChars="0"/>
                    <w:jc w:val="center"/>
                    <w:rPr>
                      <w:rFonts w:hint="default" w:ascii="Times New Roman" w:hAnsi="Times New Roman" w:eastAsia="宋体" w:cs="Times New Roman"/>
                      <w:bCs/>
                      <w:color w:val="000000" w:themeColor="text1"/>
                      <w:sz w:val="21"/>
                      <w:szCs w:val="21"/>
                      <w:lang w:eastAsia="zh-CN"/>
                      <w14:textFill>
                        <w14:solidFill>
                          <w14:schemeClr w14:val="tx1"/>
                        </w14:solidFill>
                      </w14:textFill>
                    </w:rPr>
                  </w:pPr>
                  <w:r>
                    <w:rPr>
                      <w:rFonts w:hint="default" w:ascii="Times New Roman" w:hAnsi="Times New Roman" w:eastAsia="宋体" w:cs="Times New Roman"/>
                      <w:bCs/>
                      <w:color w:val="000000" w:themeColor="text1"/>
                      <w:sz w:val="21"/>
                      <w:szCs w:val="21"/>
                      <w:lang w:eastAsia="zh-CN"/>
                      <w14:textFill>
                        <w14:solidFill>
                          <w14:schemeClr w14:val="tx1"/>
                        </w14:solidFill>
                      </w14:textFill>
                    </w:rPr>
                    <w:t>生活垃圾交环卫部门定期清运处理</w:t>
                  </w:r>
                </w:p>
              </w:tc>
              <w:tc>
                <w:tcPr>
                  <w:tcW w:w="726"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color w:val="000000" w:themeColor="text1"/>
                      <w:sz w:val="21"/>
                      <w:szCs w:val="21"/>
                      <w:lang w:val="en-US" w:eastAsia="zh-CN"/>
                      <w14:textFill>
                        <w14:solidFill>
                          <w14:schemeClr w14:val="tx1"/>
                        </w14:solidFill>
                      </w14:textFill>
                    </w:rPr>
                  </w:pPr>
                  <w:r>
                    <w:rPr>
                      <w:rFonts w:hint="default" w:ascii="Times New Roman" w:hAnsi="Times New Roman" w:cs="Times New Roman"/>
                      <w:bCs/>
                      <w:color w:val="000000" w:themeColor="text1"/>
                      <w:sz w:val="21"/>
                      <w:szCs w:val="21"/>
                      <w:lang w:val="en-US" w:eastAsia="zh-CN"/>
                      <w14:textFill>
                        <w14:solidFill>
                          <w14:schemeClr w14:val="tx1"/>
                        </w14:solidFill>
                      </w14:textFill>
                    </w:rPr>
                    <w:t>不变</w:t>
                  </w:r>
                </w:p>
              </w:tc>
              <w:tc>
                <w:tcPr>
                  <w:tcW w:w="655" w:type="dxa"/>
                  <w:vMerge w:val="restart"/>
                  <w:tcBorders>
                    <w:right w:val="single" w:color="auto" w:sz="4" w:space="0"/>
                  </w:tcBorders>
                  <w:shd w:val="clear" w:color="auto" w:fill="auto"/>
                  <w:noWrap w:val="0"/>
                  <w:vAlign w:val="center"/>
                </w:tcPr>
                <w:p>
                  <w:pPr>
                    <w:keepNext w:val="0"/>
                    <w:keepLines w:val="0"/>
                    <w:widowControl/>
                    <w:suppressLineNumbers w:val="0"/>
                    <w:spacing w:before="0" w:beforeAutospacing="0" w:after="0" w:afterAutospacing="0"/>
                    <w:ind w:left="0" w:leftChars="0" w:right="0" w:rightChars="0"/>
                    <w:jc w:val="both"/>
                    <w:rPr>
                      <w:rFonts w:hint="default" w:ascii="Times New Roman" w:hAnsi="Times New Roman" w:cs="Times New Roman"/>
                      <w:bCs/>
                      <w:color w:val="000000" w:themeColor="text1"/>
                      <w:sz w:val="21"/>
                      <w:szCs w:val="21"/>
                      <w:lang w:val="en-US" w:eastAsia="zh-CN"/>
                      <w14:textFill>
                        <w14:solidFill>
                          <w14:schemeClr w14:val="tx1"/>
                        </w14:solidFill>
                      </w14:textFill>
                    </w:rPr>
                  </w:pPr>
                  <w:r>
                    <w:rPr>
                      <w:rFonts w:hint="default" w:ascii="Times New Roman" w:hAnsi="Times New Roman" w:cs="Times New Roman"/>
                      <w:bCs/>
                      <w:color w:val="auto"/>
                      <w:szCs w:val="21"/>
                      <w:lang w:val="en-US" w:eastAsia="zh-CN"/>
                    </w:rPr>
                    <w:t>已建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1" w:hRule="atLeast"/>
                <w:jc w:val="center"/>
              </w:trPr>
              <w:tc>
                <w:tcPr>
                  <w:tcW w:w="534" w:type="dxa"/>
                  <w:vMerge w:val="continue"/>
                  <w:tcBorders>
                    <w:lef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sz w:val="21"/>
                      <w:szCs w:val="21"/>
                    </w:rPr>
                  </w:pPr>
                </w:p>
              </w:tc>
              <w:tc>
                <w:tcPr>
                  <w:tcW w:w="1114" w:type="dxa"/>
                  <w:gridSpan w:val="2"/>
                  <w:vMerge w:val="continue"/>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sz w:val="21"/>
                      <w:szCs w:val="21"/>
                    </w:rPr>
                  </w:pPr>
                </w:p>
              </w:tc>
              <w:tc>
                <w:tcPr>
                  <w:tcW w:w="2583"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color w:val="000000" w:themeColor="text1"/>
                      <w:szCs w:val="21"/>
                      <w:lang w:eastAsia="zh-CN"/>
                      <w14:textFill>
                        <w14:solidFill>
                          <w14:schemeClr w14:val="tx1"/>
                        </w14:solidFill>
                      </w14:textFill>
                    </w:rPr>
                  </w:pPr>
                  <w:r>
                    <w:rPr>
                      <w:rFonts w:hint="default" w:ascii="Times New Roman" w:hAnsi="Times New Roman" w:cs="Times New Roman"/>
                      <w:bCs/>
                      <w:color w:val="000000" w:themeColor="text1"/>
                      <w:sz w:val="21"/>
                      <w:szCs w:val="21"/>
                      <w:lang w:val="en-US" w:eastAsia="zh-CN"/>
                      <w14:textFill>
                        <w14:solidFill>
                          <w14:schemeClr w14:val="tx1"/>
                        </w14:solidFill>
                      </w14:textFill>
                    </w:rPr>
                    <w:t>沉淀池沉渣</w:t>
                  </w:r>
                  <w:r>
                    <w:rPr>
                      <w:rFonts w:hint="default" w:ascii="Times New Roman" w:hAnsi="Times New Roman" w:eastAsia="宋体" w:cs="Times New Roman"/>
                      <w:bCs/>
                      <w:color w:val="000000" w:themeColor="text1"/>
                      <w:sz w:val="21"/>
                      <w:szCs w:val="21"/>
                      <w:lang w:eastAsia="zh-CN"/>
                      <w14:textFill>
                        <w14:solidFill>
                          <w14:schemeClr w14:val="tx1"/>
                        </w14:solidFill>
                      </w14:textFill>
                    </w:rPr>
                    <w:t>用于回填</w:t>
                  </w:r>
                </w:p>
              </w:tc>
              <w:tc>
                <w:tcPr>
                  <w:tcW w:w="2552"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leftChars="0" w:right="0" w:rightChars="0"/>
                    <w:jc w:val="center"/>
                    <w:rPr>
                      <w:rFonts w:hint="default" w:ascii="Times New Roman" w:hAnsi="Times New Roman" w:cs="Times New Roman"/>
                      <w:bCs/>
                      <w:color w:val="000000" w:themeColor="text1"/>
                      <w:sz w:val="21"/>
                      <w:szCs w:val="21"/>
                      <w:lang w:val="en-US" w:eastAsia="zh-CN"/>
                      <w14:textFill>
                        <w14:solidFill>
                          <w14:schemeClr w14:val="tx1"/>
                        </w14:solidFill>
                      </w14:textFill>
                    </w:rPr>
                  </w:pPr>
                  <w:r>
                    <w:rPr>
                      <w:rFonts w:hint="default" w:ascii="Times New Roman" w:hAnsi="Times New Roman" w:cs="Times New Roman"/>
                      <w:bCs/>
                      <w:color w:val="000000" w:themeColor="text1"/>
                      <w:sz w:val="21"/>
                      <w:szCs w:val="21"/>
                      <w:lang w:val="en-US" w:eastAsia="zh-CN"/>
                      <w14:textFill>
                        <w14:solidFill>
                          <w14:schemeClr w14:val="tx1"/>
                        </w14:solidFill>
                      </w14:textFill>
                    </w:rPr>
                    <w:t>沉淀池沉渣</w:t>
                  </w:r>
                  <w:r>
                    <w:rPr>
                      <w:rFonts w:hint="default" w:ascii="Times New Roman" w:hAnsi="Times New Roman" w:eastAsia="宋体" w:cs="Times New Roman"/>
                      <w:bCs/>
                      <w:color w:val="000000" w:themeColor="text1"/>
                      <w:sz w:val="21"/>
                      <w:szCs w:val="21"/>
                      <w:lang w:eastAsia="zh-CN"/>
                      <w14:textFill>
                        <w14:solidFill>
                          <w14:schemeClr w14:val="tx1"/>
                        </w14:solidFill>
                      </w14:textFill>
                    </w:rPr>
                    <w:t>用于回填</w:t>
                  </w:r>
                </w:p>
              </w:tc>
              <w:tc>
                <w:tcPr>
                  <w:tcW w:w="726"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color w:val="000000" w:themeColor="text1"/>
                      <w:sz w:val="21"/>
                      <w:szCs w:val="21"/>
                      <w:lang w:val="en-US" w:eastAsia="zh-CN"/>
                      <w14:textFill>
                        <w14:solidFill>
                          <w14:schemeClr w14:val="tx1"/>
                        </w14:solidFill>
                      </w14:textFill>
                    </w:rPr>
                  </w:pPr>
                  <w:r>
                    <w:rPr>
                      <w:rFonts w:hint="default" w:ascii="Times New Roman" w:hAnsi="Times New Roman" w:cs="Times New Roman"/>
                      <w:bCs/>
                      <w:color w:val="000000" w:themeColor="text1"/>
                      <w:sz w:val="21"/>
                      <w:szCs w:val="21"/>
                      <w:lang w:val="en-US" w:eastAsia="zh-CN"/>
                      <w14:textFill>
                        <w14:solidFill>
                          <w14:schemeClr w14:val="tx1"/>
                        </w14:solidFill>
                      </w14:textFill>
                    </w:rPr>
                    <w:t>不变</w:t>
                  </w:r>
                </w:p>
              </w:tc>
              <w:tc>
                <w:tcPr>
                  <w:tcW w:w="655" w:type="dxa"/>
                  <w:vMerge w:val="continue"/>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color w:val="000000" w:themeColor="text1"/>
                      <w:sz w:val="21"/>
                      <w:szCs w:val="21"/>
                      <w:lang w:val="en-US"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1" w:hRule="atLeast"/>
                <w:jc w:val="center"/>
              </w:trPr>
              <w:tc>
                <w:tcPr>
                  <w:tcW w:w="534" w:type="dxa"/>
                  <w:vMerge w:val="continue"/>
                  <w:tcBorders>
                    <w:lef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sz w:val="21"/>
                      <w:szCs w:val="21"/>
                    </w:rPr>
                  </w:pPr>
                </w:p>
              </w:tc>
              <w:tc>
                <w:tcPr>
                  <w:tcW w:w="1114" w:type="dxa"/>
                  <w:gridSpan w:val="2"/>
                  <w:vMerge w:val="continue"/>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sz w:val="21"/>
                      <w:szCs w:val="21"/>
                    </w:rPr>
                  </w:pPr>
                </w:p>
              </w:tc>
              <w:tc>
                <w:tcPr>
                  <w:tcW w:w="2583"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color w:val="000000" w:themeColor="text1"/>
                      <w:szCs w:val="21"/>
                      <w:lang w:eastAsia="zh-CN"/>
                      <w14:textFill>
                        <w14:solidFill>
                          <w14:schemeClr w14:val="tx1"/>
                        </w14:solidFill>
                      </w14:textFill>
                    </w:rPr>
                  </w:pPr>
                  <w:r>
                    <w:rPr>
                      <w:rFonts w:hint="default" w:ascii="Times New Roman" w:hAnsi="Times New Roman" w:cs="Times New Roman"/>
                      <w:bCs/>
                      <w:color w:val="000000" w:themeColor="text1"/>
                      <w:sz w:val="21"/>
                      <w:szCs w:val="21"/>
                      <w:lang w:val="en-US" w:eastAsia="zh-CN"/>
                      <w14:textFill>
                        <w14:solidFill>
                          <w14:schemeClr w14:val="tx1"/>
                        </w14:solidFill>
                      </w14:textFill>
                    </w:rPr>
                    <w:t>除尘灰作为石粉外售</w:t>
                  </w:r>
                </w:p>
              </w:tc>
              <w:tc>
                <w:tcPr>
                  <w:tcW w:w="2552"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leftChars="0" w:right="0" w:rightChars="0"/>
                    <w:jc w:val="center"/>
                    <w:rPr>
                      <w:rFonts w:hint="default" w:ascii="Times New Roman" w:hAnsi="Times New Roman" w:cs="Times New Roman"/>
                      <w:bCs/>
                      <w:color w:val="000000" w:themeColor="text1"/>
                      <w:sz w:val="21"/>
                      <w:szCs w:val="21"/>
                      <w:lang w:val="en-US" w:eastAsia="zh-CN"/>
                      <w14:textFill>
                        <w14:solidFill>
                          <w14:schemeClr w14:val="tx1"/>
                        </w14:solidFill>
                      </w14:textFill>
                    </w:rPr>
                  </w:pPr>
                  <w:r>
                    <w:rPr>
                      <w:rFonts w:hint="default" w:ascii="Times New Roman" w:hAnsi="Times New Roman" w:cs="Times New Roman"/>
                      <w:bCs/>
                      <w:color w:val="000000" w:themeColor="text1"/>
                      <w:sz w:val="21"/>
                      <w:szCs w:val="21"/>
                      <w:lang w:val="en-US" w:eastAsia="zh-CN"/>
                      <w14:textFill>
                        <w14:solidFill>
                          <w14:schemeClr w14:val="tx1"/>
                        </w14:solidFill>
                      </w14:textFill>
                    </w:rPr>
                    <w:t>除尘灰作为石粉外售</w:t>
                  </w:r>
                </w:p>
              </w:tc>
              <w:tc>
                <w:tcPr>
                  <w:tcW w:w="726"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color w:val="000000" w:themeColor="text1"/>
                      <w:sz w:val="21"/>
                      <w:szCs w:val="21"/>
                      <w:lang w:val="en-US" w:eastAsia="zh-CN"/>
                      <w14:textFill>
                        <w14:solidFill>
                          <w14:schemeClr w14:val="tx1"/>
                        </w14:solidFill>
                      </w14:textFill>
                    </w:rPr>
                  </w:pPr>
                  <w:r>
                    <w:rPr>
                      <w:rFonts w:hint="default" w:ascii="Times New Roman" w:hAnsi="Times New Roman" w:cs="Times New Roman"/>
                      <w:bCs/>
                      <w:color w:val="000000" w:themeColor="text1"/>
                      <w:sz w:val="21"/>
                      <w:szCs w:val="21"/>
                      <w:lang w:val="en-US" w:eastAsia="zh-CN"/>
                      <w14:textFill>
                        <w14:solidFill>
                          <w14:schemeClr w14:val="tx1"/>
                        </w14:solidFill>
                      </w14:textFill>
                    </w:rPr>
                    <w:t>不变</w:t>
                  </w:r>
                </w:p>
              </w:tc>
              <w:tc>
                <w:tcPr>
                  <w:tcW w:w="655" w:type="dxa"/>
                  <w:vMerge w:val="continue"/>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color w:val="000000" w:themeColor="text1"/>
                      <w:sz w:val="21"/>
                      <w:szCs w:val="21"/>
                      <w:lang w:val="en-US"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1" w:hRule="atLeast"/>
                <w:jc w:val="center"/>
              </w:trPr>
              <w:tc>
                <w:tcPr>
                  <w:tcW w:w="534" w:type="dxa"/>
                  <w:vMerge w:val="continue"/>
                  <w:tcBorders>
                    <w:lef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sz w:val="21"/>
                      <w:szCs w:val="21"/>
                    </w:rPr>
                  </w:pPr>
                </w:p>
              </w:tc>
              <w:tc>
                <w:tcPr>
                  <w:tcW w:w="1114" w:type="dxa"/>
                  <w:gridSpan w:val="2"/>
                  <w:vMerge w:val="continue"/>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sz w:val="21"/>
                      <w:szCs w:val="21"/>
                    </w:rPr>
                  </w:pPr>
                </w:p>
              </w:tc>
              <w:tc>
                <w:tcPr>
                  <w:tcW w:w="2583"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color w:val="000000" w:themeColor="text1"/>
                      <w:sz w:val="21"/>
                      <w:szCs w:val="21"/>
                      <w:lang w:val="en-US" w:eastAsia="zh-CN"/>
                      <w14:textFill>
                        <w14:solidFill>
                          <w14:schemeClr w14:val="tx1"/>
                        </w14:solidFill>
                      </w14:textFill>
                    </w:rPr>
                  </w:pPr>
                  <w:r>
                    <w:rPr>
                      <w:rFonts w:hint="default" w:ascii="Times New Roman" w:hAnsi="Times New Roman" w:cs="Times New Roman"/>
                      <w:bCs/>
                      <w:color w:val="000000" w:themeColor="text1"/>
                      <w:sz w:val="21"/>
                      <w:szCs w:val="21"/>
                      <w:lang w:val="en-US" w:eastAsia="zh-CN"/>
                      <w14:textFill>
                        <w14:solidFill>
                          <w14:schemeClr w14:val="tx1"/>
                        </w14:solidFill>
                      </w14:textFill>
                    </w:rPr>
                    <w:t>表土前期堆存于</w:t>
                  </w:r>
                  <w:r>
                    <w:rPr>
                      <w:rFonts w:hint="eastAsia" w:cs="Times New Roman"/>
                      <w:bCs/>
                      <w:color w:val="000000" w:themeColor="text1"/>
                      <w:sz w:val="21"/>
                      <w:szCs w:val="21"/>
                      <w:lang w:val="en-US" w:eastAsia="zh-CN"/>
                      <w14:textFill>
                        <w14:solidFill>
                          <w14:schemeClr w14:val="tx1"/>
                        </w14:solidFill>
                      </w14:textFill>
                    </w:rPr>
                    <w:t>临时堆土</w:t>
                  </w:r>
                  <w:r>
                    <w:rPr>
                      <w:rFonts w:hint="default" w:ascii="Times New Roman" w:hAnsi="Times New Roman" w:cs="Times New Roman"/>
                      <w:bCs/>
                      <w:color w:val="000000" w:themeColor="text1"/>
                      <w:sz w:val="21"/>
                      <w:szCs w:val="21"/>
                      <w:lang w:val="en-US" w:eastAsia="zh-CN"/>
                      <w14:textFill>
                        <w14:solidFill>
                          <w14:schemeClr w14:val="tx1"/>
                        </w14:solidFill>
                      </w14:textFill>
                    </w:rPr>
                    <w:t>场内，后用于矿山中部采空区回填。</w:t>
                  </w:r>
                </w:p>
              </w:tc>
              <w:tc>
                <w:tcPr>
                  <w:tcW w:w="2552"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leftChars="0" w:right="0" w:rightChars="0"/>
                    <w:jc w:val="center"/>
                    <w:rPr>
                      <w:rFonts w:hint="default" w:ascii="Times New Roman" w:hAnsi="Times New Roman" w:cs="Times New Roman"/>
                      <w:bCs/>
                      <w:color w:val="000000" w:themeColor="text1"/>
                      <w:sz w:val="21"/>
                      <w:szCs w:val="21"/>
                      <w:lang w:val="en-US" w:eastAsia="zh-CN"/>
                      <w14:textFill>
                        <w14:solidFill>
                          <w14:schemeClr w14:val="tx1"/>
                        </w14:solidFill>
                      </w14:textFill>
                    </w:rPr>
                  </w:pPr>
                  <w:r>
                    <w:rPr>
                      <w:rFonts w:hint="default" w:ascii="Times New Roman" w:hAnsi="Times New Roman" w:cs="Times New Roman"/>
                      <w:bCs/>
                      <w:color w:val="000000" w:themeColor="text1"/>
                      <w:sz w:val="21"/>
                      <w:szCs w:val="21"/>
                      <w:lang w:val="en-US" w:eastAsia="zh-CN"/>
                      <w14:textFill>
                        <w14:solidFill>
                          <w14:schemeClr w14:val="tx1"/>
                        </w14:solidFill>
                      </w14:textFill>
                    </w:rPr>
                    <w:t>剥离表土堆存于新增表土堆场，作为矿区复垦表土使用</w:t>
                  </w:r>
                  <w:r>
                    <w:rPr>
                      <w:rFonts w:hint="eastAsia" w:cs="Times New Roman"/>
                      <w:bCs/>
                      <w:color w:val="000000" w:themeColor="text1"/>
                      <w:sz w:val="21"/>
                      <w:szCs w:val="21"/>
                      <w:lang w:val="en-US" w:eastAsia="zh-CN"/>
                      <w14:textFill>
                        <w14:solidFill>
                          <w14:schemeClr w14:val="tx1"/>
                        </w14:solidFill>
                      </w14:textFill>
                    </w:rPr>
                    <w:t>；</w:t>
                  </w:r>
                  <w:r>
                    <w:rPr>
                      <w:rFonts w:hint="default" w:ascii="Times New Roman" w:hAnsi="Times New Roman" w:cs="Times New Roman"/>
                      <w:bCs/>
                      <w:color w:val="000000" w:themeColor="text1"/>
                      <w:sz w:val="21"/>
                      <w:szCs w:val="21"/>
                      <w:lang w:val="en-US" w:eastAsia="zh-CN"/>
                      <w14:textFill>
                        <w14:solidFill>
                          <w14:schemeClr w14:val="tx1"/>
                        </w14:solidFill>
                      </w14:textFill>
                    </w:rPr>
                    <w:t>开采剥离废土石堆存于矿山的露采坑内，作为矿区复垦回填使用</w:t>
                  </w:r>
                </w:p>
              </w:tc>
              <w:tc>
                <w:tcPr>
                  <w:tcW w:w="726"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color w:val="000000" w:themeColor="text1"/>
                      <w:sz w:val="21"/>
                      <w:szCs w:val="21"/>
                      <w:lang w:val="en-US" w:eastAsia="zh-CN"/>
                      <w14:textFill>
                        <w14:solidFill>
                          <w14:schemeClr w14:val="tx1"/>
                        </w14:solidFill>
                      </w14:textFill>
                    </w:rPr>
                  </w:pPr>
                  <w:r>
                    <w:rPr>
                      <w:rFonts w:hint="eastAsia" w:cs="Times New Roman"/>
                      <w:bCs/>
                      <w:color w:val="000000" w:themeColor="text1"/>
                      <w:sz w:val="21"/>
                      <w:szCs w:val="21"/>
                      <w:lang w:val="en-US" w:eastAsia="zh-CN"/>
                      <w14:textFill>
                        <w14:solidFill>
                          <w14:schemeClr w14:val="tx1"/>
                        </w14:solidFill>
                      </w14:textFill>
                    </w:rPr>
                    <w:t>新增表土堆场</w:t>
                  </w:r>
                </w:p>
              </w:tc>
              <w:tc>
                <w:tcPr>
                  <w:tcW w:w="655" w:type="dxa"/>
                  <w:vMerge w:val="continue"/>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color w:val="000000" w:themeColor="text1"/>
                      <w:sz w:val="21"/>
                      <w:szCs w:val="21"/>
                      <w:lang w:val="en-US"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1" w:hRule="atLeast"/>
                <w:jc w:val="center"/>
              </w:trPr>
              <w:tc>
                <w:tcPr>
                  <w:tcW w:w="534" w:type="dxa"/>
                  <w:vMerge w:val="continue"/>
                  <w:tcBorders>
                    <w:lef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sz w:val="21"/>
                      <w:szCs w:val="21"/>
                    </w:rPr>
                  </w:pPr>
                </w:p>
              </w:tc>
              <w:tc>
                <w:tcPr>
                  <w:tcW w:w="1114" w:type="dxa"/>
                  <w:gridSpan w:val="2"/>
                  <w:vMerge w:val="continue"/>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sz w:val="21"/>
                      <w:szCs w:val="21"/>
                    </w:rPr>
                  </w:pPr>
                </w:p>
              </w:tc>
              <w:tc>
                <w:tcPr>
                  <w:tcW w:w="2583"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color w:val="000000" w:themeColor="text1"/>
                      <w:szCs w:val="21"/>
                      <w:lang w:eastAsia="zh-CN"/>
                      <w14:textFill>
                        <w14:solidFill>
                          <w14:schemeClr w14:val="tx1"/>
                        </w14:solidFill>
                      </w14:textFill>
                    </w:rPr>
                  </w:pPr>
                  <w:r>
                    <w:rPr>
                      <w:rFonts w:hint="default" w:ascii="Times New Roman" w:hAnsi="Times New Roman" w:cs="Times New Roman"/>
                      <w:bCs/>
                      <w:color w:val="000000" w:themeColor="text1"/>
                      <w:sz w:val="21"/>
                      <w:szCs w:val="21"/>
                      <w:lang w:val="en-US" w:eastAsia="zh-CN"/>
                      <w14:textFill>
                        <w14:solidFill>
                          <w14:schemeClr w14:val="tx1"/>
                        </w14:solidFill>
                      </w14:textFill>
                    </w:rPr>
                    <w:t>废机油暂存于危废暂存间，设置专门容器储存，定期委托有资质的单位进行处置</w:t>
                  </w:r>
                </w:p>
              </w:tc>
              <w:tc>
                <w:tcPr>
                  <w:tcW w:w="2552"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leftChars="0" w:right="0" w:rightChars="0"/>
                    <w:jc w:val="center"/>
                    <w:rPr>
                      <w:rFonts w:hint="default" w:ascii="Times New Roman" w:hAnsi="Times New Roman" w:cs="Times New Roman"/>
                      <w:bCs/>
                      <w:color w:val="000000" w:themeColor="text1"/>
                      <w:sz w:val="21"/>
                      <w:szCs w:val="21"/>
                      <w:lang w:val="en-US" w:eastAsia="zh-CN"/>
                      <w14:textFill>
                        <w14:solidFill>
                          <w14:schemeClr w14:val="tx1"/>
                        </w14:solidFill>
                      </w14:textFill>
                    </w:rPr>
                  </w:pPr>
                  <w:r>
                    <w:rPr>
                      <w:rFonts w:hint="default" w:ascii="Times New Roman" w:hAnsi="Times New Roman" w:cs="Times New Roman"/>
                      <w:bCs/>
                      <w:color w:val="000000" w:themeColor="text1"/>
                      <w:sz w:val="21"/>
                      <w:szCs w:val="21"/>
                      <w:lang w:val="en-US" w:eastAsia="zh-CN"/>
                      <w14:textFill>
                        <w14:solidFill>
                          <w14:schemeClr w14:val="tx1"/>
                        </w14:solidFill>
                      </w14:textFill>
                    </w:rPr>
                    <w:t>废机油暂存于危废暂存间，设置专门容器储存，定期委托有资质的单位进行处置</w:t>
                  </w:r>
                </w:p>
              </w:tc>
              <w:tc>
                <w:tcPr>
                  <w:tcW w:w="726"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color w:val="000000" w:themeColor="text1"/>
                      <w:sz w:val="21"/>
                      <w:szCs w:val="21"/>
                      <w:lang w:val="en-US" w:eastAsia="zh-CN"/>
                      <w14:textFill>
                        <w14:solidFill>
                          <w14:schemeClr w14:val="tx1"/>
                        </w14:solidFill>
                      </w14:textFill>
                    </w:rPr>
                  </w:pPr>
                  <w:r>
                    <w:rPr>
                      <w:rFonts w:hint="default" w:ascii="Times New Roman" w:hAnsi="Times New Roman" w:cs="Times New Roman"/>
                      <w:bCs/>
                      <w:color w:val="000000" w:themeColor="text1"/>
                      <w:sz w:val="21"/>
                      <w:szCs w:val="21"/>
                      <w:lang w:val="en-US" w:eastAsia="zh-CN"/>
                      <w14:textFill>
                        <w14:solidFill>
                          <w14:schemeClr w14:val="tx1"/>
                        </w14:solidFill>
                      </w14:textFill>
                    </w:rPr>
                    <w:t>不变</w:t>
                  </w:r>
                </w:p>
              </w:tc>
              <w:tc>
                <w:tcPr>
                  <w:tcW w:w="655" w:type="dxa"/>
                  <w:vMerge w:val="continue"/>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color w:val="000000" w:themeColor="text1"/>
                      <w:sz w:val="21"/>
                      <w:szCs w:val="21"/>
                      <w:lang w:val="en-US"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34" w:type="dxa"/>
                  <w:vMerge w:val="continue"/>
                  <w:tcBorders>
                    <w:lef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sz w:val="21"/>
                      <w:szCs w:val="21"/>
                    </w:rPr>
                  </w:pPr>
                </w:p>
              </w:tc>
              <w:tc>
                <w:tcPr>
                  <w:tcW w:w="1114" w:type="dxa"/>
                  <w:gridSpan w:val="2"/>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sz w:val="21"/>
                      <w:szCs w:val="21"/>
                      <w:lang w:eastAsia="zh-CN"/>
                    </w:rPr>
                  </w:pPr>
                  <w:r>
                    <w:rPr>
                      <w:rFonts w:hint="default" w:ascii="Times New Roman" w:hAnsi="Times New Roman" w:cs="Times New Roman"/>
                      <w:bCs/>
                      <w:sz w:val="21"/>
                      <w:szCs w:val="21"/>
                      <w:lang w:eastAsia="zh-CN"/>
                    </w:rPr>
                    <w:t>生态</w:t>
                  </w:r>
                </w:p>
              </w:tc>
              <w:tc>
                <w:tcPr>
                  <w:tcW w:w="2583"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color w:val="000000" w:themeColor="text1"/>
                      <w:szCs w:val="21"/>
                      <w14:textFill>
                        <w14:solidFill>
                          <w14:schemeClr w14:val="tx1"/>
                        </w14:solidFill>
                      </w14:textFill>
                    </w:rPr>
                  </w:pPr>
                  <w:r>
                    <w:rPr>
                      <w:rFonts w:hint="default" w:ascii="Times New Roman" w:hAnsi="Times New Roman" w:cs="Times New Roman"/>
                      <w:bCs/>
                      <w:color w:val="000000" w:themeColor="text1"/>
                      <w:sz w:val="21"/>
                      <w:szCs w:val="21"/>
                      <w14:textFill>
                        <w14:solidFill>
                          <w14:schemeClr w14:val="tx1"/>
                        </w14:solidFill>
                      </w14:textFill>
                    </w:rPr>
                    <w:t>边开采边复垦；矿山服务期满后复垦以及种植乔、灌木绿化，恢复为林地</w:t>
                  </w:r>
                </w:p>
              </w:tc>
              <w:tc>
                <w:tcPr>
                  <w:tcW w:w="2552"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eastAsia="宋体" w:cs="Times New Roman"/>
                      <w:bCs/>
                      <w:color w:val="000000" w:themeColor="text1"/>
                      <w:sz w:val="21"/>
                      <w:szCs w:val="21"/>
                      <w:lang w:eastAsia="zh-CN"/>
                      <w14:textFill>
                        <w14:solidFill>
                          <w14:schemeClr w14:val="tx1"/>
                        </w14:solidFill>
                      </w14:textFill>
                    </w:rPr>
                  </w:pPr>
                  <w:r>
                    <w:rPr>
                      <w:rFonts w:hint="default" w:ascii="Times New Roman" w:hAnsi="Times New Roman" w:cs="Times New Roman"/>
                      <w:bCs/>
                      <w:color w:val="000000" w:themeColor="text1"/>
                      <w:sz w:val="21"/>
                      <w:szCs w:val="21"/>
                      <w14:textFill>
                        <w14:solidFill>
                          <w14:schemeClr w14:val="tx1"/>
                        </w14:solidFill>
                      </w14:textFill>
                    </w:rPr>
                    <w:t>边开采边复垦；矿山服务期满后复垦以及种植乔、灌木绿化，恢复为林地</w:t>
                  </w:r>
                  <w:r>
                    <w:rPr>
                      <w:rFonts w:hint="default" w:ascii="Times New Roman" w:hAnsi="Times New Roman" w:cs="Times New Roman"/>
                      <w:bCs/>
                      <w:color w:val="000000" w:themeColor="text1"/>
                      <w:sz w:val="21"/>
                      <w:szCs w:val="21"/>
                      <w:lang w:eastAsia="zh-CN"/>
                      <w14:textFill>
                        <w14:solidFill>
                          <w14:schemeClr w14:val="tx1"/>
                        </w14:solidFill>
                      </w14:textFill>
                    </w:rPr>
                    <w:t>，</w:t>
                  </w:r>
                </w:p>
              </w:tc>
              <w:tc>
                <w:tcPr>
                  <w:tcW w:w="726"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color w:val="000000" w:themeColor="text1"/>
                      <w:sz w:val="21"/>
                      <w:szCs w:val="21"/>
                      <w:lang w:val="en-US" w:eastAsia="zh-CN"/>
                      <w14:textFill>
                        <w14:solidFill>
                          <w14:schemeClr w14:val="tx1"/>
                        </w14:solidFill>
                      </w14:textFill>
                    </w:rPr>
                  </w:pPr>
                  <w:r>
                    <w:rPr>
                      <w:rFonts w:hint="default" w:ascii="Times New Roman" w:hAnsi="Times New Roman" w:cs="Times New Roman"/>
                      <w:bCs/>
                      <w:color w:val="000000" w:themeColor="text1"/>
                      <w:sz w:val="21"/>
                      <w:szCs w:val="21"/>
                      <w:lang w:val="en-US" w:eastAsia="zh-CN"/>
                      <w14:textFill>
                        <w14:solidFill>
                          <w14:schemeClr w14:val="tx1"/>
                        </w14:solidFill>
                      </w14:textFill>
                    </w:rPr>
                    <w:t>不变</w:t>
                  </w:r>
                </w:p>
              </w:tc>
              <w:tc>
                <w:tcPr>
                  <w:tcW w:w="655"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eastAsia="宋体" w:cs="Times New Roman"/>
                      <w:bCs/>
                      <w:color w:val="000000" w:themeColor="text1"/>
                      <w:sz w:val="21"/>
                      <w:szCs w:val="21"/>
                      <w:lang w:val="en-US" w:eastAsia="zh-CN"/>
                      <w14:textFill>
                        <w14:solidFill>
                          <w14:schemeClr w14:val="tx1"/>
                        </w14:solidFill>
                      </w14:textFill>
                    </w:rPr>
                  </w:pPr>
                  <w:r>
                    <w:rPr>
                      <w:rFonts w:hint="default" w:ascii="Times New Roman" w:hAnsi="Times New Roman" w:cs="Times New Roman"/>
                      <w:bCs/>
                      <w:color w:val="000000" w:themeColor="text1"/>
                      <w:sz w:val="21"/>
                      <w:szCs w:val="21"/>
                      <w:lang w:val="en-US"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34" w:type="dxa"/>
                  <w:vMerge w:val="continue"/>
                  <w:tcBorders>
                    <w:lef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sz w:val="21"/>
                      <w:szCs w:val="21"/>
                    </w:rPr>
                  </w:pPr>
                </w:p>
              </w:tc>
              <w:tc>
                <w:tcPr>
                  <w:tcW w:w="1114" w:type="dxa"/>
                  <w:gridSpan w:val="2"/>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sz w:val="21"/>
                      <w:szCs w:val="21"/>
                      <w:lang w:val="en-US" w:eastAsia="zh-CN"/>
                    </w:rPr>
                  </w:pPr>
                  <w:r>
                    <w:rPr>
                      <w:rFonts w:hint="default" w:ascii="Times New Roman" w:hAnsi="Times New Roman" w:cs="Times New Roman"/>
                      <w:bCs/>
                      <w:sz w:val="21"/>
                      <w:szCs w:val="21"/>
                      <w:lang w:val="en-US" w:eastAsia="zh-CN"/>
                    </w:rPr>
                    <w:t>风险</w:t>
                  </w:r>
                </w:p>
              </w:tc>
              <w:tc>
                <w:tcPr>
                  <w:tcW w:w="2583"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color w:val="000000" w:themeColor="text1"/>
                      <w:sz w:val="21"/>
                      <w:szCs w:val="21"/>
                      <w14:textFill>
                        <w14:solidFill>
                          <w14:schemeClr w14:val="tx1"/>
                        </w14:solidFill>
                      </w14:textFill>
                    </w:rPr>
                  </w:pPr>
                  <w:r>
                    <w:rPr>
                      <w:rFonts w:hint="default" w:ascii="Times New Roman" w:hAnsi="Times New Roman" w:cs="Times New Roman"/>
                      <w:bCs/>
                      <w:color w:val="000000" w:themeColor="text1"/>
                      <w:sz w:val="21"/>
                      <w:szCs w:val="21"/>
                      <w14:textFill>
                        <w14:solidFill>
                          <w14:schemeClr w14:val="tx1"/>
                        </w14:solidFill>
                      </w14:textFill>
                    </w:rPr>
                    <w:t>严格控制爆破时间、方向和装药量；设置柴油罐区，做到防风、防雨、防渗，设置截流沟；危废暂存间做到防风、防雨、防渗，设置围堰。</w:t>
                  </w:r>
                </w:p>
              </w:tc>
              <w:tc>
                <w:tcPr>
                  <w:tcW w:w="2552"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color w:val="000000" w:themeColor="text1"/>
                      <w:sz w:val="21"/>
                      <w:szCs w:val="21"/>
                      <w14:textFill>
                        <w14:solidFill>
                          <w14:schemeClr w14:val="tx1"/>
                        </w14:solidFill>
                      </w14:textFill>
                    </w:rPr>
                  </w:pPr>
                  <w:r>
                    <w:rPr>
                      <w:rFonts w:hint="default" w:ascii="Times New Roman" w:hAnsi="Times New Roman" w:cs="Times New Roman"/>
                      <w:bCs/>
                      <w:color w:val="000000" w:themeColor="text1"/>
                      <w:sz w:val="21"/>
                      <w:szCs w:val="21"/>
                      <w14:textFill>
                        <w14:solidFill>
                          <w14:schemeClr w14:val="tx1"/>
                        </w14:solidFill>
                      </w14:textFill>
                    </w:rPr>
                    <w:t>严格控制爆破时间、方向和装药量；危废暂存间做到防风、防雨、防渗，设置围堰。</w:t>
                  </w:r>
                </w:p>
              </w:tc>
              <w:tc>
                <w:tcPr>
                  <w:tcW w:w="726" w:type="dxa"/>
                  <w:tcBorders>
                    <w:right w:val="single" w:color="auto" w:sz="4" w:space="0"/>
                  </w:tcBorders>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hint="default" w:ascii="Times New Roman" w:hAnsi="Times New Roman" w:cs="Times New Roman"/>
                      <w:bCs/>
                      <w:color w:val="000000" w:themeColor="text1"/>
                      <w:sz w:val="21"/>
                      <w:szCs w:val="21"/>
                      <w:lang w:val="en-US" w:eastAsia="zh-CN"/>
                      <w14:textFill>
                        <w14:solidFill>
                          <w14:schemeClr w14:val="tx1"/>
                        </w14:solidFill>
                      </w14:textFill>
                    </w:rPr>
                  </w:pPr>
                  <w:r>
                    <w:rPr>
                      <w:rFonts w:hint="eastAsia" w:cs="Times New Roman"/>
                      <w:bCs/>
                      <w:color w:val="000000" w:themeColor="text1"/>
                      <w:sz w:val="21"/>
                      <w:szCs w:val="21"/>
                      <w:lang w:val="en-US" w:eastAsia="zh-CN"/>
                      <w14:textFill>
                        <w14:solidFill>
                          <w14:schemeClr w14:val="tx1"/>
                        </w14:solidFill>
                      </w14:textFill>
                    </w:rPr>
                    <w:t>未建设柴油罐区</w:t>
                  </w:r>
                </w:p>
              </w:tc>
              <w:tc>
                <w:tcPr>
                  <w:tcW w:w="655" w:type="dxa"/>
                  <w:tcBorders>
                    <w:right w:val="single" w:color="auto" w:sz="4" w:space="0"/>
                  </w:tcBorders>
                  <w:shd w:val="clear" w:color="auto" w:fill="auto"/>
                  <w:noWrap w:val="0"/>
                  <w:vAlign w:val="center"/>
                </w:tcPr>
                <w:p>
                  <w:pPr>
                    <w:keepNext w:val="0"/>
                    <w:keepLines w:val="0"/>
                    <w:widowControl/>
                    <w:suppressLineNumbers w:val="0"/>
                    <w:spacing w:before="0" w:beforeAutospacing="0" w:after="0" w:afterAutospacing="0"/>
                    <w:ind w:left="0" w:leftChars="0" w:right="0" w:rightChars="0"/>
                    <w:jc w:val="center"/>
                    <w:rPr>
                      <w:rFonts w:hint="default" w:ascii="Times New Roman" w:hAnsi="Times New Roman" w:eastAsia="宋体" w:cs="Times New Roman"/>
                      <w:bCs/>
                      <w:color w:val="000000" w:themeColor="text1"/>
                      <w:sz w:val="21"/>
                      <w:szCs w:val="21"/>
                      <w:lang w:val="en-US" w:eastAsia="zh-CN"/>
                      <w14:textFill>
                        <w14:solidFill>
                          <w14:schemeClr w14:val="tx1"/>
                        </w14:solidFill>
                      </w14:textFill>
                    </w:rPr>
                  </w:pPr>
                  <w:r>
                    <w:rPr>
                      <w:rFonts w:hint="default" w:ascii="Times New Roman" w:hAnsi="Times New Roman" w:cs="Times New Roman"/>
                      <w:bCs/>
                      <w:color w:val="000000" w:themeColor="text1"/>
                      <w:sz w:val="21"/>
                      <w:szCs w:val="21"/>
                      <w:lang w:val="en-US" w:eastAsia="zh-CN"/>
                      <w14:textFill>
                        <w14:solidFill>
                          <w14:schemeClr w14:val="tx1"/>
                        </w14:solidFill>
                      </w14:textFill>
                    </w:rPr>
                    <w:t>/</w:t>
                  </w:r>
                </w:p>
              </w:tc>
            </w:tr>
          </w:tbl>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2" w:firstLineChars="200"/>
              <w:jc w:val="both"/>
              <w:textAlignment w:val="auto"/>
              <w:rPr>
                <w:rFonts w:hint="default" w:ascii="Times New Roman" w:hAnsi="Times New Roman" w:cs="Times New Roman"/>
                <w:b/>
                <w:bCs/>
                <w:kern w:val="0"/>
                <w:sz w:val="24"/>
                <w:szCs w:val="24"/>
              </w:rPr>
            </w:pPr>
            <w:r>
              <w:rPr>
                <w:rFonts w:hint="default" w:ascii="Times New Roman" w:hAnsi="Times New Roman" w:cs="Times New Roman"/>
                <w:b/>
                <w:bCs/>
                <w:kern w:val="0"/>
                <w:sz w:val="24"/>
                <w:szCs w:val="24"/>
                <w:lang w:val="en-US" w:eastAsia="zh-CN" w:bidi="ar-SA"/>
              </w:rPr>
              <w:t>3.</w:t>
            </w:r>
            <w:r>
              <w:rPr>
                <w:rFonts w:hint="default" w:ascii="Times New Roman" w:hAnsi="Times New Roman" w:cs="Times New Roman"/>
                <w:b/>
                <w:bCs/>
                <w:kern w:val="0"/>
                <w:sz w:val="24"/>
                <w:szCs w:val="24"/>
                <w:lang w:val="en-US" w:eastAsia="zh-CN"/>
              </w:rPr>
              <w:t>矿区概况</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default" w:ascii="Times New Roman" w:hAnsi="Times New Roman" w:cs="Times New Roman"/>
                <w:b w:val="0"/>
                <w:bCs w:val="0"/>
                <w:kern w:val="0"/>
                <w:sz w:val="24"/>
                <w:szCs w:val="24"/>
              </w:rPr>
            </w:pPr>
            <w:r>
              <w:rPr>
                <w:rFonts w:hint="default" w:ascii="Times New Roman" w:hAnsi="Times New Roman" w:cs="Times New Roman"/>
                <w:b w:val="0"/>
                <w:bCs w:val="0"/>
                <w:kern w:val="0"/>
                <w:sz w:val="24"/>
                <w:szCs w:val="24"/>
              </w:rPr>
              <w:t>（1）矿区总体概况</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default" w:ascii="Times New Roman" w:hAnsi="Times New Roman" w:cs="Times New Roman"/>
                <w:b w:val="0"/>
                <w:bCs w:val="0"/>
                <w:kern w:val="0"/>
                <w:sz w:val="24"/>
                <w:szCs w:val="24"/>
              </w:rPr>
            </w:pPr>
            <w:r>
              <w:rPr>
                <w:rFonts w:hint="default" w:ascii="Times New Roman" w:hAnsi="Times New Roman" w:cs="Times New Roman"/>
                <w:b w:val="0"/>
                <w:bCs w:val="0"/>
                <w:kern w:val="0"/>
                <w:sz w:val="24"/>
                <w:szCs w:val="24"/>
              </w:rPr>
              <w:t>羊轱岭建筑石料用石灰岩矿位于永州市零陵区南西225°直距约16km处，属零陵区石山脚街道和梳子铺乡所辖，地理位置：东经111°30′03″～111°30′25″，北纬26°07′06″～26°07′22″。矿区有简易公路与112乡道、107乡道相连，北距G207国12.7km，西距G322国道10.8km，交通较便利。拟设采矿权范围及周边无探矿权与采矿权设置，本矿与其它保留矿权之间不存在重叠关系。</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default" w:ascii="Times New Roman" w:hAnsi="Times New Roman" w:cs="Times New Roman"/>
                <w:b w:val="0"/>
                <w:bCs w:val="0"/>
                <w:kern w:val="0"/>
                <w:sz w:val="24"/>
                <w:szCs w:val="24"/>
              </w:rPr>
            </w:pPr>
            <w:r>
              <w:rPr>
                <w:rFonts w:hint="default" w:ascii="Times New Roman" w:hAnsi="Times New Roman" w:cs="Times New Roman"/>
                <w:b w:val="0"/>
                <w:bCs w:val="0"/>
                <w:kern w:val="0"/>
                <w:sz w:val="24"/>
                <w:szCs w:val="24"/>
              </w:rPr>
              <w:t>拟设矿区范围符合“三线一单”要求。本矿不存在一矿多开、大矿小开情况。经湖南省自然资源厅事务中心综合查询（详见附件</w:t>
            </w:r>
            <w:r>
              <w:rPr>
                <w:rFonts w:hint="default" w:ascii="Times New Roman" w:hAnsi="Times New Roman" w:cs="Times New Roman"/>
                <w:b w:val="0"/>
                <w:bCs w:val="0"/>
                <w:kern w:val="0"/>
                <w:sz w:val="24"/>
                <w:szCs w:val="24"/>
                <w:lang w:val="en-US" w:eastAsia="zh-CN"/>
              </w:rPr>
              <w:t>9</w:t>
            </w:r>
            <w:r>
              <w:rPr>
                <w:rFonts w:hint="default" w:ascii="Times New Roman" w:hAnsi="Times New Roman" w:cs="Times New Roman"/>
                <w:b w:val="0"/>
                <w:bCs w:val="0"/>
                <w:kern w:val="0"/>
                <w:sz w:val="24"/>
                <w:szCs w:val="24"/>
              </w:rPr>
              <w:t>），拟设采矿权范围与其他自然保护区、风景名胜区、森林公园、地质遗迹保护区、水源地保护区等各类自然保护地及生态红线不重叠，未涉及禁止开采区、限制开采区，符合“三线一单”（生态红线、环境质量底线、资源利用上线和环境准入负面清单）管控要求。</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default" w:ascii="Times New Roman" w:hAnsi="Times New Roman" w:cs="Times New Roman"/>
                <w:b w:val="0"/>
                <w:bCs w:val="0"/>
                <w:kern w:val="0"/>
                <w:sz w:val="24"/>
                <w:szCs w:val="24"/>
              </w:rPr>
            </w:pPr>
            <w:r>
              <w:rPr>
                <w:rFonts w:hint="default" w:ascii="Times New Roman" w:hAnsi="Times New Roman" w:cs="Times New Roman"/>
                <w:b w:val="0"/>
                <w:bCs w:val="0"/>
                <w:kern w:val="0"/>
                <w:sz w:val="24"/>
                <w:szCs w:val="24"/>
              </w:rPr>
              <w:t>拟设采矿权范围地表主要为林地。拟设范围内无国家级、省级公益林；拟设采矿权范围内无基本农田。其他相关规划，本次拟设矿区范围内没有已经查询的建设用地项目。</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default" w:ascii="Times New Roman" w:hAnsi="Times New Roman" w:cs="Times New Roman"/>
                <w:b w:val="0"/>
                <w:bCs w:val="0"/>
                <w:kern w:val="0"/>
                <w:sz w:val="24"/>
                <w:szCs w:val="24"/>
              </w:rPr>
            </w:pPr>
            <w:r>
              <w:rPr>
                <w:rFonts w:hint="default" w:ascii="Times New Roman" w:hAnsi="Times New Roman" w:cs="Times New Roman"/>
                <w:b w:val="0"/>
                <w:bCs w:val="0"/>
                <w:kern w:val="0"/>
                <w:sz w:val="24"/>
                <w:szCs w:val="24"/>
              </w:rPr>
              <w:t>拟设采矿权范围的划定基本符合矿产资源总体规划、普通建筑材料用砂石土矿专项规划、土地利用总体规划及其他相关规划。</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default" w:ascii="Times New Roman" w:hAnsi="Times New Roman" w:cs="Times New Roman"/>
                <w:b w:val="0"/>
                <w:bCs w:val="0"/>
                <w:kern w:val="0"/>
                <w:sz w:val="24"/>
                <w:szCs w:val="24"/>
              </w:rPr>
            </w:pPr>
            <w:r>
              <w:rPr>
                <w:rFonts w:hint="default" w:ascii="Times New Roman" w:hAnsi="Times New Roman" w:cs="Times New Roman"/>
                <w:b w:val="0"/>
                <w:bCs w:val="0"/>
                <w:kern w:val="0"/>
                <w:sz w:val="24"/>
                <w:szCs w:val="24"/>
              </w:rPr>
              <w:t>（2）矿石储量</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default" w:ascii="Times New Roman" w:hAnsi="Times New Roman" w:cs="Times New Roman"/>
                <w:b w:val="0"/>
                <w:bCs w:val="0"/>
                <w:kern w:val="0"/>
                <w:sz w:val="24"/>
                <w:szCs w:val="24"/>
              </w:rPr>
            </w:pPr>
            <w:r>
              <w:rPr>
                <w:rFonts w:hint="default" w:ascii="Times New Roman" w:hAnsi="Times New Roman" w:cs="Times New Roman"/>
                <w:b w:val="0"/>
                <w:bCs w:val="0"/>
                <w:kern w:val="0"/>
                <w:sz w:val="24"/>
                <w:szCs w:val="24"/>
              </w:rPr>
              <w:t>根据湖南省自然资源厅：关于《湖南省永州市零陵区羊轱岭矿区建筑用石灰岩矿勘查报告》矿产资源储量评审备案证明及评审意见书（湘自然资储备字「2020」80号文），拟设采矿权范围内保有控制资源量1329万t（493万m</w:t>
            </w:r>
            <w:r>
              <w:rPr>
                <w:rFonts w:hint="default" w:ascii="Times New Roman" w:hAnsi="Times New Roman" w:cs="Times New Roman"/>
                <w:b w:val="0"/>
                <w:bCs w:val="0"/>
                <w:kern w:val="0"/>
                <w:sz w:val="24"/>
                <w:szCs w:val="24"/>
                <w:vertAlign w:val="superscript"/>
              </w:rPr>
              <w:t>3</w:t>
            </w:r>
            <w:r>
              <w:rPr>
                <w:rFonts w:hint="default" w:ascii="Times New Roman" w:hAnsi="Times New Roman" w:cs="Times New Roman"/>
                <w:b w:val="0"/>
                <w:bCs w:val="0"/>
                <w:kern w:val="0"/>
                <w:sz w:val="24"/>
                <w:szCs w:val="24"/>
              </w:rPr>
              <w:t>），累探资源量1329万t（493万m</w:t>
            </w:r>
            <w:r>
              <w:rPr>
                <w:rFonts w:hint="default" w:ascii="Times New Roman" w:hAnsi="Times New Roman" w:cs="Times New Roman"/>
                <w:b w:val="0"/>
                <w:bCs w:val="0"/>
                <w:kern w:val="0"/>
                <w:sz w:val="24"/>
                <w:szCs w:val="24"/>
                <w:vertAlign w:val="superscript"/>
              </w:rPr>
              <w:t>3</w:t>
            </w:r>
            <w:r>
              <w:rPr>
                <w:rFonts w:hint="default" w:ascii="Times New Roman" w:hAnsi="Times New Roman" w:cs="Times New Roman"/>
                <w:b w:val="0"/>
                <w:bCs w:val="0"/>
                <w:kern w:val="0"/>
                <w:sz w:val="24"/>
                <w:szCs w:val="24"/>
              </w:rPr>
              <w:t>）。根据开发利用方案，边坡压建筑石料用石灰岩矿47.10万吨；矿权范围内建筑石料用石灰岩矿可采储量为1281.9万吨（476.5万立方米），按120万t/a开采规模，回采率98%，矿山服务年限约为10.4年。</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2" w:firstLineChars="200"/>
              <w:jc w:val="both"/>
              <w:textAlignment w:val="auto"/>
              <w:rPr>
                <w:rFonts w:hint="default" w:ascii="Times New Roman" w:hAnsi="Times New Roman" w:cs="Times New Roman"/>
                <w:b/>
                <w:bCs/>
                <w:kern w:val="0"/>
                <w:sz w:val="24"/>
                <w:szCs w:val="24"/>
              </w:rPr>
            </w:pPr>
            <w:r>
              <w:rPr>
                <w:rFonts w:hint="default" w:ascii="Times New Roman" w:hAnsi="Times New Roman" w:cs="Times New Roman"/>
                <w:b/>
                <w:bCs/>
                <w:kern w:val="0"/>
                <w:sz w:val="24"/>
                <w:szCs w:val="24"/>
                <w:lang w:val="en-US" w:eastAsia="zh-CN" w:bidi="ar-SA"/>
              </w:rPr>
              <w:t>4.</w:t>
            </w:r>
            <w:r>
              <w:rPr>
                <w:rFonts w:hint="default" w:ascii="Times New Roman" w:hAnsi="Times New Roman" w:cs="Times New Roman"/>
                <w:b/>
                <w:bCs/>
                <w:kern w:val="0"/>
                <w:sz w:val="24"/>
                <w:szCs w:val="24"/>
                <w:lang w:val="en-US" w:eastAsia="zh-CN"/>
              </w:rPr>
              <w:t>产品方案</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default" w:ascii="Times New Roman" w:hAnsi="Times New Roman" w:cs="Times New Roman"/>
                <w:b w:val="0"/>
                <w:bCs w:val="0"/>
                <w:kern w:val="0"/>
                <w:sz w:val="24"/>
                <w:szCs w:val="24"/>
              </w:rPr>
            </w:pPr>
            <w:r>
              <w:rPr>
                <w:rFonts w:hint="default" w:ascii="Times New Roman" w:hAnsi="Times New Roman" w:cs="Times New Roman"/>
                <w:b w:val="0"/>
                <w:bCs w:val="0"/>
                <w:kern w:val="0"/>
                <w:sz w:val="24"/>
                <w:szCs w:val="24"/>
              </w:rPr>
              <w:t>项目主要产品是精品碎石和精品砂，项目碎石设备具有级配功能，根据客户需求确定各类产品产量，总产量为1</w:t>
            </w:r>
            <w:r>
              <w:rPr>
                <w:rFonts w:hint="default" w:ascii="Times New Roman" w:hAnsi="Times New Roman" w:cs="Times New Roman"/>
                <w:b w:val="0"/>
                <w:bCs w:val="0"/>
                <w:kern w:val="0"/>
                <w:sz w:val="24"/>
                <w:szCs w:val="24"/>
                <w:lang w:val="en-US" w:eastAsia="zh-CN"/>
              </w:rPr>
              <w:t>20</w:t>
            </w:r>
            <w:r>
              <w:rPr>
                <w:rFonts w:hint="default" w:ascii="Times New Roman" w:hAnsi="Times New Roman" w:cs="Times New Roman"/>
                <w:b w:val="0"/>
                <w:bCs w:val="0"/>
                <w:kern w:val="0"/>
                <w:sz w:val="24"/>
                <w:szCs w:val="24"/>
              </w:rPr>
              <w:t>万吨/年，项目产品方案如下表所示。</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360" w:lineRule="auto"/>
              <w:ind w:left="0" w:right="0"/>
              <w:jc w:val="center"/>
              <w:textAlignment w:val="auto"/>
              <w:rPr>
                <w:rFonts w:hint="default" w:ascii="Times New Roman" w:hAnsi="Times New Roman" w:cs="Times New Roman"/>
                <w:b/>
                <w:bCs/>
                <w:kern w:val="0"/>
                <w:sz w:val="24"/>
                <w:szCs w:val="24"/>
              </w:rPr>
            </w:pPr>
            <w:r>
              <w:rPr>
                <w:rFonts w:hint="default" w:ascii="Times New Roman" w:hAnsi="Times New Roman" w:cs="Times New Roman"/>
                <w:b/>
                <w:bCs/>
                <w:kern w:val="0"/>
                <w:sz w:val="24"/>
                <w:szCs w:val="24"/>
                <w:lang w:val="en-US" w:eastAsia="zh-CN"/>
              </w:rPr>
              <w:t>表</w:t>
            </w:r>
            <w:r>
              <w:rPr>
                <w:rFonts w:hint="default" w:ascii="Times New Roman" w:hAnsi="Times New Roman" w:cs="Times New Roman"/>
                <w:b/>
                <w:bCs/>
                <w:kern w:val="0"/>
                <w:sz w:val="24"/>
                <w:szCs w:val="24"/>
              </w:rPr>
              <w:t>2-</w:t>
            </w:r>
            <w:r>
              <w:rPr>
                <w:rFonts w:hint="default" w:ascii="Times New Roman" w:hAnsi="Times New Roman" w:cs="Times New Roman"/>
                <w:b/>
                <w:bCs/>
                <w:kern w:val="0"/>
                <w:sz w:val="24"/>
                <w:szCs w:val="24"/>
                <w:lang w:val="en-US" w:eastAsia="zh-CN"/>
              </w:rPr>
              <w:t>3</w:t>
            </w:r>
            <w:r>
              <w:rPr>
                <w:rFonts w:hint="default" w:ascii="Times New Roman" w:hAnsi="Times New Roman" w:cs="Times New Roman"/>
                <w:b/>
                <w:bCs/>
                <w:kern w:val="0"/>
                <w:sz w:val="24"/>
                <w:szCs w:val="24"/>
              </w:rPr>
              <w:t>产品方案</w:t>
            </w:r>
          </w:p>
          <w:tbl>
            <w:tblPr>
              <w:tblStyle w:val="21"/>
              <w:tblW w:w="815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0"/>
              <w:gridCol w:w="1470"/>
              <w:gridCol w:w="1230"/>
              <w:gridCol w:w="1170"/>
              <w:gridCol w:w="1155"/>
              <w:gridCol w:w="1155"/>
              <w:gridCol w:w="9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267" w:hRule="atLeast"/>
              </w:trPr>
              <w:tc>
                <w:tcPr>
                  <w:tcW w:w="1010" w:type="dxa"/>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lang w:val="en-US" w:eastAsia="zh-CN"/>
                    </w:rPr>
                  </w:pPr>
                  <w:r>
                    <w:rPr>
                      <w:rFonts w:hint="default" w:ascii="Times New Roman" w:hAnsi="Times New Roman" w:cs="Times New Roman"/>
                      <w:b/>
                      <w:bCs/>
                      <w:lang w:val="en-US" w:eastAsia="zh-CN"/>
                    </w:rPr>
                    <w:t>序号</w:t>
                  </w:r>
                </w:p>
              </w:tc>
              <w:tc>
                <w:tcPr>
                  <w:tcW w:w="1470" w:type="dxa"/>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
                      <w:bCs/>
                      <w:lang w:val="en-US" w:eastAsia="zh-CN"/>
                    </w:rPr>
                  </w:pPr>
                  <w:r>
                    <w:rPr>
                      <w:rFonts w:hint="default" w:ascii="Times New Roman" w:hAnsi="Times New Roman" w:cs="Times New Roman"/>
                      <w:b/>
                      <w:bCs/>
                      <w:lang w:val="en-US" w:eastAsia="zh-CN"/>
                    </w:rPr>
                    <w:t>产品名称</w:t>
                  </w:r>
                </w:p>
              </w:tc>
              <w:tc>
                <w:tcPr>
                  <w:tcW w:w="1230" w:type="dxa"/>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
                      <w:bCs/>
                      <w:lang w:val="en-US" w:eastAsia="zh-CN"/>
                    </w:rPr>
                  </w:pPr>
                  <w:r>
                    <w:rPr>
                      <w:rFonts w:hint="default" w:ascii="Times New Roman" w:hAnsi="Times New Roman" w:cs="Times New Roman"/>
                      <w:b/>
                      <w:bCs/>
                      <w:lang w:val="en-US" w:eastAsia="zh-CN"/>
                    </w:rPr>
                    <w:t>规格</w:t>
                  </w:r>
                </w:p>
              </w:tc>
              <w:tc>
                <w:tcPr>
                  <w:tcW w:w="1170" w:type="dxa"/>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
                      <w:bCs/>
                      <w:lang w:val="en-US" w:eastAsia="zh-CN"/>
                    </w:rPr>
                  </w:pPr>
                  <w:r>
                    <w:rPr>
                      <w:rFonts w:hint="default" w:ascii="Times New Roman" w:hAnsi="Times New Roman" w:cs="Times New Roman"/>
                      <w:b/>
                      <w:bCs/>
                      <w:lang w:val="en-US" w:eastAsia="zh-CN"/>
                    </w:rPr>
                    <w:t>产品规格</w:t>
                  </w:r>
                </w:p>
              </w:tc>
              <w:tc>
                <w:tcPr>
                  <w:tcW w:w="2310" w:type="dxa"/>
                  <w:gridSpan w:val="2"/>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lang w:val="en-US" w:eastAsia="zh-CN"/>
                    </w:rPr>
                  </w:pPr>
                  <w:r>
                    <w:rPr>
                      <w:rFonts w:hint="default" w:ascii="Times New Roman" w:hAnsi="Times New Roman" w:cs="Times New Roman"/>
                      <w:b/>
                      <w:bCs/>
                      <w:lang w:val="en-US" w:eastAsia="zh-CN"/>
                    </w:rPr>
                    <w:t>总生产规模</w:t>
                  </w:r>
                </w:p>
              </w:tc>
              <w:tc>
                <w:tcPr>
                  <w:tcW w:w="962" w:type="dxa"/>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
                      <w:bCs/>
                      <w:lang w:val="en-US" w:eastAsia="zh-CN"/>
                    </w:rPr>
                  </w:pPr>
                  <w:r>
                    <w:rPr>
                      <w:rFonts w:hint="default" w:ascii="Times New Roman" w:hAnsi="Times New Roman" w:cs="Times New Roman"/>
                      <w:b/>
                      <w:bCs/>
                      <w:lang w:val="en-US" w:eastAsia="zh-CN"/>
                    </w:rPr>
                    <w:t>变动情况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67" w:hRule="atLeast"/>
              </w:trPr>
              <w:tc>
                <w:tcPr>
                  <w:tcW w:w="1010"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rPr>
                  </w:pPr>
                </w:p>
              </w:tc>
              <w:tc>
                <w:tcPr>
                  <w:tcW w:w="1470"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rPr>
                  </w:pPr>
                </w:p>
              </w:tc>
              <w:tc>
                <w:tcPr>
                  <w:tcW w:w="1230"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rPr>
                  </w:pPr>
                </w:p>
              </w:tc>
              <w:tc>
                <w:tcPr>
                  <w:tcW w:w="1170"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rPr>
                  </w:pPr>
                </w:p>
              </w:tc>
              <w:tc>
                <w:tcPr>
                  <w:tcW w:w="115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lang w:val="en-US" w:eastAsia="zh-CN"/>
                    </w:rPr>
                  </w:pPr>
                  <w:r>
                    <w:rPr>
                      <w:rFonts w:hint="default" w:ascii="Times New Roman" w:hAnsi="Times New Roman" w:cs="Times New Roman"/>
                      <w:b/>
                      <w:bCs/>
                      <w:lang w:val="en-US" w:eastAsia="zh-CN"/>
                    </w:rPr>
                    <w:t>变动前</w:t>
                  </w:r>
                </w:p>
              </w:tc>
              <w:tc>
                <w:tcPr>
                  <w:tcW w:w="115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lang w:val="en-US" w:eastAsia="zh-CN"/>
                    </w:rPr>
                  </w:pPr>
                  <w:r>
                    <w:rPr>
                      <w:rFonts w:hint="default" w:ascii="Times New Roman" w:hAnsi="Times New Roman" w:cs="Times New Roman"/>
                      <w:b/>
                      <w:bCs/>
                      <w:lang w:val="en-US" w:eastAsia="zh-CN"/>
                    </w:rPr>
                    <w:t>变动后</w:t>
                  </w:r>
                </w:p>
              </w:tc>
              <w:tc>
                <w:tcPr>
                  <w:tcW w:w="962"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1010"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lang w:val="en-US" w:eastAsia="zh-CN"/>
                    </w:rPr>
                  </w:pPr>
                  <w:r>
                    <w:rPr>
                      <w:rFonts w:hint="default" w:ascii="Times New Roman" w:hAnsi="Times New Roman" w:cs="Times New Roman"/>
                      <w:lang w:val="en-US" w:eastAsia="zh-CN"/>
                    </w:rPr>
                    <w:t>1</w:t>
                  </w:r>
                </w:p>
              </w:tc>
              <w:tc>
                <w:tcPr>
                  <w:tcW w:w="1470" w:type="dxa"/>
                  <w:vAlign w:val="top"/>
                </w:tcPr>
                <w:p>
                  <w:pPr>
                    <w:keepNext w:val="0"/>
                    <w:keepLines w:val="0"/>
                    <w:numPr>
                      <w:ilvl w:val="0"/>
                      <w:numId w:val="0"/>
                    </w:numPr>
                    <w:suppressLineNumbers w:val="0"/>
                    <w:spacing w:before="0" w:beforeAutospacing="0" w:after="0" w:afterAutospacing="0"/>
                    <w:ind w:left="0" w:leftChars="0" w:right="0" w:firstLine="0" w:firstLineChars="0"/>
                    <w:jc w:val="center"/>
                    <w:rPr>
                      <w:rFonts w:hint="default" w:ascii="Times New Roman" w:hAnsi="Times New Roman" w:cs="Times New Roman"/>
                    </w:rPr>
                  </w:pPr>
                  <w:r>
                    <w:rPr>
                      <w:rFonts w:hint="default" w:ascii="Times New Roman" w:hAnsi="Times New Roman" w:cs="Times New Roman"/>
                      <w:vertAlign w:val="baseline"/>
                      <w:lang w:val="en-US" w:eastAsia="zh-CN"/>
                    </w:rPr>
                    <w:t>1-2骨料</w:t>
                  </w:r>
                </w:p>
              </w:tc>
              <w:tc>
                <w:tcPr>
                  <w:tcW w:w="1230" w:type="dxa"/>
                  <w:vAlign w:val="top"/>
                </w:tcPr>
                <w:p>
                  <w:pPr>
                    <w:keepNext w:val="0"/>
                    <w:keepLines w:val="0"/>
                    <w:numPr>
                      <w:ilvl w:val="0"/>
                      <w:numId w:val="0"/>
                    </w:numPr>
                    <w:suppressLineNumbers w:val="0"/>
                    <w:spacing w:before="0" w:beforeAutospacing="0" w:after="0" w:afterAutospacing="0"/>
                    <w:ind w:left="0" w:leftChars="0" w:right="0" w:firstLine="0" w:firstLineChars="0"/>
                    <w:jc w:val="center"/>
                    <w:rPr>
                      <w:rFonts w:hint="default" w:ascii="Times New Roman" w:hAnsi="Times New Roman" w:cs="Times New Roman"/>
                      <w:lang w:val="en-US"/>
                    </w:rPr>
                  </w:pPr>
                  <w:r>
                    <w:rPr>
                      <w:rFonts w:hint="default" w:ascii="Times New Roman" w:hAnsi="Times New Roman" w:cs="Times New Roman"/>
                      <w:vertAlign w:val="baseline"/>
                      <w:lang w:val="en-US" w:eastAsia="zh-CN"/>
                    </w:rPr>
                    <w:t>10-20mm</w:t>
                  </w:r>
                </w:p>
              </w:tc>
              <w:tc>
                <w:tcPr>
                  <w:tcW w:w="1170" w:type="dxa"/>
                  <w:vAlign w:val="top"/>
                </w:tcPr>
                <w:p>
                  <w:pPr>
                    <w:keepNext w:val="0"/>
                    <w:keepLines w:val="0"/>
                    <w:numPr>
                      <w:ilvl w:val="0"/>
                      <w:numId w:val="0"/>
                    </w:numPr>
                    <w:suppressLineNumbers w:val="0"/>
                    <w:spacing w:before="0" w:beforeAutospacing="0" w:after="0" w:afterAutospacing="0"/>
                    <w:ind w:left="0" w:leftChars="0" w:right="0" w:firstLine="0" w:firstLineChars="0"/>
                    <w:jc w:val="center"/>
                    <w:rPr>
                      <w:rFonts w:hint="default" w:ascii="Times New Roman" w:hAnsi="Times New Roman" w:cs="Times New Roman"/>
                    </w:rPr>
                  </w:pPr>
                  <w:r>
                    <w:rPr>
                      <w:rFonts w:hint="default" w:ascii="Times New Roman" w:hAnsi="Times New Roman" w:cs="Times New Roman"/>
                      <w:vertAlign w:val="baseline"/>
                      <w:lang w:val="en-US" w:eastAsia="zh-CN"/>
                    </w:rPr>
                    <w:t>30万</w:t>
                  </w:r>
                </w:p>
              </w:tc>
              <w:tc>
                <w:tcPr>
                  <w:tcW w:w="1155" w:type="dxa"/>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rPr>
                  </w:pPr>
                  <w:r>
                    <w:rPr>
                      <w:rFonts w:hint="default" w:ascii="Times New Roman" w:hAnsi="Times New Roman" w:cs="Times New Roman"/>
                    </w:rPr>
                    <w:t>年开采石灰岩</w:t>
                  </w:r>
                </w:p>
                <w:p>
                  <w:pPr>
                    <w:keepNext w:val="0"/>
                    <w:keepLines w:val="0"/>
                    <w:suppressLineNumbers w:val="0"/>
                    <w:spacing w:before="0" w:beforeAutospacing="0" w:after="0" w:afterAutospacing="0"/>
                    <w:ind w:left="0" w:right="0"/>
                    <w:jc w:val="center"/>
                    <w:rPr>
                      <w:rFonts w:hint="default" w:ascii="Times New Roman" w:hAnsi="Times New Roman" w:cs="Times New Roman"/>
                    </w:rPr>
                  </w:pPr>
                  <w:r>
                    <w:rPr>
                      <w:rFonts w:hint="default" w:ascii="Times New Roman" w:hAnsi="Times New Roman" w:cs="Times New Roman"/>
                    </w:rPr>
                    <w:t>120万吨/年</w:t>
                  </w:r>
                </w:p>
              </w:tc>
              <w:tc>
                <w:tcPr>
                  <w:tcW w:w="1155" w:type="dxa"/>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rPr>
                  </w:pPr>
                  <w:r>
                    <w:rPr>
                      <w:rFonts w:hint="default" w:ascii="Times New Roman" w:hAnsi="Times New Roman" w:cs="Times New Roman"/>
                    </w:rPr>
                    <w:t>年开采石灰岩</w:t>
                  </w:r>
                </w:p>
                <w:p>
                  <w:pPr>
                    <w:keepNext w:val="0"/>
                    <w:keepLines w:val="0"/>
                    <w:suppressLineNumbers w:val="0"/>
                    <w:spacing w:before="0" w:beforeAutospacing="0" w:after="0" w:afterAutospacing="0"/>
                    <w:ind w:left="0" w:right="0"/>
                    <w:jc w:val="center"/>
                    <w:rPr>
                      <w:rFonts w:hint="default" w:ascii="Times New Roman" w:hAnsi="Times New Roman" w:cs="Times New Roman"/>
                    </w:rPr>
                  </w:pPr>
                  <w:r>
                    <w:rPr>
                      <w:rFonts w:hint="default" w:ascii="Times New Roman" w:hAnsi="Times New Roman" w:cs="Times New Roman"/>
                    </w:rPr>
                    <w:t>120万吨/年</w:t>
                  </w:r>
                </w:p>
              </w:tc>
              <w:tc>
                <w:tcPr>
                  <w:tcW w:w="962" w:type="dxa"/>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lang w:eastAsia="zh-CN"/>
                    </w:rPr>
                  </w:pPr>
                  <w:r>
                    <w:rPr>
                      <w:rFonts w:hint="default" w:ascii="Times New Roman" w:hAnsi="Times New Roman" w:cs="Times New Roman"/>
                      <w:lang w:val="en-US" w:eastAsia="zh-CN"/>
                    </w:rPr>
                    <w:t>不变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10"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lang w:val="en-US" w:eastAsia="zh-CN"/>
                    </w:rPr>
                  </w:pPr>
                  <w:r>
                    <w:rPr>
                      <w:rFonts w:hint="default" w:ascii="Times New Roman" w:hAnsi="Times New Roman" w:cs="Times New Roman"/>
                      <w:lang w:val="en-US" w:eastAsia="zh-CN"/>
                    </w:rPr>
                    <w:t>2</w:t>
                  </w:r>
                </w:p>
              </w:tc>
              <w:tc>
                <w:tcPr>
                  <w:tcW w:w="1470" w:type="dxa"/>
                  <w:vAlign w:val="top"/>
                </w:tcPr>
                <w:p>
                  <w:pPr>
                    <w:keepNext w:val="0"/>
                    <w:keepLines w:val="0"/>
                    <w:numPr>
                      <w:ilvl w:val="0"/>
                      <w:numId w:val="0"/>
                    </w:numPr>
                    <w:suppressLineNumbers w:val="0"/>
                    <w:spacing w:before="0" w:beforeAutospacing="0" w:after="0" w:afterAutospacing="0"/>
                    <w:ind w:left="0" w:leftChars="0" w:right="0" w:firstLine="0" w:firstLineChars="0"/>
                    <w:jc w:val="center"/>
                    <w:rPr>
                      <w:rFonts w:hint="default" w:ascii="Times New Roman" w:hAnsi="Times New Roman" w:cs="Times New Roman"/>
                    </w:rPr>
                  </w:pPr>
                  <w:r>
                    <w:rPr>
                      <w:rFonts w:hint="default" w:ascii="Times New Roman" w:hAnsi="Times New Roman" w:cs="Times New Roman"/>
                      <w:vertAlign w:val="baseline"/>
                      <w:lang w:val="en-US" w:eastAsia="zh-CN"/>
                    </w:rPr>
                    <w:t>1-3骨料</w:t>
                  </w:r>
                </w:p>
              </w:tc>
              <w:tc>
                <w:tcPr>
                  <w:tcW w:w="1230" w:type="dxa"/>
                  <w:vAlign w:val="top"/>
                </w:tcPr>
                <w:p>
                  <w:pPr>
                    <w:keepNext w:val="0"/>
                    <w:keepLines w:val="0"/>
                    <w:numPr>
                      <w:ilvl w:val="0"/>
                      <w:numId w:val="0"/>
                    </w:numPr>
                    <w:suppressLineNumbers w:val="0"/>
                    <w:spacing w:before="0" w:beforeAutospacing="0" w:after="0" w:afterAutospacing="0"/>
                    <w:ind w:left="0" w:leftChars="0" w:right="0" w:firstLine="0" w:firstLineChars="0"/>
                    <w:jc w:val="center"/>
                    <w:rPr>
                      <w:rFonts w:hint="default" w:ascii="Times New Roman" w:hAnsi="Times New Roman" w:cs="Times New Roman"/>
                    </w:rPr>
                  </w:pPr>
                  <w:r>
                    <w:rPr>
                      <w:rFonts w:hint="default" w:ascii="Times New Roman" w:hAnsi="Times New Roman" w:cs="Times New Roman"/>
                      <w:vertAlign w:val="baseline"/>
                      <w:lang w:val="en-US" w:eastAsia="zh-CN"/>
                    </w:rPr>
                    <w:t>16-31.5mm</w:t>
                  </w:r>
                </w:p>
              </w:tc>
              <w:tc>
                <w:tcPr>
                  <w:tcW w:w="1170" w:type="dxa"/>
                  <w:vAlign w:val="top"/>
                </w:tcPr>
                <w:p>
                  <w:pPr>
                    <w:keepNext w:val="0"/>
                    <w:keepLines w:val="0"/>
                    <w:numPr>
                      <w:ilvl w:val="0"/>
                      <w:numId w:val="0"/>
                    </w:numPr>
                    <w:suppressLineNumbers w:val="0"/>
                    <w:spacing w:before="0" w:beforeAutospacing="0" w:after="0" w:afterAutospacing="0"/>
                    <w:ind w:left="0" w:leftChars="0" w:right="0" w:firstLine="0" w:firstLineChars="0"/>
                    <w:jc w:val="center"/>
                    <w:rPr>
                      <w:rFonts w:hint="default" w:ascii="Times New Roman" w:hAnsi="Times New Roman" w:cs="Times New Roman"/>
                    </w:rPr>
                  </w:pPr>
                  <w:r>
                    <w:rPr>
                      <w:rFonts w:hint="default" w:ascii="Times New Roman" w:hAnsi="Times New Roman" w:cs="Times New Roman"/>
                      <w:vertAlign w:val="baseline"/>
                      <w:lang w:val="en-US" w:eastAsia="zh-CN"/>
                    </w:rPr>
                    <w:t>30万</w:t>
                  </w:r>
                </w:p>
              </w:tc>
              <w:tc>
                <w:tcPr>
                  <w:tcW w:w="1155" w:type="dxa"/>
                  <w:vMerge w:val="continue"/>
                </w:tcPr>
                <w:p>
                  <w:pPr>
                    <w:keepNext w:val="0"/>
                    <w:keepLines w:val="0"/>
                    <w:suppressLineNumbers w:val="0"/>
                    <w:spacing w:before="0" w:beforeAutospacing="0" w:after="0" w:afterAutospacing="0"/>
                    <w:ind w:left="0" w:right="0"/>
                    <w:rPr>
                      <w:rFonts w:hint="default" w:ascii="Times New Roman" w:hAnsi="Times New Roman" w:cs="Times New Roman"/>
                    </w:rPr>
                  </w:pPr>
                </w:p>
              </w:tc>
              <w:tc>
                <w:tcPr>
                  <w:tcW w:w="1155" w:type="dxa"/>
                  <w:vMerge w:val="continue"/>
                </w:tcPr>
                <w:p>
                  <w:pPr>
                    <w:keepNext w:val="0"/>
                    <w:keepLines w:val="0"/>
                    <w:suppressLineNumbers w:val="0"/>
                    <w:spacing w:before="0" w:beforeAutospacing="0" w:after="0" w:afterAutospacing="0"/>
                    <w:ind w:left="0" w:right="0"/>
                    <w:rPr>
                      <w:rFonts w:hint="default" w:ascii="Times New Roman" w:hAnsi="Times New Roman" w:cs="Times New Roman"/>
                    </w:rPr>
                  </w:pPr>
                </w:p>
              </w:tc>
              <w:tc>
                <w:tcPr>
                  <w:tcW w:w="962" w:type="dxa"/>
                  <w:vMerge w:val="continue"/>
                </w:tcPr>
                <w:p>
                  <w:pPr>
                    <w:keepNext w:val="0"/>
                    <w:keepLines w:val="0"/>
                    <w:suppressLineNumbers w:val="0"/>
                    <w:spacing w:before="0" w:beforeAutospacing="0" w:after="0" w:afterAutospacing="0"/>
                    <w:ind w:left="0" w:right="0"/>
                    <w:rPr>
                      <w:rFonts w:hint="default" w:ascii="Times New Roman" w:hAnsi="Times New Roman"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10"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lang w:val="en-US" w:eastAsia="zh-CN"/>
                    </w:rPr>
                  </w:pPr>
                  <w:r>
                    <w:rPr>
                      <w:rFonts w:hint="default" w:ascii="Times New Roman" w:hAnsi="Times New Roman" w:cs="Times New Roman"/>
                      <w:lang w:val="en-US" w:eastAsia="zh-CN"/>
                    </w:rPr>
                    <w:t>3</w:t>
                  </w:r>
                </w:p>
              </w:tc>
              <w:tc>
                <w:tcPr>
                  <w:tcW w:w="1470" w:type="dxa"/>
                  <w:vAlign w:val="top"/>
                </w:tcPr>
                <w:p>
                  <w:pPr>
                    <w:keepNext w:val="0"/>
                    <w:keepLines w:val="0"/>
                    <w:numPr>
                      <w:ilvl w:val="0"/>
                      <w:numId w:val="0"/>
                    </w:numPr>
                    <w:suppressLineNumbers w:val="0"/>
                    <w:spacing w:before="0" w:beforeAutospacing="0" w:after="0" w:afterAutospacing="0"/>
                    <w:ind w:left="0" w:leftChars="0" w:right="0" w:firstLine="0" w:firstLineChars="0"/>
                    <w:jc w:val="center"/>
                    <w:rPr>
                      <w:rFonts w:hint="default" w:ascii="Times New Roman" w:hAnsi="Times New Roman" w:cs="Times New Roman"/>
                    </w:rPr>
                  </w:pPr>
                  <w:r>
                    <w:rPr>
                      <w:rFonts w:hint="default" w:ascii="Times New Roman" w:hAnsi="Times New Roman" w:cs="Times New Roman"/>
                      <w:vertAlign w:val="baseline"/>
                      <w:lang w:val="en-US" w:eastAsia="zh-CN"/>
                    </w:rPr>
                    <w:t>精品砂</w:t>
                  </w:r>
                </w:p>
              </w:tc>
              <w:tc>
                <w:tcPr>
                  <w:tcW w:w="1230" w:type="dxa"/>
                  <w:vAlign w:val="top"/>
                </w:tcPr>
                <w:p>
                  <w:pPr>
                    <w:keepNext w:val="0"/>
                    <w:keepLines w:val="0"/>
                    <w:numPr>
                      <w:ilvl w:val="0"/>
                      <w:numId w:val="0"/>
                    </w:numPr>
                    <w:suppressLineNumbers w:val="0"/>
                    <w:spacing w:before="0" w:beforeAutospacing="0" w:after="0" w:afterAutospacing="0"/>
                    <w:ind w:left="0" w:leftChars="0" w:right="0" w:firstLine="0" w:firstLineChars="0"/>
                    <w:jc w:val="center"/>
                    <w:rPr>
                      <w:rFonts w:hint="default" w:ascii="Times New Roman" w:hAnsi="Times New Roman" w:cs="Times New Roman"/>
                    </w:rPr>
                  </w:pPr>
                  <w:r>
                    <w:rPr>
                      <w:rFonts w:hint="default" w:ascii="Times New Roman" w:hAnsi="Times New Roman" w:cs="Times New Roman"/>
                      <w:vertAlign w:val="baseline"/>
                      <w:lang w:val="en-US" w:eastAsia="zh-CN"/>
                    </w:rPr>
                    <w:t>0-5mm</w:t>
                  </w:r>
                </w:p>
              </w:tc>
              <w:tc>
                <w:tcPr>
                  <w:tcW w:w="1170" w:type="dxa"/>
                  <w:vAlign w:val="top"/>
                </w:tcPr>
                <w:p>
                  <w:pPr>
                    <w:keepNext w:val="0"/>
                    <w:keepLines w:val="0"/>
                    <w:numPr>
                      <w:ilvl w:val="0"/>
                      <w:numId w:val="0"/>
                    </w:numPr>
                    <w:suppressLineNumbers w:val="0"/>
                    <w:spacing w:before="0" w:beforeAutospacing="0" w:after="0" w:afterAutospacing="0"/>
                    <w:ind w:left="0" w:leftChars="0" w:right="0" w:firstLine="0" w:firstLineChars="0"/>
                    <w:jc w:val="center"/>
                    <w:rPr>
                      <w:rFonts w:hint="default" w:ascii="Times New Roman" w:hAnsi="Times New Roman" w:cs="Times New Roman"/>
                    </w:rPr>
                  </w:pPr>
                  <w:r>
                    <w:rPr>
                      <w:rFonts w:hint="default" w:ascii="Times New Roman" w:hAnsi="Times New Roman" w:cs="Times New Roman"/>
                      <w:vertAlign w:val="baseline"/>
                      <w:lang w:val="en-US" w:eastAsia="zh-CN"/>
                    </w:rPr>
                    <w:t>42万</w:t>
                  </w:r>
                </w:p>
              </w:tc>
              <w:tc>
                <w:tcPr>
                  <w:tcW w:w="1155" w:type="dxa"/>
                  <w:vMerge w:val="continue"/>
                </w:tcPr>
                <w:p>
                  <w:pPr>
                    <w:keepNext w:val="0"/>
                    <w:keepLines w:val="0"/>
                    <w:suppressLineNumbers w:val="0"/>
                    <w:spacing w:before="0" w:beforeAutospacing="0" w:after="0" w:afterAutospacing="0"/>
                    <w:ind w:left="0" w:right="0"/>
                    <w:rPr>
                      <w:rFonts w:hint="default" w:ascii="Times New Roman" w:hAnsi="Times New Roman" w:cs="Times New Roman"/>
                    </w:rPr>
                  </w:pPr>
                </w:p>
              </w:tc>
              <w:tc>
                <w:tcPr>
                  <w:tcW w:w="1155" w:type="dxa"/>
                  <w:vMerge w:val="continue"/>
                </w:tcPr>
                <w:p>
                  <w:pPr>
                    <w:keepNext w:val="0"/>
                    <w:keepLines w:val="0"/>
                    <w:suppressLineNumbers w:val="0"/>
                    <w:spacing w:before="0" w:beforeAutospacing="0" w:after="0" w:afterAutospacing="0"/>
                    <w:ind w:left="0" w:right="0"/>
                    <w:rPr>
                      <w:rFonts w:hint="default" w:ascii="Times New Roman" w:hAnsi="Times New Roman" w:cs="Times New Roman"/>
                    </w:rPr>
                  </w:pPr>
                </w:p>
              </w:tc>
              <w:tc>
                <w:tcPr>
                  <w:tcW w:w="962" w:type="dxa"/>
                  <w:vMerge w:val="continue"/>
                </w:tcPr>
                <w:p>
                  <w:pPr>
                    <w:keepNext w:val="0"/>
                    <w:keepLines w:val="0"/>
                    <w:suppressLineNumbers w:val="0"/>
                    <w:spacing w:before="0" w:beforeAutospacing="0" w:after="0" w:afterAutospacing="0"/>
                    <w:ind w:left="0" w:right="0"/>
                    <w:rPr>
                      <w:rFonts w:hint="default" w:ascii="Times New Roman" w:hAnsi="Times New Roman"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10"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lang w:val="en-US" w:eastAsia="zh-CN"/>
                    </w:rPr>
                  </w:pPr>
                  <w:r>
                    <w:rPr>
                      <w:rFonts w:hint="default" w:ascii="Times New Roman" w:hAnsi="Times New Roman" w:cs="Times New Roman"/>
                      <w:lang w:val="en-US" w:eastAsia="zh-CN"/>
                    </w:rPr>
                    <w:t>4</w:t>
                  </w:r>
                </w:p>
              </w:tc>
              <w:tc>
                <w:tcPr>
                  <w:tcW w:w="1470" w:type="dxa"/>
                  <w:vAlign w:val="top"/>
                </w:tcPr>
                <w:p>
                  <w:pPr>
                    <w:keepNext w:val="0"/>
                    <w:keepLines w:val="0"/>
                    <w:numPr>
                      <w:ilvl w:val="0"/>
                      <w:numId w:val="0"/>
                    </w:numPr>
                    <w:suppressLineNumbers w:val="0"/>
                    <w:spacing w:before="0" w:beforeAutospacing="0" w:after="0" w:afterAutospacing="0"/>
                    <w:ind w:left="0" w:leftChars="0" w:right="0" w:firstLine="0" w:firstLineChars="0"/>
                    <w:jc w:val="center"/>
                    <w:rPr>
                      <w:rFonts w:hint="default" w:ascii="Times New Roman" w:hAnsi="Times New Roman" w:cs="Times New Roman"/>
                    </w:rPr>
                  </w:pPr>
                  <w:r>
                    <w:rPr>
                      <w:rFonts w:hint="default" w:ascii="Times New Roman" w:hAnsi="Times New Roman" w:cs="Times New Roman"/>
                      <w:vertAlign w:val="baseline"/>
                      <w:lang w:val="en-US" w:eastAsia="zh-CN"/>
                    </w:rPr>
                    <w:t>0-5籽</w:t>
                  </w:r>
                </w:p>
              </w:tc>
              <w:tc>
                <w:tcPr>
                  <w:tcW w:w="1230" w:type="dxa"/>
                  <w:vAlign w:val="top"/>
                </w:tcPr>
                <w:p>
                  <w:pPr>
                    <w:keepNext w:val="0"/>
                    <w:keepLines w:val="0"/>
                    <w:numPr>
                      <w:ilvl w:val="0"/>
                      <w:numId w:val="0"/>
                    </w:numPr>
                    <w:suppressLineNumbers w:val="0"/>
                    <w:spacing w:before="0" w:beforeAutospacing="0" w:after="0" w:afterAutospacing="0"/>
                    <w:ind w:left="0" w:leftChars="0" w:right="0" w:firstLine="0" w:firstLineChars="0"/>
                    <w:jc w:val="center"/>
                    <w:rPr>
                      <w:rFonts w:hint="default" w:ascii="Times New Roman" w:hAnsi="Times New Roman" w:cs="Times New Roman"/>
                    </w:rPr>
                  </w:pPr>
                  <w:r>
                    <w:rPr>
                      <w:rFonts w:hint="default" w:ascii="Times New Roman" w:hAnsi="Times New Roman" w:cs="Times New Roman"/>
                      <w:vertAlign w:val="baseline"/>
                      <w:lang w:val="en-US" w:eastAsia="zh-CN"/>
                    </w:rPr>
                    <w:t>5-10mm</w:t>
                  </w:r>
                </w:p>
              </w:tc>
              <w:tc>
                <w:tcPr>
                  <w:tcW w:w="1170" w:type="dxa"/>
                  <w:vMerge w:val="restart"/>
                  <w:vAlign w:val="center"/>
                </w:tcPr>
                <w:p>
                  <w:pPr>
                    <w:keepNext w:val="0"/>
                    <w:keepLines w:val="0"/>
                    <w:numPr>
                      <w:ilvl w:val="0"/>
                      <w:numId w:val="0"/>
                    </w:numPr>
                    <w:suppressLineNumbers w:val="0"/>
                    <w:spacing w:before="0" w:beforeAutospacing="0" w:after="0" w:afterAutospacing="0"/>
                    <w:ind w:left="0" w:leftChars="0" w:right="0" w:firstLine="0" w:firstLineChars="0"/>
                    <w:jc w:val="center"/>
                    <w:rPr>
                      <w:rFonts w:hint="default" w:ascii="Times New Roman" w:hAnsi="Times New Roman" w:cs="Times New Roman"/>
                    </w:rPr>
                  </w:pPr>
                  <w:r>
                    <w:rPr>
                      <w:rFonts w:hint="default" w:ascii="Times New Roman" w:hAnsi="Times New Roman" w:cs="Times New Roman"/>
                      <w:vertAlign w:val="baseline"/>
                      <w:lang w:val="en-US" w:eastAsia="zh-CN"/>
                    </w:rPr>
                    <w:t>18万</w:t>
                  </w:r>
                </w:p>
              </w:tc>
              <w:tc>
                <w:tcPr>
                  <w:tcW w:w="1155" w:type="dxa"/>
                  <w:vMerge w:val="continue"/>
                </w:tcPr>
                <w:p>
                  <w:pPr>
                    <w:keepNext w:val="0"/>
                    <w:keepLines w:val="0"/>
                    <w:suppressLineNumbers w:val="0"/>
                    <w:spacing w:before="0" w:beforeAutospacing="0" w:after="0" w:afterAutospacing="0"/>
                    <w:ind w:left="0" w:right="0"/>
                    <w:rPr>
                      <w:rFonts w:hint="default" w:ascii="Times New Roman" w:hAnsi="Times New Roman" w:cs="Times New Roman"/>
                    </w:rPr>
                  </w:pPr>
                </w:p>
              </w:tc>
              <w:tc>
                <w:tcPr>
                  <w:tcW w:w="1155" w:type="dxa"/>
                  <w:vMerge w:val="continue"/>
                </w:tcPr>
                <w:p>
                  <w:pPr>
                    <w:keepNext w:val="0"/>
                    <w:keepLines w:val="0"/>
                    <w:suppressLineNumbers w:val="0"/>
                    <w:spacing w:before="0" w:beforeAutospacing="0" w:after="0" w:afterAutospacing="0"/>
                    <w:ind w:left="0" w:right="0"/>
                    <w:rPr>
                      <w:rFonts w:hint="default" w:ascii="Times New Roman" w:hAnsi="Times New Roman" w:cs="Times New Roman"/>
                    </w:rPr>
                  </w:pPr>
                </w:p>
              </w:tc>
              <w:tc>
                <w:tcPr>
                  <w:tcW w:w="962" w:type="dxa"/>
                  <w:vMerge w:val="continue"/>
                </w:tcPr>
                <w:p>
                  <w:pPr>
                    <w:keepNext w:val="0"/>
                    <w:keepLines w:val="0"/>
                    <w:suppressLineNumbers w:val="0"/>
                    <w:spacing w:before="0" w:beforeAutospacing="0" w:after="0" w:afterAutospacing="0"/>
                    <w:ind w:left="0" w:right="0"/>
                    <w:rPr>
                      <w:rFonts w:hint="default" w:ascii="Times New Roman" w:hAnsi="Times New Roman"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1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5</w:t>
                  </w:r>
                </w:p>
              </w:tc>
              <w:tc>
                <w:tcPr>
                  <w:tcW w:w="1470" w:type="dxa"/>
                  <w:vAlign w:val="top"/>
                </w:tcPr>
                <w:p>
                  <w:pPr>
                    <w:keepNext w:val="0"/>
                    <w:keepLines w:val="0"/>
                    <w:numPr>
                      <w:ilvl w:val="0"/>
                      <w:numId w:val="0"/>
                    </w:numPr>
                    <w:suppressLineNumbers w:val="0"/>
                    <w:spacing w:before="0" w:beforeAutospacing="0" w:after="0" w:afterAutospacing="0"/>
                    <w:ind w:left="0" w:leftChars="0" w:right="0" w:firstLine="0" w:firstLineChars="0"/>
                    <w:jc w:val="center"/>
                    <w:rPr>
                      <w:rFonts w:hint="default" w:ascii="Times New Roman" w:hAnsi="Times New Roman" w:cs="Times New Roman"/>
                      <w:vertAlign w:val="baseline"/>
                      <w:lang w:val="en-US" w:eastAsia="zh-CN"/>
                    </w:rPr>
                  </w:pPr>
                  <w:r>
                    <w:rPr>
                      <w:rFonts w:hint="default" w:ascii="Times New Roman" w:hAnsi="Times New Roman" w:cs="Times New Roman"/>
                      <w:vertAlign w:val="baseline"/>
                      <w:lang w:val="en-US" w:eastAsia="zh-CN"/>
                    </w:rPr>
                    <w:t>石粉</w:t>
                  </w:r>
                </w:p>
              </w:tc>
              <w:tc>
                <w:tcPr>
                  <w:tcW w:w="1230" w:type="dxa"/>
                  <w:vAlign w:val="top"/>
                </w:tcPr>
                <w:p>
                  <w:pPr>
                    <w:keepNext w:val="0"/>
                    <w:keepLines w:val="0"/>
                    <w:numPr>
                      <w:ilvl w:val="0"/>
                      <w:numId w:val="0"/>
                    </w:numPr>
                    <w:suppressLineNumbers w:val="0"/>
                    <w:spacing w:before="0" w:beforeAutospacing="0" w:after="0" w:afterAutospacing="0"/>
                    <w:ind w:left="0" w:leftChars="0" w:right="0" w:firstLine="0" w:firstLineChars="0"/>
                    <w:jc w:val="center"/>
                    <w:rPr>
                      <w:rFonts w:hint="default" w:ascii="Times New Roman" w:hAnsi="Times New Roman" w:cs="Times New Roman"/>
                      <w:vertAlign w:val="baseline"/>
                      <w:lang w:val="en-US" w:eastAsia="zh-CN"/>
                    </w:rPr>
                  </w:pPr>
                  <w:r>
                    <w:rPr>
                      <w:rFonts w:hint="default" w:ascii="Times New Roman" w:hAnsi="Times New Roman" w:cs="Times New Roman"/>
                      <w:vertAlign w:val="baseline"/>
                      <w:lang w:val="en-US" w:eastAsia="zh-CN"/>
                    </w:rPr>
                    <w:t>/</w:t>
                  </w:r>
                </w:p>
              </w:tc>
              <w:tc>
                <w:tcPr>
                  <w:tcW w:w="1170" w:type="dxa"/>
                  <w:vMerge w:val="continue"/>
                  <w:vAlign w:val="top"/>
                </w:tcPr>
                <w:p>
                  <w:pPr>
                    <w:keepNext w:val="0"/>
                    <w:keepLines w:val="0"/>
                    <w:numPr>
                      <w:ilvl w:val="0"/>
                      <w:numId w:val="0"/>
                    </w:numPr>
                    <w:suppressLineNumbers w:val="0"/>
                    <w:spacing w:before="0" w:beforeAutospacing="0" w:after="0" w:afterAutospacing="0"/>
                    <w:ind w:left="0" w:leftChars="0" w:right="0" w:firstLine="0" w:firstLineChars="0"/>
                    <w:jc w:val="center"/>
                    <w:rPr>
                      <w:rFonts w:hint="default" w:ascii="Times New Roman" w:hAnsi="Times New Roman" w:cs="Times New Roman"/>
                      <w:vertAlign w:val="baseline"/>
                      <w:lang w:val="en-US" w:eastAsia="zh-CN"/>
                    </w:rPr>
                  </w:pPr>
                </w:p>
              </w:tc>
              <w:tc>
                <w:tcPr>
                  <w:tcW w:w="1155" w:type="dxa"/>
                  <w:vMerge w:val="continue"/>
                </w:tcPr>
                <w:p>
                  <w:pPr>
                    <w:keepNext w:val="0"/>
                    <w:keepLines w:val="0"/>
                    <w:suppressLineNumbers w:val="0"/>
                    <w:spacing w:before="0" w:beforeAutospacing="0" w:after="0" w:afterAutospacing="0"/>
                    <w:ind w:left="0" w:right="0"/>
                    <w:rPr>
                      <w:rFonts w:hint="default" w:ascii="Times New Roman" w:hAnsi="Times New Roman" w:cs="Times New Roman"/>
                    </w:rPr>
                  </w:pPr>
                </w:p>
              </w:tc>
              <w:tc>
                <w:tcPr>
                  <w:tcW w:w="1155" w:type="dxa"/>
                  <w:vMerge w:val="continue"/>
                </w:tcPr>
                <w:p>
                  <w:pPr>
                    <w:keepNext w:val="0"/>
                    <w:keepLines w:val="0"/>
                    <w:suppressLineNumbers w:val="0"/>
                    <w:spacing w:before="0" w:beforeAutospacing="0" w:after="0" w:afterAutospacing="0"/>
                    <w:ind w:left="0" w:right="0"/>
                    <w:rPr>
                      <w:rFonts w:hint="default" w:ascii="Times New Roman" w:hAnsi="Times New Roman" w:cs="Times New Roman"/>
                    </w:rPr>
                  </w:pPr>
                </w:p>
              </w:tc>
              <w:tc>
                <w:tcPr>
                  <w:tcW w:w="962" w:type="dxa"/>
                  <w:vMerge w:val="continue"/>
                </w:tcPr>
                <w:p>
                  <w:pPr>
                    <w:keepNext w:val="0"/>
                    <w:keepLines w:val="0"/>
                    <w:suppressLineNumbers w:val="0"/>
                    <w:spacing w:before="0" w:beforeAutospacing="0" w:after="0" w:afterAutospacing="0"/>
                    <w:ind w:left="0" w:right="0"/>
                    <w:rPr>
                      <w:rFonts w:hint="default" w:ascii="Times New Roman" w:hAnsi="Times New Roman" w:cs="Times New Roman"/>
                    </w:rPr>
                  </w:pPr>
                </w:p>
              </w:tc>
            </w:tr>
          </w:tbl>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2" w:firstLineChars="200"/>
              <w:jc w:val="both"/>
              <w:textAlignment w:val="auto"/>
              <w:rPr>
                <w:rFonts w:hint="default" w:ascii="Times New Roman" w:hAnsi="Times New Roman" w:cs="Times New Roman"/>
                <w:b/>
                <w:bCs/>
                <w:kern w:val="0"/>
                <w:sz w:val="24"/>
                <w:szCs w:val="24"/>
              </w:rPr>
            </w:pPr>
            <w:r>
              <w:rPr>
                <w:rFonts w:hint="default" w:ascii="Times New Roman" w:hAnsi="Times New Roman" w:cs="Times New Roman"/>
                <w:b/>
                <w:bCs/>
                <w:kern w:val="0"/>
                <w:sz w:val="24"/>
                <w:szCs w:val="24"/>
                <w:lang w:val="en-US" w:eastAsia="zh-CN" w:bidi="ar-SA"/>
              </w:rPr>
              <w:t>5.</w:t>
            </w:r>
            <w:r>
              <w:rPr>
                <w:rFonts w:hint="default" w:ascii="Times New Roman" w:hAnsi="Times New Roman" w:cs="Times New Roman"/>
                <w:b/>
                <w:bCs/>
                <w:kern w:val="0"/>
                <w:sz w:val="24"/>
                <w:szCs w:val="24"/>
                <w:lang w:val="en-US" w:eastAsia="zh-CN"/>
              </w:rPr>
              <w:t>主要原辅材料、能源以及消耗量</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2" w:firstLineChars="200"/>
              <w:jc w:val="both"/>
              <w:textAlignment w:val="auto"/>
              <w:rPr>
                <w:rFonts w:hint="default" w:ascii="Times New Roman" w:hAnsi="Times New Roman" w:cs="Times New Roman"/>
                <w:b/>
                <w:bCs/>
                <w:kern w:val="0"/>
                <w:sz w:val="24"/>
                <w:szCs w:val="24"/>
                <w:lang w:val="en-US" w:eastAsia="zh-CN" w:bidi="ar-SA"/>
              </w:rPr>
            </w:pPr>
            <w:r>
              <w:rPr>
                <w:rFonts w:hint="default" w:ascii="Times New Roman" w:hAnsi="Times New Roman" w:cs="Times New Roman"/>
                <w:b/>
                <w:bCs/>
                <w:kern w:val="0"/>
                <w:sz w:val="24"/>
                <w:szCs w:val="24"/>
                <w:lang w:val="en-US" w:eastAsia="zh-CN" w:bidi="ar-SA"/>
              </w:rPr>
              <w:t>本项目矿山不设置炸药库，</w:t>
            </w:r>
            <w:r>
              <w:rPr>
                <w:rFonts w:hint="default" w:ascii="Times New Roman" w:hAnsi="Times New Roman" w:cs="Times New Roman"/>
                <w:b w:val="0"/>
                <w:bCs w:val="0"/>
                <w:kern w:val="0"/>
                <w:sz w:val="24"/>
                <w:szCs w:val="24"/>
                <w:lang w:val="en-US" w:eastAsia="zh-CN" w:bidi="ar-SA"/>
              </w:rPr>
              <w:t>矿山爆破所使用的炸药等爆破器材，在爆破当天由当地爆破公司专人专车送到矿山需要爆破的现场并监督使用，所剩炸药由爆破公司拉回归库。</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default" w:ascii="Times New Roman" w:hAnsi="Times New Roman" w:cs="Times New Roman"/>
                <w:b w:val="0"/>
                <w:bCs w:val="0"/>
                <w:kern w:val="0"/>
                <w:sz w:val="24"/>
                <w:szCs w:val="24"/>
                <w:lang w:val="en-US" w:eastAsia="zh-CN" w:bidi="ar-SA"/>
              </w:rPr>
            </w:pPr>
            <w:r>
              <w:rPr>
                <w:rFonts w:hint="default" w:ascii="Times New Roman" w:hAnsi="Times New Roman" w:cs="Times New Roman"/>
                <w:b w:val="0"/>
                <w:bCs w:val="0"/>
                <w:kern w:val="0"/>
                <w:sz w:val="24"/>
                <w:szCs w:val="24"/>
                <w:lang w:val="en-US" w:eastAsia="zh-CN" w:bidi="ar-SA"/>
              </w:rPr>
              <w:t>项目主要原辅材料及动力消耗见下表。</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360" w:lineRule="auto"/>
              <w:ind w:left="0" w:right="0"/>
              <w:jc w:val="center"/>
              <w:textAlignment w:val="auto"/>
              <w:rPr>
                <w:rFonts w:hint="default" w:ascii="Times New Roman" w:hAnsi="Times New Roman" w:cs="Times New Roman"/>
                <w:b/>
                <w:bCs/>
                <w:kern w:val="0"/>
                <w:sz w:val="24"/>
                <w:szCs w:val="24"/>
              </w:rPr>
            </w:pPr>
            <w:r>
              <w:rPr>
                <w:rFonts w:hint="default" w:ascii="Times New Roman" w:hAnsi="Times New Roman" w:cs="Times New Roman"/>
                <w:b/>
                <w:bCs/>
                <w:kern w:val="0"/>
                <w:sz w:val="24"/>
                <w:szCs w:val="24"/>
                <w:lang w:val="en-US" w:eastAsia="zh-CN"/>
              </w:rPr>
              <w:t>表</w:t>
            </w:r>
            <w:r>
              <w:rPr>
                <w:rFonts w:hint="default" w:ascii="Times New Roman" w:hAnsi="Times New Roman" w:cs="Times New Roman"/>
                <w:b/>
                <w:bCs/>
                <w:kern w:val="0"/>
                <w:sz w:val="24"/>
                <w:szCs w:val="24"/>
              </w:rPr>
              <w:t>2-</w:t>
            </w:r>
            <w:r>
              <w:rPr>
                <w:rFonts w:hint="default" w:ascii="Times New Roman" w:hAnsi="Times New Roman" w:cs="Times New Roman"/>
                <w:b/>
                <w:bCs/>
                <w:kern w:val="0"/>
                <w:sz w:val="24"/>
                <w:szCs w:val="24"/>
                <w:lang w:val="en-US" w:eastAsia="zh-CN"/>
              </w:rPr>
              <w:t>4</w:t>
            </w:r>
            <w:r>
              <w:rPr>
                <w:rFonts w:hint="default" w:ascii="Times New Roman" w:hAnsi="Times New Roman" w:cs="Times New Roman"/>
                <w:b/>
                <w:bCs/>
                <w:kern w:val="0"/>
                <w:sz w:val="24"/>
                <w:szCs w:val="24"/>
              </w:rPr>
              <w:t>主要原辅材料</w:t>
            </w:r>
          </w:p>
          <w:tbl>
            <w:tblPr>
              <w:tblStyle w:val="21"/>
              <w:tblW w:w="81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9"/>
              <w:gridCol w:w="747"/>
              <w:gridCol w:w="791"/>
              <w:gridCol w:w="1263"/>
              <w:gridCol w:w="1263"/>
              <w:gridCol w:w="1248"/>
              <w:gridCol w:w="22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67" w:hRule="atLeast"/>
              </w:trPr>
              <w:tc>
                <w:tcPr>
                  <w:tcW w:w="559" w:type="dxa"/>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lang w:val="en-US" w:eastAsia="zh-CN"/>
                    </w:rPr>
                  </w:pPr>
                  <w:r>
                    <w:rPr>
                      <w:rFonts w:hint="default" w:ascii="Times New Roman" w:hAnsi="Times New Roman" w:cs="Times New Roman"/>
                      <w:b/>
                      <w:bCs/>
                      <w:lang w:val="en-US" w:eastAsia="zh-CN"/>
                    </w:rPr>
                    <w:t>序号</w:t>
                  </w:r>
                </w:p>
              </w:tc>
              <w:tc>
                <w:tcPr>
                  <w:tcW w:w="747" w:type="dxa"/>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lang w:val="en-US" w:eastAsia="zh-CN"/>
                    </w:rPr>
                  </w:pPr>
                  <w:r>
                    <w:rPr>
                      <w:rFonts w:hint="default" w:ascii="Times New Roman" w:hAnsi="Times New Roman" w:cs="Times New Roman"/>
                      <w:b/>
                      <w:bCs/>
                      <w:lang w:val="en-US" w:eastAsia="zh-CN"/>
                    </w:rPr>
                    <w:t>名称</w:t>
                  </w:r>
                </w:p>
              </w:tc>
              <w:tc>
                <w:tcPr>
                  <w:tcW w:w="791" w:type="dxa"/>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lang w:val="en-US" w:eastAsia="zh-CN"/>
                    </w:rPr>
                  </w:pPr>
                  <w:r>
                    <w:rPr>
                      <w:rFonts w:hint="default" w:ascii="Times New Roman" w:hAnsi="Times New Roman" w:cs="Times New Roman"/>
                      <w:b/>
                      <w:bCs/>
                      <w:lang w:val="en-US" w:eastAsia="zh-CN"/>
                    </w:rPr>
                    <w:t>规格型号</w:t>
                  </w:r>
                </w:p>
              </w:tc>
              <w:tc>
                <w:tcPr>
                  <w:tcW w:w="2526" w:type="dxa"/>
                  <w:gridSpan w:val="2"/>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lang w:val="en-US" w:eastAsia="zh-CN"/>
                    </w:rPr>
                  </w:pPr>
                  <w:r>
                    <w:rPr>
                      <w:rFonts w:hint="default" w:ascii="Times New Roman" w:hAnsi="Times New Roman" w:cs="Times New Roman"/>
                      <w:b/>
                      <w:bCs/>
                      <w:lang w:val="en-US" w:eastAsia="zh-CN"/>
                    </w:rPr>
                    <w:t>年用量</w:t>
                  </w:r>
                </w:p>
              </w:tc>
              <w:tc>
                <w:tcPr>
                  <w:tcW w:w="1248" w:type="dxa"/>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lang w:val="en-US" w:eastAsia="zh-CN"/>
                    </w:rPr>
                  </w:pPr>
                  <w:r>
                    <w:rPr>
                      <w:rFonts w:hint="default" w:ascii="Times New Roman" w:hAnsi="Times New Roman" w:cs="Times New Roman"/>
                      <w:b/>
                      <w:bCs/>
                      <w:lang w:val="en-US" w:eastAsia="zh-CN"/>
                    </w:rPr>
                    <w:t>变动情况</w:t>
                  </w:r>
                </w:p>
              </w:tc>
              <w:tc>
                <w:tcPr>
                  <w:tcW w:w="2293" w:type="dxa"/>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lang w:val="en-US" w:eastAsia="zh-CN"/>
                    </w:rPr>
                  </w:pPr>
                  <w:r>
                    <w:rPr>
                      <w:rFonts w:hint="default" w:ascii="Times New Roman" w:hAnsi="Times New Roman" w:cs="Times New Roman"/>
                      <w:b/>
                      <w:bCs/>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67" w:hRule="atLeast"/>
              </w:trPr>
              <w:tc>
                <w:tcPr>
                  <w:tcW w:w="559"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rPr>
                  </w:pPr>
                </w:p>
              </w:tc>
              <w:tc>
                <w:tcPr>
                  <w:tcW w:w="747"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rPr>
                  </w:pPr>
                </w:p>
              </w:tc>
              <w:tc>
                <w:tcPr>
                  <w:tcW w:w="791"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rPr>
                  </w:pPr>
                </w:p>
              </w:tc>
              <w:tc>
                <w:tcPr>
                  <w:tcW w:w="1263"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lang w:val="en-US" w:eastAsia="zh-CN"/>
                    </w:rPr>
                  </w:pPr>
                  <w:r>
                    <w:rPr>
                      <w:rFonts w:hint="default" w:ascii="Times New Roman" w:hAnsi="Times New Roman" w:cs="Times New Roman"/>
                      <w:b/>
                      <w:bCs/>
                      <w:lang w:val="en-US" w:eastAsia="zh-CN"/>
                    </w:rPr>
                    <w:t>变动前</w:t>
                  </w:r>
                </w:p>
              </w:tc>
              <w:tc>
                <w:tcPr>
                  <w:tcW w:w="1263"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lang w:val="en-US" w:eastAsia="zh-CN"/>
                    </w:rPr>
                  </w:pPr>
                  <w:r>
                    <w:rPr>
                      <w:rFonts w:hint="default" w:ascii="Times New Roman" w:hAnsi="Times New Roman" w:cs="Times New Roman"/>
                      <w:b/>
                      <w:bCs/>
                      <w:lang w:val="en-US" w:eastAsia="zh-CN"/>
                    </w:rPr>
                    <w:t>变动后</w:t>
                  </w:r>
                </w:p>
              </w:tc>
              <w:tc>
                <w:tcPr>
                  <w:tcW w:w="1248"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lang w:val="en-US" w:eastAsia="zh-CN"/>
                    </w:rPr>
                  </w:pPr>
                </w:p>
              </w:tc>
              <w:tc>
                <w:tcPr>
                  <w:tcW w:w="2293"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59"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1</w:t>
                  </w:r>
                </w:p>
              </w:tc>
              <w:tc>
                <w:tcPr>
                  <w:tcW w:w="747"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炸药</w:t>
                  </w:r>
                </w:p>
              </w:tc>
              <w:tc>
                <w:tcPr>
                  <w:tcW w:w="79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w:t>
                  </w:r>
                </w:p>
              </w:tc>
              <w:tc>
                <w:tcPr>
                  <w:tcW w:w="1263"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100t/a</w:t>
                  </w:r>
                </w:p>
              </w:tc>
              <w:tc>
                <w:tcPr>
                  <w:tcW w:w="1263" w:type="dxa"/>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cs="Times New Roman"/>
                      <w:lang w:val="en-US" w:eastAsia="zh-CN"/>
                    </w:rPr>
                  </w:pPr>
                  <w:r>
                    <w:rPr>
                      <w:rFonts w:hint="default" w:ascii="Times New Roman" w:hAnsi="Times New Roman" w:cs="Times New Roman"/>
                      <w:lang w:val="en-US" w:eastAsia="zh-CN"/>
                    </w:rPr>
                    <w:t>100t/a</w:t>
                  </w:r>
                </w:p>
              </w:tc>
              <w:tc>
                <w:tcPr>
                  <w:tcW w:w="1248"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b/>
                      <w:bCs/>
                      <w:lang w:val="en-US" w:eastAsia="zh-CN"/>
                    </w:rPr>
                    <w:t>不变</w:t>
                  </w:r>
                </w:p>
              </w:tc>
              <w:tc>
                <w:tcPr>
                  <w:tcW w:w="2293" w:type="dxa"/>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不储存，由专业爆破公司专人专车运送至现场并监督使用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59"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2</w:t>
                  </w:r>
                </w:p>
              </w:tc>
              <w:tc>
                <w:tcPr>
                  <w:tcW w:w="747"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雷管</w:t>
                  </w:r>
                </w:p>
              </w:tc>
              <w:tc>
                <w:tcPr>
                  <w:tcW w:w="79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w:t>
                  </w:r>
                </w:p>
              </w:tc>
              <w:tc>
                <w:tcPr>
                  <w:tcW w:w="1263"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20000个/a</w:t>
                  </w:r>
                </w:p>
              </w:tc>
              <w:tc>
                <w:tcPr>
                  <w:tcW w:w="1263" w:type="dxa"/>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cs="Times New Roman"/>
                      <w:lang w:val="en-US" w:eastAsia="zh-CN"/>
                    </w:rPr>
                  </w:pPr>
                  <w:r>
                    <w:rPr>
                      <w:rFonts w:hint="default" w:ascii="Times New Roman" w:hAnsi="Times New Roman" w:cs="Times New Roman"/>
                      <w:lang w:val="en-US" w:eastAsia="zh-CN"/>
                    </w:rPr>
                    <w:t>20000个/a</w:t>
                  </w:r>
                </w:p>
              </w:tc>
              <w:tc>
                <w:tcPr>
                  <w:tcW w:w="1248"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b/>
                      <w:bCs/>
                      <w:lang w:val="en-US" w:eastAsia="zh-CN"/>
                    </w:rPr>
                    <w:t>不变</w:t>
                  </w:r>
                </w:p>
              </w:tc>
              <w:tc>
                <w:tcPr>
                  <w:tcW w:w="2293"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59"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3</w:t>
                  </w:r>
                </w:p>
              </w:tc>
              <w:tc>
                <w:tcPr>
                  <w:tcW w:w="747"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电</w:t>
                  </w:r>
                </w:p>
              </w:tc>
              <w:tc>
                <w:tcPr>
                  <w:tcW w:w="79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w:t>
                  </w:r>
                </w:p>
              </w:tc>
              <w:tc>
                <w:tcPr>
                  <w:tcW w:w="1263"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300万度</w:t>
                  </w:r>
                </w:p>
              </w:tc>
              <w:tc>
                <w:tcPr>
                  <w:tcW w:w="1263" w:type="dxa"/>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cs="Times New Roman"/>
                      <w:lang w:val="en-US" w:eastAsia="zh-CN"/>
                    </w:rPr>
                  </w:pPr>
                  <w:r>
                    <w:rPr>
                      <w:rFonts w:hint="default" w:ascii="Times New Roman" w:hAnsi="Times New Roman" w:cs="Times New Roman"/>
                      <w:lang w:val="en-US" w:eastAsia="zh-CN"/>
                    </w:rPr>
                    <w:t>300万度</w:t>
                  </w:r>
                </w:p>
              </w:tc>
              <w:tc>
                <w:tcPr>
                  <w:tcW w:w="1248"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b/>
                      <w:bCs/>
                      <w:lang w:val="en-US" w:eastAsia="zh-CN"/>
                    </w:rPr>
                    <w:t>不变</w:t>
                  </w:r>
                </w:p>
              </w:tc>
              <w:tc>
                <w:tcPr>
                  <w:tcW w:w="2293"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59"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4</w:t>
                  </w:r>
                </w:p>
              </w:tc>
              <w:tc>
                <w:tcPr>
                  <w:tcW w:w="747"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柴油</w:t>
                  </w:r>
                </w:p>
              </w:tc>
              <w:tc>
                <w:tcPr>
                  <w:tcW w:w="79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w:t>
                  </w:r>
                </w:p>
              </w:tc>
              <w:tc>
                <w:tcPr>
                  <w:tcW w:w="1263"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500t/a</w:t>
                  </w:r>
                </w:p>
              </w:tc>
              <w:tc>
                <w:tcPr>
                  <w:tcW w:w="1263" w:type="dxa"/>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cs="Times New Roman"/>
                      <w:lang w:val="en-US" w:eastAsia="zh-CN"/>
                    </w:rPr>
                  </w:pPr>
                  <w:r>
                    <w:rPr>
                      <w:rFonts w:hint="default" w:ascii="Times New Roman" w:hAnsi="Times New Roman" w:cs="Times New Roman"/>
                      <w:lang w:val="en-US" w:eastAsia="zh-CN"/>
                    </w:rPr>
                    <w:t>500t/a</w:t>
                  </w:r>
                </w:p>
              </w:tc>
              <w:tc>
                <w:tcPr>
                  <w:tcW w:w="1248"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b/>
                      <w:bCs/>
                      <w:lang w:val="en-US" w:eastAsia="zh-CN"/>
                    </w:rPr>
                    <w:t>不变</w:t>
                  </w:r>
                </w:p>
              </w:tc>
              <w:tc>
                <w:tcPr>
                  <w:tcW w:w="2293"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eastAsia" w:cs="Times New Roman"/>
                      <w:lang w:val="en-US" w:eastAsia="zh-CN"/>
                    </w:rPr>
                    <w:t>加油站补充，不在厂区内设置油罐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59"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5</w:t>
                  </w:r>
                </w:p>
              </w:tc>
              <w:tc>
                <w:tcPr>
                  <w:tcW w:w="747"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润滑油</w:t>
                  </w:r>
                </w:p>
              </w:tc>
              <w:tc>
                <w:tcPr>
                  <w:tcW w:w="79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w:t>
                  </w:r>
                </w:p>
              </w:tc>
              <w:tc>
                <w:tcPr>
                  <w:tcW w:w="1263"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2t/a</w:t>
                  </w:r>
                </w:p>
              </w:tc>
              <w:tc>
                <w:tcPr>
                  <w:tcW w:w="1263" w:type="dxa"/>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cs="Times New Roman"/>
                      <w:lang w:val="en-US" w:eastAsia="zh-CN"/>
                    </w:rPr>
                  </w:pPr>
                  <w:r>
                    <w:rPr>
                      <w:rFonts w:hint="default" w:ascii="Times New Roman" w:hAnsi="Times New Roman" w:cs="Times New Roman"/>
                      <w:lang w:val="en-US" w:eastAsia="zh-CN"/>
                    </w:rPr>
                    <w:t>2t/a</w:t>
                  </w:r>
                </w:p>
              </w:tc>
              <w:tc>
                <w:tcPr>
                  <w:tcW w:w="1248"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b/>
                      <w:bCs/>
                      <w:lang w:val="en-US" w:eastAsia="zh-CN"/>
                    </w:rPr>
                    <w:t>不变</w:t>
                  </w:r>
                </w:p>
              </w:tc>
              <w:tc>
                <w:tcPr>
                  <w:tcW w:w="2293"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w:t>
                  </w:r>
                </w:p>
              </w:tc>
            </w:tr>
          </w:tbl>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2" w:firstLineChars="200"/>
              <w:jc w:val="both"/>
              <w:textAlignment w:val="auto"/>
              <w:rPr>
                <w:rFonts w:hint="default" w:ascii="Times New Roman" w:hAnsi="Times New Roman" w:cs="Times New Roman"/>
                <w:b/>
                <w:bCs/>
                <w:kern w:val="0"/>
                <w:sz w:val="24"/>
                <w:szCs w:val="24"/>
              </w:rPr>
            </w:pPr>
            <w:r>
              <w:rPr>
                <w:rFonts w:hint="default" w:ascii="Times New Roman" w:hAnsi="Times New Roman" w:cs="Times New Roman"/>
                <w:b/>
                <w:bCs/>
                <w:kern w:val="0"/>
                <w:sz w:val="24"/>
                <w:szCs w:val="24"/>
                <w:lang w:val="en-US" w:eastAsia="zh-CN" w:bidi="ar-SA"/>
              </w:rPr>
              <w:t>6.</w:t>
            </w:r>
            <w:r>
              <w:rPr>
                <w:rFonts w:hint="default" w:ascii="Times New Roman" w:hAnsi="Times New Roman" w:cs="Times New Roman"/>
                <w:b/>
                <w:bCs/>
                <w:kern w:val="0"/>
                <w:sz w:val="24"/>
                <w:szCs w:val="24"/>
                <w:lang w:val="en-US" w:eastAsia="zh-CN"/>
              </w:rPr>
              <w:t>主要设备</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default" w:ascii="Times New Roman" w:hAnsi="Times New Roman" w:cs="Times New Roman"/>
                <w:b w:val="0"/>
                <w:bCs w:val="0"/>
                <w:kern w:val="0"/>
                <w:sz w:val="24"/>
                <w:szCs w:val="24"/>
                <w:lang w:val="en-US" w:eastAsia="zh-CN" w:bidi="ar-SA"/>
              </w:rPr>
            </w:pPr>
            <w:r>
              <w:rPr>
                <w:rFonts w:hint="default" w:ascii="Times New Roman" w:hAnsi="Times New Roman" w:cs="Times New Roman"/>
                <w:b w:val="0"/>
                <w:bCs w:val="0"/>
                <w:kern w:val="0"/>
                <w:sz w:val="24"/>
                <w:szCs w:val="24"/>
                <w:lang w:val="en-US" w:eastAsia="zh-CN" w:bidi="ar-SA"/>
              </w:rPr>
              <w:t>项目主要设备详见表2-5。</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360" w:lineRule="auto"/>
              <w:ind w:left="0" w:right="0"/>
              <w:jc w:val="center"/>
              <w:textAlignment w:val="auto"/>
              <w:rPr>
                <w:rFonts w:hint="default" w:ascii="Times New Roman" w:hAnsi="Times New Roman" w:eastAsia="宋体" w:cs="Times New Roman"/>
                <w:b/>
                <w:bCs/>
                <w:kern w:val="0"/>
                <w:sz w:val="24"/>
                <w:szCs w:val="24"/>
                <w:lang w:val="en-US" w:eastAsia="zh-CN"/>
              </w:rPr>
            </w:pPr>
            <w:r>
              <w:rPr>
                <w:rFonts w:hint="default" w:ascii="Times New Roman" w:hAnsi="Times New Roman" w:cs="Times New Roman"/>
                <w:b/>
                <w:bCs/>
                <w:kern w:val="0"/>
                <w:sz w:val="24"/>
                <w:szCs w:val="24"/>
                <w:lang w:val="en-US" w:eastAsia="zh-CN"/>
              </w:rPr>
              <w:t>表</w:t>
            </w:r>
            <w:r>
              <w:rPr>
                <w:rFonts w:hint="default" w:ascii="Times New Roman" w:hAnsi="Times New Roman" w:cs="Times New Roman"/>
                <w:b/>
                <w:bCs/>
                <w:kern w:val="0"/>
                <w:sz w:val="24"/>
                <w:szCs w:val="24"/>
              </w:rPr>
              <w:t>2-</w:t>
            </w:r>
            <w:r>
              <w:rPr>
                <w:rFonts w:hint="default" w:ascii="Times New Roman" w:hAnsi="Times New Roman" w:cs="Times New Roman"/>
                <w:b/>
                <w:bCs/>
                <w:kern w:val="0"/>
                <w:sz w:val="24"/>
                <w:szCs w:val="24"/>
                <w:lang w:val="en-US" w:eastAsia="zh-CN"/>
              </w:rPr>
              <w:t>5</w:t>
            </w:r>
            <w:r>
              <w:rPr>
                <w:rFonts w:hint="default" w:ascii="Times New Roman" w:hAnsi="Times New Roman" w:cs="Times New Roman"/>
                <w:b/>
                <w:bCs/>
                <w:kern w:val="0"/>
                <w:sz w:val="24"/>
                <w:szCs w:val="24"/>
              </w:rPr>
              <w:t>主要设备</w:t>
            </w:r>
            <w:r>
              <w:rPr>
                <w:rFonts w:hint="default" w:ascii="Times New Roman" w:hAnsi="Times New Roman" w:cs="Times New Roman"/>
                <w:b/>
                <w:bCs/>
                <w:kern w:val="0"/>
                <w:sz w:val="24"/>
                <w:szCs w:val="24"/>
                <w:lang w:val="en-US" w:eastAsia="zh-CN"/>
              </w:rPr>
              <w:t>一览表</w:t>
            </w:r>
          </w:p>
          <w:tbl>
            <w:tblPr>
              <w:tblStyle w:val="21"/>
              <w:tblW w:w="81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0"/>
              <w:gridCol w:w="2202"/>
              <w:gridCol w:w="1594"/>
              <w:gridCol w:w="1750"/>
              <w:gridCol w:w="18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9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lang w:val="en-US" w:eastAsia="zh-CN"/>
                    </w:rPr>
                  </w:pPr>
                  <w:r>
                    <w:rPr>
                      <w:rFonts w:hint="default" w:ascii="Times New Roman" w:hAnsi="Times New Roman" w:cs="Times New Roman"/>
                      <w:b/>
                      <w:bCs/>
                      <w:lang w:val="en-US" w:eastAsia="zh-CN"/>
                    </w:rPr>
                    <w:t>序号</w:t>
                  </w:r>
                </w:p>
              </w:tc>
              <w:tc>
                <w:tcPr>
                  <w:tcW w:w="2202"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lang w:val="en-US" w:eastAsia="zh-CN"/>
                    </w:rPr>
                  </w:pPr>
                  <w:r>
                    <w:rPr>
                      <w:rFonts w:hint="default" w:ascii="Times New Roman" w:hAnsi="Times New Roman" w:cs="Times New Roman"/>
                      <w:b/>
                      <w:bCs/>
                      <w:lang w:val="en-US" w:eastAsia="zh-CN"/>
                    </w:rPr>
                    <w:t>名称</w:t>
                  </w:r>
                </w:p>
              </w:tc>
              <w:tc>
                <w:tcPr>
                  <w:tcW w:w="159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lang w:val="en-US" w:eastAsia="zh-CN"/>
                    </w:rPr>
                  </w:pPr>
                  <w:r>
                    <w:rPr>
                      <w:rFonts w:hint="default" w:ascii="Times New Roman" w:hAnsi="Times New Roman" w:cs="Times New Roman"/>
                      <w:b/>
                      <w:bCs/>
                      <w:lang w:val="en-US" w:eastAsia="zh-CN"/>
                    </w:rPr>
                    <w:t>规格型号</w:t>
                  </w:r>
                </w:p>
              </w:tc>
              <w:tc>
                <w:tcPr>
                  <w:tcW w:w="175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lang w:val="en-US" w:eastAsia="zh-CN"/>
                    </w:rPr>
                  </w:pPr>
                  <w:r>
                    <w:rPr>
                      <w:rFonts w:hint="default" w:ascii="Times New Roman" w:hAnsi="Times New Roman" w:cs="Times New Roman"/>
                      <w:b/>
                      <w:bCs/>
                      <w:lang w:val="en-US" w:eastAsia="zh-CN"/>
                    </w:rPr>
                    <w:t>数量</w:t>
                  </w:r>
                </w:p>
              </w:tc>
              <w:tc>
                <w:tcPr>
                  <w:tcW w:w="1828"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lang w:val="en-US" w:eastAsia="zh-CN"/>
                    </w:rPr>
                  </w:pPr>
                  <w:r>
                    <w:rPr>
                      <w:rFonts w:hint="default" w:ascii="Times New Roman" w:hAnsi="Times New Roman" w:cs="Times New Roman"/>
                      <w:b/>
                      <w:bCs/>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9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1</w:t>
                  </w:r>
                </w:p>
              </w:tc>
              <w:tc>
                <w:tcPr>
                  <w:tcW w:w="2202"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挖掘机</w:t>
                  </w:r>
                </w:p>
              </w:tc>
              <w:tc>
                <w:tcPr>
                  <w:tcW w:w="159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SY-360</w:t>
                  </w:r>
                </w:p>
              </w:tc>
              <w:tc>
                <w:tcPr>
                  <w:tcW w:w="175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4</w:t>
                  </w:r>
                </w:p>
              </w:tc>
              <w:tc>
                <w:tcPr>
                  <w:tcW w:w="1828" w:type="dxa"/>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用于采矿和矿石转运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9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2</w:t>
                  </w:r>
                </w:p>
              </w:tc>
              <w:tc>
                <w:tcPr>
                  <w:tcW w:w="2202"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液压潜孔钻机</w:t>
                  </w:r>
                </w:p>
              </w:tc>
              <w:tc>
                <w:tcPr>
                  <w:tcW w:w="159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KQD-90A</w:t>
                  </w:r>
                </w:p>
              </w:tc>
              <w:tc>
                <w:tcPr>
                  <w:tcW w:w="175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4</w:t>
                  </w:r>
                </w:p>
              </w:tc>
              <w:tc>
                <w:tcPr>
                  <w:tcW w:w="1828"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9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3</w:t>
                  </w:r>
                </w:p>
              </w:tc>
              <w:tc>
                <w:tcPr>
                  <w:tcW w:w="2202"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凿岩机</w:t>
                  </w:r>
                </w:p>
              </w:tc>
              <w:tc>
                <w:tcPr>
                  <w:tcW w:w="159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YTP-26</w:t>
                  </w:r>
                </w:p>
              </w:tc>
              <w:tc>
                <w:tcPr>
                  <w:tcW w:w="175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3</w:t>
                  </w:r>
                </w:p>
              </w:tc>
              <w:tc>
                <w:tcPr>
                  <w:tcW w:w="1828"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9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4</w:t>
                  </w:r>
                </w:p>
              </w:tc>
              <w:tc>
                <w:tcPr>
                  <w:tcW w:w="2202"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空压机</w:t>
                  </w:r>
                </w:p>
              </w:tc>
              <w:tc>
                <w:tcPr>
                  <w:tcW w:w="159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w:t>
                  </w:r>
                </w:p>
              </w:tc>
              <w:tc>
                <w:tcPr>
                  <w:tcW w:w="175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5</w:t>
                  </w:r>
                </w:p>
              </w:tc>
              <w:tc>
                <w:tcPr>
                  <w:tcW w:w="1828"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9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5</w:t>
                  </w:r>
                </w:p>
              </w:tc>
              <w:tc>
                <w:tcPr>
                  <w:tcW w:w="2202"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装载机</w:t>
                  </w:r>
                </w:p>
              </w:tc>
              <w:tc>
                <w:tcPr>
                  <w:tcW w:w="159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w:t>
                  </w:r>
                </w:p>
              </w:tc>
              <w:tc>
                <w:tcPr>
                  <w:tcW w:w="175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1</w:t>
                  </w:r>
                </w:p>
              </w:tc>
              <w:tc>
                <w:tcPr>
                  <w:tcW w:w="1828"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9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6</w:t>
                  </w:r>
                </w:p>
              </w:tc>
              <w:tc>
                <w:tcPr>
                  <w:tcW w:w="2202"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场内运输车（自卸汽车）</w:t>
                  </w:r>
                </w:p>
              </w:tc>
              <w:tc>
                <w:tcPr>
                  <w:tcW w:w="159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w:t>
                  </w:r>
                </w:p>
              </w:tc>
              <w:tc>
                <w:tcPr>
                  <w:tcW w:w="175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p>
              </w:tc>
              <w:tc>
                <w:tcPr>
                  <w:tcW w:w="1828"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9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7</w:t>
                  </w:r>
                </w:p>
              </w:tc>
              <w:tc>
                <w:tcPr>
                  <w:tcW w:w="2202"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颚式破碎机</w:t>
                  </w:r>
                </w:p>
              </w:tc>
              <w:tc>
                <w:tcPr>
                  <w:tcW w:w="1594"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eastAsia="宋体" w:cs="Times New Roman"/>
                      <w:color w:val="000000"/>
                      <w:kern w:val="0"/>
                      <w:sz w:val="20"/>
                      <w:szCs w:val="20"/>
                      <w:lang w:val="en-US" w:eastAsia="zh-CN" w:bidi="ar"/>
                    </w:rPr>
                    <w:t>PEV1600</w:t>
                  </w:r>
                </w:p>
              </w:tc>
              <w:tc>
                <w:tcPr>
                  <w:tcW w:w="175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1</w:t>
                  </w:r>
                </w:p>
              </w:tc>
              <w:tc>
                <w:tcPr>
                  <w:tcW w:w="1828"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初破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9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8</w:t>
                  </w:r>
                </w:p>
              </w:tc>
              <w:tc>
                <w:tcPr>
                  <w:tcW w:w="2202"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强击式破碎机</w:t>
                  </w:r>
                </w:p>
              </w:tc>
              <w:tc>
                <w:tcPr>
                  <w:tcW w:w="159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PQ2600</w:t>
                  </w:r>
                </w:p>
              </w:tc>
              <w:tc>
                <w:tcPr>
                  <w:tcW w:w="175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1</w:t>
                  </w:r>
                </w:p>
              </w:tc>
              <w:tc>
                <w:tcPr>
                  <w:tcW w:w="1828"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二破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9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9</w:t>
                  </w:r>
                </w:p>
              </w:tc>
              <w:tc>
                <w:tcPr>
                  <w:tcW w:w="2202"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直线喂料机</w:t>
                  </w:r>
                </w:p>
              </w:tc>
              <w:tc>
                <w:tcPr>
                  <w:tcW w:w="159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ZSW5900</w:t>
                  </w:r>
                </w:p>
              </w:tc>
              <w:tc>
                <w:tcPr>
                  <w:tcW w:w="175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1</w:t>
                  </w:r>
                </w:p>
              </w:tc>
              <w:tc>
                <w:tcPr>
                  <w:tcW w:w="1828"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中转仓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15" w:hRule="atLeast"/>
              </w:trPr>
              <w:tc>
                <w:tcPr>
                  <w:tcW w:w="79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10</w:t>
                  </w:r>
                </w:p>
              </w:tc>
              <w:tc>
                <w:tcPr>
                  <w:tcW w:w="2202"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振动筛</w:t>
                  </w:r>
                </w:p>
              </w:tc>
              <w:tc>
                <w:tcPr>
                  <w:tcW w:w="159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2YK700</w:t>
                  </w:r>
                </w:p>
              </w:tc>
              <w:tc>
                <w:tcPr>
                  <w:tcW w:w="175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1</w:t>
                  </w:r>
                </w:p>
              </w:tc>
              <w:tc>
                <w:tcPr>
                  <w:tcW w:w="1828"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初筛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9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11</w:t>
                  </w:r>
                </w:p>
              </w:tc>
              <w:tc>
                <w:tcPr>
                  <w:tcW w:w="2202"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振动筛</w:t>
                  </w:r>
                </w:p>
              </w:tc>
              <w:tc>
                <w:tcPr>
                  <w:tcW w:w="159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2YKS600</w:t>
                  </w:r>
                </w:p>
              </w:tc>
              <w:tc>
                <w:tcPr>
                  <w:tcW w:w="175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4</w:t>
                  </w:r>
                </w:p>
              </w:tc>
              <w:tc>
                <w:tcPr>
                  <w:tcW w:w="1828"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9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12</w:t>
                  </w:r>
                </w:p>
              </w:tc>
              <w:tc>
                <w:tcPr>
                  <w:tcW w:w="2202"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整形制砂机</w:t>
                  </w:r>
                </w:p>
              </w:tc>
              <w:tc>
                <w:tcPr>
                  <w:tcW w:w="159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SXZ5600</w:t>
                  </w:r>
                </w:p>
              </w:tc>
              <w:tc>
                <w:tcPr>
                  <w:tcW w:w="175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2</w:t>
                  </w:r>
                </w:p>
              </w:tc>
              <w:tc>
                <w:tcPr>
                  <w:tcW w:w="1828"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制砂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9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13</w:t>
                  </w:r>
                </w:p>
              </w:tc>
              <w:tc>
                <w:tcPr>
                  <w:tcW w:w="2202"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脉冲式布袋除尘</w:t>
                  </w:r>
                </w:p>
              </w:tc>
              <w:tc>
                <w:tcPr>
                  <w:tcW w:w="159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PLC96</w:t>
                  </w:r>
                </w:p>
              </w:tc>
              <w:tc>
                <w:tcPr>
                  <w:tcW w:w="175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2</w:t>
                  </w:r>
                </w:p>
              </w:tc>
              <w:tc>
                <w:tcPr>
                  <w:tcW w:w="1828"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w:t>
                  </w:r>
                </w:p>
              </w:tc>
            </w:tr>
          </w:tbl>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2" w:firstLineChars="200"/>
              <w:jc w:val="both"/>
              <w:textAlignment w:val="auto"/>
              <w:rPr>
                <w:rFonts w:hint="default" w:ascii="Times New Roman" w:hAnsi="Times New Roman" w:cs="Times New Roman"/>
                <w:b/>
                <w:bCs/>
                <w:kern w:val="0"/>
                <w:sz w:val="24"/>
                <w:szCs w:val="24"/>
              </w:rPr>
            </w:pPr>
            <w:r>
              <w:rPr>
                <w:rFonts w:hint="default" w:ascii="Times New Roman" w:hAnsi="Times New Roman" w:cs="Times New Roman"/>
                <w:b/>
                <w:bCs/>
                <w:kern w:val="0"/>
                <w:sz w:val="24"/>
                <w:szCs w:val="24"/>
                <w:lang w:val="en-US" w:eastAsia="zh-CN" w:bidi="ar-SA"/>
              </w:rPr>
              <w:t>7.</w:t>
            </w:r>
            <w:r>
              <w:rPr>
                <w:rFonts w:hint="default" w:ascii="Times New Roman" w:hAnsi="Times New Roman" w:cs="Times New Roman"/>
                <w:b/>
                <w:bCs/>
                <w:kern w:val="0"/>
                <w:sz w:val="24"/>
                <w:szCs w:val="24"/>
                <w:lang w:eastAsia="zh-CN"/>
              </w:rPr>
              <w:t>公用工程</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2" w:firstLineChars="200"/>
              <w:jc w:val="both"/>
              <w:textAlignment w:val="auto"/>
              <w:rPr>
                <w:rFonts w:hint="default" w:ascii="Times New Roman" w:hAnsi="Times New Roman" w:cs="Times New Roman"/>
                <w:b/>
                <w:bCs/>
                <w:kern w:val="0"/>
                <w:sz w:val="24"/>
                <w:szCs w:val="24"/>
                <w:lang w:val="en-US" w:eastAsia="zh-CN"/>
              </w:rPr>
            </w:pPr>
            <w:r>
              <w:rPr>
                <w:rFonts w:hint="default" w:ascii="Times New Roman" w:hAnsi="Times New Roman" w:eastAsia="宋体" w:cs="Times New Roman"/>
                <w:b/>
                <w:bCs/>
                <w:kern w:val="0"/>
                <w:sz w:val="24"/>
                <w:szCs w:val="24"/>
                <w:lang w:val="en-US" w:eastAsia="zh-CN" w:bidi="ar-SA"/>
              </w:rPr>
              <w:t>（1）</w:t>
            </w:r>
            <w:r>
              <w:rPr>
                <w:rFonts w:hint="default" w:ascii="Times New Roman" w:hAnsi="Times New Roman" w:cs="Times New Roman"/>
                <w:b/>
                <w:bCs/>
                <w:kern w:val="0"/>
                <w:sz w:val="24"/>
                <w:szCs w:val="24"/>
                <w:lang w:val="en-US" w:eastAsia="zh-CN"/>
              </w:rPr>
              <w:t>给排水</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2" w:firstLineChars="200"/>
              <w:jc w:val="both"/>
              <w:textAlignment w:val="auto"/>
              <w:rPr>
                <w:rFonts w:hint="default" w:ascii="Times New Roman" w:hAnsi="Times New Roman" w:cs="Times New Roman"/>
                <w:b w:val="0"/>
                <w:bCs w:val="0"/>
                <w:color w:val="000000" w:themeColor="text1"/>
                <w:kern w:val="0"/>
                <w:sz w:val="24"/>
                <w:szCs w:val="24"/>
                <w:lang w:val="en-US" w:eastAsia="zh-CN"/>
                <w14:textFill>
                  <w14:solidFill>
                    <w14:schemeClr w14:val="tx1"/>
                  </w14:solidFill>
                </w14:textFill>
              </w:rPr>
            </w:pPr>
            <w:r>
              <w:rPr>
                <w:rFonts w:hint="default" w:ascii="Times New Roman" w:hAnsi="Times New Roman" w:cs="Times New Roman"/>
                <w:b/>
                <w:bCs/>
                <w:color w:val="000000" w:themeColor="text1"/>
                <w:kern w:val="0"/>
                <w:sz w:val="24"/>
                <w:szCs w:val="24"/>
                <w:lang w:val="en-US" w:eastAsia="zh-CN"/>
                <w14:textFill>
                  <w14:solidFill>
                    <w14:schemeClr w14:val="tx1"/>
                  </w14:solidFill>
                </w14:textFill>
              </w:rPr>
              <w:t>①给水</w:t>
            </w:r>
            <w:r>
              <w:rPr>
                <w:rFonts w:hint="default" w:ascii="Times New Roman" w:hAnsi="Times New Roman" w:cs="Times New Roman"/>
                <w:b w:val="0"/>
                <w:bCs w:val="0"/>
                <w:color w:val="000000" w:themeColor="text1"/>
                <w:kern w:val="0"/>
                <w:sz w:val="24"/>
                <w:szCs w:val="24"/>
                <w:lang w:val="en-US" w:eastAsia="zh-CN"/>
                <w14:textFill>
                  <w14:solidFill>
                    <w14:schemeClr w14:val="tx1"/>
                  </w14:solidFill>
                </w14:textFill>
              </w:rPr>
              <w:t>：给水：生活用水、生产用水取自工业广场西侧自打的水井，生产用水还有初期雨水池收集沉淀的雨水。</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2" w:firstLineChars="200"/>
              <w:jc w:val="both"/>
              <w:textAlignment w:val="auto"/>
              <w:rPr>
                <w:rFonts w:hint="default" w:ascii="Times New Roman" w:hAnsi="Times New Roman" w:cs="Times New Roman"/>
                <w:b/>
                <w:bCs/>
                <w:color w:val="000000" w:themeColor="text1"/>
                <w:kern w:val="0"/>
                <w:sz w:val="24"/>
                <w:szCs w:val="24"/>
                <w:lang w:val="en-US" w:eastAsia="zh-CN"/>
                <w14:textFill>
                  <w14:solidFill>
                    <w14:schemeClr w14:val="tx1"/>
                  </w14:solidFill>
                </w14:textFill>
              </w:rPr>
            </w:pPr>
            <w:r>
              <w:rPr>
                <w:rFonts w:hint="default" w:ascii="Times New Roman" w:hAnsi="Times New Roman" w:cs="Times New Roman"/>
                <w:b/>
                <w:bCs/>
                <w:color w:val="000000" w:themeColor="text1"/>
                <w:kern w:val="0"/>
                <w:sz w:val="24"/>
                <w:szCs w:val="24"/>
                <w:lang w:val="en-US" w:eastAsia="zh-CN"/>
                <w14:textFill>
                  <w14:solidFill>
                    <w14:schemeClr w14:val="tx1"/>
                  </w14:solidFill>
                </w14:textFill>
              </w:rPr>
              <w:t>②排水：</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default" w:ascii="Times New Roman" w:hAnsi="Times New Roman" w:cs="Times New Roman"/>
                <w:b w:val="0"/>
                <w:bCs w:val="0"/>
                <w:color w:val="000000" w:themeColor="text1"/>
                <w:kern w:val="0"/>
                <w:sz w:val="24"/>
                <w:szCs w:val="24"/>
                <w:lang w:val="en-US" w:eastAsia="zh-CN"/>
                <w14:textFill>
                  <w14:solidFill>
                    <w14:schemeClr w14:val="tx1"/>
                  </w14:solidFill>
                </w14:textFill>
              </w:rPr>
            </w:pPr>
            <w:r>
              <w:rPr>
                <w:rFonts w:hint="default" w:ascii="Times New Roman" w:hAnsi="Times New Roman" w:cs="Times New Roman"/>
                <w:b w:val="0"/>
                <w:bCs w:val="0"/>
                <w:color w:val="000000" w:themeColor="text1"/>
                <w:kern w:val="0"/>
                <w:sz w:val="24"/>
                <w:szCs w:val="24"/>
                <w:lang w:val="en-US" w:eastAsia="zh-CN"/>
                <w14:textFill>
                  <w14:solidFill>
                    <w14:schemeClr w14:val="tx1"/>
                  </w14:solidFill>
                </w14:textFill>
              </w:rPr>
              <w:t>排水系统：厂区内采取雨污分流措施。场外设置撇洪沟，场内设置雨水沟，初期雨水经沉淀池沉淀后回用，不外排。洗车废水经洗车废水沉淀池沉淀后全部回用，不外排。生活污水经化粪池处理后委托当地农民清运用作农肥，不外排。穿孔冷却水、抑尘用水全部挥发损耗，不外排。</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2" w:firstLineChars="200"/>
              <w:jc w:val="both"/>
              <w:textAlignment w:val="auto"/>
              <w:rPr>
                <w:rFonts w:hint="default" w:ascii="Times New Roman" w:hAnsi="Times New Roman" w:cs="Times New Roman"/>
                <w:b/>
                <w:bCs/>
                <w:kern w:val="0"/>
                <w:sz w:val="24"/>
                <w:szCs w:val="24"/>
                <w:lang w:val="en-US" w:eastAsia="zh-CN"/>
              </w:rPr>
            </w:pPr>
            <w:r>
              <w:rPr>
                <w:rFonts w:hint="default" w:ascii="Times New Roman" w:hAnsi="Times New Roman" w:eastAsia="宋体" w:cs="Times New Roman"/>
                <w:b/>
                <w:bCs/>
                <w:kern w:val="0"/>
                <w:sz w:val="24"/>
                <w:szCs w:val="24"/>
                <w:lang w:val="en-US" w:eastAsia="zh-CN" w:bidi="ar-SA"/>
              </w:rPr>
              <w:t>（2）</w:t>
            </w:r>
            <w:r>
              <w:rPr>
                <w:rFonts w:hint="default" w:ascii="Times New Roman" w:hAnsi="Times New Roman" w:cs="Times New Roman"/>
                <w:b/>
                <w:bCs/>
                <w:kern w:val="0"/>
                <w:sz w:val="24"/>
                <w:szCs w:val="24"/>
                <w:lang w:val="en-US" w:eastAsia="zh-CN"/>
              </w:rPr>
              <w:t>供电</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default" w:ascii="Times New Roman" w:hAnsi="Times New Roman" w:cs="Times New Roman"/>
                <w:b w:val="0"/>
                <w:bCs w:val="0"/>
                <w:kern w:val="0"/>
                <w:sz w:val="24"/>
                <w:szCs w:val="24"/>
                <w:lang w:val="en-US" w:eastAsia="zh-CN"/>
              </w:rPr>
            </w:pPr>
            <w:r>
              <w:rPr>
                <w:rFonts w:hint="default" w:ascii="Times New Roman" w:hAnsi="Times New Roman" w:cs="Times New Roman"/>
                <w:b w:val="0"/>
                <w:bCs w:val="0"/>
                <w:kern w:val="0"/>
                <w:sz w:val="24"/>
                <w:szCs w:val="24"/>
                <w:lang w:val="en-US" w:eastAsia="zh-CN"/>
              </w:rPr>
              <w:t>石山脚街道供电网接入。</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2" w:firstLineChars="200"/>
              <w:jc w:val="both"/>
              <w:textAlignment w:val="auto"/>
              <w:rPr>
                <w:rFonts w:hint="default" w:ascii="Times New Roman" w:hAnsi="Times New Roman" w:cs="Times New Roman"/>
                <w:b/>
                <w:bCs/>
                <w:kern w:val="0"/>
                <w:sz w:val="24"/>
                <w:szCs w:val="24"/>
                <w:lang w:val="en-US" w:eastAsia="zh-CN"/>
              </w:rPr>
            </w:pPr>
            <w:r>
              <w:rPr>
                <w:rFonts w:hint="default" w:ascii="Times New Roman" w:hAnsi="Times New Roman" w:cs="Times New Roman"/>
                <w:b/>
                <w:bCs/>
                <w:kern w:val="0"/>
                <w:sz w:val="24"/>
                <w:szCs w:val="24"/>
                <w:lang w:val="en-US" w:eastAsia="zh-CN" w:bidi="ar-SA"/>
              </w:rPr>
              <w:t>8.</w:t>
            </w:r>
            <w:r>
              <w:rPr>
                <w:rFonts w:hint="default" w:ascii="Times New Roman" w:hAnsi="Times New Roman" w:cs="Times New Roman"/>
                <w:b/>
                <w:bCs/>
                <w:kern w:val="0"/>
                <w:sz w:val="24"/>
                <w:szCs w:val="24"/>
                <w:lang w:val="en-US" w:eastAsia="zh-CN"/>
              </w:rPr>
              <w:t>劳动定员与生产班制</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default" w:ascii="Times New Roman" w:hAnsi="Times New Roman" w:cs="Times New Roman"/>
                <w:color w:val="000000"/>
                <w:kern w:val="0"/>
                <w:sz w:val="24"/>
                <w:szCs w:val="24"/>
              </w:rPr>
            </w:pPr>
            <w:r>
              <w:rPr>
                <w:rFonts w:hint="default" w:ascii="Times New Roman" w:hAnsi="Times New Roman" w:cs="Times New Roman"/>
                <w:b w:val="0"/>
                <w:bCs w:val="0"/>
                <w:kern w:val="0"/>
                <w:sz w:val="24"/>
                <w:szCs w:val="24"/>
                <w:lang w:val="en-US" w:eastAsia="zh-CN"/>
              </w:rPr>
              <w:t>工程劳动定员80人。员工部分为附近居民，约50人在厂内食宿。年运行时间300天，每天2班，每班工作8小时，22：00~6：00不生产。</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3119" w:hRule="atLeast"/>
          <w:jc w:val="center"/>
        </w:trPr>
        <w:tc>
          <w:tcPr>
            <w:tcW w:w="710" w:type="dxa"/>
            <w:noWrap w:val="0"/>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000000"/>
                <w:kern w:val="0"/>
                <w:sz w:val="24"/>
                <w:szCs w:val="24"/>
              </w:rPr>
            </w:pPr>
            <w:r>
              <w:rPr>
                <w:rFonts w:hint="default" w:ascii="Times New Roman" w:hAnsi="Times New Roman" w:cs="Times New Roman"/>
                <w:color w:val="000000"/>
                <w:kern w:val="0"/>
                <w:sz w:val="24"/>
                <w:szCs w:val="24"/>
              </w:rPr>
              <w:t>总平面及现场布置</w:t>
            </w:r>
          </w:p>
        </w:tc>
        <w:tc>
          <w:tcPr>
            <w:tcW w:w="8380" w:type="dxa"/>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default" w:ascii="Times New Roman" w:hAnsi="Times New Roman" w:cs="Times New Roman"/>
                <w:b w:val="0"/>
                <w:bCs w:val="0"/>
                <w:kern w:val="0"/>
                <w:sz w:val="24"/>
                <w:szCs w:val="24"/>
                <w:lang w:val="en-US" w:eastAsia="zh-CN"/>
              </w:rPr>
            </w:pPr>
            <w:r>
              <w:rPr>
                <w:rFonts w:hint="default" w:ascii="Times New Roman" w:hAnsi="Times New Roman" w:cs="Times New Roman"/>
                <w:b w:val="0"/>
                <w:bCs w:val="0"/>
                <w:kern w:val="0"/>
                <w:sz w:val="24"/>
                <w:szCs w:val="24"/>
                <w:lang w:val="en-US" w:eastAsia="zh-CN"/>
              </w:rPr>
              <w:t>项目总平面布置主要分为露天开采区、工业广场、表土堆场、</w:t>
            </w:r>
            <w:r>
              <w:rPr>
                <w:rFonts w:hint="eastAsia" w:cs="Times New Roman"/>
                <w:b w:val="0"/>
                <w:bCs w:val="0"/>
                <w:kern w:val="0"/>
                <w:sz w:val="24"/>
                <w:szCs w:val="24"/>
                <w:lang w:val="en-US" w:eastAsia="zh-CN"/>
              </w:rPr>
              <w:t>成品中转堆场</w:t>
            </w:r>
            <w:r>
              <w:rPr>
                <w:rFonts w:hint="default" w:ascii="Times New Roman" w:hAnsi="Times New Roman" w:cs="Times New Roman"/>
                <w:b w:val="0"/>
                <w:bCs w:val="0"/>
                <w:kern w:val="0"/>
                <w:sz w:val="24"/>
                <w:szCs w:val="24"/>
                <w:lang w:val="en-US" w:eastAsia="zh-CN"/>
              </w:rPr>
              <w:t>、办公生活区、门卫室。项目拟设1个工业广场，位于露天采区的南侧，办公生活区位于工业广场东面乡道旁</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default" w:ascii="Times New Roman" w:hAnsi="Times New Roman" w:cs="Times New Roman"/>
                <w:b w:val="0"/>
                <w:bCs w:val="0"/>
                <w:kern w:val="0"/>
                <w:sz w:val="24"/>
                <w:szCs w:val="24"/>
                <w:lang w:val="en-US" w:eastAsia="zh-CN"/>
              </w:rPr>
            </w:pPr>
            <w:r>
              <w:rPr>
                <w:rFonts w:hint="default" w:ascii="Times New Roman" w:hAnsi="Times New Roman" w:cs="Times New Roman"/>
                <w:b w:val="0"/>
                <w:bCs w:val="0"/>
                <w:kern w:val="0"/>
                <w:sz w:val="24"/>
                <w:szCs w:val="24"/>
                <w:lang w:val="en-US" w:eastAsia="zh-CN"/>
              </w:rPr>
              <w:t>①露天开采区</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default" w:ascii="Times New Roman" w:hAnsi="Times New Roman" w:cs="Times New Roman"/>
                <w:b w:val="0"/>
                <w:bCs w:val="0"/>
                <w:kern w:val="0"/>
                <w:sz w:val="24"/>
                <w:szCs w:val="24"/>
                <w:lang w:val="en-US" w:eastAsia="zh-CN"/>
              </w:rPr>
            </w:pPr>
            <w:r>
              <w:rPr>
                <w:rFonts w:hint="default" w:ascii="Times New Roman" w:hAnsi="Times New Roman" w:cs="Times New Roman"/>
                <w:b w:val="0"/>
                <w:bCs w:val="0"/>
                <w:kern w:val="0"/>
                <w:sz w:val="24"/>
                <w:szCs w:val="24"/>
                <w:lang w:val="en-US" w:eastAsia="zh-CN"/>
              </w:rPr>
              <w:t>露天开采区位于场地北部，占地面积181000m</w:t>
            </w:r>
            <w:r>
              <w:rPr>
                <w:rFonts w:hint="default" w:ascii="Times New Roman" w:hAnsi="Times New Roman" w:cs="Times New Roman"/>
                <w:b w:val="0"/>
                <w:bCs w:val="0"/>
                <w:kern w:val="0"/>
                <w:sz w:val="24"/>
                <w:szCs w:val="24"/>
                <w:vertAlign w:val="superscript"/>
                <w:lang w:val="en-US" w:eastAsia="zh-CN"/>
              </w:rPr>
              <w:t>2</w:t>
            </w:r>
            <w:r>
              <w:rPr>
                <w:rFonts w:hint="default" w:ascii="Times New Roman" w:hAnsi="Times New Roman" w:cs="Times New Roman"/>
                <w:b w:val="0"/>
                <w:bCs w:val="0"/>
                <w:kern w:val="0"/>
                <w:sz w:val="24"/>
                <w:szCs w:val="24"/>
                <w:lang w:val="en-US" w:eastAsia="zh-CN"/>
              </w:rPr>
              <w:t>，准采标高+206米~+145米，设计台阶高度15m，安全平台宽度6m，兼做清扫平台。</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default" w:ascii="Times New Roman" w:hAnsi="Times New Roman" w:cs="Times New Roman"/>
                <w:b w:val="0"/>
                <w:bCs w:val="0"/>
                <w:kern w:val="0"/>
                <w:sz w:val="24"/>
                <w:szCs w:val="24"/>
                <w:lang w:val="en-US" w:eastAsia="zh-CN"/>
              </w:rPr>
            </w:pPr>
            <w:r>
              <w:rPr>
                <w:rFonts w:hint="default" w:ascii="Times New Roman" w:hAnsi="Times New Roman" w:cs="Times New Roman"/>
                <w:b w:val="0"/>
                <w:bCs w:val="0"/>
                <w:kern w:val="0"/>
                <w:sz w:val="24"/>
                <w:szCs w:val="24"/>
                <w:lang w:val="en-US" w:eastAsia="zh-CN"/>
              </w:rPr>
              <w:t>②工业广场</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default" w:ascii="Times New Roman" w:hAnsi="Times New Roman" w:cs="Times New Roman"/>
                <w:b w:val="0"/>
                <w:bCs w:val="0"/>
                <w:kern w:val="0"/>
                <w:sz w:val="24"/>
                <w:szCs w:val="24"/>
                <w:lang w:val="en-US" w:eastAsia="zh-CN"/>
              </w:rPr>
            </w:pPr>
            <w:r>
              <w:rPr>
                <w:rFonts w:hint="default" w:ascii="Times New Roman" w:hAnsi="Times New Roman" w:cs="Times New Roman"/>
                <w:b w:val="0"/>
                <w:bCs w:val="0"/>
                <w:kern w:val="0"/>
                <w:sz w:val="24"/>
                <w:szCs w:val="24"/>
                <w:lang w:val="en-US" w:eastAsia="zh-CN"/>
              </w:rPr>
              <w:t>位于露天采区的南侧，要求全部进行封闭式彩钢棚搭建。工业广场内设有矿石加工区和产品存放区。</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default" w:ascii="Times New Roman" w:hAnsi="Times New Roman" w:cs="Times New Roman"/>
                <w:b w:val="0"/>
                <w:bCs w:val="0"/>
                <w:kern w:val="0"/>
                <w:sz w:val="24"/>
                <w:szCs w:val="24"/>
                <w:lang w:val="en-US" w:eastAsia="zh-CN"/>
              </w:rPr>
            </w:pPr>
            <w:r>
              <w:rPr>
                <w:rFonts w:hint="default" w:ascii="Times New Roman" w:hAnsi="Times New Roman" w:cs="Times New Roman"/>
                <w:b w:val="0"/>
                <w:bCs w:val="0"/>
                <w:kern w:val="0"/>
                <w:sz w:val="24"/>
                <w:szCs w:val="24"/>
                <w:lang w:val="en-US" w:eastAsia="zh-CN"/>
              </w:rPr>
              <w:t>③表土堆场</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default" w:ascii="Times New Roman" w:hAnsi="Times New Roman" w:cs="Times New Roman"/>
                <w:b w:val="0"/>
                <w:bCs w:val="0"/>
                <w:color w:val="auto"/>
                <w:kern w:val="0"/>
                <w:sz w:val="24"/>
                <w:szCs w:val="24"/>
                <w:lang w:val="en-US" w:eastAsia="zh-CN"/>
              </w:rPr>
            </w:pPr>
            <w:r>
              <w:rPr>
                <w:rFonts w:hint="default" w:ascii="Times New Roman" w:hAnsi="Times New Roman" w:cs="Times New Roman"/>
                <w:b w:val="0"/>
                <w:bCs w:val="0"/>
                <w:color w:val="auto"/>
                <w:kern w:val="0"/>
                <w:sz w:val="24"/>
                <w:szCs w:val="24"/>
                <w:lang w:val="en-US" w:eastAsia="zh-CN"/>
              </w:rPr>
              <w:t>表土堆场主要用于剥离表土的临时堆存，选址于工业广场西面的低洼空地，总占地面积</w:t>
            </w:r>
            <w:r>
              <w:rPr>
                <w:rFonts w:hint="eastAsia" w:cs="Times New Roman"/>
                <w:b w:val="0"/>
                <w:bCs w:val="0"/>
                <w:color w:val="auto"/>
                <w:kern w:val="0"/>
                <w:sz w:val="24"/>
                <w:szCs w:val="24"/>
                <w:lang w:val="en-US" w:eastAsia="zh-CN"/>
              </w:rPr>
              <w:t>19927</w:t>
            </w:r>
            <w:r>
              <w:rPr>
                <w:rFonts w:hint="default" w:ascii="Times New Roman" w:hAnsi="Times New Roman" w:cs="Times New Roman"/>
                <w:b w:val="0"/>
                <w:bCs w:val="0"/>
                <w:color w:val="auto"/>
                <w:kern w:val="0"/>
                <w:sz w:val="24"/>
                <w:szCs w:val="24"/>
                <w:lang w:val="en-US" w:eastAsia="zh-CN"/>
              </w:rPr>
              <w:t>m</w:t>
            </w:r>
            <w:r>
              <w:rPr>
                <w:rFonts w:hint="default" w:ascii="Times New Roman" w:hAnsi="Times New Roman" w:cs="Times New Roman"/>
                <w:b w:val="0"/>
                <w:bCs w:val="0"/>
                <w:color w:val="auto"/>
                <w:kern w:val="0"/>
                <w:sz w:val="24"/>
                <w:szCs w:val="24"/>
                <w:vertAlign w:val="superscript"/>
                <w:lang w:val="en-US" w:eastAsia="zh-CN"/>
              </w:rPr>
              <w:t>2</w:t>
            </w:r>
            <w:r>
              <w:rPr>
                <w:rFonts w:hint="default" w:ascii="Times New Roman" w:hAnsi="Times New Roman" w:cs="Times New Roman"/>
                <w:b w:val="0"/>
                <w:bCs w:val="0"/>
                <w:color w:val="auto"/>
                <w:kern w:val="0"/>
                <w:sz w:val="24"/>
                <w:szCs w:val="24"/>
                <w:lang w:val="en-US" w:eastAsia="zh-CN"/>
              </w:rPr>
              <w:t>，堆土场周围设置截排水沟，南面朝向令塘矿区一侧建设挡土墙，堆土高度不超过5米。</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default" w:ascii="Times New Roman" w:hAnsi="Times New Roman" w:cs="Times New Roman"/>
                <w:b w:val="0"/>
                <w:bCs w:val="0"/>
                <w:color w:val="auto"/>
                <w:kern w:val="0"/>
                <w:sz w:val="24"/>
                <w:szCs w:val="24"/>
                <w:lang w:val="en-US" w:eastAsia="zh-CN"/>
              </w:rPr>
            </w:pPr>
            <w:r>
              <w:rPr>
                <w:rFonts w:hint="default" w:ascii="Times New Roman" w:hAnsi="Times New Roman" w:cs="Times New Roman"/>
                <w:b w:val="0"/>
                <w:bCs w:val="0"/>
                <w:color w:val="auto"/>
                <w:kern w:val="0"/>
                <w:sz w:val="24"/>
                <w:szCs w:val="24"/>
                <w:lang w:val="en-US" w:eastAsia="zh-CN"/>
              </w:rPr>
              <w:t>④</w:t>
            </w:r>
            <w:r>
              <w:rPr>
                <w:rFonts w:hint="eastAsia" w:cs="Times New Roman"/>
                <w:b w:val="0"/>
                <w:bCs w:val="0"/>
                <w:color w:val="auto"/>
                <w:kern w:val="0"/>
                <w:sz w:val="24"/>
                <w:szCs w:val="24"/>
                <w:lang w:val="en-US" w:eastAsia="zh-CN"/>
              </w:rPr>
              <w:t>成品中转堆场</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default" w:ascii="Times New Roman" w:hAnsi="Times New Roman" w:cs="Times New Roman"/>
                <w:b w:val="0"/>
                <w:bCs w:val="0"/>
                <w:color w:val="auto"/>
                <w:kern w:val="0"/>
                <w:sz w:val="24"/>
                <w:szCs w:val="24"/>
                <w:lang w:val="en-US" w:eastAsia="zh-CN"/>
              </w:rPr>
            </w:pPr>
            <w:r>
              <w:rPr>
                <w:rFonts w:hint="eastAsia" w:cs="Times New Roman"/>
                <w:b w:val="0"/>
                <w:bCs w:val="0"/>
                <w:color w:val="auto"/>
                <w:kern w:val="0"/>
                <w:sz w:val="24"/>
                <w:szCs w:val="24"/>
                <w:lang w:val="en-US" w:eastAsia="zh-CN"/>
              </w:rPr>
              <w:t>成品中转堆场</w:t>
            </w:r>
            <w:r>
              <w:rPr>
                <w:rFonts w:hint="default" w:ascii="Times New Roman" w:hAnsi="Times New Roman" w:cs="Times New Roman"/>
                <w:b w:val="0"/>
                <w:bCs w:val="0"/>
                <w:color w:val="auto"/>
                <w:kern w:val="0"/>
                <w:sz w:val="24"/>
                <w:szCs w:val="24"/>
                <w:lang w:val="en-US" w:eastAsia="zh-CN"/>
              </w:rPr>
              <w:t>设置于工业广场东南侧，用于成品堆存，总占地面积</w:t>
            </w:r>
            <w:r>
              <w:rPr>
                <w:rFonts w:hint="eastAsia" w:cs="Times New Roman"/>
                <w:b w:val="0"/>
                <w:bCs w:val="0"/>
                <w:color w:val="auto"/>
                <w:kern w:val="0"/>
                <w:sz w:val="24"/>
                <w:szCs w:val="24"/>
                <w:lang w:val="en-US" w:eastAsia="zh-CN"/>
              </w:rPr>
              <w:t>4300</w:t>
            </w:r>
            <w:r>
              <w:rPr>
                <w:rFonts w:hint="default" w:ascii="Times New Roman" w:hAnsi="Times New Roman" w:cs="Times New Roman"/>
                <w:b w:val="0"/>
                <w:bCs w:val="0"/>
                <w:color w:val="auto"/>
                <w:kern w:val="0"/>
                <w:sz w:val="24"/>
                <w:szCs w:val="24"/>
                <w:lang w:val="en-US" w:eastAsia="zh-CN"/>
              </w:rPr>
              <w:t>m</w:t>
            </w:r>
            <w:r>
              <w:rPr>
                <w:rFonts w:hint="default" w:ascii="Times New Roman" w:hAnsi="Times New Roman" w:cs="Times New Roman"/>
                <w:b w:val="0"/>
                <w:bCs w:val="0"/>
                <w:color w:val="auto"/>
                <w:kern w:val="0"/>
                <w:sz w:val="24"/>
                <w:szCs w:val="24"/>
                <w:vertAlign w:val="superscript"/>
                <w:lang w:val="en-US" w:eastAsia="zh-CN"/>
              </w:rPr>
              <w:t>2</w:t>
            </w:r>
            <w:r>
              <w:rPr>
                <w:rFonts w:hint="default" w:ascii="Times New Roman" w:hAnsi="Times New Roman" w:cs="Times New Roman"/>
                <w:b w:val="0"/>
                <w:bCs w:val="0"/>
                <w:color w:val="auto"/>
                <w:kern w:val="0"/>
                <w:sz w:val="24"/>
                <w:szCs w:val="24"/>
                <w:lang w:val="en-US" w:eastAsia="zh-CN"/>
              </w:rPr>
              <w:t>。</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default" w:ascii="Times New Roman" w:hAnsi="Times New Roman" w:cs="Times New Roman"/>
                <w:b w:val="0"/>
                <w:bCs w:val="0"/>
                <w:kern w:val="0"/>
                <w:sz w:val="24"/>
                <w:szCs w:val="24"/>
                <w:lang w:val="en-US" w:eastAsia="zh-CN"/>
              </w:rPr>
            </w:pPr>
            <w:r>
              <w:rPr>
                <w:rFonts w:hint="default" w:ascii="Times New Roman" w:hAnsi="Times New Roman" w:cs="Times New Roman"/>
                <w:b w:val="0"/>
                <w:bCs w:val="0"/>
                <w:kern w:val="0"/>
                <w:sz w:val="24"/>
                <w:szCs w:val="24"/>
                <w:lang w:val="en-US" w:eastAsia="zh-CN"/>
              </w:rPr>
              <w:fldChar w:fldCharType="begin"/>
            </w:r>
            <w:r>
              <w:rPr>
                <w:rFonts w:hint="default" w:ascii="Times New Roman" w:hAnsi="Times New Roman" w:cs="Times New Roman"/>
                <w:b w:val="0"/>
                <w:bCs w:val="0"/>
                <w:kern w:val="0"/>
                <w:sz w:val="24"/>
                <w:szCs w:val="24"/>
                <w:lang w:val="en-US" w:eastAsia="zh-CN"/>
              </w:rPr>
              <w:instrText xml:space="preserve"> = 5 \* GB3 \* MERGEFORMAT </w:instrText>
            </w:r>
            <w:r>
              <w:rPr>
                <w:rFonts w:hint="default" w:ascii="Times New Roman" w:hAnsi="Times New Roman" w:cs="Times New Roman"/>
                <w:b w:val="0"/>
                <w:bCs w:val="0"/>
                <w:kern w:val="0"/>
                <w:sz w:val="24"/>
                <w:szCs w:val="24"/>
                <w:lang w:val="en-US" w:eastAsia="zh-CN"/>
              </w:rPr>
              <w:fldChar w:fldCharType="separate"/>
            </w:r>
            <w:r>
              <w:rPr>
                <w:rFonts w:hint="default" w:ascii="Times New Roman" w:hAnsi="Times New Roman" w:cs="Times New Roman"/>
              </w:rPr>
              <w:t>⑤</w:t>
            </w:r>
            <w:r>
              <w:rPr>
                <w:rFonts w:hint="default" w:ascii="Times New Roman" w:hAnsi="Times New Roman" w:cs="Times New Roman"/>
                <w:b w:val="0"/>
                <w:bCs w:val="0"/>
                <w:kern w:val="0"/>
                <w:sz w:val="24"/>
                <w:szCs w:val="24"/>
                <w:lang w:val="en-US" w:eastAsia="zh-CN"/>
              </w:rPr>
              <w:fldChar w:fldCharType="end"/>
            </w:r>
            <w:r>
              <w:rPr>
                <w:rFonts w:hint="default" w:ascii="Times New Roman" w:hAnsi="Times New Roman" w:cs="Times New Roman"/>
                <w:b w:val="0"/>
                <w:bCs w:val="0"/>
                <w:kern w:val="0"/>
                <w:sz w:val="24"/>
                <w:szCs w:val="24"/>
                <w:lang w:val="en-US" w:eastAsia="zh-CN"/>
              </w:rPr>
              <w:t>办公生活区</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default" w:ascii="Times New Roman" w:hAnsi="Times New Roman" w:cs="Times New Roman"/>
                <w:b w:val="0"/>
                <w:bCs w:val="0"/>
                <w:kern w:val="0"/>
                <w:sz w:val="24"/>
                <w:szCs w:val="24"/>
                <w:lang w:val="en-US" w:eastAsia="zh-CN"/>
              </w:rPr>
            </w:pPr>
            <w:r>
              <w:rPr>
                <w:rFonts w:hint="default" w:ascii="Times New Roman" w:hAnsi="Times New Roman" w:cs="Times New Roman"/>
                <w:b w:val="0"/>
                <w:bCs w:val="0"/>
                <w:kern w:val="0"/>
                <w:sz w:val="24"/>
                <w:szCs w:val="24"/>
                <w:lang w:val="en-US" w:eastAsia="zh-CN"/>
              </w:rPr>
              <w:t>办公生活区设置于采区东南面居民点，位于乡道旁，设置办公区（综合楼）、食堂和宿舍，总建筑面积约1300m</w:t>
            </w:r>
            <w:r>
              <w:rPr>
                <w:rFonts w:hint="default" w:ascii="Times New Roman" w:hAnsi="Times New Roman" w:cs="Times New Roman"/>
                <w:b w:val="0"/>
                <w:bCs w:val="0"/>
                <w:kern w:val="0"/>
                <w:sz w:val="24"/>
                <w:szCs w:val="24"/>
                <w:vertAlign w:val="superscript"/>
                <w:lang w:val="en-US" w:eastAsia="zh-CN"/>
              </w:rPr>
              <w:t>2</w:t>
            </w:r>
            <w:r>
              <w:rPr>
                <w:rFonts w:hint="default" w:ascii="Times New Roman" w:hAnsi="Times New Roman" w:cs="Times New Roman"/>
                <w:b w:val="0"/>
                <w:bCs w:val="0"/>
                <w:kern w:val="0"/>
                <w:sz w:val="24"/>
                <w:szCs w:val="24"/>
                <w:lang w:val="en-US" w:eastAsia="zh-CN"/>
              </w:rPr>
              <w:t>。</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default" w:ascii="Times New Roman" w:hAnsi="Times New Roman" w:cs="Times New Roman"/>
                <w:b w:val="0"/>
                <w:bCs w:val="0"/>
                <w:kern w:val="0"/>
                <w:sz w:val="24"/>
                <w:szCs w:val="24"/>
                <w:lang w:val="en-US" w:eastAsia="zh-CN"/>
              </w:rPr>
            </w:pPr>
            <w:r>
              <w:rPr>
                <w:rFonts w:hint="default" w:ascii="Times New Roman" w:hAnsi="Times New Roman" w:cs="Times New Roman"/>
                <w:b w:val="0"/>
                <w:bCs w:val="0"/>
                <w:kern w:val="0"/>
                <w:sz w:val="24"/>
                <w:szCs w:val="24"/>
                <w:lang w:val="en-US" w:eastAsia="zh-CN"/>
              </w:rPr>
              <w:fldChar w:fldCharType="begin"/>
            </w:r>
            <w:r>
              <w:rPr>
                <w:rFonts w:hint="default" w:ascii="Times New Roman" w:hAnsi="Times New Roman" w:cs="Times New Roman"/>
                <w:b w:val="0"/>
                <w:bCs w:val="0"/>
                <w:kern w:val="0"/>
                <w:sz w:val="24"/>
                <w:szCs w:val="24"/>
                <w:lang w:val="en-US" w:eastAsia="zh-CN"/>
              </w:rPr>
              <w:instrText xml:space="preserve"> = 6 \* GB3 \* MERGEFORMAT </w:instrText>
            </w:r>
            <w:r>
              <w:rPr>
                <w:rFonts w:hint="default" w:ascii="Times New Roman" w:hAnsi="Times New Roman" w:cs="Times New Roman"/>
                <w:b w:val="0"/>
                <w:bCs w:val="0"/>
                <w:kern w:val="0"/>
                <w:sz w:val="24"/>
                <w:szCs w:val="24"/>
                <w:lang w:val="en-US" w:eastAsia="zh-CN"/>
              </w:rPr>
              <w:fldChar w:fldCharType="separate"/>
            </w:r>
            <w:r>
              <w:rPr>
                <w:rFonts w:hint="default" w:ascii="Times New Roman" w:hAnsi="Times New Roman" w:cs="Times New Roman"/>
              </w:rPr>
              <w:t>⑥</w:t>
            </w:r>
            <w:r>
              <w:rPr>
                <w:rFonts w:hint="default" w:ascii="Times New Roman" w:hAnsi="Times New Roman" w:cs="Times New Roman"/>
                <w:b w:val="0"/>
                <w:bCs w:val="0"/>
                <w:kern w:val="0"/>
                <w:sz w:val="24"/>
                <w:szCs w:val="24"/>
                <w:lang w:val="en-US" w:eastAsia="zh-CN"/>
              </w:rPr>
              <w:fldChar w:fldCharType="end"/>
            </w:r>
            <w:r>
              <w:rPr>
                <w:rFonts w:hint="default" w:ascii="Times New Roman" w:hAnsi="Times New Roman" w:cs="Times New Roman"/>
                <w:b w:val="0"/>
                <w:bCs w:val="0"/>
                <w:kern w:val="0"/>
                <w:sz w:val="24"/>
                <w:szCs w:val="24"/>
                <w:lang w:val="en-US" w:eastAsia="zh-CN"/>
              </w:rPr>
              <w:t>门卫室</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default" w:ascii="Times New Roman" w:hAnsi="Times New Roman" w:cs="Times New Roman"/>
                <w:color w:val="000000"/>
                <w:kern w:val="0"/>
                <w:sz w:val="24"/>
                <w:szCs w:val="24"/>
              </w:rPr>
            </w:pPr>
            <w:r>
              <w:rPr>
                <w:rFonts w:hint="default" w:ascii="Times New Roman" w:hAnsi="Times New Roman" w:cs="Times New Roman"/>
                <w:b w:val="0"/>
                <w:bCs w:val="0"/>
                <w:kern w:val="0"/>
                <w:sz w:val="24"/>
                <w:szCs w:val="24"/>
                <w:lang w:val="en-US" w:eastAsia="zh-CN"/>
              </w:rPr>
              <w:t>位于东侧进厂道路南侧</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3602" w:hRule="atLeast"/>
          <w:jc w:val="center"/>
        </w:trPr>
        <w:tc>
          <w:tcPr>
            <w:tcW w:w="710" w:type="dxa"/>
            <w:noWrap w:val="0"/>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000000"/>
                <w:kern w:val="0"/>
                <w:sz w:val="24"/>
                <w:szCs w:val="24"/>
              </w:rPr>
            </w:pPr>
            <w:r>
              <w:rPr>
                <w:rFonts w:hint="default" w:ascii="Times New Roman" w:hAnsi="Times New Roman" w:cs="Times New Roman"/>
                <w:color w:val="000000"/>
                <w:kern w:val="0"/>
                <w:sz w:val="24"/>
                <w:szCs w:val="24"/>
              </w:rPr>
              <w:t>施工方案</w:t>
            </w:r>
          </w:p>
        </w:tc>
        <w:tc>
          <w:tcPr>
            <w:tcW w:w="8380" w:type="dxa"/>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2" w:firstLineChars="200"/>
              <w:jc w:val="both"/>
              <w:textAlignment w:val="auto"/>
              <w:rPr>
                <w:rFonts w:hint="default" w:ascii="Times New Roman" w:hAnsi="Times New Roman" w:cs="Times New Roman"/>
                <w:b/>
                <w:bCs/>
                <w:kern w:val="0"/>
                <w:sz w:val="24"/>
                <w:szCs w:val="24"/>
              </w:rPr>
            </w:pPr>
            <w:r>
              <w:rPr>
                <w:rFonts w:hint="default" w:ascii="Times New Roman" w:hAnsi="Times New Roman" w:cs="Times New Roman"/>
                <w:b/>
                <w:bCs/>
                <w:kern w:val="0"/>
                <w:sz w:val="24"/>
                <w:szCs w:val="24"/>
                <w:lang w:val="en-US" w:eastAsia="zh-CN"/>
              </w:rPr>
              <w:t>1.</w:t>
            </w:r>
            <w:r>
              <w:rPr>
                <w:rFonts w:hint="default" w:ascii="Times New Roman" w:hAnsi="Times New Roman" w:cs="Times New Roman"/>
                <w:b/>
                <w:bCs/>
                <w:kern w:val="0"/>
                <w:sz w:val="24"/>
                <w:szCs w:val="24"/>
              </w:rPr>
              <w:t>采矿方案</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default" w:ascii="Times New Roman" w:hAnsi="Times New Roman" w:cs="Times New Roman"/>
                <w:b w:val="0"/>
                <w:bCs w:val="0"/>
                <w:color w:val="auto"/>
                <w:kern w:val="0"/>
                <w:sz w:val="24"/>
                <w:szCs w:val="24"/>
                <w:lang w:val="en-US" w:eastAsia="zh-CN" w:bidi="ar-SA"/>
              </w:rPr>
            </w:pPr>
            <w:r>
              <w:rPr>
                <w:rFonts w:hint="default" w:ascii="Times New Roman" w:hAnsi="Times New Roman" w:cs="Times New Roman"/>
                <w:b w:val="0"/>
                <w:bCs w:val="0"/>
                <w:color w:val="auto"/>
                <w:kern w:val="0"/>
                <w:sz w:val="24"/>
                <w:szCs w:val="24"/>
                <w:lang w:val="en-US" w:eastAsia="zh-CN" w:bidi="ar-SA"/>
              </w:rPr>
              <w:t>本采矿方案简述如下：</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default" w:ascii="Times New Roman" w:hAnsi="Times New Roman" w:cs="Times New Roman"/>
                <w:b w:val="0"/>
                <w:bCs w:val="0"/>
                <w:color w:val="auto"/>
                <w:kern w:val="0"/>
                <w:sz w:val="24"/>
                <w:szCs w:val="24"/>
                <w:lang w:val="en-US" w:eastAsia="zh-CN" w:bidi="ar-SA"/>
              </w:rPr>
            </w:pPr>
            <w:r>
              <w:rPr>
                <w:rFonts w:hint="default" w:ascii="Times New Roman" w:hAnsi="Times New Roman" w:cs="Times New Roman"/>
                <w:b w:val="0"/>
                <w:bCs w:val="0"/>
                <w:color w:val="auto"/>
                <w:kern w:val="0"/>
                <w:sz w:val="24"/>
                <w:szCs w:val="24"/>
                <w:lang w:val="en-US" w:eastAsia="zh-CN" w:bidi="ar-SA"/>
              </w:rPr>
              <w:t>①采矿方法</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default" w:ascii="Times New Roman" w:hAnsi="Times New Roman" w:cs="Times New Roman"/>
                <w:b w:val="0"/>
                <w:bCs w:val="0"/>
                <w:color w:val="auto"/>
                <w:kern w:val="0"/>
                <w:sz w:val="24"/>
                <w:szCs w:val="24"/>
                <w:lang w:val="en-US" w:eastAsia="zh-CN" w:bidi="ar-SA"/>
              </w:rPr>
            </w:pPr>
            <w:r>
              <w:rPr>
                <w:rFonts w:hint="default" w:ascii="Times New Roman" w:hAnsi="Times New Roman" w:cs="Times New Roman"/>
                <w:b w:val="0"/>
                <w:bCs w:val="0"/>
                <w:color w:val="auto"/>
                <w:kern w:val="0"/>
                <w:sz w:val="24"/>
                <w:szCs w:val="24"/>
                <w:lang w:val="en-US" w:eastAsia="zh-CN" w:bidi="ar-SA"/>
              </w:rPr>
              <w:t>采矿总体顺序为自上而下按15m高一个台阶向下逐层开采。开采工作自由面呈台阶横向展布，剥采时先上后下，至剥采边界形成单台阶边坡角泥灰岩60°，石灰岩65°。为便于安全开采，设计台阶高度15m，安全平台宽度6m（因台阶较少，兼做清扫平台），最大边坡最终边坡角55°。本矿为坚硬稳固的矿岩，采用多排孔微差爆破，挖掘机装载，采用公路开拓、汽车运输的方式。</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default" w:ascii="Times New Roman" w:hAnsi="Times New Roman" w:cs="Times New Roman"/>
                <w:b w:val="0"/>
                <w:bCs w:val="0"/>
                <w:color w:val="auto"/>
                <w:kern w:val="0"/>
                <w:sz w:val="24"/>
                <w:szCs w:val="24"/>
                <w:lang w:val="en-US" w:eastAsia="zh-CN" w:bidi="ar-SA"/>
              </w:rPr>
            </w:pPr>
            <w:r>
              <w:rPr>
                <w:rFonts w:hint="default" w:ascii="Times New Roman" w:hAnsi="Times New Roman" w:cs="Times New Roman"/>
                <w:b w:val="0"/>
                <w:bCs w:val="0"/>
                <w:color w:val="auto"/>
                <w:kern w:val="0"/>
                <w:sz w:val="24"/>
                <w:szCs w:val="24"/>
                <w:lang w:val="en-US" w:eastAsia="zh-CN" w:bidi="ar-SA"/>
              </w:rPr>
              <w:t>②产品方案</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default" w:ascii="Times New Roman" w:hAnsi="Times New Roman" w:cs="Times New Roman"/>
                <w:b w:val="0"/>
                <w:bCs w:val="0"/>
                <w:color w:val="auto"/>
                <w:kern w:val="0"/>
                <w:sz w:val="24"/>
                <w:szCs w:val="24"/>
                <w:lang w:val="en-US" w:eastAsia="zh-CN" w:bidi="ar-SA"/>
              </w:rPr>
            </w:pPr>
            <w:r>
              <w:rPr>
                <w:rFonts w:hint="default" w:ascii="Times New Roman" w:hAnsi="Times New Roman" w:cs="Times New Roman"/>
                <w:b w:val="0"/>
                <w:bCs w:val="0"/>
                <w:color w:val="auto"/>
                <w:kern w:val="0"/>
                <w:sz w:val="24"/>
                <w:szCs w:val="24"/>
                <w:lang w:val="en-US" w:eastAsia="zh-CN" w:bidi="ar-SA"/>
              </w:rPr>
              <w:t>矿山产品为碎石和石粉，采场粗石料经破碎机破碎、筛分等工序后即可直接售销，产品用作水泥厂或建筑用石料。</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default" w:ascii="Times New Roman" w:hAnsi="Times New Roman" w:cs="Times New Roman"/>
                <w:b w:val="0"/>
                <w:bCs w:val="0"/>
                <w:color w:val="auto"/>
                <w:kern w:val="0"/>
                <w:sz w:val="24"/>
                <w:szCs w:val="24"/>
                <w:lang w:val="en-US" w:eastAsia="zh-CN" w:bidi="ar-SA"/>
              </w:rPr>
            </w:pPr>
            <w:r>
              <w:rPr>
                <w:rFonts w:hint="default" w:ascii="Times New Roman" w:hAnsi="Times New Roman" w:cs="Times New Roman"/>
                <w:b w:val="0"/>
                <w:bCs w:val="0"/>
                <w:color w:val="auto"/>
                <w:kern w:val="0"/>
                <w:sz w:val="24"/>
                <w:szCs w:val="24"/>
                <w:lang w:val="en-US" w:eastAsia="zh-CN" w:bidi="ar-SA"/>
              </w:rPr>
              <w:t>③开拓运输方案</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default" w:ascii="Times New Roman" w:hAnsi="Times New Roman" w:cs="Times New Roman"/>
                <w:b w:val="0"/>
                <w:bCs w:val="0"/>
                <w:color w:val="auto"/>
                <w:kern w:val="0"/>
                <w:sz w:val="24"/>
                <w:szCs w:val="24"/>
                <w:lang w:val="en-US" w:eastAsia="zh-CN" w:bidi="ar-SA"/>
              </w:rPr>
            </w:pPr>
            <w:r>
              <w:rPr>
                <w:rFonts w:hint="default" w:ascii="Times New Roman" w:hAnsi="Times New Roman" w:cs="Times New Roman"/>
                <w:b w:val="0"/>
                <w:bCs w:val="0"/>
                <w:color w:val="auto"/>
                <w:kern w:val="0"/>
                <w:sz w:val="24"/>
                <w:szCs w:val="24"/>
                <w:lang w:val="en-US" w:eastAsia="zh-CN" w:bidi="ar-SA"/>
              </w:rPr>
              <w:t>采石场内：采用小型卡车运输，采下的灰岩石块由挖掘机装入小型卡车运至破碎场。采石场外：采用汽车运输，灰岩破碎筛分后，用铲车装入汽车外运至用户。矿区拟采用开采方式为山坡露天开采，未来采矿场与工业场地之间的相对高差不大，结合矿区的地形条件和未来矿山开采情况，本方案设计使用公路开拓、汽车运输方案。选用螺旋坑线式并结合折返坑线式的布线形式，运输道路宽10m，最大纵坡不大于6%，路面采用泥结碎石路面。矿石经汽车运往矿区范围外南侧的破碎站矿石破碎后经带式输送机输送至堆料场。矿体出入沟入口在采矿场南侧，出入沟宽10m，双车道，平均坡度5.5%，两个水平间出入沟之间留设不小于35m的平坡段，在出入沟一侧设车挡，车挡的高度不得小于该卸矿区各种运输车辆最大轮胎直径的2/5。</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default" w:ascii="Times New Roman" w:hAnsi="Times New Roman" w:cs="Times New Roman"/>
                <w:b w:val="0"/>
                <w:bCs w:val="0"/>
                <w:color w:val="auto"/>
                <w:kern w:val="0"/>
                <w:sz w:val="24"/>
                <w:szCs w:val="24"/>
                <w:lang w:val="en-US" w:eastAsia="zh-CN" w:bidi="ar-SA"/>
              </w:rPr>
            </w:pPr>
            <w:r>
              <w:rPr>
                <w:rFonts w:hint="default" w:ascii="Times New Roman" w:hAnsi="Times New Roman" w:cs="Times New Roman"/>
                <w:b w:val="0"/>
                <w:bCs w:val="0"/>
                <w:color w:val="auto"/>
                <w:kern w:val="0"/>
                <w:sz w:val="24"/>
                <w:szCs w:val="24"/>
                <w:lang w:val="en-US" w:eastAsia="zh-CN" w:bidi="ar-SA"/>
              </w:rPr>
              <w:t>④采石及排土在矿山开采过程中需把覆盖于岩石表面的含腐殖质表土进行分采，运往</w:t>
            </w:r>
            <w:r>
              <w:rPr>
                <w:rFonts w:hint="eastAsia" w:ascii="Times New Roman" w:hAnsi="Times New Roman" w:cs="Times New Roman"/>
                <w:b w:val="0"/>
                <w:bCs w:val="0"/>
                <w:color w:val="auto"/>
                <w:kern w:val="0"/>
                <w:sz w:val="24"/>
                <w:szCs w:val="24"/>
                <w:lang w:val="en-US" w:eastAsia="zh-CN" w:bidi="ar-SA"/>
              </w:rPr>
              <w:t>表土堆场</w:t>
            </w:r>
            <w:r>
              <w:rPr>
                <w:rFonts w:hint="default" w:ascii="Times New Roman" w:hAnsi="Times New Roman" w:cs="Times New Roman"/>
                <w:b w:val="0"/>
                <w:bCs w:val="0"/>
                <w:color w:val="auto"/>
                <w:kern w:val="0"/>
                <w:sz w:val="24"/>
                <w:szCs w:val="24"/>
                <w:lang w:val="en-US" w:eastAsia="zh-CN" w:bidi="ar-SA"/>
              </w:rPr>
              <w:t>堆放，用于矿山的生态环境恢复治理。根据矿山实际调查，综合开采技术条件考虑，表土堆场设计在工业广场区西侧。矿山需剥离夹石层52.6万m</w:t>
            </w:r>
            <w:r>
              <w:rPr>
                <w:rFonts w:hint="default" w:ascii="Times New Roman" w:hAnsi="Times New Roman" w:cs="Times New Roman"/>
                <w:b w:val="0"/>
                <w:bCs w:val="0"/>
                <w:color w:val="auto"/>
                <w:kern w:val="0"/>
                <w:sz w:val="24"/>
                <w:szCs w:val="24"/>
                <w:vertAlign w:val="superscript"/>
                <w:lang w:val="en-US" w:eastAsia="zh-CN" w:bidi="ar-SA"/>
              </w:rPr>
              <w:t>3</w:t>
            </w:r>
            <w:r>
              <w:rPr>
                <w:rFonts w:hint="default" w:ascii="Times New Roman" w:hAnsi="Times New Roman" w:cs="Times New Roman"/>
                <w:b w:val="0"/>
                <w:bCs w:val="0"/>
                <w:color w:val="auto"/>
                <w:kern w:val="0"/>
                <w:sz w:val="24"/>
                <w:szCs w:val="24"/>
                <w:lang w:val="en-US" w:eastAsia="zh-CN" w:bidi="ar-SA"/>
              </w:rPr>
              <w:t>。开发利用方案推荐设置坑内排土场。矿区范围北东侧已基本接近最低开采标高145m，矿山开采时可将开采工作面由北东往南推进，剥离的夹石即可堆存在北东侧露采坑内。生产期间应严格做好排土场排土作业、安全管理及复垦复绿措施。</w:t>
            </w:r>
          </w:p>
          <w:p>
            <w:pPr>
              <w:keepNext w:val="0"/>
              <w:keepLines w:val="0"/>
              <w:pageBreakBefore w:val="0"/>
              <w:widowControl w:val="0"/>
              <w:numPr>
                <w:ilvl w:val="0"/>
                <w:numId w:val="3"/>
              </w:numPr>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2" w:firstLineChars="200"/>
              <w:jc w:val="both"/>
              <w:textAlignment w:val="auto"/>
              <w:rPr>
                <w:rFonts w:hint="default" w:ascii="Times New Roman" w:hAnsi="Times New Roman" w:cs="Times New Roman"/>
                <w:b/>
                <w:bCs/>
                <w:kern w:val="0"/>
                <w:sz w:val="24"/>
                <w:szCs w:val="24"/>
                <w:lang w:val="en-US" w:eastAsia="zh-CN"/>
              </w:rPr>
            </w:pPr>
            <w:r>
              <w:rPr>
                <w:rFonts w:hint="eastAsia" w:cs="Times New Roman"/>
                <w:b/>
                <w:bCs/>
                <w:kern w:val="0"/>
                <w:sz w:val="24"/>
                <w:szCs w:val="24"/>
                <w:lang w:val="en-US" w:eastAsia="zh-CN"/>
              </w:rPr>
              <w:t>生产</w:t>
            </w:r>
            <w:r>
              <w:rPr>
                <w:rFonts w:hint="default" w:ascii="Times New Roman" w:hAnsi="Times New Roman" w:cs="Times New Roman"/>
                <w:b/>
                <w:bCs/>
                <w:kern w:val="0"/>
                <w:sz w:val="24"/>
                <w:szCs w:val="24"/>
                <w:lang w:val="en-US" w:eastAsia="zh-CN"/>
              </w:rPr>
              <w:t>工艺</w:t>
            </w:r>
          </w:p>
          <w:p>
            <w:pPr>
              <w:keepNext w:val="0"/>
              <w:keepLines w:val="0"/>
              <w:pageBreakBefore w:val="0"/>
              <w:widowControl w:val="0"/>
              <w:numPr>
                <w:ilvl w:val="0"/>
                <w:numId w:val="4"/>
              </w:numPr>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default" w:ascii="Times New Roman" w:hAnsi="Times New Roman" w:cs="Times New Roman"/>
                <w:b w:val="0"/>
                <w:bCs w:val="0"/>
                <w:kern w:val="0"/>
                <w:sz w:val="24"/>
                <w:szCs w:val="24"/>
                <w:lang w:val="en-US" w:eastAsia="zh-CN"/>
              </w:rPr>
            </w:pPr>
            <w:r>
              <w:rPr>
                <w:rFonts w:hint="default" w:ascii="Times New Roman" w:hAnsi="Times New Roman" w:cs="Times New Roman"/>
                <w:b w:val="0"/>
                <w:bCs w:val="0"/>
                <w:kern w:val="0"/>
                <w:sz w:val="24"/>
                <w:szCs w:val="24"/>
                <w:lang w:val="en-US" w:eastAsia="zh-CN"/>
              </w:rPr>
              <w:t>采矿工艺</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default" w:ascii="Times New Roman" w:hAnsi="Times New Roman" w:cs="Times New Roman"/>
                <w:b w:val="0"/>
                <w:bCs w:val="0"/>
                <w:kern w:val="0"/>
                <w:sz w:val="24"/>
                <w:szCs w:val="24"/>
                <w:lang w:val="en-US" w:eastAsia="zh-CN"/>
              </w:rPr>
            </w:pPr>
            <w:r>
              <w:rPr>
                <w:rFonts w:hint="default" w:ascii="Times New Roman" w:hAnsi="Times New Roman" w:cs="Times New Roman"/>
                <w:b w:val="0"/>
                <w:bCs w:val="0"/>
                <w:kern w:val="0"/>
                <w:sz w:val="24"/>
                <w:szCs w:val="24"/>
                <w:lang w:val="en-US" w:eastAsia="zh-CN"/>
              </w:rPr>
              <w:t>营运期采矿工艺流程及产污节点详见下图。</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0" w:firstLineChars="0"/>
              <w:jc w:val="both"/>
              <w:textAlignment w:val="auto"/>
              <w:rPr>
                <w:rFonts w:hint="default" w:ascii="Times New Roman" w:hAnsi="Times New Roman" w:cs="Times New Roman"/>
                <w:b/>
                <w:bCs/>
                <w:kern w:val="0"/>
                <w:sz w:val="24"/>
                <w:szCs w:val="24"/>
                <w:lang w:val="en-US" w:eastAsia="zh-CN"/>
              </w:rPr>
            </w:pPr>
            <w:r>
              <w:rPr>
                <w:rFonts w:hint="default" w:ascii="Times New Roman" w:hAnsi="Times New Roman" w:cs="Times New Roman"/>
                <w:b/>
                <w:bCs/>
                <w:kern w:val="0"/>
                <w:sz w:val="24"/>
                <w:szCs w:val="24"/>
                <w:lang w:val="en-US" w:eastAsia="zh-CN"/>
              </w:rPr>
              <w:drawing>
                <wp:inline distT="0" distB="0" distL="114300" distR="114300">
                  <wp:extent cx="5120640" cy="4701540"/>
                  <wp:effectExtent l="0" t="0" r="3810" b="3810"/>
                  <wp:docPr id="59" name="图片 4"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图片 4" descr="图片"/>
                          <pic:cNvPicPr>
                            <a:picLocks noChangeAspect="1"/>
                          </pic:cNvPicPr>
                        </pic:nvPicPr>
                        <pic:blipFill>
                          <a:blip r:embed="rId13"/>
                          <a:stretch>
                            <a:fillRect/>
                          </a:stretch>
                        </pic:blipFill>
                        <pic:spPr>
                          <a:xfrm>
                            <a:off x="0" y="0"/>
                            <a:ext cx="5120640" cy="4701540"/>
                          </a:xfrm>
                          <a:prstGeom prst="rect">
                            <a:avLst/>
                          </a:prstGeom>
                          <a:noFill/>
                          <a:ln>
                            <a:noFill/>
                          </a:ln>
                        </pic:spPr>
                      </pic:pic>
                    </a:graphicData>
                  </a:graphic>
                </wp:inline>
              </w:drawing>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jc w:val="center"/>
              <w:textAlignment w:val="auto"/>
              <w:rPr>
                <w:rFonts w:hint="default" w:ascii="Times New Roman" w:hAnsi="Times New Roman" w:cs="Times New Roman"/>
                <w:b/>
                <w:bCs/>
                <w:color w:val="auto"/>
                <w:kern w:val="0"/>
                <w:sz w:val="24"/>
                <w:szCs w:val="24"/>
                <w:lang w:val="en-US" w:eastAsia="zh-CN" w:bidi="ar-SA"/>
              </w:rPr>
            </w:pPr>
            <w:r>
              <w:rPr>
                <w:rFonts w:hint="default" w:ascii="Times New Roman" w:hAnsi="Times New Roman" w:cs="Times New Roman"/>
                <w:b/>
                <w:bCs/>
                <w:color w:val="auto"/>
                <w:kern w:val="0"/>
                <w:sz w:val="24"/>
                <w:szCs w:val="24"/>
                <w:lang w:val="en-US" w:eastAsia="zh-CN" w:bidi="ar-SA"/>
              </w:rPr>
              <w:t>图2-1采矿工艺流程及产污节点图</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2" w:firstLineChars="200"/>
              <w:jc w:val="both"/>
              <w:textAlignment w:val="auto"/>
              <w:rPr>
                <w:rFonts w:hint="default" w:ascii="Times New Roman" w:hAnsi="Times New Roman" w:cs="Times New Roman"/>
                <w:b/>
                <w:bCs/>
                <w:color w:val="auto"/>
                <w:kern w:val="0"/>
                <w:sz w:val="24"/>
                <w:szCs w:val="24"/>
                <w:lang w:val="en-US" w:eastAsia="zh-CN" w:bidi="ar-SA"/>
              </w:rPr>
            </w:pPr>
            <w:r>
              <w:rPr>
                <w:rFonts w:hint="default" w:ascii="Times New Roman" w:hAnsi="Times New Roman" w:cs="Times New Roman"/>
                <w:b/>
                <w:bCs/>
                <w:color w:val="auto"/>
                <w:kern w:val="0"/>
                <w:sz w:val="24"/>
                <w:szCs w:val="24"/>
                <w:lang w:val="en-US" w:eastAsia="zh-CN" w:bidi="ar-SA"/>
              </w:rPr>
              <w:t>采矿工艺流程简述：</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default" w:ascii="Times New Roman" w:hAnsi="Times New Roman" w:cs="Times New Roman"/>
                <w:b w:val="0"/>
                <w:bCs w:val="0"/>
                <w:color w:val="auto"/>
                <w:kern w:val="0"/>
                <w:sz w:val="24"/>
                <w:szCs w:val="24"/>
                <w:lang w:val="en-US" w:eastAsia="zh-CN" w:bidi="ar-SA"/>
              </w:rPr>
            </w:pPr>
            <w:r>
              <w:rPr>
                <w:rFonts w:hint="default" w:ascii="Times New Roman" w:hAnsi="Times New Roman" w:cs="Times New Roman"/>
                <w:b w:val="0"/>
                <w:bCs w:val="0"/>
                <w:color w:val="auto"/>
                <w:kern w:val="0"/>
                <w:sz w:val="24"/>
                <w:szCs w:val="24"/>
                <w:lang w:val="en-US" w:eastAsia="zh-CN" w:bidi="ar-SA"/>
              </w:rPr>
              <w:t>①剥离表土</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default" w:ascii="Times New Roman" w:hAnsi="Times New Roman" w:cs="Times New Roman"/>
                <w:b w:val="0"/>
                <w:bCs w:val="0"/>
                <w:color w:val="auto"/>
                <w:kern w:val="0"/>
                <w:sz w:val="24"/>
                <w:szCs w:val="24"/>
                <w:lang w:val="en-US" w:eastAsia="zh-CN" w:bidi="ar-SA"/>
              </w:rPr>
            </w:pPr>
            <w:r>
              <w:rPr>
                <w:rFonts w:hint="default" w:ascii="Times New Roman" w:hAnsi="Times New Roman" w:cs="Times New Roman"/>
                <w:b w:val="0"/>
                <w:bCs w:val="0"/>
                <w:color w:val="auto"/>
                <w:kern w:val="0"/>
                <w:sz w:val="24"/>
                <w:szCs w:val="24"/>
                <w:lang w:val="en-US" w:eastAsia="zh-CN" w:bidi="ar-SA"/>
              </w:rPr>
              <w:t>本项目区内地表第四系覆盖层平均厚0.5m左右，采前剥离，对施工安全基本无影响，该项目表土剥离采用机械剥离，设备采用挖掘机，剥离工作面应超前采矿工作面一个台阶。鉴于矿山开采过程中，需对最终边坡平台进行覆土复绿，实现边开采边治理的目的，因此在矿山开采过程中需把覆盖于岩石表面的含腐殖质表土进行分采，运往表土堆土场堆放，用于矿山的生态环境恢复治理。根据矿山实际调查，综合开采技术条件考虑，表土堆土场设计在工业广场西侧。</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default" w:ascii="Times New Roman" w:hAnsi="Times New Roman" w:cs="Times New Roman"/>
                <w:b w:val="0"/>
                <w:bCs w:val="0"/>
                <w:color w:val="auto"/>
                <w:kern w:val="0"/>
                <w:sz w:val="24"/>
                <w:szCs w:val="24"/>
                <w:lang w:val="en-US" w:eastAsia="zh-CN" w:bidi="ar-SA"/>
              </w:rPr>
            </w:pPr>
            <w:r>
              <w:rPr>
                <w:rFonts w:hint="default" w:ascii="Times New Roman" w:hAnsi="Times New Roman" w:cs="Times New Roman"/>
                <w:b w:val="0"/>
                <w:bCs w:val="0"/>
                <w:color w:val="auto"/>
                <w:kern w:val="0"/>
                <w:sz w:val="24"/>
                <w:szCs w:val="24"/>
                <w:lang w:val="en-US" w:eastAsia="zh-CN" w:bidi="ar-SA"/>
              </w:rPr>
              <w:t>②凿岩穿孔</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default" w:ascii="Times New Roman" w:hAnsi="Times New Roman" w:cs="Times New Roman"/>
                <w:b w:val="0"/>
                <w:bCs w:val="0"/>
                <w:color w:val="auto"/>
                <w:kern w:val="0"/>
                <w:sz w:val="24"/>
                <w:szCs w:val="24"/>
                <w:lang w:val="en-US" w:eastAsia="zh-CN" w:bidi="ar-SA"/>
              </w:rPr>
            </w:pPr>
            <w:r>
              <w:rPr>
                <w:rFonts w:hint="default" w:ascii="Times New Roman" w:hAnsi="Times New Roman" w:cs="Times New Roman"/>
                <w:b w:val="0"/>
                <w:bCs w:val="0"/>
                <w:color w:val="auto"/>
                <w:kern w:val="0"/>
                <w:sz w:val="24"/>
                <w:szCs w:val="24"/>
                <w:lang w:val="en-US" w:eastAsia="zh-CN" w:bidi="ar-SA"/>
              </w:rPr>
              <w:t>爆破前需在岩石上钻炮孔，该过程有粉尘产生，为降低凿岩穿孔过程的粉尘产生量，本项目凿岩穿孔工艺采用《湖南省砂石骨料行业规范条件》（湘经信原材料[2018]10号）鼓励选用的湿式凿岩穿孔工艺，可有效降低凿岩穿孔过程的粉尘产生量。</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default" w:ascii="Times New Roman" w:hAnsi="Times New Roman" w:cs="Times New Roman"/>
                <w:b w:val="0"/>
                <w:bCs w:val="0"/>
                <w:color w:val="auto"/>
                <w:kern w:val="0"/>
                <w:sz w:val="24"/>
                <w:szCs w:val="24"/>
                <w:lang w:val="en-US" w:eastAsia="zh-CN" w:bidi="ar-SA"/>
              </w:rPr>
            </w:pPr>
            <w:r>
              <w:rPr>
                <w:rFonts w:hint="default" w:ascii="Times New Roman" w:hAnsi="Times New Roman" w:cs="Times New Roman"/>
                <w:b w:val="0"/>
                <w:bCs w:val="0"/>
                <w:color w:val="auto"/>
                <w:kern w:val="0"/>
                <w:sz w:val="24"/>
                <w:szCs w:val="24"/>
                <w:lang w:val="en-US" w:eastAsia="zh-CN" w:bidi="ar-SA"/>
              </w:rPr>
              <w:t>本项目钻孔形式采用倾斜布孔，炮孔倾角同工作台阶坡面角（65°）。设计选用液压潜孔钻机和KQY90潜孔钻机，孔径70mm，钻机穿孔效率每班约180m/班，可满足正常生产的要求，穿孔参数见下表。</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jc w:val="center"/>
              <w:textAlignment w:val="auto"/>
              <w:rPr>
                <w:rFonts w:hint="default" w:ascii="Times New Roman" w:hAnsi="Times New Roman" w:cs="Times New Roman"/>
                <w:b/>
                <w:bCs/>
                <w:color w:val="auto"/>
                <w:kern w:val="0"/>
                <w:sz w:val="24"/>
                <w:szCs w:val="24"/>
                <w:lang w:val="en-US" w:eastAsia="zh-CN" w:bidi="ar-SA"/>
              </w:rPr>
            </w:pPr>
            <w:r>
              <w:rPr>
                <w:rFonts w:hint="default" w:ascii="Times New Roman" w:hAnsi="Times New Roman" w:cs="Times New Roman"/>
                <w:b/>
                <w:bCs/>
                <w:color w:val="auto"/>
                <w:kern w:val="0"/>
                <w:sz w:val="24"/>
                <w:szCs w:val="24"/>
                <w:lang w:val="en-US" w:eastAsia="zh-CN" w:bidi="ar-SA"/>
              </w:rPr>
              <w:t>表2-6穿孔爆破参</w:t>
            </w:r>
          </w:p>
          <w:tbl>
            <w:tblPr>
              <w:tblStyle w:val="21"/>
              <w:tblW w:w="8164" w:type="dxa"/>
              <w:tblInd w:w="-1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0"/>
              <w:gridCol w:w="1360"/>
              <w:gridCol w:w="1361"/>
              <w:gridCol w:w="1361"/>
              <w:gridCol w:w="1361"/>
              <w:gridCol w:w="13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6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lang w:val="en-US" w:eastAsia="zh-CN"/>
                    </w:rPr>
                  </w:pPr>
                  <w:r>
                    <w:rPr>
                      <w:rFonts w:hint="default" w:ascii="Times New Roman" w:hAnsi="Times New Roman" w:cs="Times New Roman"/>
                      <w:b/>
                      <w:bCs/>
                      <w:lang w:val="en-US" w:eastAsia="zh-CN"/>
                    </w:rPr>
                    <w:t>名称（代号）</w:t>
                  </w:r>
                </w:p>
              </w:tc>
              <w:tc>
                <w:tcPr>
                  <w:tcW w:w="136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lang w:val="en-US" w:eastAsia="zh-CN"/>
                    </w:rPr>
                  </w:pPr>
                  <w:r>
                    <w:rPr>
                      <w:rFonts w:hint="default" w:ascii="Times New Roman" w:hAnsi="Times New Roman" w:cs="Times New Roman"/>
                      <w:b/>
                      <w:bCs/>
                      <w:lang w:val="en-US" w:eastAsia="zh-CN"/>
                    </w:rPr>
                    <w:t>单位</w:t>
                  </w:r>
                </w:p>
              </w:tc>
              <w:tc>
                <w:tcPr>
                  <w:tcW w:w="136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lang w:val="en-US" w:eastAsia="zh-CN"/>
                    </w:rPr>
                  </w:pPr>
                  <w:r>
                    <w:rPr>
                      <w:rFonts w:hint="default" w:ascii="Times New Roman" w:hAnsi="Times New Roman" w:cs="Times New Roman"/>
                      <w:b/>
                      <w:bCs/>
                      <w:lang w:val="en-US" w:eastAsia="zh-CN"/>
                    </w:rPr>
                    <w:t>数值</w:t>
                  </w:r>
                </w:p>
              </w:tc>
              <w:tc>
                <w:tcPr>
                  <w:tcW w:w="136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lang w:val="en-US" w:eastAsia="zh-CN"/>
                    </w:rPr>
                  </w:pPr>
                  <w:r>
                    <w:rPr>
                      <w:rFonts w:hint="default" w:ascii="Times New Roman" w:hAnsi="Times New Roman" w:cs="Times New Roman"/>
                      <w:b/>
                      <w:bCs/>
                      <w:lang w:val="en-US" w:eastAsia="zh-CN"/>
                    </w:rPr>
                    <w:t>名称（代号）</w:t>
                  </w:r>
                </w:p>
              </w:tc>
              <w:tc>
                <w:tcPr>
                  <w:tcW w:w="136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lang w:val="en-US" w:eastAsia="zh-CN"/>
                    </w:rPr>
                  </w:pPr>
                  <w:r>
                    <w:rPr>
                      <w:rFonts w:hint="default" w:ascii="Times New Roman" w:hAnsi="Times New Roman" w:cs="Times New Roman"/>
                      <w:b/>
                      <w:bCs/>
                      <w:lang w:val="en-US" w:eastAsia="zh-CN"/>
                    </w:rPr>
                    <w:t>单位</w:t>
                  </w:r>
                </w:p>
              </w:tc>
              <w:tc>
                <w:tcPr>
                  <w:tcW w:w="136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lang w:val="en-US" w:eastAsia="zh-CN"/>
                    </w:rPr>
                  </w:pPr>
                  <w:r>
                    <w:rPr>
                      <w:rFonts w:hint="default" w:ascii="Times New Roman" w:hAnsi="Times New Roman" w:cs="Times New Roman"/>
                      <w:b/>
                      <w:bCs/>
                      <w:lang w:val="en-US" w:eastAsia="zh-CN"/>
                    </w:rPr>
                    <w:t>数值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6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炮孔直径（D）</w:t>
                  </w:r>
                </w:p>
              </w:tc>
              <w:tc>
                <w:tcPr>
                  <w:tcW w:w="136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mm</w:t>
                  </w:r>
                </w:p>
              </w:tc>
              <w:tc>
                <w:tcPr>
                  <w:tcW w:w="136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70</w:t>
                  </w:r>
                </w:p>
              </w:tc>
              <w:tc>
                <w:tcPr>
                  <w:tcW w:w="136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炮孔长度（L）</w:t>
                  </w:r>
                </w:p>
              </w:tc>
              <w:tc>
                <w:tcPr>
                  <w:tcW w:w="136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m</w:t>
                  </w:r>
                </w:p>
              </w:tc>
              <w:tc>
                <w:tcPr>
                  <w:tcW w:w="136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16.5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6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台阶高度（H）</w:t>
                  </w:r>
                </w:p>
              </w:tc>
              <w:tc>
                <w:tcPr>
                  <w:tcW w:w="136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m</w:t>
                  </w:r>
                </w:p>
              </w:tc>
              <w:tc>
                <w:tcPr>
                  <w:tcW w:w="136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20</w:t>
                  </w:r>
                </w:p>
              </w:tc>
              <w:tc>
                <w:tcPr>
                  <w:tcW w:w="136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底盘抵抗线（Wd）</w:t>
                  </w:r>
                </w:p>
              </w:tc>
              <w:tc>
                <w:tcPr>
                  <w:tcW w:w="1361"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rPr>
                  </w:pPr>
                  <w:r>
                    <w:rPr>
                      <w:rFonts w:hint="default" w:ascii="Times New Roman" w:hAnsi="Times New Roman" w:eastAsia="宋体" w:cs="Times New Roman"/>
                      <w:color w:val="000000"/>
                      <w:kern w:val="0"/>
                      <w:sz w:val="20"/>
                      <w:szCs w:val="20"/>
                      <w:lang w:val="en-US" w:eastAsia="zh-CN" w:bidi="ar"/>
                    </w:rPr>
                    <w:t>m</w:t>
                  </w:r>
                </w:p>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p>
              </w:tc>
              <w:tc>
                <w:tcPr>
                  <w:tcW w:w="136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6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单位炸药消耗量（q）</w:t>
                  </w:r>
                </w:p>
              </w:tc>
              <w:tc>
                <w:tcPr>
                  <w:tcW w:w="136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kg/m3</w:t>
                  </w:r>
                </w:p>
              </w:tc>
              <w:tc>
                <w:tcPr>
                  <w:tcW w:w="136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0.4</w:t>
                  </w:r>
                </w:p>
              </w:tc>
              <w:tc>
                <w:tcPr>
                  <w:tcW w:w="136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单孔装药量（Q）</w:t>
                  </w:r>
                </w:p>
              </w:tc>
              <w:tc>
                <w:tcPr>
                  <w:tcW w:w="1361"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eastAsia="宋体" w:cs="Times New Roman"/>
                      <w:color w:val="000000"/>
                      <w:kern w:val="0"/>
                      <w:sz w:val="20"/>
                      <w:szCs w:val="20"/>
                      <w:lang w:val="en-US" w:eastAsia="zh-CN" w:bidi="ar"/>
                    </w:rPr>
                    <w:t>kg</w:t>
                  </w:r>
                </w:p>
              </w:tc>
              <w:tc>
                <w:tcPr>
                  <w:tcW w:w="136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90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6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钻孔倾角（α）</w:t>
                  </w:r>
                </w:p>
              </w:tc>
              <w:tc>
                <w:tcPr>
                  <w:tcW w:w="136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度</w:t>
                  </w:r>
                </w:p>
              </w:tc>
              <w:tc>
                <w:tcPr>
                  <w:tcW w:w="136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65</w:t>
                  </w:r>
                </w:p>
              </w:tc>
              <w:tc>
                <w:tcPr>
                  <w:tcW w:w="136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排距（b）</w:t>
                  </w:r>
                </w:p>
              </w:tc>
              <w:tc>
                <w:tcPr>
                  <w:tcW w:w="1361"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eastAsia="宋体" w:cs="Times New Roman"/>
                      <w:color w:val="000000"/>
                      <w:kern w:val="0"/>
                      <w:sz w:val="20"/>
                      <w:szCs w:val="20"/>
                      <w:lang w:val="en-US" w:eastAsia="zh-CN" w:bidi="ar"/>
                    </w:rPr>
                    <w:t>m</w:t>
                  </w:r>
                </w:p>
              </w:tc>
              <w:tc>
                <w:tcPr>
                  <w:tcW w:w="136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6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超深</w:t>
                  </w:r>
                </w:p>
              </w:tc>
              <w:tc>
                <w:tcPr>
                  <w:tcW w:w="136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m</w:t>
                  </w:r>
                </w:p>
              </w:tc>
              <w:tc>
                <w:tcPr>
                  <w:tcW w:w="136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1</w:t>
                  </w:r>
                </w:p>
              </w:tc>
              <w:tc>
                <w:tcPr>
                  <w:tcW w:w="136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孔距（a）</w:t>
                  </w:r>
                </w:p>
              </w:tc>
              <w:tc>
                <w:tcPr>
                  <w:tcW w:w="136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m</w:t>
                  </w:r>
                </w:p>
              </w:tc>
              <w:tc>
                <w:tcPr>
                  <w:tcW w:w="136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5</w:t>
                  </w:r>
                </w:p>
              </w:tc>
            </w:tr>
          </w:tbl>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default" w:ascii="Times New Roman" w:hAnsi="Times New Roman" w:cs="Times New Roman"/>
                <w:b w:val="0"/>
                <w:bCs w:val="0"/>
                <w:color w:val="000000" w:themeColor="text1"/>
                <w:kern w:val="0"/>
                <w:sz w:val="24"/>
                <w:szCs w:val="24"/>
                <w:lang w:val="en-US" w:eastAsia="zh-CN" w:bidi="ar-SA"/>
                <w14:textFill>
                  <w14:solidFill>
                    <w14:schemeClr w14:val="tx1"/>
                  </w14:solidFill>
                </w14:textFill>
              </w:rPr>
            </w:pPr>
            <w:r>
              <w:rPr>
                <w:rFonts w:hint="default" w:ascii="Times New Roman" w:hAnsi="Times New Roman" w:cs="Times New Roman"/>
                <w:b w:val="0"/>
                <w:bCs w:val="0"/>
                <w:color w:val="000000" w:themeColor="text1"/>
                <w:kern w:val="0"/>
                <w:sz w:val="24"/>
                <w:szCs w:val="24"/>
                <w:lang w:val="en-US" w:eastAsia="zh-CN" w:bidi="ar-SA"/>
                <w14:textFill>
                  <w14:solidFill>
                    <w14:schemeClr w14:val="tx1"/>
                  </w14:solidFill>
                </w14:textFill>
              </w:rPr>
              <w:t>③爆破</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default" w:ascii="Times New Roman" w:hAnsi="Times New Roman" w:cs="Times New Roman"/>
                <w:b w:val="0"/>
                <w:bCs w:val="0"/>
                <w:color w:val="000000" w:themeColor="text1"/>
                <w:kern w:val="0"/>
                <w:sz w:val="24"/>
                <w:szCs w:val="24"/>
                <w:lang w:val="en-US" w:eastAsia="zh-CN" w:bidi="ar-SA"/>
                <w14:textFill>
                  <w14:solidFill>
                    <w14:schemeClr w14:val="tx1"/>
                  </w14:solidFill>
                </w14:textFill>
              </w:rPr>
            </w:pPr>
            <w:r>
              <w:rPr>
                <w:rFonts w:hint="default" w:ascii="Times New Roman" w:hAnsi="Times New Roman" w:cs="Times New Roman"/>
                <w:b w:val="0"/>
                <w:bCs w:val="0"/>
                <w:color w:val="000000" w:themeColor="text1"/>
                <w:kern w:val="0"/>
                <w:sz w:val="24"/>
                <w:szCs w:val="24"/>
                <w:lang w:val="en-US" w:eastAsia="zh-CN" w:bidi="ar-SA"/>
                <w14:textFill>
                  <w14:solidFill>
                    <w14:schemeClr w14:val="tx1"/>
                  </w14:solidFill>
                </w14:textFill>
              </w:rPr>
              <w:t>矿山爆破工作拟与爆破公司签订爆破合同，由爆破公司负责运送、装药、爆破工作。本矿山按照《矿山爆破方案》相关参数沿开采水平工作线方向成排穿孔、装药、爆破，爆破后矿石崩落在各相应开采平台，爆破后即可得到片石产品，通过装载机转运至堆场。在爆破工序中采用电镭管引爆，爆破过程的化学反应方程式如下：</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jc w:val="center"/>
              <w:textAlignment w:val="auto"/>
              <w:rPr>
                <w:rFonts w:hint="default" w:ascii="Times New Roman" w:hAnsi="Times New Roman" w:cs="Times New Roman"/>
                <w:b w:val="0"/>
                <w:bCs w:val="0"/>
                <w:color w:val="000000" w:themeColor="text1"/>
                <w:kern w:val="0"/>
                <w:sz w:val="24"/>
                <w:szCs w:val="24"/>
                <w:lang w:val="en-US" w:eastAsia="zh-CN" w:bidi="ar-SA"/>
                <w14:textFill>
                  <w14:solidFill>
                    <w14:schemeClr w14:val="tx1"/>
                  </w14:solidFill>
                </w14:textFill>
              </w:rPr>
            </w:pPr>
            <w:r>
              <w:rPr>
                <w:rFonts w:hint="default" w:ascii="Times New Roman" w:hAnsi="Times New Roman" w:cs="Times New Roman"/>
                <w:b w:val="0"/>
                <w:bCs w:val="0"/>
                <w:color w:val="000000" w:themeColor="text1"/>
                <w:kern w:val="0"/>
                <w:sz w:val="24"/>
                <w:szCs w:val="24"/>
                <w:lang w:val="en-US" w:eastAsia="zh-CN" w:bidi="ar-SA"/>
                <w14:textFill>
                  <w14:solidFill>
                    <w14:schemeClr w14:val="tx1"/>
                  </w14:solidFill>
                </w14:textFill>
              </w:rPr>
              <w:t>NH</w:t>
            </w:r>
            <w:r>
              <w:rPr>
                <w:rFonts w:hint="default" w:ascii="Times New Roman" w:hAnsi="Times New Roman" w:cs="Times New Roman"/>
                <w:b w:val="0"/>
                <w:bCs w:val="0"/>
                <w:color w:val="000000" w:themeColor="text1"/>
                <w:kern w:val="0"/>
                <w:sz w:val="24"/>
                <w:szCs w:val="24"/>
                <w:vertAlign w:val="subscript"/>
                <w:lang w:val="en-US" w:eastAsia="zh-CN" w:bidi="ar-SA"/>
                <w14:textFill>
                  <w14:solidFill>
                    <w14:schemeClr w14:val="tx1"/>
                  </w14:solidFill>
                </w14:textFill>
              </w:rPr>
              <w:t>4</w:t>
            </w:r>
            <w:r>
              <w:rPr>
                <w:rFonts w:hint="default" w:ascii="Times New Roman" w:hAnsi="Times New Roman" w:cs="Times New Roman"/>
                <w:b w:val="0"/>
                <w:bCs w:val="0"/>
                <w:color w:val="000000" w:themeColor="text1"/>
                <w:kern w:val="0"/>
                <w:sz w:val="24"/>
                <w:szCs w:val="24"/>
                <w:lang w:val="en-US" w:eastAsia="zh-CN" w:bidi="ar-SA"/>
                <w14:textFill>
                  <w14:solidFill>
                    <w14:schemeClr w14:val="tx1"/>
                  </w14:solidFill>
                </w14:textFill>
              </w:rPr>
              <w:t>NO</w:t>
            </w:r>
            <w:r>
              <w:rPr>
                <w:rFonts w:hint="default" w:ascii="Times New Roman" w:hAnsi="Times New Roman" w:cs="Times New Roman"/>
                <w:b w:val="0"/>
                <w:bCs w:val="0"/>
                <w:color w:val="000000" w:themeColor="text1"/>
                <w:kern w:val="0"/>
                <w:sz w:val="24"/>
                <w:szCs w:val="24"/>
                <w:vertAlign w:val="subscript"/>
                <w:lang w:val="en-US" w:eastAsia="zh-CN" w:bidi="ar-SA"/>
                <w14:textFill>
                  <w14:solidFill>
                    <w14:schemeClr w14:val="tx1"/>
                  </w14:solidFill>
                </w14:textFill>
              </w:rPr>
              <w:t>3</w:t>
            </w:r>
            <w:r>
              <w:rPr>
                <w:rFonts w:hint="default" w:ascii="Times New Roman" w:hAnsi="Times New Roman" w:cs="Times New Roman"/>
                <w:b w:val="0"/>
                <w:bCs w:val="0"/>
                <w:color w:val="000000" w:themeColor="text1"/>
                <w:kern w:val="0"/>
                <w:sz w:val="24"/>
                <w:szCs w:val="24"/>
                <w:lang w:val="en-US" w:eastAsia="zh-CN" w:bidi="ar-SA"/>
                <w14:textFill>
                  <w14:solidFill>
                    <w14:schemeClr w14:val="tx1"/>
                  </w14:solidFill>
                </w14:textFill>
              </w:rPr>
              <w:t>→H</w:t>
            </w:r>
            <w:r>
              <w:rPr>
                <w:rFonts w:hint="default" w:ascii="Times New Roman" w:hAnsi="Times New Roman" w:cs="Times New Roman"/>
                <w:b w:val="0"/>
                <w:bCs w:val="0"/>
                <w:color w:val="000000" w:themeColor="text1"/>
                <w:kern w:val="0"/>
                <w:sz w:val="24"/>
                <w:szCs w:val="24"/>
                <w:vertAlign w:val="subscript"/>
                <w:lang w:val="en-US" w:eastAsia="zh-CN" w:bidi="ar-SA"/>
                <w14:textFill>
                  <w14:solidFill>
                    <w14:schemeClr w14:val="tx1"/>
                  </w14:solidFill>
                </w14:textFill>
              </w:rPr>
              <w:t>2</w:t>
            </w:r>
            <w:r>
              <w:rPr>
                <w:rFonts w:hint="default" w:ascii="Times New Roman" w:hAnsi="Times New Roman" w:cs="Times New Roman"/>
                <w:b w:val="0"/>
                <w:bCs w:val="0"/>
                <w:color w:val="000000" w:themeColor="text1"/>
                <w:kern w:val="0"/>
                <w:sz w:val="24"/>
                <w:szCs w:val="24"/>
                <w:lang w:val="en-US" w:eastAsia="zh-CN" w:bidi="ar-SA"/>
                <w14:textFill>
                  <w14:solidFill>
                    <w14:schemeClr w14:val="tx1"/>
                  </w14:solidFill>
                </w14:textFill>
              </w:rPr>
              <w:t>O+NOx↑</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default" w:ascii="Times New Roman" w:hAnsi="Times New Roman" w:cs="Times New Roman"/>
                <w:b w:val="0"/>
                <w:bCs w:val="0"/>
                <w:color w:val="000000" w:themeColor="text1"/>
                <w:kern w:val="0"/>
                <w:sz w:val="24"/>
                <w:szCs w:val="24"/>
                <w:lang w:val="en-US" w:eastAsia="zh-CN" w:bidi="ar-SA"/>
                <w14:textFill>
                  <w14:solidFill>
                    <w14:schemeClr w14:val="tx1"/>
                  </w14:solidFill>
                </w14:textFill>
              </w:rPr>
            </w:pPr>
            <w:r>
              <w:rPr>
                <w:rFonts w:hint="default" w:ascii="Times New Roman" w:hAnsi="Times New Roman" w:cs="Times New Roman"/>
                <w:b w:val="0"/>
                <w:bCs w:val="0"/>
                <w:color w:val="000000" w:themeColor="text1"/>
                <w:kern w:val="0"/>
                <w:sz w:val="24"/>
                <w:szCs w:val="24"/>
                <w:lang w:val="en-US" w:eastAsia="zh-CN" w:bidi="ar-SA"/>
                <w14:textFill>
                  <w14:solidFill>
                    <w14:schemeClr w14:val="tx1"/>
                  </w14:solidFill>
                </w14:textFill>
              </w:rPr>
              <w:t>在镭管引爆下，硝酸铵在瞬时分解并产生大量的热和一氧化二氮等气体，从而产生了爆破现象。爆破要素详见下表。</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jc w:val="center"/>
              <w:textAlignment w:val="auto"/>
              <w:rPr>
                <w:rFonts w:hint="default" w:ascii="Times New Roman" w:hAnsi="Times New Roman" w:cs="Times New Roman"/>
                <w:b/>
                <w:bCs/>
                <w:color w:val="auto"/>
                <w:kern w:val="0"/>
                <w:sz w:val="24"/>
                <w:szCs w:val="24"/>
                <w:lang w:val="en-US" w:eastAsia="zh-CN" w:bidi="ar-SA"/>
              </w:rPr>
            </w:pPr>
            <w:r>
              <w:rPr>
                <w:rFonts w:hint="default" w:ascii="Times New Roman" w:hAnsi="Times New Roman" w:cs="Times New Roman"/>
                <w:b/>
                <w:bCs/>
                <w:color w:val="auto"/>
                <w:kern w:val="0"/>
                <w:sz w:val="24"/>
                <w:szCs w:val="24"/>
                <w:lang w:val="en-US" w:eastAsia="zh-CN" w:bidi="ar-SA"/>
              </w:rPr>
              <w:t>表2-7爆破要素表</w:t>
            </w:r>
          </w:p>
          <w:tbl>
            <w:tblPr>
              <w:tblStyle w:val="21"/>
              <w:tblW w:w="8164" w:type="dxa"/>
              <w:tblInd w:w="-1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40"/>
              <w:gridCol w:w="1687"/>
              <w:gridCol w:w="1687"/>
              <w:gridCol w:w="33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4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要素</w:t>
                  </w:r>
                </w:p>
              </w:tc>
              <w:tc>
                <w:tcPr>
                  <w:tcW w:w="6724" w:type="dxa"/>
                  <w:gridSpan w:val="3"/>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4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爆破材料</w:t>
                  </w:r>
                </w:p>
              </w:tc>
              <w:tc>
                <w:tcPr>
                  <w:tcW w:w="6724" w:type="dxa"/>
                  <w:gridSpan w:val="3"/>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铵油炸药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4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起爆材料</w:t>
                  </w:r>
                </w:p>
              </w:tc>
              <w:tc>
                <w:tcPr>
                  <w:tcW w:w="6724" w:type="dxa"/>
                  <w:gridSpan w:val="3"/>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非电导爆管延时起爆系统，高能起爆器起爆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4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爆破方法</w:t>
                  </w:r>
                </w:p>
              </w:tc>
              <w:tc>
                <w:tcPr>
                  <w:tcW w:w="6724" w:type="dxa"/>
                  <w:gridSpan w:val="3"/>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采用中深孔多排延时爆破方法，延时爆破可改善爆破效果，减少飞石，保证爆破施工作业安全。同时，以减少爆破次数和环境相对安静。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4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爆破参数</w:t>
                  </w:r>
                </w:p>
              </w:tc>
              <w:tc>
                <w:tcPr>
                  <w:tcW w:w="6724" w:type="dxa"/>
                  <w:gridSpan w:val="3"/>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爆破参数的确定对爆破效果将产生直接影响，受穿孔设备能力和台阶参数、</w:t>
                  </w:r>
                </w:p>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爆后块度要求等因素限定。生产中可按开发利用方案中设计的参数进行试爆，并依据试爆结果、结合生产实践进行调整与完善。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4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最终边坡</w:t>
                  </w:r>
                </w:p>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爆破</w:t>
                  </w:r>
                </w:p>
              </w:tc>
              <w:tc>
                <w:tcPr>
                  <w:tcW w:w="6724" w:type="dxa"/>
                  <w:gridSpan w:val="3"/>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最终边坡爆破宜采用预裂技术。在实际生产中应委托有资质的单位编制爆破设计，做必要的实验、测试，以便找出最适合本项目的最终边坡爆破参数。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40" w:type="dxa"/>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爆破安全</w:t>
                  </w:r>
                </w:p>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警戒</w:t>
                  </w:r>
                </w:p>
              </w:tc>
              <w:tc>
                <w:tcPr>
                  <w:tcW w:w="6724" w:type="dxa"/>
                  <w:gridSpan w:val="3"/>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根据《爆破安全规程》（GB6722-2003）规定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40"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p>
              </w:tc>
              <w:tc>
                <w:tcPr>
                  <w:tcW w:w="3374" w:type="dxa"/>
                  <w:gridSpan w:val="2"/>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放炮（爆破）类型和方法</w:t>
                  </w:r>
                </w:p>
              </w:tc>
              <w:tc>
                <w:tcPr>
                  <w:tcW w:w="335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个别飞散物的最小安全允许距离（m）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40"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p>
              </w:tc>
              <w:tc>
                <w:tcPr>
                  <w:tcW w:w="1687"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露天岩土爆破</w:t>
                  </w:r>
                </w:p>
              </w:tc>
              <w:tc>
                <w:tcPr>
                  <w:tcW w:w="1687"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深孔爆破</w:t>
                  </w:r>
                </w:p>
              </w:tc>
              <w:tc>
                <w:tcPr>
                  <w:tcW w:w="335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按设计，但不小于200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40"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p>
              </w:tc>
              <w:tc>
                <w:tcPr>
                  <w:tcW w:w="1687"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采场边坡修整</w:t>
                  </w:r>
                </w:p>
              </w:tc>
              <w:tc>
                <w:tcPr>
                  <w:tcW w:w="1687"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浅孔穿爆</w:t>
                  </w:r>
                </w:p>
              </w:tc>
              <w:tc>
                <w:tcPr>
                  <w:tcW w:w="335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按设计，但不小于300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40"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p>
              </w:tc>
              <w:tc>
                <w:tcPr>
                  <w:tcW w:w="6724" w:type="dxa"/>
                  <w:gridSpan w:val="3"/>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沿山坡爆破时，下坡方向的飞石安全允许距离应增大50%</w:t>
                  </w:r>
                </w:p>
              </w:tc>
            </w:tr>
          </w:tbl>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eastAsia" w:ascii="Calibri" w:hAnsi="Calibri" w:cs="Times New Roman"/>
                <w:b w:val="0"/>
                <w:bCs w:val="0"/>
                <w:color w:val="000000" w:themeColor="text1"/>
                <w:kern w:val="0"/>
                <w:sz w:val="24"/>
                <w:szCs w:val="24"/>
                <w:lang w:val="en-US" w:eastAsia="zh-CN" w:bidi="ar-SA"/>
                <w14:textFill>
                  <w14:solidFill>
                    <w14:schemeClr w14:val="tx1"/>
                  </w14:solidFill>
                </w14:textFill>
              </w:rPr>
            </w:pPr>
            <w:r>
              <w:rPr>
                <w:rFonts w:hint="eastAsia" w:ascii="Calibri" w:hAnsi="Calibri" w:cs="Times New Roman"/>
                <w:b w:val="0"/>
                <w:bCs w:val="0"/>
                <w:color w:val="000000" w:themeColor="text1"/>
                <w:kern w:val="0"/>
                <w:sz w:val="24"/>
                <w:szCs w:val="24"/>
                <w:lang w:val="en-US" w:eastAsia="zh-CN" w:bidi="ar-SA"/>
                <w14:textFill>
                  <w14:solidFill>
                    <w14:schemeClr w14:val="tx1"/>
                  </w14:solidFill>
                </w14:textFill>
              </w:rPr>
              <w:t>④铲装运输</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eastAsia" w:ascii="Calibri" w:hAnsi="Calibri" w:cs="Times New Roman"/>
                <w:b w:val="0"/>
                <w:bCs w:val="0"/>
                <w:color w:val="000000" w:themeColor="text1"/>
                <w:kern w:val="0"/>
                <w:sz w:val="24"/>
                <w:szCs w:val="24"/>
                <w:lang w:val="en-US" w:eastAsia="zh-CN" w:bidi="ar-SA"/>
                <w14:textFill>
                  <w14:solidFill>
                    <w14:schemeClr w14:val="tx1"/>
                  </w14:solidFill>
                </w14:textFill>
              </w:rPr>
            </w:pPr>
            <w:r>
              <w:rPr>
                <w:rFonts w:hint="eastAsia" w:ascii="Calibri" w:hAnsi="Calibri" w:cs="Times New Roman"/>
                <w:b w:val="0"/>
                <w:bCs w:val="0"/>
                <w:color w:val="000000" w:themeColor="text1"/>
                <w:kern w:val="0"/>
                <w:sz w:val="24"/>
                <w:szCs w:val="24"/>
                <w:lang w:val="en-US" w:eastAsia="zh-CN" w:bidi="ar-SA"/>
                <w14:textFill>
                  <w14:solidFill>
                    <w14:schemeClr w14:val="tx1"/>
                  </w14:solidFill>
                </w14:textFill>
              </w:rPr>
              <w:t>采用挖掘机车运输装载，大部分矿体通过挖掘机装载运输。挖掘机选用斗容1.0m3的设备作为铲装设备，运输设备为30吨矿用自卸车辆。</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eastAsia" w:ascii="Calibri" w:hAnsi="Calibri" w:cs="Times New Roman"/>
                <w:b w:val="0"/>
                <w:bCs w:val="0"/>
                <w:color w:val="000000" w:themeColor="text1"/>
                <w:kern w:val="0"/>
                <w:sz w:val="24"/>
                <w:szCs w:val="24"/>
                <w:lang w:val="en-US" w:eastAsia="zh-CN" w:bidi="ar-SA"/>
                <w14:textFill>
                  <w14:solidFill>
                    <w14:schemeClr w14:val="tx1"/>
                  </w14:solidFill>
                </w14:textFill>
              </w:rPr>
            </w:pPr>
            <w:r>
              <w:rPr>
                <w:rFonts w:hint="eastAsia" w:ascii="Calibri" w:hAnsi="Calibri" w:cs="Times New Roman"/>
                <w:b w:val="0"/>
                <w:bCs w:val="0"/>
                <w:color w:val="000000" w:themeColor="text1"/>
                <w:kern w:val="0"/>
                <w:sz w:val="24"/>
                <w:szCs w:val="24"/>
                <w:lang w:val="en-US" w:eastAsia="zh-CN" w:bidi="ar-SA"/>
                <w14:textFill>
                  <w14:solidFill>
                    <w14:schemeClr w14:val="tx1"/>
                  </w14:solidFill>
                </w14:textFill>
              </w:rPr>
              <w:t>（2）破碎、筛分、制砂工艺</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eastAsia" w:ascii="Calibri" w:hAnsi="Calibri" w:cs="Times New Roman"/>
                <w:b w:val="0"/>
                <w:bCs w:val="0"/>
                <w:color w:val="000000" w:themeColor="text1"/>
                <w:kern w:val="0"/>
                <w:sz w:val="24"/>
                <w:szCs w:val="24"/>
                <w:lang w:val="en-US" w:eastAsia="zh-CN" w:bidi="ar-SA"/>
                <w14:textFill>
                  <w14:solidFill>
                    <w14:schemeClr w14:val="tx1"/>
                  </w14:solidFill>
                </w14:textFill>
              </w:rPr>
            </w:pPr>
            <w:r>
              <w:rPr>
                <w:rFonts w:hint="eastAsia" w:ascii="Calibri" w:hAnsi="Calibri" w:cs="Times New Roman"/>
                <w:b w:val="0"/>
                <w:bCs w:val="0"/>
                <w:color w:val="000000" w:themeColor="text1"/>
                <w:kern w:val="0"/>
                <w:sz w:val="24"/>
                <w:szCs w:val="24"/>
                <w:lang w:val="en-US" w:eastAsia="zh-CN" w:bidi="ar-SA"/>
                <w14:textFill>
                  <w14:solidFill>
                    <w14:schemeClr w14:val="tx1"/>
                  </w14:solidFill>
                </w14:textFill>
              </w:rPr>
              <w:t>本项目破碎、筛分、制砂工艺及产污节点详见下图。</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jc w:val="both"/>
              <w:textAlignment w:val="auto"/>
              <w:rPr>
                <w:rFonts w:hint="eastAsia" w:ascii="Calibri" w:hAnsi="Calibri" w:cs="Times New Roman"/>
                <w:b w:val="0"/>
                <w:bCs w:val="0"/>
                <w:color w:val="000000" w:themeColor="text1"/>
                <w:kern w:val="0"/>
                <w:sz w:val="24"/>
                <w:szCs w:val="24"/>
                <w:lang w:val="en-US" w:eastAsia="zh-CN" w:bidi="ar-SA"/>
                <w14:textFill>
                  <w14:solidFill>
                    <w14:schemeClr w14:val="tx1"/>
                  </w14:solidFill>
                </w14:textFill>
              </w:rPr>
            </w:pPr>
            <w:r>
              <w:rPr>
                <w:rFonts w:hint="eastAsia" w:ascii="Calibri" w:hAnsi="Calibri" w:cs="Times New Roman"/>
                <w:b w:val="0"/>
                <w:bCs w:val="0"/>
                <w:color w:val="000000" w:themeColor="text1"/>
                <w:kern w:val="0"/>
                <w:sz w:val="24"/>
                <w:szCs w:val="24"/>
                <w:lang w:val="en-US" w:eastAsia="zh-CN" w:bidi="ar-SA"/>
                <w14:textFill>
                  <w14:solidFill>
                    <w14:schemeClr w14:val="tx1"/>
                  </w14:solidFill>
                </w14:textFill>
              </w:rPr>
              <w:drawing>
                <wp:inline distT="0" distB="0" distL="114300" distR="114300">
                  <wp:extent cx="5184140" cy="5257800"/>
                  <wp:effectExtent l="0" t="0" r="0" b="0"/>
                  <wp:docPr id="60" name="图片 3" descr="未命名文件(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图片 3" descr="未命名文件(41)"/>
                          <pic:cNvPicPr>
                            <a:picLocks noChangeAspect="1"/>
                          </pic:cNvPicPr>
                        </pic:nvPicPr>
                        <pic:blipFill>
                          <a:blip r:embed="rId14"/>
                          <a:stretch>
                            <a:fillRect/>
                          </a:stretch>
                        </pic:blipFill>
                        <pic:spPr>
                          <a:xfrm>
                            <a:off x="0" y="0"/>
                            <a:ext cx="5184140" cy="5257800"/>
                          </a:xfrm>
                          <a:prstGeom prst="rect">
                            <a:avLst/>
                          </a:prstGeom>
                          <a:noFill/>
                          <a:ln>
                            <a:noFill/>
                          </a:ln>
                        </pic:spPr>
                      </pic:pic>
                    </a:graphicData>
                  </a:graphic>
                </wp:inline>
              </w:drawing>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jc w:val="center"/>
              <w:textAlignment w:val="auto"/>
              <w:rPr>
                <w:rFonts w:hint="default" w:ascii="Calibri" w:hAnsi="Calibri" w:cs="Times New Roman"/>
                <w:b/>
                <w:bCs/>
                <w:color w:val="000000" w:themeColor="text1"/>
                <w:kern w:val="0"/>
                <w:sz w:val="21"/>
                <w:szCs w:val="21"/>
                <w:lang w:val="en-US" w:eastAsia="zh-CN" w:bidi="ar-SA"/>
                <w14:textFill>
                  <w14:solidFill>
                    <w14:schemeClr w14:val="tx1"/>
                  </w14:solidFill>
                </w14:textFill>
              </w:rPr>
            </w:pPr>
            <w:r>
              <w:rPr>
                <w:rFonts w:hint="eastAsia" w:ascii="Calibri" w:hAnsi="Calibri" w:cs="Times New Roman"/>
                <w:b/>
                <w:bCs/>
                <w:color w:val="000000" w:themeColor="text1"/>
                <w:kern w:val="0"/>
                <w:sz w:val="21"/>
                <w:szCs w:val="21"/>
                <w:lang w:val="en-US" w:eastAsia="zh-CN" w:bidi="ar-SA"/>
                <w14:textFill>
                  <w14:solidFill>
                    <w14:schemeClr w14:val="tx1"/>
                  </w14:solidFill>
                </w14:textFill>
              </w:rPr>
              <w:t>图2-1破碎、筛分、制砂工艺及产污节点图</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eastAsia" w:ascii="Calibri" w:hAnsi="Calibri" w:cs="Times New Roman"/>
                <w:b w:val="0"/>
                <w:bCs w:val="0"/>
                <w:color w:val="000000" w:themeColor="text1"/>
                <w:kern w:val="0"/>
                <w:sz w:val="24"/>
                <w:szCs w:val="24"/>
                <w:lang w:val="en-US" w:eastAsia="zh-CN" w:bidi="ar-SA"/>
                <w14:textFill>
                  <w14:solidFill>
                    <w14:schemeClr w14:val="tx1"/>
                  </w14:solidFill>
                </w14:textFill>
              </w:rPr>
            </w:pPr>
            <w:r>
              <w:rPr>
                <w:rFonts w:hint="eastAsia" w:ascii="Calibri" w:hAnsi="Calibri" w:cs="Times New Roman"/>
                <w:b w:val="0"/>
                <w:bCs w:val="0"/>
                <w:color w:val="000000" w:themeColor="text1"/>
                <w:kern w:val="0"/>
                <w:sz w:val="24"/>
                <w:szCs w:val="24"/>
                <w:lang w:val="en-US" w:eastAsia="zh-CN" w:bidi="ar-SA"/>
                <w14:textFill>
                  <w14:solidFill>
                    <w14:schemeClr w14:val="tx1"/>
                  </w14:solidFill>
                </w14:textFill>
              </w:rPr>
              <w:t>加工车间工艺流程简述：</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eastAsia" w:ascii="Calibri" w:hAnsi="Calibri" w:cs="Times New Roman"/>
                <w:b w:val="0"/>
                <w:bCs w:val="0"/>
                <w:color w:val="000000" w:themeColor="text1"/>
                <w:kern w:val="0"/>
                <w:sz w:val="24"/>
                <w:szCs w:val="24"/>
                <w:lang w:val="en-US" w:eastAsia="zh-CN" w:bidi="ar-SA"/>
                <w14:textFill>
                  <w14:solidFill>
                    <w14:schemeClr w14:val="tx1"/>
                  </w14:solidFill>
                </w14:textFill>
              </w:rPr>
            </w:pPr>
            <w:r>
              <w:rPr>
                <w:rFonts w:hint="eastAsia" w:ascii="Calibri" w:hAnsi="Calibri" w:cs="Times New Roman"/>
                <w:b w:val="0"/>
                <w:bCs w:val="0"/>
                <w:color w:val="000000" w:themeColor="text1"/>
                <w:kern w:val="0"/>
                <w:sz w:val="24"/>
                <w:szCs w:val="24"/>
                <w:lang w:val="en-US" w:eastAsia="zh-CN" w:bidi="ar-SA"/>
                <w14:textFill>
                  <w14:solidFill>
                    <w14:schemeClr w14:val="tx1"/>
                  </w14:solidFill>
                </w14:textFill>
              </w:rPr>
              <w:t>本项目设有加工车间、堆料厂房，项目爆破产生的块石用装载机和矿用自卸车辆转运至工业广场中颚式破碎机的进料斗中进行一破，一破得到的初产品通过皮带输送机进入强击式破碎机进行二破，二破得到的产品经过皮带输送机运至振动筛中进行筛分，筛分得到混合料、0-5石子以及石粉，不合格料继续返回二破继续破碎以满足要求，0-5石子以及石粉直接作为产品通过传送带进入对料厂房待售；混合料进入中转仓用于制砂。项目在落料口进行雾化洒水措施，混合料经制砂机后进入振动筛选粉，选粉得到精品砂、1-2骨料、1-3骨料，不合格品继续返回中转仓，精品砂直接作为产品经皮带运输进入堆料厂房，1-2骨料、1-3骨料通过皮带输送机进入下一步筛分，进一步区分1-2骨料和1-3骨料，筛分出来后分别进入堆料厂房。</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jc w:val="both"/>
              <w:textAlignment w:val="auto"/>
              <w:rPr>
                <w:rFonts w:hint="default" w:ascii="Calibri" w:hAnsi="Calibri" w:cs="Times New Roman"/>
                <w:b w:val="0"/>
                <w:bCs w:val="0"/>
                <w:color w:val="000000" w:themeColor="text1"/>
                <w:kern w:val="0"/>
                <w:sz w:val="24"/>
                <w:szCs w:val="24"/>
                <w:lang w:val="en-US" w:eastAsia="zh-CN" w:bidi="ar-SA"/>
                <w14:textFill>
                  <w14:solidFill>
                    <w14:schemeClr w14:val="tx1"/>
                  </w14:solidFill>
                </w14:textFill>
              </w:rPr>
            </w:pPr>
            <w:r>
              <w:rPr>
                <w:rFonts w:hint="eastAsia" w:ascii="Calibri" w:hAnsi="Calibri" w:cs="Times New Roman"/>
                <w:b w:val="0"/>
                <w:bCs w:val="0"/>
                <w:color w:val="000000" w:themeColor="text1"/>
                <w:kern w:val="0"/>
                <w:sz w:val="24"/>
                <w:szCs w:val="24"/>
                <w:lang w:val="en-US" w:eastAsia="zh-CN" w:bidi="ar-SA"/>
                <w14:textFill>
                  <w14:solidFill>
                    <w14:schemeClr w14:val="tx1"/>
                  </w14:solidFill>
                </w14:textFill>
              </w:rPr>
              <w:t>破碎、筛分、制砂、选粉工序于起尘设备进出料口采用集气装置（捕集效率为95%）将粉尘引入脉冲式布袋除尘器（风量为10000m</w:t>
            </w:r>
            <w:r>
              <w:rPr>
                <w:rFonts w:hint="eastAsia" w:ascii="Calibri" w:hAnsi="Calibri" w:cs="Times New Roman"/>
                <w:b w:val="0"/>
                <w:bCs w:val="0"/>
                <w:color w:val="000000" w:themeColor="text1"/>
                <w:kern w:val="0"/>
                <w:sz w:val="24"/>
                <w:szCs w:val="24"/>
                <w:vertAlign w:val="superscript"/>
                <w:lang w:val="en-US" w:eastAsia="zh-CN" w:bidi="ar-SA"/>
                <w14:textFill>
                  <w14:solidFill>
                    <w14:schemeClr w14:val="tx1"/>
                  </w14:solidFill>
                </w14:textFill>
              </w:rPr>
              <w:t>3</w:t>
            </w:r>
            <w:r>
              <w:rPr>
                <w:rFonts w:hint="eastAsia" w:ascii="Calibri" w:hAnsi="Calibri" w:cs="Times New Roman"/>
                <w:b w:val="0"/>
                <w:bCs w:val="0"/>
                <w:color w:val="000000" w:themeColor="text1"/>
                <w:kern w:val="0"/>
                <w:sz w:val="24"/>
                <w:szCs w:val="24"/>
                <w:lang w:val="en-US" w:eastAsia="zh-CN" w:bidi="ar-SA"/>
                <w14:textFill>
                  <w14:solidFill>
                    <w14:schemeClr w14:val="tx1"/>
                  </w14:solidFill>
                </w14:textFill>
              </w:rPr>
              <w:t>/h，除尘效率可达到99.7%）进行处理，</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default" w:ascii="Times New Roman" w:hAnsi="Times New Roman" w:cs="Times New Roman"/>
                <w:color w:val="000000"/>
                <w:kern w:val="0"/>
                <w:sz w:val="24"/>
                <w:szCs w:val="24"/>
              </w:rPr>
            </w:pPr>
            <w:r>
              <w:rPr>
                <w:rFonts w:hint="eastAsia" w:ascii="Calibri" w:hAnsi="Calibri" w:cs="Times New Roman"/>
                <w:b w:val="0"/>
                <w:bCs w:val="0"/>
                <w:color w:val="000000" w:themeColor="text1"/>
                <w:kern w:val="0"/>
                <w:sz w:val="24"/>
                <w:szCs w:val="24"/>
                <w:lang w:val="en-US" w:eastAsia="zh-CN" w:bidi="ar-SA"/>
                <w14:textFill>
                  <w14:solidFill>
                    <w14:schemeClr w14:val="tx1"/>
                  </w14:solidFill>
                </w14:textFill>
              </w:rPr>
              <w:t>其中初破、二破、初筛产生粉尘进入1#脉冲布袋除尘器处理后经15m排气筒DA001排放，制砂、选粉以及后续筛分产生粉尘进入2#脉冲布袋除尘器处理后经15m排气筒DA002排放。</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3455" w:hRule="atLeast"/>
          <w:jc w:val="center"/>
        </w:trPr>
        <w:tc>
          <w:tcPr>
            <w:tcW w:w="710" w:type="dxa"/>
            <w:noWrap w:val="0"/>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000000"/>
                <w:kern w:val="0"/>
                <w:sz w:val="24"/>
                <w:szCs w:val="24"/>
              </w:rPr>
            </w:pPr>
            <w:r>
              <w:rPr>
                <w:rFonts w:hint="default" w:ascii="Times New Roman" w:hAnsi="Times New Roman" w:cs="Times New Roman"/>
                <w:color w:val="000000"/>
                <w:kern w:val="0"/>
                <w:sz w:val="24"/>
                <w:szCs w:val="24"/>
              </w:rPr>
              <w:t>其他</w:t>
            </w:r>
          </w:p>
        </w:tc>
        <w:tc>
          <w:tcPr>
            <w:tcW w:w="8380" w:type="dxa"/>
            <w:noWrap w:val="0"/>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000000"/>
                <w:kern w:val="0"/>
                <w:sz w:val="24"/>
                <w:szCs w:val="24"/>
              </w:rPr>
            </w:pPr>
            <w:r>
              <w:rPr>
                <w:rFonts w:hint="eastAsia" w:ascii="Times New Roman" w:hAnsi="Times New Roman" w:cs="Times New Roman"/>
                <w:color w:val="000000"/>
                <w:kern w:val="0"/>
                <w:sz w:val="24"/>
                <w:szCs w:val="24"/>
                <w:lang w:val="en-US" w:eastAsia="zh-CN"/>
              </w:rPr>
              <w:t>无</w:t>
            </w:r>
          </w:p>
        </w:tc>
      </w:tr>
    </w:tbl>
    <w:p>
      <w:pPr>
        <w:pStyle w:val="16"/>
        <w:jc w:val="center"/>
        <w:outlineLvl w:val="0"/>
        <w:rPr>
          <w:rFonts w:hint="default" w:ascii="Times New Roman" w:hAnsi="Times New Roman" w:eastAsia="黑体" w:cs="Times New Roman"/>
          <w:snapToGrid w:val="0"/>
          <w:color w:val="000000"/>
          <w:sz w:val="30"/>
          <w:szCs w:val="30"/>
        </w:rPr>
      </w:pPr>
      <w:r>
        <w:rPr>
          <w:rFonts w:hint="default" w:ascii="Times New Roman" w:hAnsi="Times New Roman" w:eastAsia="仿宋_GB2312" w:cs="Times New Roman"/>
          <w:b/>
          <w:bCs/>
          <w:color w:val="000000"/>
        </w:rPr>
        <w:br w:type="page"/>
      </w:r>
      <w:bookmarkStart w:id="13" w:name="_Toc15332"/>
      <w:bookmarkStart w:id="14" w:name="_Toc19364"/>
      <w:bookmarkStart w:id="15" w:name="_Toc13951"/>
      <w:bookmarkStart w:id="16" w:name="_Toc9023"/>
      <w:bookmarkStart w:id="17" w:name="_Toc26151"/>
      <w:bookmarkStart w:id="18" w:name="_Toc1080"/>
      <w:r>
        <w:rPr>
          <w:rFonts w:hint="default" w:ascii="Times New Roman" w:hAnsi="Times New Roman" w:eastAsia="黑体" w:cs="Times New Roman"/>
          <w:snapToGrid w:val="0"/>
          <w:color w:val="000000"/>
          <w:sz w:val="30"/>
          <w:szCs w:val="30"/>
        </w:rPr>
        <w:t>三、生态环境现状、保护目标及评价标准</w:t>
      </w:r>
      <w:bookmarkEnd w:id="13"/>
      <w:bookmarkEnd w:id="14"/>
      <w:bookmarkEnd w:id="15"/>
      <w:bookmarkEnd w:id="16"/>
      <w:bookmarkEnd w:id="17"/>
      <w:bookmarkEnd w:id="18"/>
    </w:p>
    <w:tbl>
      <w:tblPr>
        <w:tblStyle w:val="21"/>
        <w:tblW w:w="9157" w:type="dxa"/>
        <w:jc w:val="center"/>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904"/>
        <w:gridCol w:w="8253"/>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4012" w:hRule="atLeast"/>
          <w:jc w:val="center"/>
        </w:trPr>
        <w:tc>
          <w:tcPr>
            <w:tcW w:w="904" w:type="dxa"/>
            <w:noWrap w:val="0"/>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000000"/>
                <w:kern w:val="0"/>
                <w:sz w:val="24"/>
                <w:szCs w:val="24"/>
              </w:rPr>
            </w:pPr>
            <w:r>
              <w:rPr>
                <w:rFonts w:hint="default" w:ascii="Times New Roman" w:hAnsi="Times New Roman" w:cs="Times New Roman"/>
                <w:color w:val="000000"/>
                <w:kern w:val="0"/>
                <w:sz w:val="24"/>
                <w:szCs w:val="24"/>
              </w:rPr>
              <w:t>生态环境现状</w:t>
            </w:r>
          </w:p>
        </w:tc>
        <w:tc>
          <w:tcPr>
            <w:tcW w:w="8253"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2" w:firstLineChars="200"/>
              <w:textAlignment w:val="auto"/>
              <w:rPr>
                <w:rFonts w:hint="default" w:ascii="Calibri" w:hAnsi="Calibri" w:cs="Times New Roman"/>
                <w:b/>
                <w:bCs/>
                <w:sz w:val="24"/>
                <w:szCs w:val="24"/>
              </w:rPr>
            </w:pPr>
            <w:r>
              <w:rPr>
                <w:rFonts w:hint="default" w:ascii="Calibri" w:hAnsi="Calibri" w:cs="Times New Roman"/>
                <w:b/>
                <w:bCs/>
                <w:sz w:val="24"/>
                <w:szCs w:val="24"/>
              </w:rPr>
              <w:t>1.环境空气质量现状</w:t>
            </w:r>
          </w:p>
          <w:p>
            <w:pPr>
              <w:keepNext w:val="0"/>
              <w:keepLines w:val="0"/>
              <w:suppressLineNumbers w:val="0"/>
              <w:spacing w:before="0" w:beforeAutospacing="0" w:after="0" w:afterAutospacing="0" w:line="360" w:lineRule="auto"/>
              <w:ind w:left="0" w:right="0" w:firstLine="480" w:firstLineChars="200"/>
              <w:rPr>
                <w:rFonts w:hint="default" w:ascii="Calibri" w:hAnsi="Calibri" w:eastAsia="宋体" w:cs="Times New Roman"/>
                <w:sz w:val="24"/>
                <w:szCs w:val="24"/>
                <w:lang w:val="en-US" w:eastAsia="zh-CN"/>
              </w:rPr>
            </w:pPr>
            <w:r>
              <w:rPr>
                <w:rFonts w:hint="eastAsia" w:ascii="Calibri" w:hAnsi="Calibri" w:cs="Times New Roman"/>
                <w:sz w:val="24"/>
                <w:szCs w:val="24"/>
                <w:lang w:eastAsia="zh-CN"/>
              </w:rPr>
              <w:t>（</w:t>
            </w:r>
            <w:r>
              <w:rPr>
                <w:rFonts w:hint="eastAsia" w:ascii="Calibri" w:hAnsi="Calibri" w:cs="Times New Roman"/>
                <w:sz w:val="24"/>
                <w:szCs w:val="24"/>
                <w:lang w:val="en-US" w:eastAsia="zh-CN"/>
              </w:rPr>
              <w:t>1</w:t>
            </w:r>
            <w:r>
              <w:rPr>
                <w:rFonts w:hint="eastAsia" w:ascii="Calibri" w:hAnsi="Calibri" w:cs="Times New Roman"/>
                <w:sz w:val="24"/>
                <w:szCs w:val="24"/>
                <w:lang w:eastAsia="zh-CN"/>
              </w:rPr>
              <w:t>）</w:t>
            </w:r>
            <w:r>
              <w:rPr>
                <w:rFonts w:hint="eastAsia" w:ascii="Calibri" w:hAnsi="Calibri" w:cs="Times New Roman"/>
                <w:sz w:val="24"/>
                <w:szCs w:val="24"/>
                <w:lang w:val="en-US" w:eastAsia="zh-CN"/>
              </w:rPr>
              <w:t>达标区判定</w:t>
            </w:r>
          </w:p>
          <w:p>
            <w:pPr>
              <w:keepNext w:val="0"/>
              <w:keepLines w:val="0"/>
              <w:suppressLineNumbers w:val="0"/>
              <w:spacing w:before="0" w:beforeAutospacing="0" w:after="0" w:afterAutospacing="0" w:line="360" w:lineRule="auto"/>
              <w:ind w:left="0" w:right="0" w:firstLine="480" w:firstLineChars="200"/>
              <w:rPr>
                <w:rFonts w:hint="default" w:ascii="Calibri" w:hAnsi="Calibri" w:cs="Times New Roman"/>
                <w:sz w:val="24"/>
                <w:szCs w:val="24"/>
              </w:rPr>
            </w:pPr>
            <w:r>
              <w:rPr>
                <w:rFonts w:hint="default" w:ascii="Calibri" w:hAnsi="Calibri" w:cs="Times New Roman"/>
                <w:sz w:val="24"/>
                <w:szCs w:val="24"/>
              </w:rPr>
              <w:t>环境空气质量</w:t>
            </w:r>
            <w:r>
              <w:rPr>
                <w:rFonts w:hint="default" w:ascii="Calibri" w:hAnsi="Calibri" w:cs="Times New Roman"/>
                <w:sz w:val="24"/>
                <w:szCs w:val="24"/>
                <w:lang w:val="en-US" w:eastAsia="zh-CN"/>
              </w:rPr>
              <w:t>标准</w:t>
            </w:r>
            <w:r>
              <w:rPr>
                <w:rFonts w:hint="default" w:ascii="Calibri" w:hAnsi="Calibri" w:cs="Times New Roman"/>
                <w:sz w:val="24"/>
                <w:szCs w:val="24"/>
              </w:rPr>
              <w:t>：执行《环境空气质量标准》（GB3095-2012）中二级标准。根据《环境影响评价技术导则—大气环境》（HJ2.2-2018），项目所在区域达标判定，优先采用国家或地方生态环境主管部门公开发布的评价基准年环境质量公告或环境质量报告中的数据或结论，本次环境影响评价空气质量现状监测数据引用</w:t>
            </w:r>
            <w:r>
              <w:rPr>
                <w:rFonts w:hint="eastAsia" w:ascii="Calibri" w:hAnsi="Calibri" w:cs="Times New Roman"/>
                <w:sz w:val="24"/>
                <w:szCs w:val="24"/>
                <w:lang w:eastAsia="zh-CN"/>
              </w:rPr>
              <w:t>《</w:t>
            </w:r>
            <w:r>
              <w:rPr>
                <w:rFonts w:hint="default" w:ascii="Calibri" w:hAnsi="Calibri" w:cs="Times New Roman"/>
                <w:sz w:val="24"/>
                <w:szCs w:val="24"/>
              </w:rPr>
              <w:t>关于2023年12月份全市环境质量状况的通报》(永环函〔2024]4号)</w:t>
            </w:r>
            <w:r>
              <w:rPr>
                <w:rFonts w:hint="default" w:ascii="Calibri" w:hAnsi="Calibri" w:cs="Times New Roman"/>
                <w:sz w:val="24"/>
                <w:szCs w:val="24"/>
                <w:lang w:eastAsia="zh-CN"/>
              </w:rPr>
              <w:t>》</w:t>
            </w:r>
            <w:r>
              <w:rPr>
                <w:rFonts w:hint="default" w:ascii="Calibri" w:hAnsi="Calibri" w:cs="Times New Roman"/>
                <w:sz w:val="24"/>
                <w:szCs w:val="24"/>
                <w:lang w:val="en-US" w:eastAsia="zh-CN"/>
              </w:rPr>
              <w:t>中</w:t>
            </w:r>
            <w:r>
              <w:rPr>
                <w:rFonts w:hint="eastAsia" w:ascii="Calibri" w:hAnsi="Calibri" w:cs="Times New Roman"/>
                <w:sz w:val="24"/>
                <w:szCs w:val="24"/>
                <w:lang w:val="en-US" w:eastAsia="zh-CN"/>
              </w:rPr>
              <w:t>零陵区</w:t>
            </w:r>
            <w:r>
              <w:rPr>
                <w:rFonts w:hint="default" w:ascii="Calibri" w:hAnsi="Calibri" w:cs="Times New Roman"/>
                <w:sz w:val="24"/>
                <w:szCs w:val="24"/>
                <w:lang w:val="en-US" w:eastAsia="zh-CN"/>
              </w:rPr>
              <w:t>的基本污染物环境质量现状数据</w:t>
            </w:r>
            <w:r>
              <w:rPr>
                <w:rFonts w:hint="default" w:ascii="Calibri" w:hAnsi="Calibri" w:cs="Times New Roman"/>
                <w:sz w:val="24"/>
                <w:szCs w:val="24"/>
                <w:lang w:eastAsia="zh-CN"/>
              </w:rPr>
              <w:t>。</w:t>
            </w:r>
            <w:r>
              <w:rPr>
                <w:rFonts w:hint="default" w:ascii="Calibri" w:hAnsi="Calibri" w:cs="Times New Roman"/>
                <w:sz w:val="24"/>
                <w:szCs w:val="24"/>
              </w:rPr>
              <w:t>202</w:t>
            </w:r>
            <w:r>
              <w:rPr>
                <w:rFonts w:hint="eastAsia" w:ascii="Calibri" w:hAnsi="Calibri" w:cs="Times New Roman"/>
                <w:sz w:val="24"/>
                <w:szCs w:val="24"/>
                <w:lang w:val="en-US" w:eastAsia="zh-CN"/>
              </w:rPr>
              <w:t>3</w:t>
            </w:r>
            <w:r>
              <w:rPr>
                <w:rFonts w:hint="default" w:ascii="Calibri" w:hAnsi="Calibri" w:cs="Times New Roman"/>
                <w:sz w:val="24"/>
                <w:szCs w:val="24"/>
              </w:rPr>
              <w:t>年度</w:t>
            </w:r>
            <w:r>
              <w:rPr>
                <w:rFonts w:hint="eastAsia" w:ascii="Calibri" w:hAnsi="Calibri" w:cs="Times New Roman"/>
                <w:sz w:val="24"/>
                <w:szCs w:val="24"/>
                <w:lang w:val="en-US" w:eastAsia="zh-CN"/>
              </w:rPr>
              <w:t>1-12月</w:t>
            </w:r>
            <w:r>
              <w:rPr>
                <w:rFonts w:hint="eastAsia" w:ascii="Calibri" w:hAnsi="Calibri" w:cs="Times New Roman"/>
                <w:sz w:val="24"/>
                <w:szCs w:val="24"/>
                <w:lang w:eastAsia="zh-CN"/>
              </w:rPr>
              <w:t>零陵区</w:t>
            </w:r>
            <w:r>
              <w:rPr>
                <w:rFonts w:hint="default" w:ascii="Calibri" w:hAnsi="Calibri" w:cs="Times New Roman"/>
                <w:sz w:val="24"/>
                <w:szCs w:val="24"/>
              </w:rPr>
              <w:t>环境空气质量状况统计情况见表3-1。</w:t>
            </w:r>
          </w:p>
          <w:p>
            <w:pPr>
              <w:keepNext w:val="0"/>
              <w:keepLines w:val="0"/>
              <w:suppressLineNumbers w:val="0"/>
              <w:spacing w:before="0" w:beforeAutospacing="0" w:after="0" w:afterAutospacing="0"/>
              <w:ind w:left="0" w:right="0"/>
              <w:jc w:val="center"/>
              <w:rPr>
                <w:rFonts w:hint="default" w:ascii="Calibri" w:hAnsi="Calibri" w:cs="Times New Roman"/>
                <w:b/>
                <w:bCs/>
                <w:sz w:val="21"/>
                <w:szCs w:val="21"/>
              </w:rPr>
            </w:pPr>
            <w:r>
              <w:rPr>
                <w:rFonts w:hint="default" w:ascii="Calibri" w:hAnsi="Calibri" w:cs="Times New Roman"/>
                <w:b/>
                <w:bCs/>
                <w:sz w:val="21"/>
                <w:szCs w:val="21"/>
              </w:rPr>
              <w:t>表3-1</w:t>
            </w:r>
            <w:r>
              <w:rPr>
                <w:rFonts w:hint="eastAsia" w:ascii="Calibri" w:hAnsi="Calibri" w:cs="Times New Roman"/>
                <w:b/>
                <w:bCs/>
                <w:sz w:val="21"/>
                <w:szCs w:val="21"/>
                <w:lang w:val="en-US" w:eastAsia="zh-CN"/>
              </w:rPr>
              <w:t xml:space="preserve">  </w:t>
            </w:r>
            <w:r>
              <w:rPr>
                <w:rFonts w:hint="default" w:ascii="Calibri" w:hAnsi="Calibri" w:cs="Times New Roman"/>
                <w:b/>
                <w:bCs/>
                <w:sz w:val="21"/>
                <w:szCs w:val="21"/>
              </w:rPr>
              <w:t>202</w:t>
            </w:r>
            <w:r>
              <w:rPr>
                <w:rFonts w:hint="eastAsia" w:ascii="Calibri" w:hAnsi="Calibri" w:cs="Times New Roman"/>
                <w:b/>
                <w:bCs/>
                <w:sz w:val="21"/>
                <w:szCs w:val="21"/>
                <w:lang w:val="en-US" w:eastAsia="zh-CN"/>
              </w:rPr>
              <w:t>3</w:t>
            </w:r>
            <w:r>
              <w:rPr>
                <w:rFonts w:hint="default" w:ascii="Calibri" w:hAnsi="Calibri" w:cs="Times New Roman"/>
                <w:b/>
                <w:bCs/>
                <w:sz w:val="21"/>
                <w:szCs w:val="21"/>
              </w:rPr>
              <w:t>年</w:t>
            </w:r>
            <w:r>
              <w:rPr>
                <w:rFonts w:hint="eastAsia" w:ascii="Calibri" w:hAnsi="Calibri" w:cs="Times New Roman"/>
                <w:b/>
                <w:bCs/>
                <w:sz w:val="21"/>
                <w:szCs w:val="21"/>
                <w:lang w:val="en-US" w:eastAsia="zh-CN"/>
              </w:rPr>
              <w:t>1-12月零陵区</w:t>
            </w:r>
            <w:r>
              <w:rPr>
                <w:rFonts w:hint="default" w:ascii="Calibri" w:hAnsi="Calibri" w:cs="Times New Roman"/>
                <w:b/>
                <w:bCs/>
                <w:sz w:val="21"/>
                <w:szCs w:val="21"/>
              </w:rPr>
              <w:t>环境空气质量现状评价表</w:t>
            </w:r>
          </w:p>
          <w:p>
            <w:pPr>
              <w:keepNext w:val="0"/>
              <w:keepLines w:val="0"/>
              <w:suppressLineNumbers w:val="0"/>
              <w:spacing w:before="0" w:beforeAutospacing="0" w:after="0" w:afterAutospacing="0"/>
              <w:ind w:left="0" w:right="0"/>
              <w:rPr>
                <w:rFonts w:hint="default" w:ascii="Calibri" w:hAnsi="Calibri" w:cs="Times New Roman"/>
                <w:sz w:val="21"/>
                <w:szCs w:val="21"/>
              </w:rPr>
            </w:pPr>
          </w:p>
          <w:tbl>
            <w:tblPr>
              <w:tblStyle w:val="63"/>
              <w:tblW w:w="8027"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341"/>
              <w:gridCol w:w="1337"/>
              <w:gridCol w:w="1471"/>
              <w:gridCol w:w="1361"/>
              <w:gridCol w:w="1176"/>
              <w:gridCol w:w="1341"/>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99" w:hRule="atLeast"/>
              </w:trPr>
              <w:tc>
                <w:tcPr>
                  <w:tcW w:w="1341" w:type="dxa"/>
                  <w:vAlign w:val="center"/>
                </w:tcPr>
                <w:p>
                  <w:pPr>
                    <w:jc w:val="center"/>
                    <w:rPr>
                      <w:rFonts w:hint="default"/>
                      <w:b/>
                      <w:bCs/>
                      <w:sz w:val="21"/>
                      <w:szCs w:val="21"/>
                    </w:rPr>
                  </w:pPr>
                  <w:r>
                    <w:rPr>
                      <w:rFonts w:hint="default"/>
                      <w:b/>
                      <w:bCs/>
                      <w:sz w:val="21"/>
                      <w:szCs w:val="21"/>
                    </w:rPr>
                    <w:t>监测因子</w:t>
                  </w:r>
                </w:p>
              </w:tc>
              <w:tc>
                <w:tcPr>
                  <w:tcW w:w="1337" w:type="dxa"/>
                  <w:vAlign w:val="center"/>
                </w:tcPr>
                <w:p>
                  <w:pPr>
                    <w:jc w:val="center"/>
                    <w:rPr>
                      <w:rFonts w:hint="default"/>
                      <w:b/>
                      <w:bCs/>
                      <w:sz w:val="21"/>
                      <w:szCs w:val="21"/>
                    </w:rPr>
                  </w:pPr>
                  <w:r>
                    <w:rPr>
                      <w:rFonts w:hint="default"/>
                      <w:b/>
                      <w:bCs/>
                      <w:sz w:val="21"/>
                      <w:szCs w:val="21"/>
                    </w:rPr>
                    <w:t>年评价指标</w:t>
                  </w:r>
                </w:p>
              </w:tc>
              <w:tc>
                <w:tcPr>
                  <w:tcW w:w="1471" w:type="dxa"/>
                  <w:vAlign w:val="center"/>
                </w:tcPr>
                <w:p>
                  <w:pPr>
                    <w:jc w:val="center"/>
                    <w:rPr>
                      <w:rFonts w:hint="default"/>
                      <w:b/>
                      <w:bCs/>
                      <w:sz w:val="21"/>
                      <w:szCs w:val="21"/>
                    </w:rPr>
                  </w:pPr>
                  <w:r>
                    <w:rPr>
                      <w:rFonts w:hint="default"/>
                      <w:b/>
                      <w:bCs/>
                      <w:sz w:val="21"/>
                      <w:szCs w:val="21"/>
                    </w:rPr>
                    <w:t>现状浓度/(ug/m3)</w:t>
                  </w:r>
                </w:p>
              </w:tc>
              <w:tc>
                <w:tcPr>
                  <w:tcW w:w="1361" w:type="dxa"/>
                  <w:vAlign w:val="center"/>
                </w:tcPr>
                <w:p>
                  <w:pPr>
                    <w:jc w:val="center"/>
                    <w:rPr>
                      <w:rFonts w:hint="default"/>
                      <w:b/>
                      <w:bCs/>
                      <w:sz w:val="21"/>
                      <w:szCs w:val="21"/>
                    </w:rPr>
                  </w:pPr>
                  <w:r>
                    <w:rPr>
                      <w:rFonts w:hint="default"/>
                      <w:b/>
                      <w:bCs/>
                      <w:sz w:val="21"/>
                      <w:szCs w:val="21"/>
                    </w:rPr>
                    <w:t>标准值</w:t>
                  </w:r>
                </w:p>
                <w:p>
                  <w:pPr>
                    <w:jc w:val="center"/>
                    <w:rPr>
                      <w:rFonts w:hint="default"/>
                      <w:b/>
                      <w:bCs/>
                      <w:sz w:val="21"/>
                      <w:szCs w:val="21"/>
                    </w:rPr>
                  </w:pPr>
                  <w:r>
                    <w:rPr>
                      <w:rFonts w:hint="default"/>
                      <w:b/>
                      <w:bCs/>
                      <w:sz w:val="21"/>
                      <w:szCs w:val="21"/>
                    </w:rPr>
                    <w:t>/(ug/m3)</w:t>
                  </w:r>
                </w:p>
              </w:tc>
              <w:tc>
                <w:tcPr>
                  <w:tcW w:w="1176" w:type="dxa"/>
                  <w:vAlign w:val="center"/>
                </w:tcPr>
                <w:p>
                  <w:pPr>
                    <w:jc w:val="center"/>
                    <w:rPr>
                      <w:rFonts w:hint="default"/>
                      <w:b/>
                      <w:bCs/>
                      <w:sz w:val="21"/>
                      <w:szCs w:val="21"/>
                    </w:rPr>
                  </w:pPr>
                  <w:r>
                    <w:rPr>
                      <w:rFonts w:hint="default"/>
                      <w:b/>
                      <w:bCs/>
                      <w:sz w:val="21"/>
                      <w:szCs w:val="21"/>
                    </w:rPr>
                    <w:t>占标率/%</w:t>
                  </w:r>
                </w:p>
              </w:tc>
              <w:tc>
                <w:tcPr>
                  <w:tcW w:w="1341" w:type="dxa"/>
                  <w:vAlign w:val="center"/>
                </w:tcPr>
                <w:p>
                  <w:pPr>
                    <w:jc w:val="center"/>
                    <w:rPr>
                      <w:rFonts w:hint="default"/>
                      <w:b/>
                      <w:bCs/>
                      <w:sz w:val="21"/>
                      <w:szCs w:val="21"/>
                    </w:rPr>
                  </w:pPr>
                  <w:r>
                    <w:rPr>
                      <w:rFonts w:hint="default"/>
                      <w:b/>
                      <w:bCs/>
                      <w:sz w:val="21"/>
                      <w:szCs w:val="21"/>
                    </w:rPr>
                    <w:t>达标情况</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18" w:hRule="atLeast"/>
              </w:trPr>
              <w:tc>
                <w:tcPr>
                  <w:tcW w:w="1341" w:type="dxa"/>
                  <w:vAlign w:val="center"/>
                </w:tcPr>
                <w:p>
                  <w:pPr>
                    <w:jc w:val="center"/>
                    <w:rPr>
                      <w:rFonts w:hint="default"/>
                      <w:sz w:val="21"/>
                      <w:szCs w:val="21"/>
                    </w:rPr>
                  </w:pPr>
                  <w:r>
                    <w:rPr>
                      <w:rFonts w:hint="default"/>
                      <w:sz w:val="21"/>
                      <w:szCs w:val="21"/>
                    </w:rPr>
                    <w:t>PM</w:t>
                  </w:r>
                  <w:r>
                    <w:rPr>
                      <w:rFonts w:hint="default"/>
                      <w:sz w:val="21"/>
                      <w:szCs w:val="21"/>
                      <w:vertAlign w:val="subscript"/>
                    </w:rPr>
                    <w:t>2.5</w:t>
                  </w:r>
                </w:p>
              </w:tc>
              <w:tc>
                <w:tcPr>
                  <w:tcW w:w="1337" w:type="dxa"/>
                  <w:vAlign w:val="center"/>
                </w:tcPr>
                <w:p>
                  <w:pPr>
                    <w:jc w:val="center"/>
                    <w:rPr>
                      <w:rFonts w:hint="default"/>
                      <w:sz w:val="21"/>
                      <w:szCs w:val="21"/>
                    </w:rPr>
                  </w:pPr>
                  <w:r>
                    <w:rPr>
                      <w:rFonts w:hint="default"/>
                      <w:sz w:val="21"/>
                      <w:szCs w:val="21"/>
                    </w:rPr>
                    <w:t>年平均浓度</w:t>
                  </w:r>
                </w:p>
              </w:tc>
              <w:tc>
                <w:tcPr>
                  <w:tcW w:w="1471" w:type="dxa"/>
                  <w:vAlign w:val="center"/>
                </w:tcPr>
                <w:p>
                  <w:pPr>
                    <w:jc w:val="center"/>
                    <w:rPr>
                      <w:rFonts w:hint="default" w:eastAsia="宋体"/>
                      <w:sz w:val="21"/>
                      <w:szCs w:val="21"/>
                      <w:lang w:val="en-US" w:eastAsia="zh-CN"/>
                    </w:rPr>
                  </w:pPr>
                  <w:r>
                    <w:rPr>
                      <w:rFonts w:hint="eastAsia"/>
                      <w:sz w:val="21"/>
                      <w:szCs w:val="21"/>
                      <w:lang w:val="en-US" w:eastAsia="zh-CN"/>
                    </w:rPr>
                    <w:t>36</w:t>
                  </w:r>
                </w:p>
              </w:tc>
              <w:tc>
                <w:tcPr>
                  <w:tcW w:w="1361" w:type="dxa"/>
                  <w:vAlign w:val="center"/>
                </w:tcPr>
                <w:p>
                  <w:pPr>
                    <w:jc w:val="center"/>
                    <w:rPr>
                      <w:rFonts w:hint="default"/>
                      <w:sz w:val="21"/>
                      <w:szCs w:val="21"/>
                    </w:rPr>
                  </w:pPr>
                  <w:r>
                    <w:rPr>
                      <w:rFonts w:hint="default"/>
                      <w:sz w:val="21"/>
                      <w:szCs w:val="21"/>
                    </w:rPr>
                    <w:t>35</w:t>
                  </w:r>
                </w:p>
              </w:tc>
              <w:tc>
                <w:tcPr>
                  <w:tcW w:w="1176" w:type="dxa"/>
                  <w:vAlign w:val="center"/>
                </w:tcPr>
                <w:p>
                  <w:pPr>
                    <w:jc w:val="center"/>
                    <w:rPr>
                      <w:rFonts w:hint="default" w:eastAsia="宋体"/>
                      <w:sz w:val="21"/>
                      <w:szCs w:val="21"/>
                      <w:lang w:val="en-US" w:eastAsia="zh-CN"/>
                    </w:rPr>
                  </w:pPr>
                  <w:r>
                    <w:rPr>
                      <w:rFonts w:hint="eastAsia"/>
                      <w:sz w:val="21"/>
                      <w:szCs w:val="21"/>
                      <w:lang w:val="en-US" w:eastAsia="zh-CN"/>
                    </w:rPr>
                    <w:t>103</w:t>
                  </w:r>
                </w:p>
              </w:tc>
              <w:tc>
                <w:tcPr>
                  <w:tcW w:w="1341" w:type="dxa"/>
                  <w:vAlign w:val="center"/>
                </w:tcPr>
                <w:p>
                  <w:pPr>
                    <w:jc w:val="center"/>
                    <w:rPr>
                      <w:rFonts w:hint="default"/>
                      <w:sz w:val="21"/>
                      <w:szCs w:val="21"/>
                    </w:rPr>
                  </w:pPr>
                  <w:r>
                    <w:rPr>
                      <w:rFonts w:hint="default"/>
                      <w:sz w:val="21"/>
                      <w:szCs w:val="21"/>
                    </w:rPr>
                    <w:t>达标</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17" w:hRule="atLeast"/>
              </w:trPr>
              <w:tc>
                <w:tcPr>
                  <w:tcW w:w="1341" w:type="dxa"/>
                  <w:vAlign w:val="center"/>
                </w:tcPr>
                <w:p>
                  <w:pPr>
                    <w:jc w:val="center"/>
                    <w:rPr>
                      <w:rFonts w:hint="default"/>
                      <w:sz w:val="21"/>
                      <w:szCs w:val="21"/>
                    </w:rPr>
                  </w:pPr>
                  <w:r>
                    <w:rPr>
                      <w:rFonts w:hint="default"/>
                      <w:sz w:val="21"/>
                      <w:szCs w:val="21"/>
                    </w:rPr>
                    <w:t>PM</w:t>
                  </w:r>
                  <w:r>
                    <w:rPr>
                      <w:rFonts w:hint="default"/>
                      <w:sz w:val="21"/>
                      <w:szCs w:val="21"/>
                      <w:vertAlign w:val="subscript"/>
                    </w:rPr>
                    <w:t>10</w:t>
                  </w:r>
                </w:p>
              </w:tc>
              <w:tc>
                <w:tcPr>
                  <w:tcW w:w="1337" w:type="dxa"/>
                  <w:vAlign w:val="center"/>
                </w:tcPr>
                <w:p>
                  <w:pPr>
                    <w:jc w:val="center"/>
                    <w:rPr>
                      <w:rFonts w:hint="default"/>
                      <w:sz w:val="21"/>
                      <w:szCs w:val="21"/>
                    </w:rPr>
                  </w:pPr>
                  <w:r>
                    <w:rPr>
                      <w:rFonts w:hint="default"/>
                      <w:sz w:val="21"/>
                      <w:szCs w:val="21"/>
                    </w:rPr>
                    <w:t>年平均浓度</w:t>
                  </w:r>
                </w:p>
              </w:tc>
              <w:tc>
                <w:tcPr>
                  <w:tcW w:w="1471" w:type="dxa"/>
                  <w:vAlign w:val="center"/>
                </w:tcPr>
                <w:p>
                  <w:pPr>
                    <w:jc w:val="center"/>
                    <w:rPr>
                      <w:rFonts w:hint="default" w:eastAsia="宋体"/>
                      <w:sz w:val="21"/>
                      <w:szCs w:val="21"/>
                      <w:lang w:val="en-US" w:eastAsia="zh-CN"/>
                    </w:rPr>
                  </w:pPr>
                  <w:r>
                    <w:rPr>
                      <w:rFonts w:hint="eastAsia"/>
                      <w:sz w:val="21"/>
                      <w:szCs w:val="21"/>
                      <w:lang w:val="en-US" w:eastAsia="zh-CN"/>
                    </w:rPr>
                    <w:t>50</w:t>
                  </w:r>
                </w:p>
              </w:tc>
              <w:tc>
                <w:tcPr>
                  <w:tcW w:w="1361" w:type="dxa"/>
                  <w:vAlign w:val="center"/>
                </w:tcPr>
                <w:p>
                  <w:pPr>
                    <w:jc w:val="center"/>
                    <w:rPr>
                      <w:rFonts w:hint="default"/>
                      <w:sz w:val="21"/>
                      <w:szCs w:val="21"/>
                    </w:rPr>
                  </w:pPr>
                  <w:r>
                    <w:rPr>
                      <w:rFonts w:hint="default"/>
                      <w:sz w:val="21"/>
                      <w:szCs w:val="21"/>
                    </w:rPr>
                    <w:t>70</w:t>
                  </w:r>
                </w:p>
              </w:tc>
              <w:tc>
                <w:tcPr>
                  <w:tcW w:w="1176" w:type="dxa"/>
                  <w:vAlign w:val="center"/>
                </w:tcPr>
                <w:p>
                  <w:pPr>
                    <w:jc w:val="center"/>
                    <w:rPr>
                      <w:rFonts w:hint="default" w:eastAsia="宋体"/>
                      <w:sz w:val="21"/>
                      <w:szCs w:val="21"/>
                      <w:lang w:val="en-US" w:eastAsia="zh-CN"/>
                    </w:rPr>
                  </w:pPr>
                  <w:r>
                    <w:rPr>
                      <w:rFonts w:hint="eastAsia"/>
                      <w:sz w:val="21"/>
                      <w:szCs w:val="21"/>
                      <w:lang w:val="en-US" w:eastAsia="zh-CN"/>
                    </w:rPr>
                    <w:t>71.4</w:t>
                  </w:r>
                </w:p>
              </w:tc>
              <w:tc>
                <w:tcPr>
                  <w:tcW w:w="1341" w:type="dxa"/>
                  <w:vAlign w:val="center"/>
                </w:tcPr>
                <w:p>
                  <w:pPr>
                    <w:jc w:val="center"/>
                    <w:rPr>
                      <w:rFonts w:hint="default"/>
                      <w:sz w:val="21"/>
                      <w:szCs w:val="21"/>
                    </w:rPr>
                  </w:pPr>
                  <w:r>
                    <w:rPr>
                      <w:rFonts w:hint="default"/>
                      <w:sz w:val="21"/>
                      <w:szCs w:val="21"/>
                    </w:rPr>
                    <w:t>达标</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18" w:hRule="atLeast"/>
              </w:trPr>
              <w:tc>
                <w:tcPr>
                  <w:tcW w:w="1341" w:type="dxa"/>
                  <w:vAlign w:val="center"/>
                </w:tcPr>
                <w:p>
                  <w:pPr>
                    <w:jc w:val="center"/>
                    <w:rPr>
                      <w:rFonts w:hint="default"/>
                      <w:sz w:val="21"/>
                      <w:szCs w:val="21"/>
                    </w:rPr>
                  </w:pPr>
                  <w:r>
                    <w:rPr>
                      <w:rFonts w:hint="default"/>
                      <w:sz w:val="21"/>
                      <w:szCs w:val="21"/>
                    </w:rPr>
                    <w:t>SO</w:t>
                  </w:r>
                  <w:r>
                    <w:rPr>
                      <w:rFonts w:hint="default"/>
                      <w:sz w:val="21"/>
                      <w:szCs w:val="21"/>
                      <w:vertAlign w:val="subscript"/>
                    </w:rPr>
                    <w:t>2</w:t>
                  </w:r>
                </w:p>
              </w:tc>
              <w:tc>
                <w:tcPr>
                  <w:tcW w:w="1337" w:type="dxa"/>
                  <w:vAlign w:val="center"/>
                </w:tcPr>
                <w:p>
                  <w:pPr>
                    <w:jc w:val="center"/>
                    <w:rPr>
                      <w:rFonts w:hint="default"/>
                      <w:sz w:val="21"/>
                      <w:szCs w:val="21"/>
                    </w:rPr>
                  </w:pPr>
                  <w:r>
                    <w:rPr>
                      <w:rFonts w:hint="default"/>
                      <w:sz w:val="21"/>
                      <w:szCs w:val="21"/>
                    </w:rPr>
                    <w:t>年平均浓度</w:t>
                  </w:r>
                </w:p>
              </w:tc>
              <w:tc>
                <w:tcPr>
                  <w:tcW w:w="1471" w:type="dxa"/>
                  <w:vAlign w:val="center"/>
                </w:tcPr>
                <w:p>
                  <w:pPr>
                    <w:jc w:val="center"/>
                    <w:rPr>
                      <w:rFonts w:hint="default" w:eastAsia="宋体"/>
                      <w:sz w:val="21"/>
                      <w:szCs w:val="21"/>
                      <w:lang w:val="en-US" w:eastAsia="zh-CN"/>
                    </w:rPr>
                  </w:pPr>
                  <w:r>
                    <w:rPr>
                      <w:rFonts w:hint="eastAsia"/>
                      <w:sz w:val="21"/>
                      <w:szCs w:val="21"/>
                      <w:lang w:val="en-US" w:eastAsia="zh-CN"/>
                    </w:rPr>
                    <w:t>9</w:t>
                  </w:r>
                </w:p>
              </w:tc>
              <w:tc>
                <w:tcPr>
                  <w:tcW w:w="1361" w:type="dxa"/>
                  <w:vAlign w:val="center"/>
                </w:tcPr>
                <w:p>
                  <w:pPr>
                    <w:jc w:val="center"/>
                    <w:rPr>
                      <w:rFonts w:hint="default"/>
                      <w:sz w:val="21"/>
                      <w:szCs w:val="21"/>
                    </w:rPr>
                  </w:pPr>
                  <w:r>
                    <w:rPr>
                      <w:rFonts w:hint="default"/>
                      <w:sz w:val="21"/>
                      <w:szCs w:val="21"/>
                    </w:rPr>
                    <w:t>60</w:t>
                  </w:r>
                </w:p>
              </w:tc>
              <w:tc>
                <w:tcPr>
                  <w:tcW w:w="1176" w:type="dxa"/>
                  <w:vAlign w:val="center"/>
                </w:tcPr>
                <w:p>
                  <w:pPr>
                    <w:jc w:val="center"/>
                    <w:rPr>
                      <w:rFonts w:hint="default" w:eastAsia="宋体"/>
                      <w:sz w:val="21"/>
                      <w:szCs w:val="21"/>
                      <w:lang w:val="en-US" w:eastAsia="zh-CN"/>
                    </w:rPr>
                  </w:pPr>
                  <w:r>
                    <w:rPr>
                      <w:rFonts w:hint="eastAsia"/>
                      <w:sz w:val="21"/>
                      <w:szCs w:val="21"/>
                      <w:lang w:val="en-US" w:eastAsia="zh-CN"/>
                    </w:rPr>
                    <w:t>15.0</w:t>
                  </w:r>
                </w:p>
              </w:tc>
              <w:tc>
                <w:tcPr>
                  <w:tcW w:w="1341" w:type="dxa"/>
                  <w:vAlign w:val="center"/>
                </w:tcPr>
                <w:p>
                  <w:pPr>
                    <w:jc w:val="center"/>
                    <w:rPr>
                      <w:rFonts w:hint="default"/>
                      <w:sz w:val="21"/>
                      <w:szCs w:val="21"/>
                    </w:rPr>
                  </w:pPr>
                  <w:r>
                    <w:rPr>
                      <w:rFonts w:hint="default"/>
                      <w:sz w:val="21"/>
                      <w:szCs w:val="21"/>
                    </w:rPr>
                    <w:t>达标</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18" w:hRule="atLeast"/>
              </w:trPr>
              <w:tc>
                <w:tcPr>
                  <w:tcW w:w="1341" w:type="dxa"/>
                  <w:vAlign w:val="center"/>
                </w:tcPr>
                <w:p>
                  <w:pPr>
                    <w:jc w:val="center"/>
                    <w:rPr>
                      <w:rFonts w:hint="default"/>
                      <w:sz w:val="21"/>
                      <w:szCs w:val="21"/>
                    </w:rPr>
                  </w:pPr>
                  <w:r>
                    <w:rPr>
                      <w:rFonts w:hint="default"/>
                      <w:sz w:val="21"/>
                      <w:szCs w:val="21"/>
                    </w:rPr>
                    <w:t>NO</w:t>
                  </w:r>
                  <w:r>
                    <w:rPr>
                      <w:rFonts w:hint="default"/>
                      <w:sz w:val="21"/>
                      <w:szCs w:val="21"/>
                      <w:vertAlign w:val="subscript"/>
                    </w:rPr>
                    <w:t>2</w:t>
                  </w:r>
                </w:p>
              </w:tc>
              <w:tc>
                <w:tcPr>
                  <w:tcW w:w="1337" w:type="dxa"/>
                  <w:vAlign w:val="center"/>
                </w:tcPr>
                <w:p>
                  <w:pPr>
                    <w:jc w:val="center"/>
                    <w:rPr>
                      <w:rFonts w:hint="default"/>
                      <w:sz w:val="21"/>
                      <w:szCs w:val="21"/>
                    </w:rPr>
                  </w:pPr>
                  <w:r>
                    <w:rPr>
                      <w:rFonts w:hint="default"/>
                      <w:sz w:val="21"/>
                      <w:szCs w:val="21"/>
                    </w:rPr>
                    <w:t>年平均浓度</w:t>
                  </w:r>
                </w:p>
              </w:tc>
              <w:tc>
                <w:tcPr>
                  <w:tcW w:w="1471" w:type="dxa"/>
                  <w:vAlign w:val="center"/>
                </w:tcPr>
                <w:p>
                  <w:pPr>
                    <w:jc w:val="center"/>
                    <w:rPr>
                      <w:rFonts w:hint="default" w:eastAsia="宋体"/>
                      <w:sz w:val="21"/>
                      <w:szCs w:val="21"/>
                      <w:lang w:val="en-US" w:eastAsia="zh-CN"/>
                    </w:rPr>
                  </w:pPr>
                  <w:r>
                    <w:rPr>
                      <w:rFonts w:hint="eastAsia"/>
                      <w:sz w:val="21"/>
                      <w:szCs w:val="21"/>
                      <w:lang w:val="en-US" w:eastAsia="zh-CN"/>
                    </w:rPr>
                    <w:t>16</w:t>
                  </w:r>
                </w:p>
              </w:tc>
              <w:tc>
                <w:tcPr>
                  <w:tcW w:w="1361" w:type="dxa"/>
                  <w:vAlign w:val="center"/>
                </w:tcPr>
                <w:p>
                  <w:pPr>
                    <w:jc w:val="center"/>
                    <w:rPr>
                      <w:rFonts w:hint="default"/>
                      <w:sz w:val="21"/>
                      <w:szCs w:val="21"/>
                    </w:rPr>
                  </w:pPr>
                  <w:r>
                    <w:rPr>
                      <w:rFonts w:hint="default"/>
                      <w:sz w:val="21"/>
                      <w:szCs w:val="21"/>
                    </w:rPr>
                    <w:t>40</w:t>
                  </w:r>
                </w:p>
              </w:tc>
              <w:tc>
                <w:tcPr>
                  <w:tcW w:w="1176" w:type="dxa"/>
                  <w:vAlign w:val="center"/>
                </w:tcPr>
                <w:p>
                  <w:pPr>
                    <w:jc w:val="center"/>
                    <w:rPr>
                      <w:rFonts w:hint="default" w:eastAsia="宋体"/>
                      <w:sz w:val="21"/>
                      <w:szCs w:val="21"/>
                      <w:lang w:val="en-US" w:eastAsia="zh-CN"/>
                    </w:rPr>
                  </w:pPr>
                  <w:r>
                    <w:rPr>
                      <w:rFonts w:hint="eastAsia"/>
                      <w:sz w:val="21"/>
                      <w:szCs w:val="21"/>
                      <w:lang w:val="en-US" w:eastAsia="zh-CN"/>
                    </w:rPr>
                    <w:t>40.0</w:t>
                  </w:r>
                </w:p>
              </w:tc>
              <w:tc>
                <w:tcPr>
                  <w:tcW w:w="1341" w:type="dxa"/>
                  <w:vAlign w:val="center"/>
                </w:tcPr>
                <w:p>
                  <w:pPr>
                    <w:jc w:val="center"/>
                    <w:rPr>
                      <w:rFonts w:hint="default"/>
                      <w:sz w:val="21"/>
                      <w:szCs w:val="21"/>
                    </w:rPr>
                  </w:pPr>
                  <w:r>
                    <w:rPr>
                      <w:rFonts w:hint="default"/>
                      <w:sz w:val="21"/>
                      <w:szCs w:val="21"/>
                    </w:rPr>
                    <w:t>达标</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31" w:hRule="atLeast"/>
              </w:trPr>
              <w:tc>
                <w:tcPr>
                  <w:tcW w:w="1341" w:type="dxa"/>
                  <w:vAlign w:val="center"/>
                </w:tcPr>
                <w:p>
                  <w:pPr>
                    <w:jc w:val="center"/>
                    <w:rPr>
                      <w:rFonts w:hint="default"/>
                      <w:sz w:val="21"/>
                      <w:szCs w:val="21"/>
                    </w:rPr>
                  </w:pPr>
                  <w:r>
                    <w:rPr>
                      <w:rFonts w:hint="default"/>
                      <w:sz w:val="21"/>
                      <w:szCs w:val="21"/>
                    </w:rPr>
                    <w:t>CO</w:t>
                  </w:r>
                </w:p>
              </w:tc>
              <w:tc>
                <w:tcPr>
                  <w:tcW w:w="1337" w:type="dxa"/>
                  <w:vAlign w:val="center"/>
                </w:tcPr>
                <w:p>
                  <w:pPr>
                    <w:jc w:val="center"/>
                    <w:rPr>
                      <w:rFonts w:hint="default"/>
                      <w:sz w:val="21"/>
                      <w:szCs w:val="21"/>
                    </w:rPr>
                  </w:pPr>
                  <w:r>
                    <w:rPr>
                      <w:rFonts w:hint="default"/>
                      <w:sz w:val="21"/>
                      <w:szCs w:val="21"/>
                    </w:rPr>
                    <w:t>24h平均浓度9</w:t>
                  </w:r>
                  <w:r>
                    <w:rPr>
                      <w:rFonts w:hint="eastAsia"/>
                      <w:sz w:val="21"/>
                      <w:szCs w:val="21"/>
                      <w:lang w:val="en-US" w:eastAsia="zh-CN"/>
                    </w:rPr>
                    <w:t>5</w:t>
                  </w:r>
                  <w:r>
                    <w:rPr>
                      <w:rFonts w:hint="default"/>
                      <w:sz w:val="21"/>
                      <w:szCs w:val="21"/>
                    </w:rPr>
                    <w:t>百分位</w:t>
                  </w:r>
                </w:p>
              </w:tc>
              <w:tc>
                <w:tcPr>
                  <w:tcW w:w="1471" w:type="dxa"/>
                  <w:vAlign w:val="center"/>
                </w:tcPr>
                <w:p>
                  <w:pPr>
                    <w:jc w:val="center"/>
                    <w:rPr>
                      <w:rFonts w:hint="default" w:eastAsia="宋体"/>
                      <w:sz w:val="21"/>
                      <w:szCs w:val="21"/>
                      <w:lang w:val="en-US" w:eastAsia="zh-CN"/>
                    </w:rPr>
                  </w:pPr>
                  <w:r>
                    <w:rPr>
                      <w:rFonts w:hint="eastAsia"/>
                      <w:sz w:val="21"/>
                      <w:szCs w:val="21"/>
                      <w:lang w:val="en-US" w:eastAsia="zh-CN"/>
                    </w:rPr>
                    <w:t>1000</w:t>
                  </w:r>
                </w:p>
              </w:tc>
              <w:tc>
                <w:tcPr>
                  <w:tcW w:w="1361" w:type="dxa"/>
                  <w:vAlign w:val="center"/>
                </w:tcPr>
                <w:p>
                  <w:pPr>
                    <w:jc w:val="center"/>
                    <w:rPr>
                      <w:rFonts w:hint="default"/>
                      <w:sz w:val="21"/>
                      <w:szCs w:val="21"/>
                    </w:rPr>
                  </w:pPr>
                  <w:r>
                    <w:rPr>
                      <w:rFonts w:hint="default"/>
                      <w:sz w:val="21"/>
                      <w:szCs w:val="21"/>
                    </w:rPr>
                    <w:t>4000</w:t>
                  </w:r>
                </w:p>
              </w:tc>
              <w:tc>
                <w:tcPr>
                  <w:tcW w:w="1176" w:type="dxa"/>
                  <w:vAlign w:val="center"/>
                </w:tcPr>
                <w:p>
                  <w:pPr>
                    <w:jc w:val="center"/>
                    <w:rPr>
                      <w:rFonts w:hint="default" w:eastAsia="宋体"/>
                      <w:sz w:val="21"/>
                      <w:szCs w:val="21"/>
                      <w:lang w:val="en-US" w:eastAsia="zh-CN"/>
                    </w:rPr>
                  </w:pPr>
                  <w:r>
                    <w:rPr>
                      <w:rFonts w:hint="eastAsia"/>
                      <w:sz w:val="21"/>
                      <w:szCs w:val="21"/>
                      <w:lang w:val="en-US" w:eastAsia="zh-CN"/>
                    </w:rPr>
                    <w:t>25</w:t>
                  </w:r>
                </w:p>
              </w:tc>
              <w:tc>
                <w:tcPr>
                  <w:tcW w:w="1341" w:type="dxa"/>
                  <w:vAlign w:val="center"/>
                </w:tcPr>
                <w:p>
                  <w:pPr>
                    <w:jc w:val="center"/>
                    <w:rPr>
                      <w:rFonts w:hint="default"/>
                      <w:sz w:val="21"/>
                      <w:szCs w:val="21"/>
                    </w:rPr>
                  </w:pPr>
                  <w:r>
                    <w:rPr>
                      <w:rFonts w:hint="default"/>
                      <w:sz w:val="21"/>
                      <w:szCs w:val="21"/>
                    </w:rPr>
                    <w:t>达标</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947" w:hRule="atLeast"/>
              </w:trPr>
              <w:tc>
                <w:tcPr>
                  <w:tcW w:w="1341" w:type="dxa"/>
                  <w:vAlign w:val="center"/>
                </w:tcPr>
                <w:p>
                  <w:pPr>
                    <w:jc w:val="center"/>
                    <w:rPr>
                      <w:rFonts w:hint="default"/>
                      <w:sz w:val="21"/>
                      <w:szCs w:val="21"/>
                    </w:rPr>
                  </w:pPr>
                  <w:r>
                    <w:rPr>
                      <w:rFonts w:hint="default"/>
                      <w:sz w:val="21"/>
                      <w:szCs w:val="21"/>
                    </w:rPr>
                    <w:t>O</w:t>
                  </w:r>
                  <w:r>
                    <w:rPr>
                      <w:rFonts w:hint="default"/>
                      <w:sz w:val="21"/>
                      <w:szCs w:val="21"/>
                      <w:vertAlign w:val="subscript"/>
                    </w:rPr>
                    <w:t>3</w:t>
                  </w:r>
                </w:p>
              </w:tc>
              <w:tc>
                <w:tcPr>
                  <w:tcW w:w="1337" w:type="dxa"/>
                  <w:vAlign w:val="center"/>
                </w:tcPr>
                <w:p>
                  <w:pPr>
                    <w:jc w:val="center"/>
                    <w:rPr>
                      <w:rFonts w:hint="default"/>
                      <w:sz w:val="21"/>
                      <w:szCs w:val="21"/>
                    </w:rPr>
                  </w:pPr>
                  <w:r>
                    <w:rPr>
                      <w:rFonts w:hint="default"/>
                      <w:sz w:val="21"/>
                      <w:szCs w:val="21"/>
                    </w:rPr>
                    <w:t>最大8h平均</w:t>
                  </w:r>
                </w:p>
                <w:p>
                  <w:pPr>
                    <w:jc w:val="center"/>
                    <w:rPr>
                      <w:rFonts w:hint="default"/>
                      <w:sz w:val="21"/>
                      <w:szCs w:val="21"/>
                    </w:rPr>
                  </w:pPr>
                  <w:r>
                    <w:rPr>
                      <w:rFonts w:hint="default"/>
                      <w:sz w:val="21"/>
                      <w:szCs w:val="21"/>
                    </w:rPr>
                    <w:t>浓度90百分位</w:t>
                  </w:r>
                </w:p>
              </w:tc>
              <w:tc>
                <w:tcPr>
                  <w:tcW w:w="1471" w:type="dxa"/>
                  <w:vAlign w:val="center"/>
                </w:tcPr>
                <w:p>
                  <w:pPr>
                    <w:jc w:val="center"/>
                    <w:rPr>
                      <w:rFonts w:hint="default" w:eastAsia="宋体"/>
                      <w:sz w:val="21"/>
                      <w:szCs w:val="21"/>
                      <w:lang w:val="en-US" w:eastAsia="zh-CN"/>
                    </w:rPr>
                  </w:pPr>
                  <w:r>
                    <w:rPr>
                      <w:rFonts w:hint="eastAsia"/>
                      <w:sz w:val="21"/>
                      <w:szCs w:val="21"/>
                      <w:lang w:val="en-US" w:eastAsia="zh-CN"/>
                    </w:rPr>
                    <w:t>127</w:t>
                  </w:r>
                </w:p>
              </w:tc>
              <w:tc>
                <w:tcPr>
                  <w:tcW w:w="1361" w:type="dxa"/>
                  <w:vAlign w:val="center"/>
                </w:tcPr>
                <w:p>
                  <w:pPr>
                    <w:jc w:val="center"/>
                    <w:rPr>
                      <w:rFonts w:hint="default"/>
                      <w:sz w:val="21"/>
                      <w:szCs w:val="21"/>
                    </w:rPr>
                  </w:pPr>
                  <w:r>
                    <w:rPr>
                      <w:rFonts w:hint="default"/>
                      <w:sz w:val="21"/>
                      <w:szCs w:val="21"/>
                    </w:rPr>
                    <w:t>160</w:t>
                  </w:r>
                </w:p>
              </w:tc>
              <w:tc>
                <w:tcPr>
                  <w:tcW w:w="1176" w:type="dxa"/>
                  <w:vAlign w:val="center"/>
                </w:tcPr>
                <w:p>
                  <w:pPr>
                    <w:jc w:val="center"/>
                    <w:rPr>
                      <w:rFonts w:hint="default" w:eastAsia="宋体"/>
                      <w:sz w:val="21"/>
                      <w:szCs w:val="21"/>
                      <w:lang w:val="en-US" w:eastAsia="zh-CN"/>
                    </w:rPr>
                  </w:pPr>
                  <w:r>
                    <w:rPr>
                      <w:rFonts w:hint="eastAsia"/>
                      <w:sz w:val="21"/>
                      <w:szCs w:val="21"/>
                      <w:lang w:val="en-US" w:eastAsia="zh-CN"/>
                    </w:rPr>
                    <w:t>79.4</w:t>
                  </w:r>
                </w:p>
              </w:tc>
              <w:tc>
                <w:tcPr>
                  <w:tcW w:w="1341" w:type="dxa"/>
                  <w:vAlign w:val="center"/>
                </w:tcPr>
                <w:p>
                  <w:pPr>
                    <w:jc w:val="center"/>
                    <w:rPr>
                      <w:rFonts w:hint="default"/>
                      <w:sz w:val="21"/>
                      <w:szCs w:val="21"/>
                    </w:rPr>
                  </w:pPr>
                  <w:r>
                    <w:rPr>
                      <w:rFonts w:hint="default"/>
                      <w:sz w:val="21"/>
                      <w:szCs w:val="21"/>
                    </w:rPr>
                    <w:t>达标</w:t>
                  </w:r>
                </w:p>
              </w:tc>
            </w:tr>
          </w:tbl>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left"/>
              <w:textAlignment w:val="auto"/>
              <w:rPr>
                <w:rFonts w:ascii="Calibri" w:hAnsi="Calibri" w:cs="Times New Roman"/>
                <w:sz w:val="24"/>
                <w:szCs w:val="24"/>
              </w:rPr>
            </w:pPr>
            <w:r>
              <w:rPr>
                <w:rFonts w:hint="default" w:ascii="Times New Roman" w:hAnsi="Times New Roman" w:cs="Times New Roman"/>
                <w:bCs/>
                <w:sz w:val="24"/>
                <w:szCs w:val="24"/>
              </w:rPr>
              <w:t>经判定PM</w:t>
            </w:r>
            <w:r>
              <w:rPr>
                <w:rFonts w:hint="default" w:ascii="Times New Roman" w:hAnsi="Times New Roman" w:cs="Times New Roman"/>
                <w:bCs/>
                <w:sz w:val="24"/>
                <w:szCs w:val="24"/>
                <w:vertAlign w:val="subscript"/>
              </w:rPr>
              <w:t>10</w:t>
            </w:r>
            <w:r>
              <w:rPr>
                <w:rFonts w:hint="default" w:ascii="Times New Roman" w:hAnsi="Times New Roman" w:cs="Times New Roman"/>
                <w:bCs/>
                <w:sz w:val="24"/>
                <w:szCs w:val="24"/>
              </w:rPr>
              <w:t>、SO</w:t>
            </w:r>
            <w:r>
              <w:rPr>
                <w:rFonts w:hint="default" w:ascii="Times New Roman" w:hAnsi="Times New Roman" w:cs="Times New Roman"/>
                <w:bCs/>
                <w:sz w:val="24"/>
                <w:szCs w:val="24"/>
                <w:vertAlign w:val="subscript"/>
              </w:rPr>
              <w:t>2</w:t>
            </w:r>
            <w:r>
              <w:rPr>
                <w:rFonts w:hint="default" w:ascii="Times New Roman" w:hAnsi="Times New Roman" w:cs="Times New Roman"/>
                <w:bCs/>
                <w:sz w:val="24"/>
                <w:szCs w:val="24"/>
              </w:rPr>
              <w:t>、NO</w:t>
            </w:r>
            <w:r>
              <w:rPr>
                <w:rFonts w:hint="default" w:ascii="Times New Roman" w:hAnsi="Times New Roman" w:cs="Times New Roman"/>
                <w:bCs/>
                <w:sz w:val="24"/>
                <w:szCs w:val="24"/>
                <w:vertAlign w:val="subscript"/>
              </w:rPr>
              <w:t>2</w:t>
            </w:r>
            <w:r>
              <w:rPr>
                <w:rFonts w:hint="default" w:ascii="Times New Roman" w:hAnsi="Times New Roman" w:cs="Times New Roman"/>
                <w:bCs/>
                <w:sz w:val="24"/>
                <w:szCs w:val="24"/>
              </w:rPr>
              <w:t>年平均浓度、CO24小时平均浓度、O3最大8小时平</w:t>
            </w:r>
            <w:r>
              <w:rPr>
                <w:rFonts w:hint="eastAsia" w:ascii="Times New Roman" w:hAnsi="Times New Roman" w:cs="Times New Roman"/>
                <w:bCs/>
                <w:sz w:val="24"/>
                <w:szCs w:val="24"/>
                <w:lang w:eastAsia="zh-CN"/>
              </w:rPr>
              <w:t>均</w:t>
            </w:r>
            <w:r>
              <w:rPr>
                <w:rFonts w:hint="default" w:ascii="Times New Roman" w:hAnsi="Times New Roman" w:cs="Times New Roman"/>
                <w:bCs/>
                <w:sz w:val="24"/>
                <w:szCs w:val="24"/>
              </w:rPr>
              <w:t>浓度均符合《环境空气质量标准》（GB3095-2012）二级标准。PM</w:t>
            </w:r>
            <w:r>
              <w:rPr>
                <w:rFonts w:hint="default" w:ascii="Times New Roman" w:hAnsi="Times New Roman" w:cs="Times New Roman"/>
                <w:bCs/>
                <w:sz w:val="24"/>
                <w:szCs w:val="24"/>
                <w:vertAlign w:val="subscript"/>
              </w:rPr>
              <w:t>2.5</w:t>
            </w:r>
            <w:r>
              <w:rPr>
                <w:rFonts w:hint="eastAsia" w:cs="Times New Roman"/>
                <w:bCs/>
                <w:sz w:val="24"/>
                <w:szCs w:val="24"/>
                <w:lang w:val="en-US" w:eastAsia="zh-CN"/>
              </w:rPr>
              <w:t>超过</w:t>
            </w:r>
            <w:r>
              <w:rPr>
                <w:rFonts w:hint="default" w:ascii="Times New Roman" w:hAnsi="Times New Roman" w:cs="Times New Roman"/>
                <w:bCs/>
                <w:sz w:val="24"/>
                <w:szCs w:val="24"/>
              </w:rPr>
              <w:t>《环境空气质量标准》（GB3095-2012）二级标准</w:t>
            </w:r>
            <w:r>
              <w:rPr>
                <w:rFonts w:hint="eastAsia" w:cs="Times New Roman"/>
                <w:bCs/>
                <w:sz w:val="24"/>
                <w:szCs w:val="24"/>
                <w:lang w:eastAsia="zh-CN"/>
              </w:rPr>
              <w:t>。</w:t>
            </w:r>
            <w:r>
              <w:rPr>
                <w:rFonts w:ascii="Calibri" w:hAnsi="Calibri" w:cs="Times New Roman"/>
                <w:sz w:val="24"/>
                <w:szCs w:val="24"/>
              </w:rPr>
              <w:t>因此项目所在区域为</w:t>
            </w:r>
            <w:r>
              <w:rPr>
                <w:rFonts w:hint="eastAsia" w:ascii="Calibri" w:hAnsi="Calibri" w:cs="Times New Roman"/>
                <w:sz w:val="24"/>
                <w:szCs w:val="24"/>
                <w:lang w:val="en-US" w:eastAsia="zh-CN"/>
              </w:rPr>
              <w:t>不</w:t>
            </w:r>
            <w:r>
              <w:rPr>
                <w:rFonts w:ascii="Calibri" w:hAnsi="Calibri" w:cs="Times New Roman"/>
                <w:sz w:val="24"/>
                <w:szCs w:val="24"/>
              </w:rPr>
              <w:t>达标区。</w:t>
            </w:r>
          </w:p>
          <w:p>
            <w:pPr>
              <w:keepNext w:val="0"/>
              <w:keepLines w:val="0"/>
              <w:pageBreakBefore w:val="0"/>
              <w:widowControl w:val="0"/>
              <w:numPr>
                <w:ilvl w:val="0"/>
                <w:numId w:val="4"/>
              </w:numPr>
              <w:suppressLineNumbers w:val="0"/>
              <w:kinsoku/>
              <w:wordWrap/>
              <w:overflowPunct/>
              <w:topLinePunct w:val="0"/>
              <w:autoSpaceDE/>
              <w:autoSpaceDN/>
              <w:bidi w:val="0"/>
              <w:adjustRightInd w:val="0"/>
              <w:snapToGrid w:val="0"/>
              <w:spacing w:before="0" w:beforeAutospacing="0" w:after="0" w:afterAutospacing="0" w:line="360" w:lineRule="auto"/>
              <w:ind w:left="0" w:leftChars="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特征污染物</w:t>
            </w:r>
          </w:p>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本项目排放特征污染物为TSP，为了解本项目评价范围内特征污染物环境质量现状，本次环评建设单位委托湖南中雁环保科技有限公司于2022年12月28日-2023年1月3日对项目区域下风向最近居民点进行了一期大气环境现状监测，监测结果如下表所示：</w:t>
            </w:r>
          </w:p>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auto"/>
              <w:ind w:left="0" w:right="0"/>
              <w:jc w:val="center"/>
              <w:textAlignment w:val="auto"/>
              <w:rPr>
                <w:rFonts w:hint="default" w:ascii="Times New Roman" w:hAnsi="Times New Roman" w:cs="Times New Roman"/>
                <w:b/>
                <w:bCs/>
                <w:sz w:val="24"/>
                <w:szCs w:val="24"/>
                <w:lang w:val="en-US" w:eastAsia="zh-CN"/>
              </w:rPr>
            </w:pPr>
            <w:r>
              <w:rPr>
                <w:rFonts w:hint="default" w:ascii="Times New Roman" w:hAnsi="Times New Roman" w:cs="Times New Roman"/>
                <w:b/>
                <w:bCs/>
                <w:sz w:val="24"/>
                <w:szCs w:val="24"/>
                <w:lang w:val="en-US" w:eastAsia="zh-CN"/>
              </w:rPr>
              <w:t>表3-2环境空气质量监测结果统计</w:t>
            </w:r>
          </w:p>
          <w:tbl>
            <w:tblPr>
              <w:tblStyle w:val="22"/>
              <w:tblW w:w="80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00"/>
              <w:gridCol w:w="1603"/>
              <w:gridCol w:w="1635"/>
              <w:gridCol w:w="1596"/>
              <w:gridCol w:w="15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0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lang w:val="en-US" w:eastAsia="zh-CN"/>
                    </w:rPr>
                  </w:pPr>
                  <w:r>
                    <w:rPr>
                      <w:rFonts w:hint="default" w:ascii="Times New Roman" w:hAnsi="Times New Roman" w:cs="Times New Roman"/>
                      <w:b/>
                      <w:bCs/>
                      <w:lang w:val="en-US" w:eastAsia="zh-CN"/>
                    </w:rPr>
                    <w:t>检测项目</w:t>
                  </w:r>
                </w:p>
              </w:tc>
              <w:tc>
                <w:tcPr>
                  <w:tcW w:w="1603"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lang w:val="en-US" w:eastAsia="zh-CN"/>
                    </w:rPr>
                  </w:pPr>
                  <w:r>
                    <w:rPr>
                      <w:rFonts w:hint="default" w:ascii="Times New Roman" w:hAnsi="Times New Roman" w:cs="Times New Roman"/>
                      <w:b/>
                      <w:bCs/>
                      <w:lang w:val="en-US" w:eastAsia="zh-CN"/>
                    </w:rPr>
                    <w:t>监测点位</w:t>
                  </w:r>
                </w:p>
              </w:tc>
              <w:tc>
                <w:tcPr>
                  <w:tcW w:w="163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lang w:val="en-US" w:eastAsia="zh-CN"/>
                    </w:rPr>
                  </w:pPr>
                  <w:r>
                    <w:rPr>
                      <w:rFonts w:hint="default" w:ascii="Times New Roman" w:hAnsi="Times New Roman" w:cs="Times New Roman"/>
                      <w:b/>
                      <w:bCs/>
                      <w:lang w:val="en-US" w:eastAsia="zh-CN"/>
                    </w:rPr>
                    <w:t>检测结果（单位：mg/m</w:t>
                  </w:r>
                  <w:r>
                    <w:rPr>
                      <w:rFonts w:hint="default" w:ascii="Times New Roman" w:hAnsi="Times New Roman" w:cs="Times New Roman"/>
                      <w:b/>
                      <w:bCs/>
                      <w:vertAlign w:val="superscript"/>
                      <w:lang w:val="en-US" w:eastAsia="zh-CN"/>
                    </w:rPr>
                    <w:t>3</w:t>
                  </w:r>
                  <w:r>
                    <w:rPr>
                      <w:rFonts w:hint="default" w:ascii="Times New Roman" w:hAnsi="Times New Roman" w:cs="Times New Roman"/>
                      <w:b/>
                      <w:bCs/>
                      <w:lang w:val="en-US" w:eastAsia="zh-CN"/>
                    </w:rPr>
                    <w:t>）</w:t>
                  </w:r>
                </w:p>
              </w:tc>
              <w:tc>
                <w:tcPr>
                  <w:tcW w:w="159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lang w:val="en-US" w:eastAsia="zh-CN"/>
                    </w:rPr>
                  </w:pPr>
                  <w:r>
                    <w:rPr>
                      <w:rFonts w:hint="default" w:ascii="Times New Roman" w:hAnsi="Times New Roman" w:cs="Times New Roman"/>
                      <w:b/>
                      <w:bCs/>
                      <w:lang w:val="en-US" w:eastAsia="zh-CN"/>
                    </w:rPr>
                    <w:t>标准限值</w:t>
                  </w:r>
                </w:p>
              </w:tc>
              <w:tc>
                <w:tcPr>
                  <w:tcW w:w="1593"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lang w:val="en-US" w:eastAsia="zh-CN"/>
                    </w:rPr>
                  </w:pPr>
                  <w:r>
                    <w:rPr>
                      <w:rFonts w:hint="default" w:ascii="Times New Roman" w:hAnsi="Times New Roman" w:cs="Times New Roman"/>
                      <w:b/>
                      <w:bCs/>
                      <w:lang w:val="en-US" w:eastAsia="zh-CN"/>
                    </w:rPr>
                    <w:t>是否达标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0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TSP</w:t>
                  </w:r>
                </w:p>
              </w:tc>
              <w:tc>
                <w:tcPr>
                  <w:tcW w:w="1603"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项目区域下风向最近居民</w:t>
                  </w:r>
                </w:p>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点——钟家</w:t>
                  </w:r>
                </w:p>
              </w:tc>
              <w:tc>
                <w:tcPr>
                  <w:tcW w:w="163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0.057~0.066</w:t>
                  </w:r>
                </w:p>
              </w:tc>
              <w:tc>
                <w:tcPr>
                  <w:tcW w:w="159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0.3</w:t>
                  </w:r>
                </w:p>
              </w:tc>
              <w:tc>
                <w:tcPr>
                  <w:tcW w:w="1593"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是</w:t>
                  </w:r>
                </w:p>
              </w:tc>
            </w:tr>
          </w:tbl>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auto"/>
              <w:ind w:left="0" w:right="0" w:firstLine="480" w:firstLineChars="200"/>
              <w:textAlignment w:val="auto"/>
              <w:rPr>
                <w:rFonts w:hint="default" w:ascii="Calibri" w:hAnsi="Calibri" w:cs="Times New Roman"/>
                <w:sz w:val="24"/>
                <w:szCs w:val="24"/>
                <w:lang w:val="en-US" w:eastAsia="zh-CN"/>
              </w:rPr>
            </w:pPr>
            <w:r>
              <w:rPr>
                <w:rFonts w:hint="default" w:ascii="Calibri" w:hAnsi="Calibri" w:cs="Times New Roman"/>
                <w:sz w:val="24"/>
                <w:szCs w:val="24"/>
                <w:lang w:val="en-US" w:eastAsia="zh-CN"/>
              </w:rPr>
              <w:t>由上表可知，项目区域TSP监测值满足《空气环境质量标准》（GB3095-2012）二级标准要求。</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2" w:firstLineChars="200"/>
              <w:jc w:val="left"/>
              <w:textAlignment w:val="auto"/>
              <w:rPr>
                <w:rFonts w:ascii="Calibri" w:hAnsi="Calibri" w:cs="Times New Roman"/>
                <w:b/>
                <w:bCs/>
                <w:sz w:val="24"/>
                <w:szCs w:val="24"/>
              </w:rPr>
            </w:pPr>
            <w:r>
              <w:rPr>
                <w:rFonts w:hint="eastAsia" w:ascii="Calibri" w:hAnsi="Calibri" w:cs="Times New Roman"/>
                <w:b/>
                <w:bCs/>
                <w:sz w:val="24"/>
                <w:szCs w:val="24"/>
              </w:rPr>
              <w:t>2</w:t>
            </w:r>
            <w:r>
              <w:rPr>
                <w:rFonts w:ascii="Calibri" w:hAnsi="Calibri" w:cs="Times New Roman"/>
                <w:b/>
                <w:bCs/>
                <w:sz w:val="24"/>
                <w:szCs w:val="24"/>
              </w:rPr>
              <w:t>.地表水</w:t>
            </w:r>
            <w:r>
              <w:rPr>
                <w:rFonts w:hint="eastAsia" w:ascii="Calibri" w:hAnsi="Calibri" w:cs="Times New Roman"/>
                <w:b/>
                <w:bCs/>
                <w:sz w:val="24"/>
                <w:szCs w:val="24"/>
              </w:rPr>
              <w:t>环境质量现状</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Calibri" w:hAnsi="Calibri" w:cs="Times New Roman"/>
                <w:sz w:val="24"/>
                <w:szCs w:val="24"/>
              </w:rPr>
            </w:pPr>
            <w:r>
              <w:rPr>
                <w:rFonts w:hint="eastAsia" w:ascii="Calibri" w:hAnsi="Calibri" w:cs="Times New Roman"/>
                <w:sz w:val="24"/>
                <w:szCs w:val="24"/>
              </w:rPr>
              <w:t>本项目位于零陵区潇水流域，本项目周边主要地表水体为矿区东南侧水塘—令塘和西侧小溪。令塘的水塘面积60395m2，标高约+142.8m；小溪秋冬季无降雨时基本为干涸状态，往北汇入潇水支流愚溪河。愚溪河入潇水的汇入口位于娘子岭取水口下游，根据《湖南省主要水系地表水环境功能区划DB43/023-2005》，潇水娘子岭水厂取水口下游200米至萍岛湘江汇合处3.9km河段为工业用水区，执行《地表水环境质量标准》（GB3838-2002）IV类标准。愚溪河及支流小溪和令塘均无具体的水功能区划，根据调查，主要用水功能为农业用水，按《地表水环境质量标准》（GB3838-2002）III类标准执行。</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Calibri" w:hAnsi="Calibri" w:cs="Times New Roman"/>
                <w:sz w:val="24"/>
                <w:szCs w:val="24"/>
              </w:rPr>
            </w:pPr>
            <w:r>
              <w:rPr>
                <w:rFonts w:hint="eastAsia" w:ascii="Calibri" w:hAnsi="Calibri" w:cs="Times New Roman"/>
                <w:sz w:val="24"/>
                <w:szCs w:val="24"/>
              </w:rPr>
              <w:t>根据永州市生态环境局发布的2021年2月份《永州市环境质量简报》，永州市地表水环境质量状况如下：</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Calibri" w:hAnsi="Calibri" w:cs="Times New Roman"/>
                <w:sz w:val="24"/>
                <w:szCs w:val="24"/>
              </w:rPr>
            </w:pPr>
            <w:r>
              <w:rPr>
                <w:rFonts w:hint="eastAsia" w:ascii="Calibri" w:hAnsi="Calibri" w:cs="Times New Roman"/>
                <w:sz w:val="24"/>
                <w:szCs w:val="24"/>
              </w:rPr>
              <w:t>2月我市对曲河、诸葛庙和南津渡水厂3个市级饮用水断面开展了监测。按照《地表水环境质量标准》（GB3838-2002）表1中除水温、总氮、粪大肠菌群以外的21项基本项目、表2中4项饮用水源地补充项目及表3中33项饮用水源地特定项目共58项项目的标准限值进行评价，3个市级饮用水断面水质均达标，达标率为100%。按照水质类别进行统计，2月曲河、诸葛庙断面均为Ⅱ类水质断面，南津渡水厂断面为Ⅰ类水质断面。</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rPr>
            </w:pPr>
            <w:r>
              <w:rPr>
                <w:rFonts w:hint="eastAsia" w:ascii="Calibri" w:hAnsi="Calibri" w:cs="Times New Roman"/>
                <w:sz w:val="24"/>
                <w:szCs w:val="24"/>
              </w:rPr>
              <w:t>综上</w:t>
            </w:r>
            <w:r>
              <w:rPr>
                <w:rFonts w:hint="default" w:ascii="Times New Roman" w:hAnsi="Times New Roman" w:cs="Times New Roman"/>
                <w:sz w:val="24"/>
                <w:szCs w:val="24"/>
              </w:rPr>
              <w:t>判定，项目所在区域地表水环境现状质量好，所有监测断面均达标。</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rPr>
            </w:pPr>
            <w:r>
              <w:rPr>
                <w:rFonts w:hint="default" w:ascii="Times New Roman" w:hAnsi="Times New Roman" w:cs="Times New Roman"/>
                <w:sz w:val="24"/>
                <w:szCs w:val="24"/>
              </w:rPr>
              <w:t>本次环评建设单位委托湖南中雁环保科技有限公司于2022年12月31日</w:t>
            </w:r>
            <w:r>
              <w:rPr>
                <w:rFonts w:hint="default" w:ascii="Times New Roman" w:hAnsi="Times New Roman" w:cs="Times New Roman"/>
                <w:sz w:val="24"/>
                <w:szCs w:val="24"/>
                <w:lang w:val="en-US" w:eastAsia="zh-CN"/>
              </w:rPr>
              <w:t>-</w:t>
            </w:r>
            <w:r>
              <w:rPr>
                <w:rFonts w:hint="default" w:ascii="Times New Roman" w:hAnsi="Times New Roman" w:cs="Times New Roman"/>
                <w:sz w:val="24"/>
                <w:szCs w:val="24"/>
              </w:rPr>
              <w:t>2023年1月2日对项目南侧水塘——令塘进行了一期地表水环境现状监测，</w:t>
            </w:r>
            <w:r>
              <w:rPr>
                <w:rFonts w:hint="default" w:ascii="Times New Roman" w:hAnsi="Times New Roman" w:cs="Times New Roman"/>
                <w:sz w:val="24"/>
                <w:szCs w:val="24"/>
                <w:lang w:val="en-US" w:eastAsia="zh-CN"/>
              </w:rPr>
              <w:t>监</w:t>
            </w:r>
            <w:r>
              <w:rPr>
                <w:rFonts w:hint="default" w:ascii="Times New Roman" w:hAnsi="Times New Roman" w:cs="Times New Roman"/>
                <w:sz w:val="24"/>
                <w:szCs w:val="24"/>
              </w:rPr>
              <w:t>测结果如下表所示：</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Times New Roman" w:hAnsi="Times New Roman" w:eastAsia="宋体" w:cs="Times New Roman"/>
                <w:b/>
                <w:bCs/>
                <w:sz w:val="21"/>
                <w:szCs w:val="21"/>
                <w:lang w:val="en-US" w:eastAsia="zh-CN"/>
              </w:rPr>
            </w:pPr>
            <w:r>
              <w:rPr>
                <w:rFonts w:hint="default" w:ascii="Times New Roman" w:hAnsi="Times New Roman" w:cs="Times New Roman"/>
                <w:b/>
                <w:bCs/>
                <w:sz w:val="21"/>
                <w:szCs w:val="21"/>
                <w:lang w:val="en-US" w:eastAsia="zh-CN"/>
              </w:rPr>
              <w:t>表3-3地表水环境质量监测结果统计</w:t>
            </w:r>
          </w:p>
          <w:tbl>
            <w:tblPr>
              <w:tblStyle w:val="22"/>
              <w:tblW w:w="80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32"/>
              <w:gridCol w:w="1878"/>
              <w:gridCol w:w="2127"/>
              <w:gridCol w:w="1336"/>
              <w:gridCol w:w="13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46" w:hRule="atLeast"/>
              </w:trPr>
              <w:tc>
                <w:tcPr>
                  <w:tcW w:w="1332" w:type="dxa"/>
                  <w:vAlign w:val="center"/>
                </w:tcPr>
                <w:p>
                  <w:pPr>
                    <w:pStyle w:val="39"/>
                    <w:keepNext w:val="0"/>
                    <w:keepLines w:val="0"/>
                    <w:suppressLineNumbers w:val="0"/>
                    <w:bidi w:val="0"/>
                    <w:spacing w:before="0" w:beforeAutospacing="0" w:after="0" w:afterAutospacing="0"/>
                    <w:ind w:right="0"/>
                    <w:jc w:val="center"/>
                    <w:rPr>
                      <w:rFonts w:hint="default" w:ascii="Times New Roman" w:hAnsi="Times New Roman" w:eastAsia="宋体" w:cs="Times New Roman"/>
                      <w:b/>
                      <w:bCs/>
                      <w:sz w:val="21"/>
                      <w:szCs w:val="21"/>
                      <w:vertAlign w:val="baseline"/>
                      <w:lang w:val="en-US" w:eastAsia="zh-CN"/>
                    </w:rPr>
                  </w:pPr>
                  <w:r>
                    <w:rPr>
                      <w:rFonts w:hint="default" w:ascii="Times New Roman" w:hAnsi="Times New Roman" w:cs="Times New Roman"/>
                      <w:b/>
                      <w:bCs/>
                      <w:sz w:val="21"/>
                      <w:szCs w:val="21"/>
                      <w:vertAlign w:val="baseline"/>
                      <w:lang w:val="en-US" w:eastAsia="zh-CN"/>
                    </w:rPr>
                    <w:t>监测点位</w:t>
                  </w:r>
                </w:p>
              </w:tc>
              <w:tc>
                <w:tcPr>
                  <w:tcW w:w="1878" w:type="dxa"/>
                  <w:vAlign w:val="center"/>
                </w:tcPr>
                <w:p>
                  <w:pPr>
                    <w:pStyle w:val="39"/>
                    <w:keepNext w:val="0"/>
                    <w:keepLines w:val="0"/>
                    <w:suppressLineNumbers w:val="0"/>
                    <w:bidi w:val="0"/>
                    <w:spacing w:before="0" w:beforeAutospacing="0" w:after="0" w:afterAutospacing="0"/>
                    <w:ind w:right="0"/>
                    <w:jc w:val="center"/>
                    <w:rPr>
                      <w:rFonts w:hint="default" w:ascii="Times New Roman" w:hAnsi="Times New Roman" w:cs="Times New Roman"/>
                      <w:b/>
                      <w:bCs/>
                      <w:sz w:val="21"/>
                      <w:szCs w:val="21"/>
                      <w:vertAlign w:val="baseline"/>
                    </w:rPr>
                  </w:pPr>
                  <w:r>
                    <w:rPr>
                      <w:rFonts w:hint="default" w:ascii="Times New Roman" w:hAnsi="Times New Roman" w:cs="Times New Roman"/>
                      <w:b/>
                      <w:bCs/>
                      <w:sz w:val="21"/>
                      <w:szCs w:val="21"/>
                      <w:vertAlign w:val="baseline"/>
                    </w:rPr>
                    <w:t>检测项目</w:t>
                  </w:r>
                </w:p>
              </w:tc>
              <w:tc>
                <w:tcPr>
                  <w:tcW w:w="2127" w:type="dxa"/>
                  <w:vAlign w:val="center"/>
                </w:tcPr>
                <w:p>
                  <w:pPr>
                    <w:pStyle w:val="39"/>
                    <w:keepNext w:val="0"/>
                    <w:keepLines w:val="0"/>
                    <w:suppressLineNumbers w:val="0"/>
                    <w:bidi w:val="0"/>
                    <w:spacing w:before="0" w:beforeAutospacing="0" w:after="0" w:afterAutospacing="0"/>
                    <w:ind w:right="0"/>
                    <w:jc w:val="center"/>
                    <w:rPr>
                      <w:rFonts w:hint="default" w:ascii="Times New Roman" w:hAnsi="Times New Roman" w:cs="Times New Roman"/>
                      <w:b/>
                      <w:bCs/>
                      <w:sz w:val="21"/>
                      <w:szCs w:val="21"/>
                      <w:vertAlign w:val="baseline"/>
                    </w:rPr>
                  </w:pPr>
                  <w:r>
                    <w:rPr>
                      <w:rFonts w:hint="default" w:ascii="Times New Roman" w:hAnsi="Times New Roman" w:eastAsia="宋体" w:cs="Times New Roman"/>
                      <w:b/>
                      <w:bCs/>
                      <w:color w:val="000000" w:themeColor="text1"/>
                      <w:sz w:val="21"/>
                      <w:szCs w:val="21"/>
                      <w:lang w:val="en-US" w:eastAsia="zh-CN"/>
                      <w14:textFill>
                        <w14:solidFill>
                          <w14:schemeClr w14:val="tx1"/>
                        </w14:solidFill>
                      </w14:textFill>
                    </w:rPr>
                    <w:t>检测结果（单位：mg/L）</w:t>
                  </w:r>
                </w:p>
              </w:tc>
              <w:tc>
                <w:tcPr>
                  <w:tcW w:w="1336" w:type="dxa"/>
                  <w:vAlign w:val="center"/>
                </w:tcPr>
                <w:p>
                  <w:pPr>
                    <w:pStyle w:val="39"/>
                    <w:keepNext w:val="0"/>
                    <w:keepLines w:val="0"/>
                    <w:suppressLineNumbers w:val="0"/>
                    <w:bidi w:val="0"/>
                    <w:spacing w:before="0" w:beforeAutospacing="0" w:after="0" w:afterAutospacing="0"/>
                    <w:ind w:right="0"/>
                    <w:jc w:val="center"/>
                    <w:rPr>
                      <w:rFonts w:hint="default" w:ascii="Times New Roman" w:hAnsi="Times New Roman" w:cs="Times New Roman"/>
                      <w:b/>
                      <w:bCs/>
                      <w:sz w:val="21"/>
                      <w:szCs w:val="21"/>
                      <w:vertAlign w:val="baseline"/>
                    </w:rPr>
                  </w:pPr>
                  <w:r>
                    <w:rPr>
                      <w:rFonts w:hint="default" w:ascii="Times New Roman" w:hAnsi="Times New Roman" w:eastAsia="宋体" w:cs="Times New Roman"/>
                      <w:b/>
                      <w:bCs/>
                      <w:color w:val="000000" w:themeColor="text1"/>
                      <w:sz w:val="21"/>
                      <w:szCs w:val="21"/>
                      <w:lang w:val="en-US" w:eastAsia="zh-CN"/>
                      <w14:textFill>
                        <w14:solidFill>
                          <w14:schemeClr w14:val="tx1"/>
                        </w14:solidFill>
                      </w14:textFill>
                    </w:rPr>
                    <w:t>标准限值</w:t>
                  </w:r>
                </w:p>
              </w:tc>
              <w:tc>
                <w:tcPr>
                  <w:tcW w:w="1346" w:type="dxa"/>
                  <w:vAlign w:val="center"/>
                </w:tcPr>
                <w:p>
                  <w:pPr>
                    <w:pStyle w:val="39"/>
                    <w:keepNext w:val="0"/>
                    <w:keepLines w:val="0"/>
                    <w:suppressLineNumbers w:val="0"/>
                    <w:bidi w:val="0"/>
                    <w:spacing w:before="0" w:beforeAutospacing="0" w:after="0" w:afterAutospacing="0"/>
                    <w:ind w:right="0"/>
                    <w:jc w:val="center"/>
                    <w:rPr>
                      <w:rFonts w:hint="eastAsia" w:hAnsi="Calibri" w:cs="Times New Roman"/>
                      <w:b/>
                      <w:bCs/>
                      <w:sz w:val="21"/>
                      <w:szCs w:val="21"/>
                      <w:vertAlign w:val="baseline"/>
                    </w:rPr>
                  </w:pPr>
                  <w:r>
                    <w:rPr>
                      <w:rFonts w:hint="eastAsia" w:ascii="宋体" w:hAnsi="宋体" w:eastAsia="宋体" w:cs="宋体"/>
                      <w:b/>
                      <w:bCs/>
                      <w:color w:val="000000" w:themeColor="text1"/>
                      <w:sz w:val="21"/>
                      <w:szCs w:val="21"/>
                      <w:lang w:val="en-US" w:eastAsia="zh-CN"/>
                      <w14:textFill>
                        <w14:solidFill>
                          <w14:schemeClr w14:val="tx1"/>
                        </w14:solidFill>
                      </w14:textFill>
                    </w:rPr>
                    <w:t>是否达标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32" w:type="dxa"/>
                  <w:vMerge w:val="restart"/>
                  <w:vAlign w:val="center"/>
                </w:tcPr>
                <w:p>
                  <w:pPr>
                    <w:keepNext w:val="0"/>
                    <w:keepLines w:val="0"/>
                    <w:suppressLineNumbers w:val="0"/>
                    <w:spacing w:before="0" w:beforeAutospacing="0" w:after="0" w:afterAutospacing="0"/>
                    <w:ind w:left="0" w:right="0"/>
                    <w:rPr>
                      <w:rFonts w:hint="default" w:ascii="Times New Roman" w:hAnsi="Times New Roman" w:cs="Times New Roman"/>
                      <w:sz w:val="21"/>
                      <w:szCs w:val="21"/>
                      <w:vertAlign w:val="baseline"/>
                    </w:rPr>
                  </w:pPr>
                  <w:r>
                    <w:rPr>
                      <w:rFonts w:hint="default" w:ascii="Times New Roman" w:hAnsi="Times New Roman" w:cs="Times New Roman"/>
                    </w:rPr>
                    <w:t>项目南侧水塘—令塘</w:t>
                  </w:r>
                </w:p>
              </w:tc>
              <w:tc>
                <w:tcPr>
                  <w:tcW w:w="1878" w:type="dxa"/>
                  <w:vAlign w:val="center"/>
                </w:tcPr>
                <w:p>
                  <w:pPr>
                    <w:pStyle w:val="39"/>
                    <w:keepNext w:val="0"/>
                    <w:keepLines w:val="0"/>
                    <w:suppressLineNumbers w:val="0"/>
                    <w:bidi w:val="0"/>
                    <w:spacing w:before="0" w:beforeAutospacing="0" w:after="0" w:afterAutospacing="0"/>
                    <w:ind w:right="0"/>
                    <w:jc w:val="center"/>
                    <w:rPr>
                      <w:rFonts w:hint="default" w:ascii="Times New Roman" w:hAnsi="Times New Roman" w:cs="Times New Roman"/>
                      <w:sz w:val="21"/>
                      <w:szCs w:val="21"/>
                      <w:vertAlign w:val="baseline"/>
                    </w:rPr>
                  </w:pPr>
                  <w:r>
                    <w:rPr>
                      <w:rFonts w:hint="default" w:ascii="Times New Roman" w:hAnsi="Times New Roman" w:cs="Times New Roman"/>
                      <w:sz w:val="21"/>
                      <w:szCs w:val="21"/>
                      <w:vertAlign w:val="baseline"/>
                    </w:rPr>
                    <w:t>pH值（无量纲）</w:t>
                  </w:r>
                </w:p>
              </w:tc>
              <w:tc>
                <w:tcPr>
                  <w:tcW w:w="2127" w:type="dxa"/>
                  <w:vAlign w:val="center"/>
                </w:tcPr>
                <w:p>
                  <w:pPr>
                    <w:pStyle w:val="39"/>
                    <w:keepNext w:val="0"/>
                    <w:keepLines w:val="0"/>
                    <w:suppressLineNumbers w:val="0"/>
                    <w:bidi w:val="0"/>
                    <w:spacing w:before="0" w:beforeAutospacing="0" w:after="0" w:afterAutospacing="0"/>
                    <w:ind w:right="0"/>
                    <w:jc w:val="center"/>
                    <w:rPr>
                      <w:rFonts w:hint="default" w:ascii="Times New Roman" w:hAnsi="Times New Roman" w:cs="Times New Roman"/>
                      <w:sz w:val="21"/>
                      <w:szCs w:val="21"/>
                      <w:vertAlign w:val="baseline"/>
                    </w:rPr>
                  </w:pPr>
                  <w:r>
                    <w:rPr>
                      <w:rFonts w:hint="default" w:ascii="Times New Roman" w:hAnsi="Times New Roman" w:cs="Times New Roman"/>
                      <w:sz w:val="21"/>
                      <w:szCs w:val="21"/>
                      <w:vertAlign w:val="baseline"/>
                    </w:rPr>
                    <w:t>7.3~7.7</w:t>
                  </w:r>
                </w:p>
              </w:tc>
              <w:tc>
                <w:tcPr>
                  <w:tcW w:w="1336" w:type="dxa"/>
                  <w:vAlign w:val="center"/>
                </w:tcPr>
                <w:p>
                  <w:pPr>
                    <w:pStyle w:val="39"/>
                    <w:keepNext w:val="0"/>
                    <w:keepLines w:val="0"/>
                    <w:suppressLineNumbers w:val="0"/>
                    <w:bidi w:val="0"/>
                    <w:spacing w:before="0" w:beforeAutospacing="0" w:after="0" w:afterAutospacing="0"/>
                    <w:ind w:right="0"/>
                    <w:jc w:val="center"/>
                    <w:rPr>
                      <w:rFonts w:hint="default" w:ascii="Times New Roman" w:hAnsi="Times New Roman" w:cs="Times New Roman"/>
                      <w:sz w:val="21"/>
                      <w:szCs w:val="21"/>
                      <w:vertAlign w:val="baseline"/>
                    </w:rPr>
                  </w:pPr>
                  <w:r>
                    <w:rPr>
                      <w:rFonts w:hint="default" w:ascii="Times New Roman" w:hAnsi="Times New Roman" w:cs="Times New Roman"/>
                      <w:sz w:val="21"/>
                      <w:szCs w:val="21"/>
                      <w:vertAlign w:val="baseline"/>
                    </w:rPr>
                    <w:t>6~9</w:t>
                  </w:r>
                </w:p>
              </w:tc>
              <w:tc>
                <w:tcPr>
                  <w:tcW w:w="1346" w:type="dxa"/>
                  <w:vAlign w:val="center"/>
                </w:tcPr>
                <w:p>
                  <w:pPr>
                    <w:pStyle w:val="39"/>
                    <w:keepNext w:val="0"/>
                    <w:keepLines w:val="0"/>
                    <w:suppressLineNumbers w:val="0"/>
                    <w:bidi w:val="0"/>
                    <w:spacing w:before="0" w:beforeAutospacing="0" w:after="0" w:afterAutospacing="0"/>
                    <w:ind w:right="0"/>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ascii="Times New Roman" w:hAnsi="Calibri" w:cs="Times New Roman"/>
                      <w:color w:val="000000" w:themeColor="text1"/>
                      <w:sz w:val="21"/>
                      <w:szCs w:val="21"/>
                      <w:lang w:val="en-US" w:eastAsia="zh-CN"/>
                      <w14:textFill>
                        <w14:solidFill>
                          <w14:schemeClr w14:val="tx1"/>
                        </w14:solidFill>
                      </w14:textFill>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32" w:type="dxa"/>
                  <w:vMerge w:val="continue"/>
                  <w:vAlign w:val="center"/>
                </w:tcPr>
                <w:p>
                  <w:pPr>
                    <w:pStyle w:val="39"/>
                    <w:keepNext w:val="0"/>
                    <w:keepLines w:val="0"/>
                    <w:suppressLineNumbers w:val="0"/>
                    <w:bidi w:val="0"/>
                    <w:spacing w:before="0" w:beforeAutospacing="0" w:after="0" w:afterAutospacing="0"/>
                    <w:ind w:right="0"/>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p>
              </w:tc>
              <w:tc>
                <w:tcPr>
                  <w:tcW w:w="1878" w:type="dxa"/>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SS</w:t>
                  </w:r>
                </w:p>
              </w:tc>
              <w:tc>
                <w:tcPr>
                  <w:tcW w:w="2127" w:type="dxa"/>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16~17</w:t>
                  </w:r>
                </w:p>
              </w:tc>
              <w:tc>
                <w:tcPr>
                  <w:tcW w:w="1336" w:type="dxa"/>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w:t>
                  </w:r>
                </w:p>
              </w:tc>
              <w:tc>
                <w:tcPr>
                  <w:tcW w:w="1346" w:type="dxa"/>
                  <w:vAlign w:val="center"/>
                </w:tcPr>
                <w:p>
                  <w:pPr>
                    <w:pStyle w:val="39"/>
                    <w:keepNext w:val="0"/>
                    <w:keepLines w:val="0"/>
                    <w:suppressLineNumbers w:val="0"/>
                    <w:bidi w:val="0"/>
                    <w:spacing w:before="0" w:beforeAutospacing="0" w:after="0" w:afterAutospacing="0"/>
                    <w:ind w:left="420" w:leftChars="0" w:right="0" w:hanging="420" w:hangingChars="200"/>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ascii="Times New Roman" w:hAnsi="Calibri" w:cs="Times New Roman"/>
                      <w:color w:val="000000" w:themeColor="text1"/>
                      <w:sz w:val="21"/>
                      <w:szCs w:val="21"/>
                      <w:lang w:val="en-US" w:eastAsia="zh-CN"/>
                      <w14:textFill>
                        <w14:solidFill>
                          <w14:schemeClr w14:val="tx1"/>
                        </w14:solidFill>
                      </w14:textFill>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32" w:type="dxa"/>
                  <w:vMerge w:val="continue"/>
                  <w:vAlign w:val="center"/>
                </w:tcPr>
                <w:p>
                  <w:pPr>
                    <w:pStyle w:val="39"/>
                    <w:keepNext w:val="0"/>
                    <w:keepLines w:val="0"/>
                    <w:suppressLineNumbers w:val="0"/>
                    <w:bidi w:val="0"/>
                    <w:spacing w:before="0" w:beforeAutospacing="0" w:after="0" w:afterAutospacing="0"/>
                    <w:ind w:right="0"/>
                    <w:jc w:val="center"/>
                    <w:rPr>
                      <w:rFonts w:hint="default" w:ascii="Times New Roman" w:hAnsi="Times New Roman" w:cs="Times New Roman"/>
                      <w:color w:val="000000" w:themeColor="text1"/>
                      <w:sz w:val="21"/>
                      <w:szCs w:val="21"/>
                      <w:lang w:val="en-US" w:eastAsia="zh-CN"/>
                      <w14:textFill>
                        <w14:solidFill>
                          <w14:schemeClr w14:val="tx1"/>
                        </w14:solidFill>
                      </w14:textFill>
                    </w:rPr>
                  </w:pPr>
                </w:p>
              </w:tc>
              <w:tc>
                <w:tcPr>
                  <w:tcW w:w="1878" w:type="dxa"/>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化学需氧量</w:t>
                  </w:r>
                </w:p>
              </w:tc>
              <w:tc>
                <w:tcPr>
                  <w:tcW w:w="2127" w:type="dxa"/>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10~17</w:t>
                  </w:r>
                </w:p>
              </w:tc>
              <w:tc>
                <w:tcPr>
                  <w:tcW w:w="1336" w:type="dxa"/>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20</w:t>
                  </w:r>
                </w:p>
              </w:tc>
              <w:tc>
                <w:tcPr>
                  <w:tcW w:w="1346" w:type="dxa"/>
                  <w:vAlign w:val="center"/>
                </w:tcPr>
                <w:p>
                  <w:pPr>
                    <w:pStyle w:val="39"/>
                    <w:keepNext w:val="0"/>
                    <w:keepLines w:val="0"/>
                    <w:suppressLineNumbers w:val="0"/>
                    <w:bidi w:val="0"/>
                    <w:spacing w:before="0" w:beforeAutospacing="0" w:after="0" w:afterAutospacing="0"/>
                    <w:ind w:left="420" w:leftChars="0" w:right="0" w:hanging="420" w:hangingChars="200"/>
                    <w:jc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ascii="Times New Roman" w:hAnsi="Calibri" w:cs="Times New Roman"/>
                      <w:color w:val="000000" w:themeColor="text1"/>
                      <w:sz w:val="21"/>
                      <w:szCs w:val="21"/>
                      <w:lang w:val="en-US" w:eastAsia="zh-CN"/>
                      <w14:textFill>
                        <w14:solidFill>
                          <w14:schemeClr w14:val="tx1"/>
                        </w14:solidFill>
                      </w14:textFill>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32" w:type="dxa"/>
                  <w:vMerge w:val="continue"/>
                  <w:vAlign w:val="center"/>
                </w:tcPr>
                <w:p>
                  <w:pPr>
                    <w:pStyle w:val="39"/>
                    <w:keepNext w:val="0"/>
                    <w:keepLines w:val="0"/>
                    <w:suppressLineNumbers w:val="0"/>
                    <w:bidi w:val="0"/>
                    <w:spacing w:before="0" w:beforeAutospacing="0" w:after="0" w:afterAutospacing="0"/>
                    <w:ind w:right="0"/>
                    <w:jc w:val="center"/>
                    <w:rPr>
                      <w:rFonts w:hint="default" w:ascii="Times New Roman" w:hAnsi="Times New Roman" w:cs="Times New Roman"/>
                      <w:color w:val="000000" w:themeColor="text1"/>
                      <w:sz w:val="21"/>
                      <w:szCs w:val="21"/>
                      <w:lang w:val="en-US" w:eastAsia="zh-CN"/>
                      <w14:textFill>
                        <w14:solidFill>
                          <w14:schemeClr w14:val="tx1"/>
                        </w14:solidFill>
                      </w14:textFill>
                    </w:rPr>
                  </w:pPr>
                </w:p>
              </w:tc>
              <w:tc>
                <w:tcPr>
                  <w:tcW w:w="1878" w:type="dxa"/>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五日生化需氧量</w:t>
                  </w:r>
                </w:p>
              </w:tc>
              <w:tc>
                <w:tcPr>
                  <w:tcW w:w="2127" w:type="dxa"/>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1.9~3.4</w:t>
                  </w:r>
                </w:p>
              </w:tc>
              <w:tc>
                <w:tcPr>
                  <w:tcW w:w="1336" w:type="dxa"/>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i w:val="0"/>
                      <w:iCs w:val="0"/>
                      <w:color w:val="000000"/>
                      <w:kern w:val="0"/>
                      <w:sz w:val="21"/>
                      <w:szCs w:val="21"/>
                      <w:u w:val="none"/>
                      <w:lang w:val="en-US" w:eastAsia="zh-CN" w:bidi="ar"/>
                    </w:rPr>
                    <w:t>4</w:t>
                  </w:r>
                </w:p>
              </w:tc>
              <w:tc>
                <w:tcPr>
                  <w:tcW w:w="1346" w:type="dxa"/>
                  <w:vAlign w:val="center"/>
                </w:tcPr>
                <w:p>
                  <w:pPr>
                    <w:pStyle w:val="39"/>
                    <w:keepNext w:val="0"/>
                    <w:keepLines w:val="0"/>
                    <w:suppressLineNumbers w:val="0"/>
                    <w:bidi w:val="0"/>
                    <w:spacing w:before="0" w:beforeAutospacing="0" w:after="0" w:afterAutospacing="0"/>
                    <w:ind w:left="420" w:leftChars="0" w:right="0" w:hanging="420" w:hangingChars="200"/>
                    <w:jc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ascii="Times New Roman" w:hAnsi="Calibri" w:cs="Times New Roman"/>
                      <w:color w:val="000000" w:themeColor="text1"/>
                      <w:sz w:val="21"/>
                      <w:szCs w:val="21"/>
                      <w:lang w:val="en-US" w:eastAsia="zh-CN"/>
                      <w14:textFill>
                        <w14:solidFill>
                          <w14:schemeClr w14:val="tx1"/>
                        </w14:solidFill>
                      </w14:textFill>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32" w:type="dxa"/>
                  <w:vMerge w:val="continue"/>
                  <w:vAlign w:val="center"/>
                </w:tcPr>
                <w:p>
                  <w:pPr>
                    <w:pStyle w:val="39"/>
                    <w:keepNext w:val="0"/>
                    <w:keepLines w:val="0"/>
                    <w:suppressLineNumbers w:val="0"/>
                    <w:bidi w:val="0"/>
                    <w:spacing w:before="0" w:beforeAutospacing="0" w:after="0" w:afterAutospacing="0"/>
                    <w:ind w:right="0"/>
                    <w:jc w:val="center"/>
                    <w:rPr>
                      <w:rFonts w:hint="default" w:ascii="Times New Roman" w:hAnsi="Times New Roman" w:cs="Times New Roman"/>
                      <w:color w:val="000000" w:themeColor="text1"/>
                      <w:sz w:val="21"/>
                      <w:szCs w:val="21"/>
                      <w:lang w:val="en-US" w:eastAsia="zh-CN"/>
                      <w14:textFill>
                        <w14:solidFill>
                          <w14:schemeClr w14:val="tx1"/>
                        </w14:solidFill>
                      </w14:textFill>
                    </w:rPr>
                  </w:pPr>
                </w:p>
              </w:tc>
              <w:tc>
                <w:tcPr>
                  <w:tcW w:w="1878" w:type="dxa"/>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氨氮</w:t>
                  </w:r>
                </w:p>
              </w:tc>
              <w:tc>
                <w:tcPr>
                  <w:tcW w:w="2127" w:type="dxa"/>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0.025L~0.051</w:t>
                  </w:r>
                </w:p>
              </w:tc>
              <w:tc>
                <w:tcPr>
                  <w:tcW w:w="1336" w:type="dxa"/>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i w:val="0"/>
                      <w:iCs w:val="0"/>
                      <w:color w:val="000000"/>
                      <w:kern w:val="0"/>
                      <w:sz w:val="21"/>
                      <w:szCs w:val="21"/>
                      <w:u w:val="none"/>
                      <w:lang w:val="en-US" w:eastAsia="zh-CN" w:bidi="ar"/>
                    </w:rPr>
                    <w:t>1.0</w:t>
                  </w:r>
                </w:p>
              </w:tc>
              <w:tc>
                <w:tcPr>
                  <w:tcW w:w="1346" w:type="dxa"/>
                  <w:vAlign w:val="center"/>
                </w:tcPr>
                <w:p>
                  <w:pPr>
                    <w:pStyle w:val="39"/>
                    <w:keepNext w:val="0"/>
                    <w:keepLines w:val="0"/>
                    <w:suppressLineNumbers w:val="0"/>
                    <w:bidi w:val="0"/>
                    <w:spacing w:before="0" w:beforeAutospacing="0" w:after="0" w:afterAutospacing="0"/>
                    <w:ind w:left="420" w:leftChars="0" w:right="0" w:hanging="420" w:hangingChars="200"/>
                    <w:jc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ascii="Times New Roman" w:hAnsi="Calibri" w:cs="Times New Roman"/>
                      <w:color w:val="000000" w:themeColor="text1"/>
                      <w:sz w:val="21"/>
                      <w:szCs w:val="21"/>
                      <w:lang w:val="en-US" w:eastAsia="zh-CN"/>
                      <w14:textFill>
                        <w14:solidFill>
                          <w14:schemeClr w14:val="tx1"/>
                        </w14:solidFill>
                      </w14:textFill>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32" w:type="dxa"/>
                  <w:vMerge w:val="continue"/>
                  <w:vAlign w:val="center"/>
                </w:tcPr>
                <w:p>
                  <w:pPr>
                    <w:pStyle w:val="39"/>
                    <w:keepNext w:val="0"/>
                    <w:keepLines w:val="0"/>
                    <w:suppressLineNumbers w:val="0"/>
                    <w:bidi w:val="0"/>
                    <w:spacing w:before="0" w:beforeAutospacing="0" w:after="0" w:afterAutospacing="0"/>
                    <w:ind w:right="0"/>
                    <w:jc w:val="center"/>
                    <w:rPr>
                      <w:rFonts w:hint="default" w:ascii="Times New Roman" w:hAnsi="Times New Roman" w:cs="Times New Roman"/>
                      <w:color w:val="000000" w:themeColor="text1"/>
                      <w:sz w:val="21"/>
                      <w:szCs w:val="21"/>
                      <w:lang w:val="en-US" w:eastAsia="zh-CN"/>
                      <w14:textFill>
                        <w14:solidFill>
                          <w14:schemeClr w14:val="tx1"/>
                        </w14:solidFill>
                      </w14:textFill>
                    </w:rPr>
                  </w:pPr>
                </w:p>
              </w:tc>
              <w:tc>
                <w:tcPr>
                  <w:tcW w:w="1878" w:type="dxa"/>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总磷</w:t>
                  </w:r>
                </w:p>
              </w:tc>
              <w:tc>
                <w:tcPr>
                  <w:tcW w:w="2127" w:type="dxa"/>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0.04~0.05</w:t>
                  </w:r>
                </w:p>
              </w:tc>
              <w:tc>
                <w:tcPr>
                  <w:tcW w:w="1336" w:type="dxa"/>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i w:val="0"/>
                      <w:iCs w:val="0"/>
                      <w:color w:val="000000"/>
                      <w:kern w:val="0"/>
                      <w:sz w:val="21"/>
                      <w:szCs w:val="21"/>
                      <w:u w:val="none"/>
                      <w:lang w:val="en-US" w:eastAsia="zh-CN" w:bidi="ar"/>
                    </w:rPr>
                    <w:t>0.2</w:t>
                  </w:r>
                </w:p>
              </w:tc>
              <w:tc>
                <w:tcPr>
                  <w:tcW w:w="1346" w:type="dxa"/>
                  <w:vAlign w:val="center"/>
                </w:tcPr>
                <w:p>
                  <w:pPr>
                    <w:pStyle w:val="39"/>
                    <w:keepNext w:val="0"/>
                    <w:keepLines w:val="0"/>
                    <w:suppressLineNumbers w:val="0"/>
                    <w:bidi w:val="0"/>
                    <w:spacing w:before="0" w:beforeAutospacing="0" w:after="0" w:afterAutospacing="0"/>
                    <w:ind w:left="420" w:leftChars="0" w:right="0" w:hanging="420" w:hangingChars="200"/>
                    <w:jc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ascii="Times New Roman" w:hAnsi="Calibri" w:cs="Times New Roman"/>
                      <w:color w:val="000000" w:themeColor="text1"/>
                      <w:sz w:val="21"/>
                      <w:szCs w:val="21"/>
                      <w:lang w:val="en-US" w:eastAsia="zh-CN"/>
                      <w14:textFill>
                        <w14:solidFill>
                          <w14:schemeClr w14:val="tx1"/>
                        </w14:solidFill>
                      </w14:textFill>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32" w:type="dxa"/>
                  <w:vMerge w:val="continue"/>
                  <w:vAlign w:val="center"/>
                </w:tcPr>
                <w:p>
                  <w:pPr>
                    <w:pStyle w:val="39"/>
                    <w:keepNext w:val="0"/>
                    <w:keepLines w:val="0"/>
                    <w:suppressLineNumbers w:val="0"/>
                    <w:bidi w:val="0"/>
                    <w:spacing w:before="0" w:beforeAutospacing="0" w:after="0" w:afterAutospacing="0"/>
                    <w:ind w:right="0"/>
                    <w:jc w:val="center"/>
                    <w:rPr>
                      <w:rFonts w:hint="default" w:ascii="Times New Roman" w:hAnsi="Times New Roman" w:cs="Times New Roman"/>
                      <w:color w:val="000000" w:themeColor="text1"/>
                      <w:sz w:val="21"/>
                      <w:szCs w:val="21"/>
                      <w:lang w:val="en-US" w:eastAsia="zh-CN"/>
                      <w14:textFill>
                        <w14:solidFill>
                          <w14:schemeClr w14:val="tx1"/>
                        </w14:solidFill>
                      </w14:textFill>
                    </w:rPr>
                  </w:pPr>
                </w:p>
              </w:tc>
              <w:tc>
                <w:tcPr>
                  <w:tcW w:w="1878" w:type="dxa"/>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总氮</w:t>
                  </w:r>
                </w:p>
              </w:tc>
              <w:tc>
                <w:tcPr>
                  <w:tcW w:w="2127" w:type="dxa"/>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0.64~0.72</w:t>
                  </w:r>
                </w:p>
              </w:tc>
              <w:tc>
                <w:tcPr>
                  <w:tcW w:w="1336" w:type="dxa"/>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i w:val="0"/>
                      <w:iCs w:val="0"/>
                      <w:color w:val="000000"/>
                      <w:kern w:val="0"/>
                      <w:sz w:val="21"/>
                      <w:szCs w:val="21"/>
                      <w:u w:val="none"/>
                      <w:lang w:val="en-US" w:eastAsia="zh-CN" w:bidi="ar"/>
                    </w:rPr>
                    <w:t>1.0</w:t>
                  </w:r>
                </w:p>
              </w:tc>
              <w:tc>
                <w:tcPr>
                  <w:tcW w:w="1346" w:type="dxa"/>
                  <w:vAlign w:val="center"/>
                </w:tcPr>
                <w:p>
                  <w:pPr>
                    <w:pStyle w:val="39"/>
                    <w:keepNext w:val="0"/>
                    <w:keepLines w:val="0"/>
                    <w:suppressLineNumbers w:val="0"/>
                    <w:bidi w:val="0"/>
                    <w:spacing w:before="0" w:beforeAutospacing="0" w:after="0" w:afterAutospacing="0"/>
                    <w:ind w:left="420" w:leftChars="0" w:right="0" w:hanging="420" w:hangingChars="200"/>
                    <w:jc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ascii="Times New Roman" w:hAnsi="Calibri" w:cs="Times New Roman"/>
                      <w:color w:val="000000" w:themeColor="text1"/>
                      <w:sz w:val="21"/>
                      <w:szCs w:val="21"/>
                      <w:lang w:val="en-US" w:eastAsia="zh-CN"/>
                      <w14:textFill>
                        <w14:solidFill>
                          <w14:schemeClr w14:val="tx1"/>
                        </w14:solidFill>
                      </w14:textFill>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32" w:type="dxa"/>
                  <w:vMerge w:val="continue"/>
                  <w:vAlign w:val="center"/>
                </w:tcPr>
                <w:p>
                  <w:pPr>
                    <w:pStyle w:val="39"/>
                    <w:keepNext w:val="0"/>
                    <w:keepLines w:val="0"/>
                    <w:suppressLineNumbers w:val="0"/>
                    <w:bidi w:val="0"/>
                    <w:spacing w:before="0" w:beforeAutospacing="0" w:after="0" w:afterAutospacing="0"/>
                    <w:ind w:right="0"/>
                    <w:jc w:val="center"/>
                    <w:rPr>
                      <w:rFonts w:hint="default" w:ascii="Times New Roman" w:hAnsi="Times New Roman" w:cs="Times New Roman"/>
                      <w:color w:val="000000" w:themeColor="text1"/>
                      <w:sz w:val="21"/>
                      <w:szCs w:val="21"/>
                      <w:lang w:val="en-US" w:eastAsia="zh-CN"/>
                      <w14:textFill>
                        <w14:solidFill>
                          <w14:schemeClr w14:val="tx1"/>
                        </w14:solidFill>
                      </w14:textFill>
                    </w:rPr>
                  </w:pPr>
                </w:p>
              </w:tc>
              <w:tc>
                <w:tcPr>
                  <w:tcW w:w="1878" w:type="dxa"/>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阴离子表面活性剂</w:t>
                  </w:r>
                </w:p>
              </w:tc>
              <w:tc>
                <w:tcPr>
                  <w:tcW w:w="2127" w:type="dxa"/>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0.05L</w:t>
                  </w:r>
                </w:p>
              </w:tc>
              <w:tc>
                <w:tcPr>
                  <w:tcW w:w="1336" w:type="dxa"/>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i w:val="0"/>
                      <w:iCs w:val="0"/>
                      <w:color w:val="000000"/>
                      <w:kern w:val="0"/>
                      <w:sz w:val="21"/>
                      <w:szCs w:val="21"/>
                      <w:u w:val="none"/>
                      <w:lang w:val="en-US" w:eastAsia="zh-CN" w:bidi="ar"/>
                    </w:rPr>
                    <w:t>0.2</w:t>
                  </w:r>
                </w:p>
              </w:tc>
              <w:tc>
                <w:tcPr>
                  <w:tcW w:w="1346" w:type="dxa"/>
                  <w:vAlign w:val="center"/>
                </w:tcPr>
                <w:p>
                  <w:pPr>
                    <w:pStyle w:val="39"/>
                    <w:keepNext w:val="0"/>
                    <w:keepLines w:val="0"/>
                    <w:suppressLineNumbers w:val="0"/>
                    <w:bidi w:val="0"/>
                    <w:spacing w:before="0" w:beforeAutospacing="0" w:after="0" w:afterAutospacing="0"/>
                    <w:ind w:left="420" w:leftChars="0" w:right="0" w:hanging="420" w:hangingChars="200"/>
                    <w:jc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ascii="Times New Roman" w:hAnsi="Calibri" w:cs="Times New Roman"/>
                      <w:color w:val="000000" w:themeColor="text1"/>
                      <w:sz w:val="21"/>
                      <w:szCs w:val="21"/>
                      <w:lang w:val="en-US" w:eastAsia="zh-CN"/>
                      <w14:textFill>
                        <w14:solidFill>
                          <w14:schemeClr w14:val="tx1"/>
                        </w14:solidFill>
                      </w14:textFill>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32" w:type="dxa"/>
                  <w:vMerge w:val="continue"/>
                  <w:vAlign w:val="center"/>
                </w:tcPr>
                <w:p>
                  <w:pPr>
                    <w:pStyle w:val="39"/>
                    <w:keepNext w:val="0"/>
                    <w:keepLines w:val="0"/>
                    <w:suppressLineNumbers w:val="0"/>
                    <w:bidi w:val="0"/>
                    <w:spacing w:before="0" w:beforeAutospacing="0" w:after="0" w:afterAutospacing="0"/>
                    <w:ind w:right="0"/>
                    <w:jc w:val="center"/>
                    <w:rPr>
                      <w:rFonts w:hint="default" w:ascii="Times New Roman" w:hAnsi="Times New Roman" w:cs="Times New Roman"/>
                      <w:color w:val="000000" w:themeColor="text1"/>
                      <w:sz w:val="21"/>
                      <w:szCs w:val="21"/>
                      <w:lang w:val="en-US" w:eastAsia="zh-CN"/>
                      <w14:textFill>
                        <w14:solidFill>
                          <w14:schemeClr w14:val="tx1"/>
                        </w14:solidFill>
                      </w14:textFill>
                    </w:rPr>
                  </w:pPr>
                </w:p>
              </w:tc>
              <w:tc>
                <w:tcPr>
                  <w:tcW w:w="1878" w:type="dxa"/>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石油类</w:t>
                  </w:r>
                </w:p>
              </w:tc>
              <w:tc>
                <w:tcPr>
                  <w:tcW w:w="2127" w:type="dxa"/>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0.01L</w:t>
                  </w:r>
                </w:p>
              </w:tc>
              <w:tc>
                <w:tcPr>
                  <w:tcW w:w="1336" w:type="dxa"/>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i w:val="0"/>
                      <w:iCs w:val="0"/>
                      <w:color w:val="000000"/>
                      <w:kern w:val="0"/>
                      <w:sz w:val="21"/>
                      <w:szCs w:val="21"/>
                      <w:u w:val="none"/>
                      <w:lang w:val="en-US" w:eastAsia="zh-CN" w:bidi="ar"/>
                    </w:rPr>
                    <w:t>0.05</w:t>
                  </w:r>
                </w:p>
              </w:tc>
              <w:tc>
                <w:tcPr>
                  <w:tcW w:w="1346" w:type="dxa"/>
                  <w:vAlign w:val="center"/>
                </w:tcPr>
                <w:p>
                  <w:pPr>
                    <w:pStyle w:val="39"/>
                    <w:keepNext w:val="0"/>
                    <w:keepLines w:val="0"/>
                    <w:suppressLineNumbers w:val="0"/>
                    <w:bidi w:val="0"/>
                    <w:spacing w:before="0" w:beforeAutospacing="0" w:after="0" w:afterAutospacing="0"/>
                    <w:ind w:left="420" w:leftChars="0" w:right="0" w:hanging="420" w:hangingChars="200"/>
                    <w:jc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ascii="Times New Roman" w:hAnsi="Calibri" w:cs="Times New Roman"/>
                      <w:color w:val="000000" w:themeColor="text1"/>
                      <w:sz w:val="21"/>
                      <w:szCs w:val="21"/>
                      <w:lang w:val="en-US" w:eastAsia="zh-CN"/>
                      <w14:textFill>
                        <w14:solidFill>
                          <w14:schemeClr w14:val="tx1"/>
                        </w14:solidFill>
                      </w14:textFill>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32" w:type="dxa"/>
                  <w:vMerge w:val="continue"/>
                  <w:vAlign w:val="center"/>
                </w:tcPr>
                <w:p>
                  <w:pPr>
                    <w:pStyle w:val="39"/>
                    <w:keepNext w:val="0"/>
                    <w:keepLines w:val="0"/>
                    <w:suppressLineNumbers w:val="0"/>
                    <w:bidi w:val="0"/>
                    <w:spacing w:before="0" w:beforeAutospacing="0" w:after="0" w:afterAutospacing="0"/>
                    <w:ind w:right="0"/>
                    <w:jc w:val="center"/>
                    <w:rPr>
                      <w:rFonts w:hint="default" w:ascii="Times New Roman" w:hAnsi="Times New Roman" w:cs="Times New Roman"/>
                      <w:color w:val="000000" w:themeColor="text1"/>
                      <w:sz w:val="21"/>
                      <w:szCs w:val="21"/>
                      <w:lang w:val="en-US" w:eastAsia="zh-CN"/>
                      <w14:textFill>
                        <w14:solidFill>
                          <w14:schemeClr w14:val="tx1"/>
                        </w14:solidFill>
                      </w14:textFill>
                    </w:rPr>
                  </w:pPr>
                </w:p>
              </w:tc>
              <w:tc>
                <w:tcPr>
                  <w:tcW w:w="1878" w:type="dxa"/>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粪大肠菌群（个/L）</w:t>
                  </w:r>
                </w:p>
              </w:tc>
              <w:tc>
                <w:tcPr>
                  <w:tcW w:w="2127" w:type="dxa"/>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1700~2100</w:t>
                  </w:r>
                </w:p>
              </w:tc>
              <w:tc>
                <w:tcPr>
                  <w:tcW w:w="1336" w:type="dxa"/>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cs="Times New Roman"/>
                      <w:i w:val="0"/>
                      <w:iCs w:val="0"/>
                      <w:color w:val="000000"/>
                      <w:kern w:val="0"/>
                      <w:sz w:val="21"/>
                      <w:szCs w:val="21"/>
                      <w:u w:val="none"/>
                      <w:lang w:val="en-US" w:eastAsia="zh-CN" w:bidi="ar"/>
                    </w:rPr>
                    <w:t>10000</w:t>
                  </w:r>
                </w:p>
              </w:tc>
              <w:tc>
                <w:tcPr>
                  <w:tcW w:w="1346" w:type="dxa"/>
                  <w:vAlign w:val="center"/>
                </w:tcPr>
                <w:p>
                  <w:pPr>
                    <w:pStyle w:val="39"/>
                    <w:keepNext w:val="0"/>
                    <w:keepLines w:val="0"/>
                    <w:suppressLineNumbers w:val="0"/>
                    <w:bidi w:val="0"/>
                    <w:spacing w:before="0" w:beforeAutospacing="0" w:after="0" w:afterAutospacing="0"/>
                    <w:ind w:left="420" w:leftChars="0" w:right="0" w:hanging="420" w:hangingChars="200"/>
                    <w:jc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ascii="Times New Roman" w:hAnsi="Calibri" w:cs="Times New Roman"/>
                      <w:color w:val="000000" w:themeColor="text1"/>
                      <w:sz w:val="21"/>
                      <w:szCs w:val="21"/>
                      <w:lang w:val="en-US" w:eastAsia="zh-CN"/>
                      <w14:textFill>
                        <w14:solidFill>
                          <w14:schemeClr w14:val="tx1"/>
                        </w14:solidFill>
                      </w14:textFill>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9" w:type="dxa"/>
                  <w:gridSpan w:val="5"/>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备注：标准执行《地表水环境质量标准》（GB3838-2002）III类标准要求</w:t>
                  </w:r>
                </w:p>
              </w:tc>
            </w:tr>
          </w:tbl>
          <w:p>
            <w:pPr>
              <w:keepNext w:val="0"/>
              <w:keepLines w:val="0"/>
              <w:pageBreakBefore w:val="0"/>
              <w:widowControl w:val="0"/>
              <w:suppressLineNumbers w:val="0"/>
              <w:kinsoku/>
              <w:wordWrap/>
              <w:overflowPunct/>
              <w:topLinePunct w:val="0"/>
              <w:autoSpaceDE/>
              <w:autoSpaceDN/>
              <w:bidi w:val="0"/>
              <w:adjustRightInd w:val="0"/>
              <w:snapToGrid w:val="0"/>
              <w:spacing w:before="157" w:beforeLines="50" w:beforeAutospacing="0" w:after="0" w:afterAutospacing="0" w:line="360" w:lineRule="auto"/>
              <w:ind w:left="0" w:right="0" w:firstLine="720" w:firstLineChars="300"/>
              <w:jc w:val="left"/>
              <w:textAlignment w:val="auto"/>
              <w:rPr>
                <w:rFonts w:hint="eastAsia" w:ascii="Calibri" w:hAnsi="Calibri" w:cs="Times New Roman"/>
                <w:sz w:val="24"/>
                <w:szCs w:val="24"/>
              </w:rPr>
            </w:pPr>
            <w:r>
              <w:rPr>
                <w:rFonts w:hint="eastAsia" w:ascii="Calibri" w:hAnsi="Calibri" w:cs="Times New Roman"/>
                <w:sz w:val="24"/>
                <w:szCs w:val="24"/>
              </w:rPr>
              <w:t>根据公布结果显示，</w:t>
            </w:r>
            <w:r>
              <w:rPr>
                <w:rFonts w:hint="eastAsia" w:ascii="宋体" w:hAnsi="宋体" w:cs="宋体"/>
                <w:color w:val="000000" w:themeColor="text1"/>
                <w:sz w:val="24"/>
                <w:szCs w:val="24"/>
                <w:lang w:val="en-US" w:eastAsia="zh-CN"/>
                <w14:textFill>
                  <w14:solidFill>
                    <w14:schemeClr w14:val="tx1"/>
                  </w14:solidFill>
                </w14:textFill>
              </w:rPr>
              <w:t>零陵区水厂</w:t>
            </w:r>
            <w:r>
              <w:rPr>
                <w:rFonts w:hint="eastAsia" w:ascii="Calibri" w:hAnsi="Calibri" w:cs="Times New Roman"/>
                <w:sz w:val="24"/>
                <w:szCs w:val="24"/>
              </w:rPr>
              <w:t>监测断面</w:t>
            </w:r>
            <w:r>
              <w:rPr>
                <w:rFonts w:hint="eastAsia" w:ascii="宋体" w:hAnsi="宋体" w:cs="宋体"/>
                <w:color w:val="000000" w:themeColor="text1"/>
                <w:sz w:val="24"/>
                <w:szCs w:val="24"/>
                <w:lang w:val="en-US" w:eastAsia="zh-CN"/>
                <w14:textFill>
                  <w14:solidFill>
                    <w14:schemeClr w14:val="tx1"/>
                  </w14:solidFill>
                </w14:textFill>
              </w:rPr>
              <w:t>、东洲山以及江村镇江村渡口监测断面</w:t>
            </w:r>
            <w:r>
              <w:rPr>
                <w:rFonts w:hint="eastAsia" w:ascii="Calibri" w:hAnsi="Calibri" w:cs="Times New Roman"/>
                <w:sz w:val="24"/>
                <w:szCs w:val="24"/>
              </w:rPr>
              <w:t>水质状况</w:t>
            </w:r>
            <w:r>
              <w:rPr>
                <w:rFonts w:hint="eastAsia" w:ascii="Calibri" w:hAnsi="Calibri" w:cs="Times New Roman"/>
                <w:sz w:val="24"/>
                <w:szCs w:val="24"/>
                <w:lang w:val="en-US" w:eastAsia="zh-CN"/>
              </w:rPr>
              <w:t>均</w:t>
            </w:r>
            <w:r>
              <w:rPr>
                <w:rFonts w:hint="eastAsia" w:ascii="Calibri" w:hAnsi="Calibri" w:cs="Times New Roman"/>
                <w:sz w:val="24"/>
                <w:szCs w:val="24"/>
              </w:rPr>
              <w:t>能够达到《地表水环境质量标准》（GB3838-2002）</w:t>
            </w:r>
            <w:r>
              <w:rPr>
                <w:rFonts w:hint="default" w:ascii="Times New Roman" w:hAnsi="Times New Roman" w:eastAsia="宋体" w:cs="Times New Roman"/>
                <w:i w:val="0"/>
                <w:iCs w:val="0"/>
                <w:color w:val="000000"/>
                <w:kern w:val="0"/>
                <w:sz w:val="21"/>
                <w:szCs w:val="21"/>
                <w:u w:val="none"/>
                <w:lang w:val="en-US" w:eastAsia="zh-CN" w:bidi="ar"/>
              </w:rPr>
              <w:t>Ⅱ</w:t>
            </w:r>
            <w:r>
              <w:rPr>
                <w:rFonts w:hint="eastAsia" w:ascii="Calibri" w:hAnsi="Calibri" w:cs="Times New Roman"/>
                <w:sz w:val="24"/>
                <w:szCs w:val="24"/>
              </w:rPr>
              <w:t>类标准要求，表明</w:t>
            </w:r>
            <w:r>
              <w:rPr>
                <w:rFonts w:hint="eastAsia" w:ascii="宋体" w:hAnsi="宋体" w:cs="宋体"/>
                <w:color w:val="000000" w:themeColor="text1"/>
                <w:sz w:val="24"/>
                <w:szCs w:val="24"/>
                <w:lang w:val="en-US" w:eastAsia="zh-CN"/>
                <w14:textFill>
                  <w14:solidFill>
                    <w14:schemeClr w14:val="tx1"/>
                  </w14:solidFill>
                </w14:textFill>
              </w:rPr>
              <w:t>本项目区域</w:t>
            </w:r>
            <w:r>
              <w:rPr>
                <w:rFonts w:hint="eastAsia" w:ascii="Calibri" w:hAnsi="Calibri" w:cs="Times New Roman"/>
                <w:sz w:val="24"/>
                <w:szCs w:val="24"/>
              </w:rPr>
              <w:t>水</w:t>
            </w:r>
            <w:r>
              <w:rPr>
                <w:rFonts w:hint="eastAsia" w:ascii="Calibri" w:hAnsi="Calibri" w:cs="Times New Roman"/>
                <w:sz w:val="24"/>
                <w:szCs w:val="24"/>
                <w:lang w:eastAsia="zh-CN"/>
              </w:rPr>
              <w:t>环境质量状况良</w:t>
            </w:r>
            <w:r>
              <w:rPr>
                <w:rFonts w:hint="eastAsia" w:ascii="Calibri" w:hAnsi="Calibri" w:cs="Times New Roman"/>
                <w:sz w:val="24"/>
                <w:szCs w:val="24"/>
              </w:rPr>
              <w:t>好。</w:t>
            </w:r>
          </w:p>
          <w:p>
            <w:pPr>
              <w:keepNext w:val="0"/>
              <w:keepLines w:val="0"/>
              <w:suppressLineNumbers w:val="0"/>
              <w:adjustRightInd w:val="0"/>
              <w:snapToGrid w:val="0"/>
              <w:spacing w:before="0" w:beforeAutospacing="0" w:after="0" w:afterAutospacing="0" w:line="360" w:lineRule="auto"/>
              <w:ind w:left="0" w:right="0" w:firstLine="482" w:firstLineChars="200"/>
              <w:jc w:val="left"/>
              <w:rPr>
                <w:rFonts w:hint="eastAsia" w:ascii="Calibri" w:hAnsi="Calibri" w:eastAsia="宋体" w:cs="Times New Roman"/>
                <w:b/>
                <w:bCs/>
                <w:color w:val="auto"/>
                <w:sz w:val="24"/>
                <w:szCs w:val="24"/>
                <w:lang w:val="en-US" w:eastAsia="zh-CN"/>
              </w:rPr>
            </w:pPr>
            <w:r>
              <w:rPr>
                <w:rFonts w:hint="eastAsia" w:ascii="Calibri" w:hAnsi="Calibri" w:cs="Times New Roman"/>
                <w:b/>
                <w:bCs/>
                <w:color w:val="auto"/>
                <w:sz w:val="24"/>
                <w:szCs w:val="24"/>
              </w:rPr>
              <w:t>3</w:t>
            </w:r>
            <w:r>
              <w:rPr>
                <w:rFonts w:ascii="Calibri" w:hAnsi="Calibri" w:cs="Times New Roman"/>
                <w:b/>
                <w:bCs/>
                <w:color w:val="auto"/>
                <w:sz w:val="24"/>
                <w:szCs w:val="24"/>
              </w:rPr>
              <w:t>.</w:t>
            </w:r>
            <w:r>
              <w:rPr>
                <w:rFonts w:hint="eastAsia" w:ascii="Calibri" w:hAnsi="Calibri" w:cs="Times New Roman"/>
                <w:b/>
                <w:bCs/>
                <w:color w:val="auto"/>
                <w:sz w:val="24"/>
                <w:szCs w:val="24"/>
              </w:rPr>
              <w:t>声环境质量现状</w:t>
            </w:r>
          </w:p>
          <w:p>
            <w:pPr>
              <w:keepNext w:val="0"/>
              <w:keepLines w:val="0"/>
              <w:suppressLineNumbers w:val="0"/>
              <w:adjustRightInd w:val="0"/>
              <w:snapToGrid w:val="0"/>
              <w:spacing w:before="0" w:beforeAutospacing="0" w:after="0" w:afterAutospacing="0" w:line="360" w:lineRule="auto"/>
              <w:ind w:left="0" w:right="0" w:firstLine="480" w:firstLineChars="200"/>
              <w:jc w:val="left"/>
              <w:rPr>
                <w:rFonts w:hint="default" w:ascii="Times New Roman" w:hAnsi="Times New Roman" w:cs="Times New Roman"/>
                <w:color w:val="auto"/>
                <w:kern w:val="0"/>
                <w:sz w:val="24"/>
                <w:szCs w:val="24"/>
                <w:lang w:eastAsia="zh-CN"/>
              </w:rPr>
            </w:pPr>
            <w:r>
              <w:rPr>
                <w:rFonts w:hint="eastAsia" w:ascii="Calibri" w:hAnsi="Calibri" w:cs="Times New Roman"/>
                <w:color w:val="auto"/>
                <w:kern w:val="0"/>
                <w:sz w:val="24"/>
                <w:szCs w:val="24"/>
                <w:lang w:eastAsia="zh-CN"/>
              </w:rPr>
              <w:t>根据现场踏勘，本项目</w:t>
            </w:r>
            <w:r>
              <w:rPr>
                <w:rFonts w:hint="eastAsia" w:ascii="Calibri" w:hAnsi="Calibri" w:cs="Times New Roman"/>
                <w:color w:val="auto"/>
                <w:kern w:val="0"/>
                <w:sz w:val="24"/>
                <w:szCs w:val="24"/>
                <w:lang w:val="en-US" w:eastAsia="zh-CN"/>
              </w:rPr>
              <w:t>矿权范围</w:t>
            </w:r>
            <w:r>
              <w:rPr>
                <w:rFonts w:hint="eastAsia" w:ascii="Calibri" w:hAnsi="Calibri" w:cs="Times New Roman"/>
                <w:color w:val="auto"/>
                <w:kern w:val="0"/>
                <w:sz w:val="24"/>
                <w:szCs w:val="24"/>
                <w:lang w:eastAsia="zh-CN"/>
              </w:rPr>
              <w:t>50m内</w:t>
            </w:r>
            <w:r>
              <w:rPr>
                <w:rFonts w:hint="eastAsia" w:ascii="Calibri" w:hAnsi="Calibri" w:cs="Times New Roman"/>
                <w:color w:val="auto"/>
                <w:kern w:val="0"/>
                <w:sz w:val="24"/>
                <w:szCs w:val="24"/>
                <w:lang w:val="en-US" w:eastAsia="zh-CN"/>
              </w:rPr>
              <w:t>没</w:t>
            </w:r>
            <w:r>
              <w:rPr>
                <w:rFonts w:hint="eastAsia" w:ascii="Calibri" w:hAnsi="Calibri" w:cs="Times New Roman"/>
                <w:color w:val="auto"/>
                <w:kern w:val="0"/>
                <w:sz w:val="24"/>
                <w:szCs w:val="24"/>
                <w:lang w:eastAsia="zh-CN"/>
              </w:rPr>
              <w:t>有声环境敏感点，</w:t>
            </w:r>
            <w:r>
              <w:rPr>
                <w:rFonts w:hint="eastAsia" w:ascii="Calibri" w:hAnsi="Calibri" w:cs="Times New Roman"/>
                <w:color w:val="auto"/>
                <w:kern w:val="0"/>
                <w:sz w:val="24"/>
                <w:szCs w:val="24"/>
                <w:lang w:val="en-US" w:eastAsia="zh-CN"/>
              </w:rPr>
              <w:t>但本项目涉及爆破，</w:t>
            </w:r>
            <w:r>
              <w:rPr>
                <w:rFonts w:hint="eastAsia" w:ascii="Calibri" w:hAnsi="Calibri" w:cs="Times New Roman"/>
                <w:color w:val="auto"/>
                <w:kern w:val="0"/>
                <w:sz w:val="24"/>
                <w:szCs w:val="24"/>
                <w:lang w:eastAsia="zh-CN"/>
              </w:rPr>
              <w:t>为</w:t>
            </w:r>
            <w:r>
              <w:rPr>
                <w:rFonts w:hint="default" w:ascii="Times New Roman" w:hAnsi="Times New Roman" w:cs="Times New Roman"/>
                <w:color w:val="auto"/>
                <w:kern w:val="0"/>
                <w:sz w:val="24"/>
                <w:szCs w:val="24"/>
                <w:lang w:eastAsia="zh-CN"/>
              </w:rPr>
              <w:t>了解本项目区域声环境现状情况，本次环评建设单位委托湖南中雁环保科技有限公司于2022年12月28日~2022年12月29日对</w:t>
            </w:r>
            <w:r>
              <w:rPr>
                <w:rFonts w:hint="default" w:ascii="Times New Roman" w:hAnsi="Times New Roman" w:cs="Times New Roman"/>
                <w:color w:val="auto"/>
                <w:kern w:val="0"/>
                <w:sz w:val="24"/>
                <w:szCs w:val="24"/>
                <w:lang w:val="en-US" w:eastAsia="zh-CN"/>
              </w:rPr>
              <w:t>爆破安全警戒线</w:t>
            </w:r>
            <w:r>
              <w:rPr>
                <w:rFonts w:hint="default" w:ascii="Times New Roman" w:hAnsi="Times New Roman" w:cs="Times New Roman"/>
                <w:color w:val="auto"/>
                <w:kern w:val="0"/>
                <w:sz w:val="24"/>
                <w:szCs w:val="24"/>
                <w:lang w:eastAsia="zh-CN"/>
              </w:rPr>
              <w:t>周边居民点进行了一期声环境质量现状监测，监测时间为昼、夜监测，监测结果如下。</w:t>
            </w:r>
          </w:p>
          <w:p>
            <w:pPr>
              <w:pStyle w:val="6"/>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firstLine="422" w:firstLineChars="200"/>
              <w:jc w:val="center"/>
              <w:textAlignment w:val="auto"/>
              <w:rPr>
                <w:rFonts w:hint="default" w:ascii="Times New Roman" w:hAnsi="Times New Roman" w:eastAsia="宋体" w:cs="Times New Roman"/>
                <w:b/>
                <w:bCs w:val="0"/>
                <w:color w:val="auto"/>
                <w:sz w:val="21"/>
                <w:szCs w:val="21"/>
                <w:highlight w:val="none"/>
                <w:u w:val="none" w:color="auto"/>
                <w:vertAlign w:val="baseline"/>
                <w:lang w:val="en-US" w:eastAsia="zh-CN"/>
              </w:rPr>
            </w:pPr>
            <w:r>
              <w:rPr>
                <w:rFonts w:hint="default" w:ascii="Times New Roman" w:hAnsi="Times New Roman" w:eastAsia="宋体" w:cs="Times New Roman"/>
                <w:b/>
                <w:bCs w:val="0"/>
                <w:color w:val="auto"/>
                <w:sz w:val="21"/>
                <w:szCs w:val="21"/>
                <w:highlight w:val="none"/>
                <w:u w:val="none" w:color="auto"/>
                <w:lang w:val="en-US" w:eastAsia="zh-CN"/>
              </w:rPr>
              <w:t>表3-</w:t>
            </w:r>
            <w:r>
              <w:rPr>
                <w:rFonts w:hint="default" w:ascii="Times New Roman" w:hAnsi="Times New Roman" w:cs="Times New Roman"/>
                <w:b/>
                <w:bCs w:val="0"/>
                <w:color w:val="auto"/>
                <w:sz w:val="21"/>
                <w:szCs w:val="21"/>
                <w:highlight w:val="none"/>
                <w:u w:val="none" w:color="auto"/>
                <w:lang w:val="en-US" w:eastAsia="zh-CN"/>
              </w:rPr>
              <w:t>4</w:t>
            </w:r>
            <w:r>
              <w:rPr>
                <w:rFonts w:hint="default" w:ascii="Times New Roman" w:hAnsi="Times New Roman" w:eastAsia="宋体" w:cs="Times New Roman"/>
                <w:b/>
                <w:bCs w:val="0"/>
                <w:color w:val="auto"/>
                <w:sz w:val="21"/>
                <w:szCs w:val="21"/>
                <w:highlight w:val="none"/>
                <w:u w:val="none" w:color="auto"/>
                <w:lang w:val="en-US" w:eastAsia="zh-CN"/>
              </w:rPr>
              <w:t>声环境现状监测结果统计表（dB（A））</w:t>
            </w:r>
          </w:p>
          <w:tbl>
            <w:tblPr>
              <w:tblStyle w:val="22"/>
              <w:tblW w:w="8014" w:type="dxa"/>
              <w:tblInd w:w="0"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2264"/>
              <w:gridCol w:w="1161"/>
              <w:gridCol w:w="1312"/>
              <w:gridCol w:w="1295"/>
              <w:gridCol w:w="1005"/>
              <w:gridCol w:w="977"/>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c>
                <w:tcPr>
                  <w:tcW w:w="2264" w:type="dxa"/>
                  <w:vMerge w:val="restart"/>
                  <w:tcBorders>
                    <w:tl2br w:val="nil"/>
                    <w:tr2bl w:val="nil"/>
                  </w:tcBorders>
                  <w:vAlign w:val="center"/>
                </w:tcPr>
                <w:p>
                  <w:pPr>
                    <w:pStyle w:val="6"/>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eastAsia="宋体" w:cs="Times New Roman"/>
                      <w:b/>
                      <w:bCs w:val="0"/>
                      <w:color w:val="auto"/>
                      <w:sz w:val="21"/>
                      <w:szCs w:val="21"/>
                      <w:highlight w:val="none"/>
                      <w:u w:val="none" w:color="auto"/>
                      <w:vertAlign w:val="baseline"/>
                      <w:lang w:val="en-US" w:eastAsia="zh-CN"/>
                    </w:rPr>
                  </w:pPr>
                  <w:r>
                    <w:rPr>
                      <w:rFonts w:hint="default" w:ascii="Times New Roman" w:hAnsi="Times New Roman" w:eastAsia="宋体" w:cs="Times New Roman"/>
                      <w:b/>
                      <w:bCs w:val="0"/>
                      <w:color w:val="auto"/>
                      <w:sz w:val="21"/>
                      <w:szCs w:val="21"/>
                      <w:highlight w:val="none"/>
                      <w:u w:val="none" w:color="auto"/>
                      <w:vertAlign w:val="baseline"/>
                      <w:lang w:val="en-US" w:eastAsia="zh-CN"/>
                    </w:rPr>
                    <w:t>检测点位</w:t>
                  </w:r>
                </w:p>
              </w:tc>
              <w:tc>
                <w:tcPr>
                  <w:tcW w:w="1161" w:type="dxa"/>
                  <w:vMerge w:val="restart"/>
                  <w:tcBorders>
                    <w:tl2br w:val="nil"/>
                    <w:tr2bl w:val="nil"/>
                  </w:tcBorders>
                  <w:vAlign w:val="center"/>
                </w:tcPr>
                <w:p>
                  <w:pPr>
                    <w:pStyle w:val="6"/>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eastAsia="宋体" w:cs="Times New Roman"/>
                      <w:b/>
                      <w:bCs w:val="0"/>
                      <w:color w:val="auto"/>
                      <w:sz w:val="21"/>
                      <w:szCs w:val="21"/>
                      <w:highlight w:val="none"/>
                      <w:u w:val="none" w:color="auto"/>
                      <w:vertAlign w:val="baseline"/>
                      <w:lang w:val="en-US" w:eastAsia="zh-CN"/>
                    </w:rPr>
                  </w:pPr>
                  <w:r>
                    <w:rPr>
                      <w:rFonts w:hint="default" w:ascii="Times New Roman" w:hAnsi="Times New Roman" w:eastAsia="宋体" w:cs="Times New Roman"/>
                      <w:b/>
                      <w:bCs w:val="0"/>
                      <w:color w:val="auto"/>
                      <w:sz w:val="21"/>
                      <w:szCs w:val="21"/>
                      <w:highlight w:val="none"/>
                      <w:u w:val="none" w:color="auto"/>
                      <w:vertAlign w:val="baseline"/>
                      <w:lang w:val="en-US" w:eastAsia="zh-CN"/>
                    </w:rPr>
                    <w:t>检测日期</w:t>
                  </w:r>
                </w:p>
              </w:tc>
              <w:tc>
                <w:tcPr>
                  <w:tcW w:w="2607" w:type="dxa"/>
                  <w:gridSpan w:val="2"/>
                  <w:tcBorders>
                    <w:tl2br w:val="nil"/>
                    <w:tr2bl w:val="nil"/>
                  </w:tcBorders>
                  <w:vAlign w:val="center"/>
                </w:tcPr>
                <w:p>
                  <w:pPr>
                    <w:pStyle w:val="6"/>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eastAsia="宋体" w:cs="Times New Roman"/>
                      <w:b/>
                      <w:bCs w:val="0"/>
                      <w:color w:val="auto"/>
                      <w:sz w:val="21"/>
                      <w:szCs w:val="21"/>
                      <w:highlight w:val="none"/>
                      <w:u w:val="none" w:color="auto"/>
                      <w:vertAlign w:val="baseline"/>
                      <w:lang w:val="en-US" w:eastAsia="zh-CN"/>
                    </w:rPr>
                  </w:pPr>
                  <w:r>
                    <w:rPr>
                      <w:rFonts w:hint="default" w:ascii="Times New Roman" w:hAnsi="Times New Roman" w:eastAsia="宋体" w:cs="Times New Roman"/>
                      <w:b/>
                      <w:bCs w:val="0"/>
                      <w:color w:val="auto"/>
                      <w:sz w:val="21"/>
                      <w:szCs w:val="21"/>
                      <w:highlight w:val="none"/>
                      <w:u w:val="none" w:color="auto"/>
                      <w:vertAlign w:val="baseline"/>
                      <w:lang w:val="en-US" w:eastAsia="zh-CN"/>
                    </w:rPr>
                    <w:t>检测结果</w:t>
                  </w:r>
                </w:p>
              </w:tc>
              <w:tc>
                <w:tcPr>
                  <w:tcW w:w="1982" w:type="dxa"/>
                  <w:gridSpan w:val="2"/>
                  <w:tcBorders>
                    <w:tl2br w:val="nil"/>
                    <w:tr2bl w:val="nil"/>
                  </w:tcBorders>
                  <w:vAlign w:val="center"/>
                </w:tcPr>
                <w:p>
                  <w:pPr>
                    <w:pStyle w:val="6"/>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eastAsia="宋体" w:cs="Times New Roman"/>
                      <w:b/>
                      <w:bCs w:val="0"/>
                      <w:color w:val="auto"/>
                      <w:sz w:val="21"/>
                      <w:szCs w:val="21"/>
                      <w:highlight w:val="none"/>
                      <w:u w:val="none" w:color="auto"/>
                      <w:vertAlign w:val="baseline"/>
                      <w:lang w:val="en-US" w:eastAsia="zh-CN"/>
                    </w:rPr>
                  </w:pPr>
                  <w:r>
                    <w:rPr>
                      <w:rFonts w:hint="default" w:ascii="Times New Roman" w:hAnsi="Times New Roman" w:eastAsia="宋体" w:cs="Times New Roman"/>
                      <w:b/>
                      <w:bCs w:val="0"/>
                      <w:color w:val="auto"/>
                      <w:sz w:val="21"/>
                      <w:szCs w:val="21"/>
                      <w:highlight w:val="none"/>
                      <w:u w:val="none" w:color="auto"/>
                      <w:vertAlign w:val="baseline"/>
                      <w:lang w:val="en-US" w:eastAsia="zh-CN"/>
                    </w:rPr>
                    <w:t>标准限值</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c>
                <w:tcPr>
                  <w:tcW w:w="2264" w:type="dxa"/>
                  <w:vMerge w:val="continue"/>
                  <w:tcBorders>
                    <w:tl2br w:val="nil"/>
                    <w:tr2bl w:val="nil"/>
                  </w:tcBorders>
                  <w:vAlign w:val="center"/>
                </w:tcPr>
                <w:p>
                  <w:pPr>
                    <w:pStyle w:val="6"/>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eastAsia="宋体" w:cs="Times New Roman"/>
                      <w:b/>
                      <w:bCs w:val="0"/>
                      <w:color w:val="auto"/>
                      <w:sz w:val="21"/>
                      <w:szCs w:val="21"/>
                      <w:highlight w:val="none"/>
                      <w:u w:val="none" w:color="auto"/>
                      <w:vertAlign w:val="baseline"/>
                      <w:lang w:val="en-US" w:eastAsia="zh-CN"/>
                    </w:rPr>
                  </w:pPr>
                </w:p>
              </w:tc>
              <w:tc>
                <w:tcPr>
                  <w:tcW w:w="1161" w:type="dxa"/>
                  <w:vMerge w:val="continue"/>
                  <w:tcBorders>
                    <w:tl2br w:val="nil"/>
                    <w:tr2bl w:val="nil"/>
                  </w:tcBorders>
                  <w:vAlign w:val="center"/>
                </w:tcPr>
                <w:p>
                  <w:pPr>
                    <w:pStyle w:val="6"/>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eastAsia="宋体" w:cs="Times New Roman"/>
                      <w:b/>
                      <w:bCs w:val="0"/>
                      <w:color w:val="auto"/>
                      <w:sz w:val="21"/>
                      <w:szCs w:val="21"/>
                      <w:highlight w:val="none"/>
                      <w:u w:val="none" w:color="auto"/>
                      <w:vertAlign w:val="baseline"/>
                      <w:lang w:val="en-US" w:eastAsia="zh-CN"/>
                    </w:rPr>
                  </w:pPr>
                </w:p>
              </w:tc>
              <w:tc>
                <w:tcPr>
                  <w:tcW w:w="1312" w:type="dxa"/>
                  <w:tcBorders>
                    <w:tl2br w:val="nil"/>
                    <w:tr2bl w:val="nil"/>
                  </w:tcBorders>
                  <w:vAlign w:val="center"/>
                </w:tcPr>
                <w:p>
                  <w:pPr>
                    <w:pStyle w:val="6"/>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eastAsia="宋体" w:cs="Times New Roman"/>
                      <w:b/>
                      <w:bCs w:val="0"/>
                      <w:color w:val="auto"/>
                      <w:sz w:val="21"/>
                      <w:szCs w:val="21"/>
                      <w:highlight w:val="none"/>
                      <w:u w:val="none" w:color="auto"/>
                      <w:vertAlign w:val="baseline"/>
                      <w:lang w:val="en-US" w:eastAsia="zh-CN"/>
                    </w:rPr>
                  </w:pPr>
                  <w:r>
                    <w:rPr>
                      <w:rFonts w:hint="default" w:ascii="Times New Roman" w:hAnsi="Times New Roman" w:eastAsia="宋体" w:cs="Times New Roman"/>
                      <w:b/>
                      <w:bCs w:val="0"/>
                      <w:color w:val="auto"/>
                      <w:sz w:val="21"/>
                      <w:szCs w:val="21"/>
                      <w:highlight w:val="none"/>
                      <w:u w:val="none" w:color="auto"/>
                      <w:vertAlign w:val="baseline"/>
                      <w:lang w:val="en-US" w:eastAsia="zh-CN"/>
                    </w:rPr>
                    <w:t>昼间</w:t>
                  </w:r>
                </w:p>
              </w:tc>
              <w:tc>
                <w:tcPr>
                  <w:tcW w:w="1295" w:type="dxa"/>
                  <w:tcBorders>
                    <w:tl2br w:val="nil"/>
                    <w:tr2bl w:val="nil"/>
                  </w:tcBorders>
                  <w:vAlign w:val="center"/>
                </w:tcPr>
                <w:p>
                  <w:pPr>
                    <w:pStyle w:val="6"/>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eastAsia="宋体" w:cs="Times New Roman"/>
                      <w:b/>
                      <w:bCs w:val="0"/>
                      <w:color w:val="auto"/>
                      <w:sz w:val="21"/>
                      <w:szCs w:val="21"/>
                      <w:highlight w:val="none"/>
                      <w:u w:val="none" w:color="auto"/>
                      <w:vertAlign w:val="baseline"/>
                      <w:lang w:val="en-US" w:eastAsia="zh-CN"/>
                    </w:rPr>
                  </w:pPr>
                  <w:r>
                    <w:rPr>
                      <w:rFonts w:hint="default" w:ascii="Times New Roman" w:hAnsi="Times New Roman" w:eastAsia="宋体" w:cs="Times New Roman"/>
                      <w:b/>
                      <w:bCs w:val="0"/>
                      <w:color w:val="auto"/>
                      <w:sz w:val="21"/>
                      <w:szCs w:val="21"/>
                      <w:highlight w:val="none"/>
                      <w:u w:val="none" w:color="auto"/>
                      <w:vertAlign w:val="baseline"/>
                      <w:lang w:val="en-US" w:eastAsia="zh-CN"/>
                    </w:rPr>
                    <w:t>夜间</w:t>
                  </w:r>
                </w:p>
              </w:tc>
              <w:tc>
                <w:tcPr>
                  <w:tcW w:w="1005" w:type="dxa"/>
                  <w:tcBorders>
                    <w:tl2br w:val="nil"/>
                    <w:tr2bl w:val="nil"/>
                  </w:tcBorders>
                  <w:vAlign w:val="center"/>
                </w:tcPr>
                <w:p>
                  <w:pPr>
                    <w:pStyle w:val="6"/>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rightChars="0"/>
                    <w:jc w:val="center"/>
                    <w:textAlignment w:val="auto"/>
                    <w:rPr>
                      <w:rFonts w:hint="default" w:ascii="Times New Roman" w:hAnsi="Times New Roman" w:eastAsia="宋体" w:cs="Times New Roman"/>
                      <w:b/>
                      <w:bCs w:val="0"/>
                      <w:color w:val="auto"/>
                      <w:sz w:val="21"/>
                      <w:szCs w:val="21"/>
                      <w:highlight w:val="none"/>
                      <w:u w:val="none" w:color="auto"/>
                      <w:vertAlign w:val="baseline"/>
                      <w:lang w:val="en-US" w:eastAsia="zh-CN"/>
                    </w:rPr>
                  </w:pPr>
                  <w:r>
                    <w:rPr>
                      <w:rFonts w:hint="default" w:ascii="Times New Roman" w:hAnsi="Times New Roman" w:eastAsia="宋体" w:cs="Times New Roman"/>
                      <w:b/>
                      <w:bCs w:val="0"/>
                      <w:color w:val="auto"/>
                      <w:sz w:val="21"/>
                      <w:szCs w:val="21"/>
                      <w:highlight w:val="none"/>
                      <w:u w:val="none" w:color="auto"/>
                      <w:vertAlign w:val="baseline"/>
                      <w:lang w:val="en-US" w:eastAsia="zh-CN"/>
                    </w:rPr>
                    <w:t>昼间</w:t>
                  </w:r>
                </w:p>
              </w:tc>
              <w:tc>
                <w:tcPr>
                  <w:tcW w:w="977" w:type="dxa"/>
                  <w:tcBorders>
                    <w:tl2br w:val="nil"/>
                    <w:tr2bl w:val="nil"/>
                  </w:tcBorders>
                  <w:vAlign w:val="center"/>
                </w:tcPr>
                <w:p>
                  <w:pPr>
                    <w:pStyle w:val="6"/>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rightChars="0"/>
                    <w:jc w:val="center"/>
                    <w:textAlignment w:val="auto"/>
                    <w:rPr>
                      <w:rFonts w:hint="default" w:ascii="Times New Roman" w:hAnsi="Times New Roman" w:eastAsia="宋体" w:cs="Times New Roman"/>
                      <w:b/>
                      <w:bCs w:val="0"/>
                      <w:color w:val="auto"/>
                      <w:sz w:val="21"/>
                      <w:szCs w:val="21"/>
                      <w:highlight w:val="none"/>
                      <w:u w:val="none" w:color="auto"/>
                      <w:vertAlign w:val="baseline"/>
                      <w:lang w:val="en-US" w:eastAsia="zh-CN"/>
                    </w:rPr>
                  </w:pPr>
                  <w:r>
                    <w:rPr>
                      <w:rFonts w:hint="default" w:ascii="Times New Roman" w:hAnsi="Times New Roman" w:eastAsia="宋体" w:cs="Times New Roman"/>
                      <w:b/>
                      <w:bCs w:val="0"/>
                      <w:color w:val="auto"/>
                      <w:sz w:val="21"/>
                      <w:szCs w:val="21"/>
                      <w:highlight w:val="none"/>
                      <w:u w:val="none" w:color="auto"/>
                      <w:vertAlign w:val="baseline"/>
                      <w:lang w:val="en-US" w:eastAsia="zh-CN"/>
                    </w:rPr>
                    <w:t>夜间</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c>
                <w:tcPr>
                  <w:tcW w:w="2264" w:type="dxa"/>
                  <w:vMerge w:val="restart"/>
                  <w:tcBorders>
                    <w:tl2br w:val="nil"/>
                    <w:tr2bl w:val="nil"/>
                  </w:tcBorders>
                  <w:vAlign w:val="center"/>
                </w:tcPr>
                <w:p>
                  <w:pPr>
                    <w:pStyle w:val="6"/>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eastAsia="宋体" w:cs="Times New Roman"/>
                      <w:b w:val="0"/>
                      <w:bCs/>
                      <w:color w:val="auto"/>
                      <w:sz w:val="21"/>
                      <w:szCs w:val="21"/>
                      <w:highlight w:val="none"/>
                      <w:u w:val="none" w:color="auto"/>
                      <w:vertAlign w:val="baseline"/>
                      <w:lang w:val="en-US" w:eastAsia="zh-CN"/>
                    </w:rPr>
                  </w:pPr>
                  <w:r>
                    <w:rPr>
                      <w:rFonts w:hint="default" w:ascii="Times New Roman" w:hAnsi="Times New Roman" w:eastAsia="宋体" w:cs="Times New Roman"/>
                      <w:b w:val="0"/>
                      <w:bCs/>
                      <w:color w:val="auto"/>
                      <w:sz w:val="21"/>
                      <w:szCs w:val="21"/>
                      <w:highlight w:val="none"/>
                      <w:u w:val="none" w:color="auto"/>
                      <w:vertAlign w:val="baseline"/>
                      <w:lang w:val="en-US" w:eastAsia="zh-CN"/>
                    </w:rPr>
                    <w:t>N1项目东南侧野毛山居民点</w:t>
                  </w:r>
                </w:p>
              </w:tc>
              <w:tc>
                <w:tcPr>
                  <w:tcW w:w="1161" w:type="dxa"/>
                  <w:tcBorders>
                    <w:tl2br w:val="nil"/>
                    <w:tr2bl w:val="nil"/>
                  </w:tcBorders>
                  <w:vAlign w:val="center"/>
                </w:tcPr>
                <w:p>
                  <w:pPr>
                    <w:pStyle w:val="6"/>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eastAsia="宋体" w:cs="Times New Roman"/>
                      <w:b w:val="0"/>
                      <w:bCs/>
                      <w:color w:val="auto"/>
                      <w:sz w:val="21"/>
                      <w:szCs w:val="21"/>
                      <w:highlight w:val="none"/>
                      <w:u w:val="none" w:color="auto"/>
                      <w:vertAlign w:val="baseline"/>
                      <w:lang w:val="en-US" w:eastAsia="zh-CN"/>
                    </w:rPr>
                  </w:pPr>
                  <w:r>
                    <w:rPr>
                      <w:rFonts w:hint="default" w:ascii="Times New Roman" w:hAnsi="Times New Roman" w:cs="Times New Roman"/>
                      <w:b w:val="0"/>
                      <w:bCs/>
                      <w:color w:val="auto"/>
                      <w:sz w:val="21"/>
                      <w:szCs w:val="21"/>
                      <w:highlight w:val="none"/>
                      <w:u w:val="none" w:color="auto"/>
                      <w:vertAlign w:val="baseline"/>
                      <w:lang w:val="en-US" w:eastAsia="zh-CN"/>
                    </w:rPr>
                    <w:t>2022.12.28</w:t>
                  </w:r>
                </w:p>
              </w:tc>
              <w:tc>
                <w:tcPr>
                  <w:tcW w:w="1312" w:type="dxa"/>
                  <w:tcBorders>
                    <w:tl2br w:val="nil"/>
                    <w:tr2bl w:val="nil"/>
                  </w:tcBorders>
                  <w:vAlign w:val="center"/>
                </w:tcPr>
                <w:p>
                  <w:pPr>
                    <w:pStyle w:val="6"/>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eastAsia="宋体" w:cs="Times New Roman"/>
                      <w:b w:val="0"/>
                      <w:bCs/>
                      <w:color w:val="auto"/>
                      <w:sz w:val="21"/>
                      <w:szCs w:val="21"/>
                      <w:highlight w:val="none"/>
                      <w:u w:val="none" w:color="auto"/>
                      <w:vertAlign w:val="baseline"/>
                      <w:lang w:val="en-US" w:eastAsia="zh-CN"/>
                    </w:rPr>
                  </w:pPr>
                  <w:r>
                    <w:rPr>
                      <w:rFonts w:hint="default" w:ascii="Times New Roman" w:hAnsi="Times New Roman" w:cs="Times New Roman"/>
                      <w:b w:val="0"/>
                      <w:bCs/>
                      <w:color w:val="auto"/>
                      <w:sz w:val="21"/>
                      <w:szCs w:val="21"/>
                      <w:highlight w:val="none"/>
                      <w:u w:val="none" w:color="auto"/>
                      <w:vertAlign w:val="baseline"/>
                      <w:lang w:val="en-US" w:eastAsia="zh-CN"/>
                    </w:rPr>
                    <w:t>48</w:t>
                  </w:r>
                </w:p>
              </w:tc>
              <w:tc>
                <w:tcPr>
                  <w:tcW w:w="1295" w:type="dxa"/>
                  <w:tcBorders>
                    <w:tl2br w:val="nil"/>
                    <w:tr2bl w:val="nil"/>
                  </w:tcBorders>
                  <w:vAlign w:val="center"/>
                </w:tcPr>
                <w:p>
                  <w:pPr>
                    <w:pStyle w:val="6"/>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eastAsia="宋体" w:cs="Times New Roman"/>
                      <w:b w:val="0"/>
                      <w:bCs/>
                      <w:color w:val="auto"/>
                      <w:sz w:val="21"/>
                      <w:szCs w:val="21"/>
                      <w:highlight w:val="none"/>
                      <w:u w:val="none" w:color="auto"/>
                      <w:vertAlign w:val="baseline"/>
                      <w:lang w:val="en-US" w:eastAsia="zh-CN"/>
                    </w:rPr>
                  </w:pPr>
                  <w:r>
                    <w:rPr>
                      <w:rFonts w:hint="default" w:ascii="Times New Roman" w:hAnsi="Times New Roman" w:cs="Times New Roman"/>
                      <w:b w:val="0"/>
                      <w:bCs/>
                      <w:color w:val="auto"/>
                      <w:sz w:val="21"/>
                      <w:szCs w:val="21"/>
                      <w:highlight w:val="none"/>
                      <w:u w:val="none" w:color="auto"/>
                      <w:vertAlign w:val="baseline"/>
                      <w:lang w:val="en-US" w:eastAsia="zh-CN"/>
                    </w:rPr>
                    <w:t>38</w:t>
                  </w:r>
                </w:p>
              </w:tc>
              <w:tc>
                <w:tcPr>
                  <w:tcW w:w="1005" w:type="dxa"/>
                  <w:vMerge w:val="restart"/>
                  <w:tcBorders>
                    <w:tl2br w:val="nil"/>
                    <w:tr2bl w:val="nil"/>
                  </w:tcBorders>
                  <w:vAlign w:val="center"/>
                </w:tcPr>
                <w:p>
                  <w:pPr>
                    <w:pStyle w:val="6"/>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eastAsia="宋体" w:cs="Times New Roman"/>
                      <w:b w:val="0"/>
                      <w:bCs/>
                      <w:color w:val="auto"/>
                      <w:sz w:val="21"/>
                      <w:szCs w:val="21"/>
                      <w:highlight w:val="none"/>
                      <w:u w:val="none" w:color="auto"/>
                      <w:vertAlign w:val="baseline"/>
                      <w:lang w:val="en-US" w:eastAsia="zh-CN"/>
                    </w:rPr>
                  </w:pPr>
                  <w:r>
                    <w:rPr>
                      <w:rFonts w:hint="default" w:ascii="Times New Roman" w:hAnsi="Times New Roman" w:cs="Times New Roman"/>
                      <w:b w:val="0"/>
                      <w:bCs/>
                      <w:color w:val="auto"/>
                      <w:sz w:val="21"/>
                      <w:szCs w:val="21"/>
                      <w:highlight w:val="none"/>
                      <w:u w:val="none" w:color="auto"/>
                      <w:vertAlign w:val="baseline"/>
                      <w:lang w:val="en-US" w:eastAsia="zh-CN"/>
                    </w:rPr>
                    <w:t>60</w:t>
                  </w:r>
                </w:p>
              </w:tc>
              <w:tc>
                <w:tcPr>
                  <w:tcW w:w="977" w:type="dxa"/>
                  <w:vMerge w:val="restart"/>
                  <w:tcBorders>
                    <w:tl2br w:val="nil"/>
                    <w:tr2bl w:val="nil"/>
                  </w:tcBorders>
                  <w:vAlign w:val="center"/>
                </w:tcPr>
                <w:p>
                  <w:pPr>
                    <w:pStyle w:val="6"/>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eastAsia="宋体" w:cs="Times New Roman"/>
                      <w:b w:val="0"/>
                      <w:bCs/>
                      <w:color w:val="auto"/>
                      <w:sz w:val="21"/>
                      <w:szCs w:val="21"/>
                      <w:highlight w:val="none"/>
                      <w:u w:val="none" w:color="auto"/>
                      <w:vertAlign w:val="baseline"/>
                      <w:lang w:val="en-US" w:eastAsia="zh-CN"/>
                    </w:rPr>
                  </w:pPr>
                  <w:r>
                    <w:rPr>
                      <w:rFonts w:hint="default" w:ascii="Times New Roman" w:hAnsi="Times New Roman" w:cs="Times New Roman"/>
                      <w:b w:val="0"/>
                      <w:bCs/>
                      <w:color w:val="auto"/>
                      <w:sz w:val="21"/>
                      <w:szCs w:val="21"/>
                      <w:highlight w:val="none"/>
                      <w:u w:val="none" w:color="auto"/>
                      <w:vertAlign w:val="baseline"/>
                      <w:lang w:val="en-US" w:eastAsia="zh-CN"/>
                    </w:rPr>
                    <w:t>50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90" w:hRule="atLeast"/>
              </w:trPr>
              <w:tc>
                <w:tcPr>
                  <w:tcW w:w="2264" w:type="dxa"/>
                  <w:vMerge w:val="continue"/>
                  <w:tcBorders>
                    <w:tl2br w:val="nil"/>
                    <w:tr2bl w:val="nil"/>
                  </w:tcBorders>
                  <w:vAlign w:val="center"/>
                </w:tcPr>
                <w:p>
                  <w:pPr>
                    <w:pStyle w:val="6"/>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eastAsia="宋体" w:cs="Times New Roman"/>
                      <w:b w:val="0"/>
                      <w:bCs/>
                      <w:color w:val="auto"/>
                      <w:sz w:val="21"/>
                      <w:szCs w:val="21"/>
                      <w:highlight w:val="none"/>
                      <w:u w:val="none" w:color="auto"/>
                      <w:vertAlign w:val="baseline"/>
                      <w:lang w:val="en-US" w:eastAsia="zh-CN"/>
                    </w:rPr>
                  </w:pPr>
                </w:p>
              </w:tc>
              <w:tc>
                <w:tcPr>
                  <w:tcW w:w="1161" w:type="dxa"/>
                  <w:tcBorders>
                    <w:tl2br w:val="nil"/>
                    <w:tr2bl w:val="nil"/>
                  </w:tcBorders>
                  <w:vAlign w:val="center"/>
                </w:tcPr>
                <w:p>
                  <w:pPr>
                    <w:pStyle w:val="6"/>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eastAsia="宋体" w:cs="Times New Roman"/>
                      <w:b w:val="0"/>
                      <w:bCs/>
                      <w:color w:val="auto"/>
                      <w:sz w:val="21"/>
                      <w:szCs w:val="21"/>
                      <w:highlight w:val="none"/>
                      <w:u w:val="none" w:color="auto"/>
                      <w:vertAlign w:val="baseline"/>
                      <w:lang w:val="en-US" w:eastAsia="zh-CN"/>
                    </w:rPr>
                  </w:pPr>
                  <w:r>
                    <w:rPr>
                      <w:rFonts w:hint="default" w:ascii="Times New Roman" w:hAnsi="Times New Roman" w:cs="Times New Roman"/>
                      <w:b w:val="0"/>
                      <w:bCs/>
                      <w:color w:val="auto"/>
                      <w:sz w:val="21"/>
                      <w:szCs w:val="21"/>
                      <w:highlight w:val="none"/>
                      <w:u w:val="none" w:color="auto"/>
                      <w:vertAlign w:val="baseline"/>
                      <w:lang w:val="en-US" w:eastAsia="zh-CN"/>
                    </w:rPr>
                    <w:t>2022.12.29</w:t>
                  </w:r>
                </w:p>
              </w:tc>
              <w:tc>
                <w:tcPr>
                  <w:tcW w:w="1312" w:type="dxa"/>
                  <w:tcBorders>
                    <w:tl2br w:val="nil"/>
                    <w:tr2bl w:val="nil"/>
                  </w:tcBorders>
                  <w:vAlign w:val="center"/>
                </w:tcPr>
                <w:p>
                  <w:pPr>
                    <w:pStyle w:val="6"/>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rightChars="0"/>
                    <w:jc w:val="center"/>
                    <w:textAlignment w:val="auto"/>
                    <w:rPr>
                      <w:rFonts w:hint="default" w:ascii="Times New Roman" w:hAnsi="Times New Roman" w:eastAsia="宋体" w:cs="Times New Roman"/>
                      <w:b w:val="0"/>
                      <w:bCs/>
                      <w:color w:val="auto"/>
                      <w:sz w:val="21"/>
                      <w:szCs w:val="21"/>
                      <w:highlight w:val="none"/>
                      <w:u w:val="none" w:color="auto"/>
                      <w:vertAlign w:val="baseline"/>
                      <w:lang w:val="en-US" w:eastAsia="zh-CN"/>
                    </w:rPr>
                  </w:pPr>
                  <w:r>
                    <w:rPr>
                      <w:rFonts w:hint="default" w:ascii="Times New Roman" w:hAnsi="Times New Roman" w:cs="Times New Roman"/>
                      <w:b w:val="0"/>
                      <w:bCs/>
                      <w:color w:val="auto"/>
                      <w:sz w:val="21"/>
                      <w:szCs w:val="21"/>
                      <w:highlight w:val="none"/>
                      <w:u w:val="none" w:color="auto"/>
                      <w:vertAlign w:val="baseline"/>
                      <w:lang w:val="en-US" w:eastAsia="zh-CN"/>
                    </w:rPr>
                    <w:t>48</w:t>
                  </w:r>
                </w:p>
              </w:tc>
              <w:tc>
                <w:tcPr>
                  <w:tcW w:w="1295" w:type="dxa"/>
                  <w:tcBorders>
                    <w:tl2br w:val="nil"/>
                    <w:tr2bl w:val="nil"/>
                  </w:tcBorders>
                  <w:vAlign w:val="center"/>
                </w:tcPr>
                <w:p>
                  <w:pPr>
                    <w:pStyle w:val="6"/>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rightChars="0"/>
                    <w:jc w:val="center"/>
                    <w:textAlignment w:val="auto"/>
                    <w:rPr>
                      <w:rFonts w:hint="default" w:ascii="Times New Roman" w:hAnsi="Times New Roman" w:eastAsia="宋体" w:cs="Times New Roman"/>
                      <w:b w:val="0"/>
                      <w:bCs/>
                      <w:color w:val="auto"/>
                      <w:sz w:val="21"/>
                      <w:szCs w:val="21"/>
                      <w:highlight w:val="none"/>
                      <w:u w:val="none" w:color="auto"/>
                      <w:vertAlign w:val="baseline"/>
                      <w:lang w:val="en-US" w:eastAsia="zh-CN"/>
                    </w:rPr>
                  </w:pPr>
                  <w:r>
                    <w:rPr>
                      <w:rFonts w:hint="default" w:ascii="Times New Roman" w:hAnsi="Times New Roman" w:cs="Times New Roman"/>
                      <w:b w:val="0"/>
                      <w:bCs/>
                      <w:color w:val="auto"/>
                      <w:sz w:val="21"/>
                      <w:szCs w:val="21"/>
                      <w:highlight w:val="none"/>
                      <w:u w:val="none" w:color="auto"/>
                      <w:vertAlign w:val="baseline"/>
                      <w:lang w:val="en-US" w:eastAsia="zh-CN"/>
                    </w:rPr>
                    <w:t>39</w:t>
                  </w:r>
                </w:p>
              </w:tc>
              <w:tc>
                <w:tcPr>
                  <w:tcW w:w="1005" w:type="dxa"/>
                  <w:vMerge w:val="continue"/>
                  <w:tcBorders>
                    <w:tl2br w:val="nil"/>
                    <w:tr2bl w:val="nil"/>
                  </w:tcBorders>
                  <w:vAlign w:val="center"/>
                </w:tcPr>
                <w:p>
                  <w:pPr>
                    <w:pStyle w:val="6"/>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eastAsia="宋体" w:cs="Times New Roman"/>
                      <w:b w:val="0"/>
                      <w:bCs/>
                      <w:color w:val="auto"/>
                      <w:sz w:val="21"/>
                      <w:szCs w:val="21"/>
                      <w:highlight w:val="none"/>
                      <w:u w:val="none" w:color="auto"/>
                      <w:vertAlign w:val="baseline"/>
                      <w:lang w:val="en-US" w:eastAsia="zh-CN"/>
                    </w:rPr>
                  </w:pPr>
                </w:p>
              </w:tc>
              <w:tc>
                <w:tcPr>
                  <w:tcW w:w="977" w:type="dxa"/>
                  <w:vMerge w:val="continue"/>
                  <w:tcBorders>
                    <w:tl2br w:val="nil"/>
                    <w:tr2bl w:val="nil"/>
                  </w:tcBorders>
                  <w:vAlign w:val="center"/>
                </w:tcPr>
                <w:p>
                  <w:pPr>
                    <w:pStyle w:val="6"/>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eastAsia="宋体" w:cs="Times New Roman"/>
                      <w:b w:val="0"/>
                      <w:bCs/>
                      <w:color w:val="auto"/>
                      <w:sz w:val="21"/>
                      <w:szCs w:val="21"/>
                      <w:highlight w:val="none"/>
                      <w:u w:val="none" w:color="auto"/>
                      <w:vertAlign w:val="baseline"/>
                      <w:lang w:val="en-US" w:eastAsia="zh-CN"/>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262" w:hRule="atLeast"/>
              </w:trPr>
              <w:tc>
                <w:tcPr>
                  <w:tcW w:w="2264" w:type="dxa"/>
                  <w:vMerge w:val="restart"/>
                  <w:tcBorders>
                    <w:tl2br w:val="nil"/>
                    <w:tr2bl w:val="nil"/>
                  </w:tcBorders>
                  <w:vAlign w:val="center"/>
                </w:tcPr>
                <w:p>
                  <w:pPr>
                    <w:pStyle w:val="6"/>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eastAsia="宋体" w:cs="Times New Roman"/>
                      <w:b w:val="0"/>
                      <w:bCs/>
                      <w:color w:val="auto"/>
                      <w:sz w:val="21"/>
                      <w:szCs w:val="21"/>
                      <w:highlight w:val="none"/>
                      <w:u w:val="none" w:color="auto"/>
                      <w:vertAlign w:val="baseline"/>
                      <w:lang w:val="en-US" w:eastAsia="zh-CN"/>
                    </w:rPr>
                  </w:pPr>
                  <w:r>
                    <w:rPr>
                      <w:rFonts w:hint="default" w:ascii="Times New Roman" w:hAnsi="Times New Roman" w:eastAsia="宋体" w:cs="Times New Roman"/>
                      <w:b w:val="0"/>
                      <w:bCs/>
                      <w:color w:val="auto"/>
                      <w:sz w:val="21"/>
                      <w:szCs w:val="21"/>
                      <w:highlight w:val="none"/>
                      <w:u w:val="none" w:color="auto"/>
                      <w:vertAlign w:val="baseline"/>
                      <w:lang w:val="en-US" w:eastAsia="zh-CN"/>
                    </w:rPr>
                    <w:t>N2项目西侧代田塘家居民点</w:t>
                  </w:r>
                </w:p>
              </w:tc>
              <w:tc>
                <w:tcPr>
                  <w:tcW w:w="1161" w:type="dxa"/>
                  <w:tcBorders>
                    <w:tl2br w:val="nil"/>
                    <w:tr2bl w:val="nil"/>
                  </w:tcBorders>
                  <w:vAlign w:val="center"/>
                </w:tcPr>
                <w:p>
                  <w:pPr>
                    <w:pStyle w:val="6"/>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rightChars="0"/>
                    <w:jc w:val="center"/>
                    <w:textAlignment w:val="auto"/>
                    <w:rPr>
                      <w:rFonts w:hint="default" w:ascii="Times New Roman" w:hAnsi="Times New Roman" w:eastAsia="宋体" w:cs="Times New Roman"/>
                      <w:b w:val="0"/>
                      <w:bCs/>
                      <w:color w:val="auto"/>
                      <w:kern w:val="0"/>
                      <w:sz w:val="21"/>
                      <w:szCs w:val="21"/>
                      <w:highlight w:val="none"/>
                      <w:u w:val="none" w:color="auto"/>
                      <w:vertAlign w:val="baseline"/>
                      <w:lang w:val="en-US" w:eastAsia="zh-CN" w:bidi="ar-SA"/>
                    </w:rPr>
                  </w:pPr>
                  <w:r>
                    <w:rPr>
                      <w:rFonts w:hint="default" w:ascii="Times New Roman" w:hAnsi="Times New Roman" w:cs="Times New Roman"/>
                      <w:b w:val="0"/>
                      <w:bCs/>
                      <w:color w:val="auto"/>
                      <w:sz w:val="21"/>
                      <w:szCs w:val="21"/>
                      <w:highlight w:val="none"/>
                      <w:u w:val="none" w:color="auto"/>
                      <w:vertAlign w:val="baseline"/>
                      <w:lang w:val="en-US" w:eastAsia="zh-CN"/>
                    </w:rPr>
                    <w:t>2022.12.28</w:t>
                  </w:r>
                </w:p>
              </w:tc>
              <w:tc>
                <w:tcPr>
                  <w:tcW w:w="1312"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kern w:val="0"/>
                      <w:sz w:val="21"/>
                      <w:szCs w:val="21"/>
                      <w:u w:val="none" w:color="auto"/>
                      <w:lang w:val="en-US" w:eastAsia="zh-CN" w:bidi="ar-SA"/>
                    </w:rPr>
                  </w:pPr>
                  <w:r>
                    <w:rPr>
                      <w:rFonts w:hint="default" w:ascii="Times New Roman" w:hAnsi="Times New Roman" w:cs="Times New Roman"/>
                      <w:color w:val="auto"/>
                      <w:kern w:val="0"/>
                      <w:sz w:val="21"/>
                      <w:szCs w:val="21"/>
                      <w:u w:val="none" w:color="auto"/>
                      <w:lang w:val="en-US" w:eastAsia="zh-CN" w:bidi="ar-SA"/>
                    </w:rPr>
                    <w:t>49</w:t>
                  </w:r>
                </w:p>
              </w:tc>
              <w:tc>
                <w:tcPr>
                  <w:tcW w:w="129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kern w:val="0"/>
                      <w:sz w:val="21"/>
                      <w:szCs w:val="21"/>
                      <w:u w:val="none" w:color="auto"/>
                      <w:lang w:val="en-US" w:eastAsia="zh-CN" w:bidi="ar-SA"/>
                    </w:rPr>
                  </w:pPr>
                  <w:r>
                    <w:rPr>
                      <w:rFonts w:hint="default" w:ascii="Times New Roman" w:hAnsi="Times New Roman" w:cs="Times New Roman"/>
                      <w:color w:val="auto"/>
                      <w:kern w:val="0"/>
                      <w:sz w:val="21"/>
                      <w:szCs w:val="21"/>
                      <w:u w:val="none" w:color="auto"/>
                      <w:lang w:val="en-US" w:eastAsia="zh-CN" w:bidi="ar-SA"/>
                    </w:rPr>
                    <w:t>39</w:t>
                  </w:r>
                </w:p>
              </w:tc>
              <w:tc>
                <w:tcPr>
                  <w:tcW w:w="1005"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kern w:val="0"/>
                      <w:sz w:val="21"/>
                      <w:szCs w:val="21"/>
                      <w:u w:val="none" w:color="auto"/>
                      <w:lang w:val="en-US" w:eastAsia="zh-CN" w:bidi="ar-SA"/>
                    </w:rPr>
                  </w:pPr>
                </w:p>
              </w:tc>
              <w:tc>
                <w:tcPr>
                  <w:tcW w:w="977"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kern w:val="0"/>
                      <w:sz w:val="21"/>
                      <w:szCs w:val="21"/>
                      <w:u w:val="none" w:color="auto"/>
                      <w:lang w:val="en-US" w:eastAsia="zh-CN" w:bidi="ar-SA"/>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262" w:hRule="atLeast"/>
              </w:trPr>
              <w:tc>
                <w:tcPr>
                  <w:tcW w:w="2264" w:type="dxa"/>
                  <w:vMerge w:val="continue"/>
                  <w:tcBorders>
                    <w:tl2br w:val="nil"/>
                    <w:tr2bl w:val="nil"/>
                  </w:tcBorders>
                  <w:vAlign w:val="center"/>
                </w:tcPr>
                <w:p>
                  <w:pPr>
                    <w:pStyle w:val="6"/>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rightChars="0"/>
                    <w:jc w:val="center"/>
                    <w:textAlignment w:val="auto"/>
                    <w:rPr>
                      <w:rFonts w:ascii="Times New Roman" w:hAnsi="Times New Roman" w:cs="Times New Roman"/>
                      <w:color w:val="auto"/>
                      <w:sz w:val="21"/>
                      <w:szCs w:val="21"/>
                    </w:rPr>
                  </w:pPr>
                </w:p>
              </w:tc>
              <w:tc>
                <w:tcPr>
                  <w:tcW w:w="1161" w:type="dxa"/>
                  <w:tcBorders>
                    <w:tl2br w:val="nil"/>
                    <w:tr2bl w:val="nil"/>
                  </w:tcBorders>
                  <w:vAlign w:val="center"/>
                </w:tcPr>
                <w:p>
                  <w:pPr>
                    <w:pStyle w:val="6"/>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rightChars="0"/>
                    <w:jc w:val="center"/>
                    <w:textAlignment w:val="auto"/>
                    <w:rPr>
                      <w:rFonts w:hint="default" w:ascii="Times New Roman" w:hAnsi="Times New Roman" w:eastAsia="宋体" w:cs="Times New Roman"/>
                      <w:b w:val="0"/>
                      <w:bCs/>
                      <w:color w:val="auto"/>
                      <w:kern w:val="0"/>
                      <w:sz w:val="21"/>
                      <w:szCs w:val="21"/>
                      <w:highlight w:val="none"/>
                      <w:u w:val="none" w:color="auto"/>
                      <w:vertAlign w:val="baseline"/>
                      <w:lang w:val="en-US" w:eastAsia="zh-CN" w:bidi="ar-SA"/>
                    </w:rPr>
                  </w:pPr>
                  <w:r>
                    <w:rPr>
                      <w:rFonts w:hint="default" w:ascii="Times New Roman" w:hAnsi="Times New Roman" w:cs="Times New Roman"/>
                      <w:b w:val="0"/>
                      <w:bCs/>
                      <w:color w:val="auto"/>
                      <w:sz w:val="21"/>
                      <w:szCs w:val="21"/>
                      <w:highlight w:val="none"/>
                      <w:u w:val="none" w:color="auto"/>
                      <w:vertAlign w:val="baseline"/>
                      <w:lang w:val="en-US" w:eastAsia="zh-CN"/>
                    </w:rPr>
                    <w:t>2022.12.29</w:t>
                  </w:r>
                </w:p>
              </w:tc>
              <w:tc>
                <w:tcPr>
                  <w:tcW w:w="1312" w:type="dxa"/>
                  <w:tcBorders>
                    <w:tl2br w:val="nil"/>
                    <w:tr2bl w:val="nil"/>
                  </w:tcBorders>
                  <w:vAlign w:val="center"/>
                </w:tcPr>
                <w:p>
                  <w:pPr>
                    <w:pStyle w:val="6"/>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rightChars="0"/>
                    <w:jc w:val="center"/>
                    <w:textAlignment w:val="auto"/>
                    <w:rPr>
                      <w:rFonts w:hint="default" w:ascii="Times New Roman" w:hAnsi="Times New Roman" w:eastAsia="宋体" w:cs="Times New Roman"/>
                      <w:b w:val="0"/>
                      <w:bCs/>
                      <w:color w:val="auto"/>
                      <w:kern w:val="0"/>
                      <w:sz w:val="21"/>
                      <w:szCs w:val="21"/>
                      <w:highlight w:val="none"/>
                      <w:u w:val="none" w:color="auto"/>
                      <w:vertAlign w:val="baseline"/>
                      <w:lang w:val="en-US" w:eastAsia="zh-CN" w:bidi="ar-SA"/>
                    </w:rPr>
                  </w:pPr>
                  <w:r>
                    <w:rPr>
                      <w:rFonts w:hint="default" w:ascii="Times New Roman" w:hAnsi="Times New Roman" w:cs="Times New Roman"/>
                      <w:b w:val="0"/>
                      <w:bCs/>
                      <w:color w:val="auto"/>
                      <w:kern w:val="0"/>
                      <w:sz w:val="21"/>
                      <w:szCs w:val="21"/>
                      <w:highlight w:val="none"/>
                      <w:u w:val="none" w:color="auto"/>
                      <w:vertAlign w:val="baseline"/>
                      <w:lang w:val="en-US" w:eastAsia="zh-CN" w:bidi="ar-SA"/>
                    </w:rPr>
                    <w:t>50</w:t>
                  </w:r>
                </w:p>
              </w:tc>
              <w:tc>
                <w:tcPr>
                  <w:tcW w:w="1295" w:type="dxa"/>
                  <w:tcBorders>
                    <w:tl2br w:val="nil"/>
                    <w:tr2bl w:val="nil"/>
                  </w:tcBorders>
                  <w:vAlign w:val="center"/>
                </w:tcPr>
                <w:p>
                  <w:pPr>
                    <w:pStyle w:val="6"/>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rightChars="0"/>
                    <w:jc w:val="center"/>
                    <w:textAlignment w:val="auto"/>
                    <w:rPr>
                      <w:rFonts w:hint="default" w:ascii="Times New Roman" w:hAnsi="Times New Roman" w:eastAsia="宋体" w:cs="Times New Roman"/>
                      <w:b w:val="0"/>
                      <w:bCs/>
                      <w:color w:val="auto"/>
                      <w:kern w:val="0"/>
                      <w:sz w:val="21"/>
                      <w:szCs w:val="21"/>
                      <w:highlight w:val="none"/>
                      <w:u w:val="none" w:color="auto"/>
                      <w:vertAlign w:val="baseline"/>
                      <w:lang w:val="en-US" w:eastAsia="zh-CN" w:bidi="ar-SA"/>
                    </w:rPr>
                  </w:pPr>
                  <w:r>
                    <w:rPr>
                      <w:rFonts w:hint="default" w:ascii="Times New Roman" w:hAnsi="Times New Roman" w:cs="Times New Roman"/>
                      <w:b w:val="0"/>
                      <w:bCs/>
                      <w:color w:val="auto"/>
                      <w:kern w:val="0"/>
                      <w:sz w:val="21"/>
                      <w:szCs w:val="21"/>
                      <w:highlight w:val="none"/>
                      <w:u w:val="none" w:color="auto"/>
                      <w:vertAlign w:val="baseline"/>
                      <w:lang w:val="en-US" w:eastAsia="zh-CN" w:bidi="ar-SA"/>
                    </w:rPr>
                    <w:t>39</w:t>
                  </w:r>
                </w:p>
              </w:tc>
              <w:tc>
                <w:tcPr>
                  <w:tcW w:w="1005" w:type="dxa"/>
                  <w:vMerge w:val="continue"/>
                  <w:tcBorders>
                    <w:tl2br w:val="nil"/>
                    <w:tr2bl w:val="nil"/>
                  </w:tcBorders>
                  <w:vAlign w:val="center"/>
                </w:tcPr>
                <w:p>
                  <w:pPr>
                    <w:pStyle w:val="6"/>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rightChars="0"/>
                    <w:jc w:val="center"/>
                    <w:textAlignment w:val="auto"/>
                    <w:rPr>
                      <w:rFonts w:hint="default" w:ascii="Times New Roman" w:hAnsi="Times New Roman" w:eastAsia="宋体" w:cs="Times New Roman"/>
                      <w:b w:val="0"/>
                      <w:bCs/>
                      <w:color w:val="auto"/>
                      <w:kern w:val="0"/>
                      <w:sz w:val="21"/>
                      <w:szCs w:val="21"/>
                      <w:highlight w:val="none"/>
                      <w:u w:val="none" w:color="auto"/>
                      <w:vertAlign w:val="baseline"/>
                      <w:lang w:val="en-US" w:eastAsia="zh-CN" w:bidi="ar-SA"/>
                    </w:rPr>
                  </w:pPr>
                </w:p>
              </w:tc>
              <w:tc>
                <w:tcPr>
                  <w:tcW w:w="977" w:type="dxa"/>
                  <w:vMerge w:val="continue"/>
                  <w:tcBorders>
                    <w:tl2br w:val="nil"/>
                    <w:tr2bl w:val="nil"/>
                  </w:tcBorders>
                  <w:vAlign w:val="center"/>
                </w:tcPr>
                <w:p>
                  <w:pPr>
                    <w:pStyle w:val="6"/>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rightChars="0"/>
                    <w:jc w:val="center"/>
                    <w:textAlignment w:val="auto"/>
                    <w:rPr>
                      <w:rFonts w:hint="default" w:ascii="Times New Roman" w:hAnsi="Times New Roman" w:eastAsia="宋体" w:cs="Times New Roman"/>
                      <w:b w:val="0"/>
                      <w:bCs/>
                      <w:color w:val="auto"/>
                      <w:kern w:val="0"/>
                      <w:sz w:val="21"/>
                      <w:szCs w:val="21"/>
                      <w:highlight w:val="none"/>
                      <w:u w:val="none" w:color="auto"/>
                      <w:vertAlign w:val="baseline"/>
                      <w:lang w:val="en-US" w:eastAsia="zh-CN" w:bidi="ar-SA"/>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c>
                <w:tcPr>
                  <w:tcW w:w="2264" w:type="dxa"/>
                  <w:tcBorders>
                    <w:tl2br w:val="nil"/>
                    <w:tr2bl w:val="nil"/>
                  </w:tcBorders>
                  <w:vAlign w:val="center"/>
                </w:tcPr>
                <w:p>
                  <w:pPr>
                    <w:pStyle w:val="6"/>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eastAsia="宋体" w:cs="Times New Roman"/>
                      <w:b w:val="0"/>
                      <w:bCs/>
                      <w:color w:val="auto"/>
                      <w:sz w:val="21"/>
                      <w:szCs w:val="21"/>
                      <w:highlight w:val="none"/>
                      <w:u w:val="none" w:color="auto"/>
                      <w:vertAlign w:val="baseline"/>
                      <w:lang w:val="en-US" w:eastAsia="zh-CN"/>
                    </w:rPr>
                  </w:pPr>
                  <w:r>
                    <w:rPr>
                      <w:rFonts w:hint="default" w:ascii="Times New Roman" w:hAnsi="Times New Roman" w:eastAsia="宋体" w:cs="Times New Roman"/>
                      <w:b w:val="0"/>
                      <w:bCs/>
                      <w:color w:val="auto"/>
                      <w:sz w:val="21"/>
                      <w:szCs w:val="21"/>
                      <w:highlight w:val="none"/>
                      <w:u w:val="none" w:color="auto"/>
                      <w:vertAlign w:val="baseline"/>
                      <w:lang w:val="en-US" w:eastAsia="zh-CN"/>
                    </w:rPr>
                    <w:t>执行标准</w:t>
                  </w:r>
                </w:p>
              </w:tc>
              <w:tc>
                <w:tcPr>
                  <w:tcW w:w="5750" w:type="dxa"/>
                  <w:gridSpan w:val="5"/>
                  <w:tcBorders>
                    <w:tl2br w:val="nil"/>
                    <w:tr2bl w:val="nil"/>
                  </w:tcBorders>
                  <w:vAlign w:val="center"/>
                </w:tcPr>
                <w:p>
                  <w:pPr>
                    <w:pStyle w:val="6"/>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eastAsia="宋体" w:cs="Times New Roman"/>
                      <w:b w:val="0"/>
                      <w:bCs/>
                      <w:color w:val="auto"/>
                      <w:sz w:val="21"/>
                      <w:szCs w:val="21"/>
                      <w:highlight w:val="none"/>
                      <w:u w:val="none" w:color="auto"/>
                      <w:vertAlign w:val="baseline"/>
                      <w:lang w:val="en-US" w:eastAsia="zh-CN"/>
                    </w:rPr>
                  </w:pPr>
                  <w:r>
                    <w:rPr>
                      <w:rFonts w:hint="default" w:ascii="Times New Roman" w:hAnsi="Times New Roman" w:eastAsia="宋体" w:cs="Times New Roman"/>
                      <w:b w:val="0"/>
                      <w:bCs/>
                      <w:color w:val="auto"/>
                      <w:sz w:val="21"/>
                      <w:szCs w:val="21"/>
                      <w:highlight w:val="none"/>
                      <w:u w:val="none" w:color="auto"/>
                      <w:vertAlign w:val="baseline"/>
                      <w:lang w:val="en-US" w:eastAsia="zh-CN"/>
                    </w:rPr>
                    <w:t>《声环境质量标准》（GB3096-2008）2类标准</w:t>
                  </w:r>
                </w:p>
              </w:tc>
            </w:tr>
          </w:tbl>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color w:val="auto"/>
                <w:sz w:val="24"/>
                <w:szCs w:val="24"/>
                <w:lang w:eastAsia="zh-CN"/>
              </w:rPr>
            </w:pPr>
            <w:r>
              <w:rPr>
                <w:rFonts w:hint="default" w:ascii="Times New Roman" w:hAnsi="Times New Roman" w:cs="Times New Roman"/>
                <w:color w:val="auto"/>
                <w:sz w:val="24"/>
                <w:szCs w:val="24"/>
                <w:lang w:val="en-US" w:eastAsia="zh-CN"/>
              </w:rPr>
              <w:t>监测结果表明，项目区域声环境质量满足《声环境质量标准》（GB3096-2008）中的2类标准，区域声环境质量良好。</w:t>
            </w:r>
          </w:p>
          <w:p>
            <w:pPr>
              <w:keepNext w:val="0"/>
              <w:keepLines w:val="0"/>
              <w:suppressLineNumbers w:val="0"/>
              <w:adjustRightInd w:val="0"/>
              <w:snapToGrid w:val="0"/>
              <w:spacing w:before="0" w:beforeAutospacing="0" w:after="0" w:afterAutospacing="0" w:line="360" w:lineRule="auto"/>
              <w:ind w:left="0" w:right="0" w:firstLine="482" w:firstLineChars="200"/>
              <w:jc w:val="left"/>
              <w:rPr>
                <w:rFonts w:ascii="宋体" w:hAnsi="宋体" w:cs="宋体"/>
                <w:b/>
                <w:bCs/>
                <w:kern w:val="0"/>
                <w:sz w:val="24"/>
                <w:szCs w:val="24"/>
              </w:rPr>
            </w:pPr>
            <w:r>
              <w:rPr>
                <w:rFonts w:hint="eastAsia" w:ascii="Calibri" w:hAnsi="Calibri" w:cs="Times New Roman"/>
                <w:b/>
                <w:bCs/>
                <w:kern w:val="0"/>
                <w:sz w:val="24"/>
                <w:szCs w:val="24"/>
                <w:lang w:val="en-US" w:eastAsia="zh-CN"/>
              </w:rPr>
              <w:t>4</w:t>
            </w:r>
            <w:r>
              <w:rPr>
                <w:rFonts w:hint="eastAsia" w:ascii="Calibri" w:hAnsi="Calibri" w:cs="Times New Roman"/>
                <w:b/>
                <w:bCs/>
                <w:kern w:val="0"/>
                <w:sz w:val="24"/>
                <w:szCs w:val="24"/>
                <w:lang w:eastAsia="zh-CN"/>
              </w:rPr>
              <w:t>.</w:t>
            </w:r>
            <w:r>
              <w:rPr>
                <w:rFonts w:hint="eastAsia" w:ascii="Calibri" w:hAnsi="Calibri" w:cs="Times New Roman"/>
                <w:b/>
                <w:bCs/>
                <w:kern w:val="0"/>
                <w:sz w:val="24"/>
                <w:szCs w:val="24"/>
              </w:rPr>
              <w:t>生态环境质量现状</w:t>
            </w:r>
          </w:p>
          <w:p>
            <w:pPr>
              <w:keepNext w:val="0"/>
              <w:keepLines w:val="0"/>
              <w:suppressLineNumbers w:val="0"/>
              <w:adjustRightInd w:val="0"/>
              <w:snapToGrid w:val="0"/>
              <w:spacing w:before="0" w:beforeAutospacing="0" w:after="0" w:afterAutospacing="0" w:line="360" w:lineRule="auto"/>
              <w:ind w:left="0" w:right="0" w:firstLine="482" w:firstLineChars="200"/>
              <w:jc w:val="both"/>
              <w:rPr>
                <w:rFonts w:hint="eastAsia" w:ascii="Calibri" w:hAnsi="Calibri" w:cs="Times New Roman"/>
                <w:b/>
                <w:bCs/>
                <w:color w:val="000000" w:themeColor="text1"/>
                <w:kern w:val="0"/>
                <w:sz w:val="24"/>
                <w:szCs w:val="24"/>
                <w:lang w:val="en-US" w:eastAsia="zh-CN"/>
                <w14:textFill>
                  <w14:solidFill>
                    <w14:schemeClr w14:val="tx1"/>
                  </w14:solidFill>
                </w14:textFill>
              </w:rPr>
            </w:pPr>
            <w:r>
              <w:rPr>
                <w:rFonts w:hint="eastAsia" w:ascii="Calibri" w:hAnsi="Calibri" w:cs="Times New Roman"/>
                <w:b/>
                <w:bCs/>
                <w:color w:val="000000" w:themeColor="text1"/>
                <w:kern w:val="0"/>
                <w:sz w:val="24"/>
                <w:szCs w:val="24"/>
                <w:lang w:val="en-US" w:eastAsia="zh-CN"/>
                <w14:textFill>
                  <w14:solidFill>
                    <w14:schemeClr w14:val="tx1"/>
                  </w14:solidFill>
                </w14:textFill>
              </w:rPr>
              <w:t>（1）主体功能区划</w:t>
            </w:r>
          </w:p>
          <w:p>
            <w:pPr>
              <w:keepNext w:val="0"/>
              <w:keepLines w:val="0"/>
              <w:suppressLineNumbers w:val="0"/>
              <w:adjustRightInd w:val="0"/>
              <w:snapToGrid w:val="0"/>
              <w:spacing w:before="0" w:beforeAutospacing="0" w:after="0" w:afterAutospacing="0" w:line="360" w:lineRule="auto"/>
              <w:ind w:left="0" w:right="0" w:firstLine="480" w:firstLineChars="200"/>
              <w:jc w:val="both"/>
              <w:rPr>
                <w:rFonts w:hint="eastAsia" w:ascii="Calibri" w:hAnsi="Calibri" w:cs="Times New Roman"/>
                <w:color w:val="000000" w:themeColor="text1"/>
                <w:kern w:val="0"/>
                <w:sz w:val="24"/>
                <w:szCs w:val="24"/>
                <w:lang w:val="en-US" w:eastAsia="zh-CN"/>
                <w14:textFill>
                  <w14:solidFill>
                    <w14:schemeClr w14:val="tx1"/>
                  </w14:solidFill>
                </w14:textFill>
              </w:rPr>
            </w:pPr>
            <w:r>
              <w:rPr>
                <w:rFonts w:hint="eastAsia" w:ascii="Calibri" w:hAnsi="Calibri" w:cs="Times New Roman"/>
                <w:color w:val="000000" w:themeColor="text1"/>
                <w:kern w:val="0"/>
                <w:sz w:val="24"/>
                <w:szCs w:val="24"/>
                <w:lang w:val="en-US" w:eastAsia="zh-CN"/>
                <w14:textFill>
                  <w14:solidFill>
                    <w14:schemeClr w14:val="tx1"/>
                  </w14:solidFill>
                </w14:textFill>
              </w:rPr>
              <w:t>根据《湖南省主体功能区划》，零陵区功能定位为省级重点开发区域。功能定位为重要的区域性科教、商贸中心和综合交通枢纽，支撑湘南、湘西区域发展的重要工业化和城镇化地区，区域经济和人口的聚集区</w:t>
            </w:r>
          </w:p>
          <w:p>
            <w:pPr>
              <w:keepNext w:val="0"/>
              <w:keepLines w:val="0"/>
              <w:suppressLineNumbers w:val="0"/>
              <w:adjustRightInd w:val="0"/>
              <w:snapToGrid w:val="0"/>
              <w:spacing w:before="0" w:beforeAutospacing="0" w:after="0" w:afterAutospacing="0" w:line="360" w:lineRule="auto"/>
              <w:ind w:left="0" w:right="0" w:firstLine="482" w:firstLineChars="200"/>
              <w:jc w:val="both"/>
              <w:rPr>
                <w:rFonts w:hint="default" w:ascii="Calibri" w:hAnsi="Calibri" w:cs="Times New Roman"/>
                <w:b/>
                <w:bCs/>
                <w:color w:val="000000" w:themeColor="text1"/>
                <w:kern w:val="0"/>
                <w:sz w:val="24"/>
                <w:szCs w:val="24"/>
                <w:lang w:val="en-US" w:eastAsia="zh-CN"/>
                <w14:textFill>
                  <w14:solidFill>
                    <w14:schemeClr w14:val="tx1"/>
                  </w14:solidFill>
                </w14:textFill>
              </w:rPr>
            </w:pPr>
            <w:r>
              <w:rPr>
                <w:rFonts w:hint="eastAsia" w:ascii="Calibri" w:hAnsi="Calibri" w:cs="Times New Roman"/>
                <w:b/>
                <w:bCs/>
                <w:color w:val="000000" w:themeColor="text1"/>
                <w:kern w:val="0"/>
                <w:sz w:val="24"/>
                <w:szCs w:val="24"/>
                <w:lang w:val="en-US" w:eastAsia="zh-CN"/>
                <w14:textFill>
                  <w14:solidFill>
                    <w14:schemeClr w14:val="tx1"/>
                  </w14:solidFill>
                </w14:textFill>
              </w:rPr>
              <w:t>（2）生态功能区划</w:t>
            </w:r>
          </w:p>
          <w:p>
            <w:pPr>
              <w:keepNext w:val="0"/>
              <w:keepLines w:val="0"/>
              <w:suppressLineNumbers w:val="0"/>
              <w:adjustRightInd w:val="0"/>
              <w:snapToGrid w:val="0"/>
              <w:spacing w:before="0" w:beforeAutospacing="0" w:after="0" w:afterAutospacing="0" w:line="360" w:lineRule="auto"/>
              <w:ind w:left="0" w:right="0" w:firstLine="480" w:firstLineChars="200"/>
              <w:jc w:val="both"/>
              <w:rPr>
                <w:rFonts w:hint="eastAsia" w:ascii="Calibri" w:hAnsi="Calibri" w:cs="Times New Roman"/>
                <w:color w:val="000000" w:themeColor="text1"/>
                <w:kern w:val="0"/>
                <w:sz w:val="24"/>
                <w:szCs w:val="24"/>
                <w:lang w:val="en-US" w:eastAsia="zh-CN"/>
                <w14:textFill>
                  <w14:solidFill>
                    <w14:schemeClr w14:val="tx1"/>
                  </w14:solidFill>
                </w14:textFill>
              </w:rPr>
            </w:pPr>
            <w:r>
              <w:rPr>
                <w:rFonts w:hint="eastAsia" w:ascii="Calibri" w:hAnsi="Calibri" w:cs="Times New Roman"/>
                <w:color w:val="000000" w:themeColor="text1"/>
                <w:kern w:val="0"/>
                <w:sz w:val="24"/>
                <w:szCs w:val="24"/>
                <w:lang w:val="en-US" w:eastAsia="zh-CN"/>
                <w14:textFill>
                  <w14:solidFill>
                    <w14:schemeClr w14:val="tx1"/>
                  </w14:solidFill>
                </w14:textFill>
              </w:rPr>
              <w:t>根据《全国生态功能区划（修编版）》（环境保护部中国科学院，2015），评价区属于南岭山地水源涵养与生物多样性保护重要区。该区是长江水系与珠江水系的分水岭，是湘江、赣江、北江、东江干流等长江、珠江主要支流的水源补给区，包含2个功能区：九连山水源涵养功能区、都庞岭－萌渚岭水源涵养与生物多样性保护功能区，行政区主要涉及广西壮族自治区的桂林、贺州，湖南省的郴州、永州，广东省韶关、清远、河源、肇庆、梅州、惠州和广州，以及江西省的赣州，面积为97758平方公里。该区属于亚热带湿润气候区，发育了以亚热带常绿阔叶林和针叶林为主的植被类型，生物多样性丰富，具有重要的水源涵养、土壤保持和生物多样性保护等功能。</w:t>
            </w:r>
          </w:p>
          <w:p>
            <w:pPr>
              <w:keepNext w:val="0"/>
              <w:keepLines w:val="0"/>
              <w:numPr>
                <w:ilvl w:val="0"/>
                <w:numId w:val="0"/>
              </w:numPr>
              <w:suppressLineNumbers w:val="0"/>
              <w:adjustRightInd w:val="0"/>
              <w:snapToGrid w:val="0"/>
              <w:spacing w:before="0" w:beforeAutospacing="0" w:after="0" w:afterAutospacing="0" w:line="360" w:lineRule="auto"/>
              <w:ind w:left="420" w:leftChars="200" w:right="0"/>
              <w:jc w:val="both"/>
              <w:rPr>
                <w:rFonts w:hint="default" w:ascii="Calibri" w:hAnsi="Calibri" w:cs="Times New Roman"/>
                <w:b/>
                <w:bCs/>
                <w:color w:val="000000" w:themeColor="text1"/>
                <w:kern w:val="0"/>
                <w:sz w:val="24"/>
                <w:szCs w:val="24"/>
                <w:lang w:val="en-US" w:eastAsia="zh-CN"/>
                <w14:textFill>
                  <w14:solidFill>
                    <w14:schemeClr w14:val="tx1"/>
                  </w14:solidFill>
                </w14:textFill>
              </w:rPr>
            </w:pPr>
            <w:r>
              <w:rPr>
                <w:rFonts w:hint="eastAsia" w:ascii="Calibri" w:hAnsi="Calibri" w:cs="Times New Roman"/>
                <w:b/>
                <w:bCs/>
                <w:color w:val="000000" w:themeColor="text1"/>
                <w:kern w:val="0"/>
                <w:sz w:val="24"/>
                <w:szCs w:val="24"/>
                <w:lang w:val="en-US" w:eastAsia="zh-CN"/>
                <w14:textFill>
                  <w14:solidFill>
                    <w14:schemeClr w14:val="tx1"/>
                  </w14:solidFill>
                </w14:textFill>
              </w:rPr>
              <w:t>（3）生态环境现状</w:t>
            </w:r>
          </w:p>
          <w:p>
            <w:pPr>
              <w:keepNext w:val="0"/>
              <w:keepLines w:val="0"/>
              <w:suppressLineNumbers w:val="0"/>
              <w:adjustRightInd w:val="0"/>
              <w:snapToGrid w:val="0"/>
              <w:spacing w:before="0" w:beforeAutospacing="0" w:after="0" w:afterAutospacing="0" w:line="360" w:lineRule="auto"/>
              <w:ind w:left="0" w:right="0" w:firstLine="480" w:firstLineChars="200"/>
              <w:jc w:val="both"/>
              <w:rPr>
                <w:rFonts w:hint="eastAsia" w:ascii="Calibri" w:hAnsi="Calibri" w:cs="Times New Roman"/>
                <w:color w:val="000000" w:themeColor="text1"/>
                <w:kern w:val="0"/>
                <w:sz w:val="24"/>
                <w:szCs w:val="24"/>
                <w:lang w:val="en-US" w:eastAsia="zh-CN"/>
                <w14:textFill>
                  <w14:solidFill>
                    <w14:schemeClr w14:val="tx1"/>
                  </w14:solidFill>
                </w14:textFill>
              </w:rPr>
            </w:pPr>
            <w:r>
              <w:rPr>
                <w:rFonts w:hint="eastAsia" w:ascii="Calibri" w:hAnsi="Calibri" w:cs="Times New Roman"/>
                <w:color w:val="000000" w:themeColor="text1"/>
                <w:kern w:val="0"/>
                <w:sz w:val="24"/>
                <w:szCs w:val="24"/>
                <w:lang w:val="en-US" w:eastAsia="zh-CN"/>
                <w14:textFill>
                  <w14:solidFill>
                    <w14:schemeClr w14:val="tx1"/>
                  </w14:solidFill>
                </w14:textFill>
              </w:rPr>
              <w:t>零陵区属亚热带季风湿润气候区，主要特点是温暖湿润，热量丰富，雨量充沛，光照充足，春暖多变，夏无酷暑，冬少严寒。年平均气温18.4°C，最冷月（1月）平均气温3.8~6.8°C，最热月（7月）平均温度22.7~27.1°C，无霜期限271~305d，年平均降水量1505~2048.3mm，年日照时数1650h，年平均风速2.1m/s，冬季主导风向北风，夏季主导风向南风。泡水横穿东西，最低点泡水河海拔208.4米，无霜期年平均307天。植物资源有杉树、松树、樟树、湿地松、桉树、油茶、经济林（主要为杨梅、冰糖橙）等。区内多为林地，树种以松树、樟树为主，次为杉树，主要草本植物为芭茅草、针茅等，植被覆盖率达80%以上，本区气候多雨温湿，植被生长条件较好，区内林木灌丛长势较好。</w:t>
            </w:r>
          </w:p>
          <w:p>
            <w:pPr>
              <w:keepNext w:val="0"/>
              <w:keepLines w:val="0"/>
              <w:suppressLineNumbers w:val="0"/>
              <w:adjustRightInd w:val="0"/>
              <w:snapToGrid w:val="0"/>
              <w:spacing w:before="0" w:beforeAutospacing="0" w:after="0" w:afterAutospacing="0" w:line="360" w:lineRule="auto"/>
              <w:ind w:left="0" w:right="0" w:firstLine="480" w:firstLineChars="200"/>
              <w:jc w:val="both"/>
              <w:rPr>
                <w:rFonts w:hint="default" w:ascii="Times New Roman" w:hAnsi="Times New Roman" w:cs="Times New Roman"/>
                <w:color w:val="000000"/>
                <w:kern w:val="0"/>
                <w:sz w:val="24"/>
                <w:szCs w:val="24"/>
              </w:rPr>
            </w:pPr>
            <w:r>
              <w:rPr>
                <w:rFonts w:hint="eastAsia" w:ascii="Calibri" w:hAnsi="Calibri" w:cs="Times New Roman"/>
                <w:color w:val="000000" w:themeColor="text1"/>
                <w:kern w:val="0"/>
                <w:sz w:val="24"/>
                <w:szCs w:val="24"/>
                <w:lang w:val="en-US" w:eastAsia="zh-CN"/>
                <w14:textFill>
                  <w14:solidFill>
                    <w14:schemeClr w14:val="tx1"/>
                  </w14:solidFill>
                </w14:textFill>
              </w:rPr>
              <w:t>本项目为新建项目，矿区范围主要占地类型为林地，原有植物资源主要为次生林、灌木，生态环境质量一般。气候多雨湿润，植被生长条件较好。区内位于亚热带乔、灌、草混合植被区，乔木种类以竹、松树、杉树为主，间杂有少量梓、檀；灌木以紫荆、杜鹃等杂林为主；草本植物为芭茅、狼尾草等。地表植被较为发育，覆盖率约70﹪以上。野生动物种类不多，仅有稀少的野猪、野兔和啮齿、两栖爬行类等。本矿区及周边没有需保护的动植物种类与品种，无古树名木。</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2753" w:hRule="atLeast"/>
          <w:jc w:val="center"/>
        </w:trPr>
        <w:tc>
          <w:tcPr>
            <w:tcW w:w="904" w:type="dxa"/>
            <w:noWrap w:val="0"/>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000000"/>
                <w:kern w:val="0"/>
                <w:sz w:val="24"/>
                <w:szCs w:val="24"/>
              </w:rPr>
            </w:pPr>
            <w:r>
              <w:rPr>
                <w:rFonts w:hint="default" w:ascii="Times New Roman" w:hAnsi="Times New Roman" w:cs="Times New Roman"/>
                <w:bCs/>
                <w:color w:val="000000"/>
                <w:sz w:val="24"/>
                <w:szCs w:val="24"/>
              </w:rPr>
              <w:t>与项目有关的原有环境污染和生态破坏问题</w:t>
            </w:r>
          </w:p>
        </w:tc>
        <w:tc>
          <w:tcPr>
            <w:tcW w:w="8253" w:type="dxa"/>
            <w:noWrap w:val="0"/>
            <w:vAlign w:val="center"/>
          </w:tcPr>
          <w:p>
            <w:pPr>
              <w:keepNext w:val="0"/>
              <w:keepLines w:val="0"/>
              <w:suppressLineNumbers w:val="0"/>
              <w:adjustRightInd w:val="0"/>
              <w:snapToGrid w:val="0"/>
              <w:spacing w:before="0" w:beforeAutospacing="0" w:after="0" w:afterAutospacing="0"/>
              <w:ind w:left="0" w:right="0" w:firstLine="480" w:firstLineChars="200"/>
              <w:rPr>
                <w:rFonts w:hint="default" w:ascii="Times New Roman" w:hAnsi="Times New Roman" w:cs="Times New Roman"/>
                <w:color w:val="000000"/>
                <w:kern w:val="0"/>
                <w:sz w:val="24"/>
                <w:szCs w:val="24"/>
              </w:rPr>
            </w:pPr>
            <w:r>
              <w:rPr>
                <w:rFonts w:hint="default" w:ascii="Times New Roman" w:hAnsi="Times New Roman" w:cs="Times New Roman"/>
                <w:color w:val="000000"/>
                <w:kern w:val="0"/>
                <w:sz w:val="24"/>
                <w:szCs w:val="24"/>
              </w:rPr>
              <w:t>本项目是新建项目，无与本项目有关的原有环境污染和生态破坏问题。</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2435" w:hRule="atLeast"/>
          <w:jc w:val="center"/>
        </w:trPr>
        <w:tc>
          <w:tcPr>
            <w:tcW w:w="904" w:type="dxa"/>
            <w:noWrap w:val="0"/>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000000"/>
                <w:kern w:val="0"/>
                <w:sz w:val="24"/>
                <w:szCs w:val="24"/>
              </w:rPr>
            </w:pPr>
            <w:r>
              <w:rPr>
                <w:rFonts w:hint="default" w:ascii="Times New Roman" w:hAnsi="Times New Roman" w:cs="Times New Roman"/>
                <w:color w:val="000000"/>
                <w:kern w:val="0"/>
                <w:sz w:val="24"/>
                <w:szCs w:val="24"/>
              </w:rPr>
              <w:t>生态环境保护目标</w:t>
            </w:r>
          </w:p>
        </w:tc>
        <w:tc>
          <w:tcPr>
            <w:tcW w:w="8253" w:type="dxa"/>
            <w:noWrap w:val="0"/>
            <w:vAlign w:val="center"/>
          </w:tcPr>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000000"/>
                <w:kern w:val="0"/>
                <w:sz w:val="24"/>
                <w:szCs w:val="24"/>
              </w:rPr>
            </w:pPr>
            <w:r>
              <w:rPr>
                <w:rFonts w:hint="default" w:ascii="Times New Roman" w:hAnsi="Times New Roman" w:cs="Times New Roman"/>
                <w:color w:val="000000"/>
                <w:kern w:val="0"/>
                <w:sz w:val="24"/>
                <w:szCs w:val="24"/>
              </w:rPr>
              <w:t>本项目大气环境保护目标参考《建设项目环境影响报告表编制技术指南（污染影响类）（试行）》，取本项目施位置500m范围内环境敏感点；噪声环境环境保护目标参考《建设项目环境影响报告表编制技术指南（污染影响类）（试行）》，取本项目施工场地周边50m范围内环境敏感点；保护目标见下表。</w:t>
            </w:r>
          </w:p>
          <w:p>
            <w:pPr>
              <w:keepNext w:val="0"/>
              <w:keepLines w:val="0"/>
              <w:suppressLineNumbers w:val="0"/>
              <w:spacing w:before="0" w:beforeAutospacing="0" w:after="0" w:afterAutospacing="0"/>
              <w:ind w:left="0" w:right="0"/>
              <w:jc w:val="center"/>
              <w:rPr>
                <w:rFonts w:hint="default"/>
                <w:b w:val="0"/>
                <w:bCs w:val="0"/>
              </w:rPr>
            </w:pPr>
            <w:r>
              <w:rPr>
                <w:rFonts w:hint="default"/>
                <w:b/>
                <w:bCs/>
              </w:rPr>
              <w:t>表3-</w:t>
            </w:r>
            <w:r>
              <w:rPr>
                <w:rFonts w:hint="eastAsia"/>
                <w:b/>
                <w:bCs/>
                <w:lang w:val="en-US" w:eastAsia="zh-CN"/>
              </w:rPr>
              <w:t>5</w:t>
            </w:r>
            <w:r>
              <w:rPr>
                <w:rFonts w:hint="default"/>
                <w:b/>
                <w:bCs/>
              </w:rPr>
              <w:t>环境保护目标一览表</w:t>
            </w:r>
          </w:p>
          <w:tbl>
            <w:tblPr>
              <w:tblStyle w:val="63"/>
              <w:tblW w:w="8029"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380"/>
              <w:gridCol w:w="856"/>
              <w:gridCol w:w="1314"/>
              <w:gridCol w:w="1243"/>
              <w:gridCol w:w="519"/>
              <w:gridCol w:w="718"/>
              <w:gridCol w:w="1628"/>
              <w:gridCol w:w="516"/>
              <w:gridCol w:w="855"/>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83" w:hRule="atLeast"/>
              </w:trPr>
              <w:tc>
                <w:tcPr>
                  <w:tcW w:w="380" w:type="dxa"/>
                  <w:vMerge w:val="restart"/>
                  <w:tcBorders>
                    <w:bottom w:val="single" w:color="000000" w:sz="2" w:space="0"/>
                  </w:tcBorders>
                  <w:textDirection w:val="tbRlV"/>
                  <w:vAlign w:val="center"/>
                </w:tcPr>
                <w:p>
                  <w:pPr>
                    <w:jc w:val="center"/>
                    <w:rPr>
                      <w:rFonts w:hint="default"/>
                      <w:b/>
                      <w:bCs/>
                    </w:rPr>
                  </w:pPr>
                  <w:r>
                    <w:rPr>
                      <w:rFonts w:hint="default"/>
                      <w:b/>
                      <w:bCs/>
                    </w:rPr>
                    <w:t>环境要素</w:t>
                  </w:r>
                </w:p>
              </w:tc>
              <w:tc>
                <w:tcPr>
                  <w:tcW w:w="856" w:type="dxa"/>
                  <w:vMerge w:val="restart"/>
                  <w:tcBorders>
                    <w:bottom w:val="single" w:color="000000" w:sz="2" w:space="0"/>
                  </w:tcBorders>
                  <w:vAlign w:val="center"/>
                </w:tcPr>
                <w:p>
                  <w:pPr>
                    <w:jc w:val="center"/>
                    <w:rPr>
                      <w:rFonts w:hint="default"/>
                      <w:b/>
                      <w:bCs/>
                    </w:rPr>
                  </w:pPr>
                  <w:r>
                    <w:rPr>
                      <w:rFonts w:hint="default"/>
                      <w:b/>
                      <w:bCs/>
                    </w:rPr>
                    <w:t>保护目标</w:t>
                  </w:r>
                </w:p>
              </w:tc>
              <w:tc>
                <w:tcPr>
                  <w:tcW w:w="2557" w:type="dxa"/>
                  <w:gridSpan w:val="2"/>
                  <w:tcBorders>
                    <w:bottom w:val="single" w:color="000000" w:sz="2" w:space="0"/>
                  </w:tcBorders>
                  <w:vAlign w:val="center"/>
                </w:tcPr>
                <w:p>
                  <w:pPr>
                    <w:jc w:val="center"/>
                    <w:rPr>
                      <w:rFonts w:hint="default"/>
                      <w:b/>
                      <w:bCs/>
                    </w:rPr>
                  </w:pPr>
                  <w:r>
                    <w:rPr>
                      <w:rFonts w:hint="default"/>
                      <w:b/>
                      <w:bCs/>
                    </w:rPr>
                    <w:t>坐标</w:t>
                  </w:r>
                </w:p>
              </w:tc>
              <w:tc>
                <w:tcPr>
                  <w:tcW w:w="519" w:type="dxa"/>
                  <w:vMerge w:val="restart"/>
                  <w:tcBorders>
                    <w:bottom w:val="single" w:color="000000" w:sz="2" w:space="0"/>
                  </w:tcBorders>
                  <w:vAlign w:val="center"/>
                </w:tcPr>
                <w:p>
                  <w:pPr>
                    <w:jc w:val="center"/>
                    <w:rPr>
                      <w:rFonts w:hint="default"/>
                      <w:b/>
                      <w:bCs/>
                    </w:rPr>
                  </w:pPr>
                  <w:r>
                    <w:rPr>
                      <w:rFonts w:hint="default"/>
                      <w:b/>
                      <w:bCs/>
                    </w:rPr>
                    <w:t>保护对象</w:t>
                  </w:r>
                </w:p>
              </w:tc>
              <w:tc>
                <w:tcPr>
                  <w:tcW w:w="718" w:type="dxa"/>
                  <w:vMerge w:val="restart"/>
                  <w:tcBorders>
                    <w:bottom w:val="single" w:color="000000" w:sz="2" w:space="0"/>
                  </w:tcBorders>
                  <w:vAlign w:val="center"/>
                </w:tcPr>
                <w:p>
                  <w:pPr>
                    <w:jc w:val="center"/>
                    <w:rPr>
                      <w:rFonts w:hint="default"/>
                      <w:b/>
                      <w:bCs/>
                    </w:rPr>
                  </w:pPr>
                  <w:r>
                    <w:rPr>
                      <w:rFonts w:hint="default"/>
                      <w:b/>
                      <w:bCs/>
                    </w:rPr>
                    <w:t>保护内容</w:t>
                  </w:r>
                </w:p>
              </w:tc>
              <w:tc>
                <w:tcPr>
                  <w:tcW w:w="1628" w:type="dxa"/>
                  <w:vMerge w:val="restart"/>
                  <w:tcBorders>
                    <w:bottom w:val="single" w:color="000000" w:sz="2" w:space="0"/>
                  </w:tcBorders>
                  <w:vAlign w:val="center"/>
                </w:tcPr>
                <w:p>
                  <w:pPr>
                    <w:jc w:val="center"/>
                    <w:rPr>
                      <w:rFonts w:hint="default"/>
                      <w:b/>
                      <w:bCs/>
                    </w:rPr>
                  </w:pPr>
                  <w:r>
                    <w:rPr>
                      <w:rFonts w:hint="default"/>
                      <w:b/>
                      <w:bCs/>
                    </w:rPr>
                    <w:t>环境功能区</w:t>
                  </w:r>
                </w:p>
              </w:tc>
              <w:tc>
                <w:tcPr>
                  <w:tcW w:w="516" w:type="dxa"/>
                  <w:vMerge w:val="restart"/>
                  <w:tcBorders>
                    <w:bottom w:val="single" w:color="000000" w:sz="2" w:space="0"/>
                  </w:tcBorders>
                  <w:vAlign w:val="center"/>
                </w:tcPr>
                <w:p>
                  <w:pPr>
                    <w:jc w:val="center"/>
                    <w:rPr>
                      <w:rFonts w:hint="default"/>
                      <w:b/>
                      <w:bCs/>
                    </w:rPr>
                  </w:pPr>
                  <w:r>
                    <w:rPr>
                      <w:rFonts w:hint="default"/>
                      <w:b/>
                      <w:bCs/>
                    </w:rPr>
                    <w:t>相对方位</w:t>
                  </w:r>
                </w:p>
              </w:tc>
              <w:tc>
                <w:tcPr>
                  <w:tcW w:w="855" w:type="dxa"/>
                  <w:vMerge w:val="restart"/>
                  <w:tcBorders>
                    <w:bottom w:val="single" w:color="000000" w:sz="2" w:space="0"/>
                  </w:tcBorders>
                  <w:vAlign w:val="center"/>
                </w:tcPr>
                <w:p>
                  <w:pPr>
                    <w:jc w:val="center"/>
                    <w:rPr>
                      <w:rFonts w:hint="default"/>
                      <w:b/>
                      <w:bCs/>
                    </w:rPr>
                  </w:pPr>
                  <w:r>
                    <w:rPr>
                      <w:rFonts w:hint="eastAsia"/>
                      <w:b/>
                      <w:bCs/>
                      <w:lang w:val="en-US" w:eastAsia="zh-CN"/>
                    </w:rPr>
                    <w:t>最近</w:t>
                  </w:r>
                  <w:r>
                    <w:rPr>
                      <w:rFonts w:hint="default"/>
                      <w:b/>
                      <w:bCs/>
                    </w:rPr>
                    <w:t>距离/m</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811" w:hRule="atLeast"/>
              </w:trPr>
              <w:tc>
                <w:tcPr>
                  <w:tcW w:w="380" w:type="dxa"/>
                  <w:vMerge w:val="continue"/>
                  <w:tcBorders>
                    <w:top w:val="single" w:color="000000" w:sz="2" w:space="0"/>
                    <w:bottom w:val="single" w:color="000000" w:sz="2" w:space="0"/>
                  </w:tcBorders>
                  <w:textDirection w:val="tbRlV"/>
                  <w:vAlign w:val="center"/>
                </w:tcPr>
                <w:p>
                  <w:pPr>
                    <w:jc w:val="center"/>
                    <w:rPr>
                      <w:rFonts w:hint="default"/>
                    </w:rPr>
                  </w:pPr>
                </w:p>
              </w:tc>
              <w:tc>
                <w:tcPr>
                  <w:tcW w:w="856" w:type="dxa"/>
                  <w:vMerge w:val="continue"/>
                  <w:tcBorders>
                    <w:top w:val="single" w:color="000000" w:sz="2" w:space="0"/>
                    <w:bottom w:val="single" w:color="000000" w:sz="2" w:space="0"/>
                  </w:tcBorders>
                  <w:vAlign w:val="center"/>
                </w:tcPr>
                <w:p>
                  <w:pPr>
                    <w:jc w:val="center"/>
                    <w:rPr>
                      <w:rFonts w:hint="default"/>
                    </w:rPr>
                  </w:pPr>
                </w:p>
              </w:tc>
              <w:tc>
                <w:tcPr>
                  <w:tcW w:w="1314" w:type="dxa"/>
                  <w:tcBorders>
                    <w:top w:val="single" w:color="000000" w:sz="2" w:space="0"/>
                    <w:bottom w:val="single" w:color="000000" w:sz="2" w:space="0"/>
                  </w:tcBorders>
                  <w:vAlign w:val="center"/>
                </w:tcPr>
                <w:p>
                  <w:pPr>
                    <w:jc w:val="center"/>
                    <w:rPr>
                      <w:rFonts w:hint="default"/>
                      <w:b/>
                      <w:bCs/>
                      <w:lang w:eastAsia="zh-CN"/>
                    </w:rPr>
                  </w:pPr>
                  <w:r>
                    <w:rPr>
                      <w:rFonts w:hint="default"/>
                      <w:b/>
                      <w:bCs/>
                    </w:rPr>
                    <w:t>E(°)</w:t>
                  </w:r>
                </w:p>
              </w:tc>
              <w:tc>
                <w:tcPr>
                  <w:tcW w:w="1243" w:type="dxa"/>
                  <w:tcBorders>
                    <w:top w:val="single" w:color="000000" w:sz="2" w:space="0"/>
                    <w:bottom w:val="single" w:color="000000" w:sz="2" w:space="0"/>
                  </w:tcBorders>
                  <w:vAlign w:val="center"/>
                </w:tcPr>
                <w:p>
                  <w:pPr>
                    <w:jc w:val="center"/>
                    <w:rPr>
                      <w:rFonts w:hint="default"/>
                      <w:b/>
                      <w:bCs/>
                    </w:rPr>
                  </w:pPr>
                  <w:r>
                    <w:rPr>
                      <w:rFonts w:hint="default"/>
                      <w:b/>
                      <w:bCs/>
                    </w:rPr>
                    <w:t>N(°)</w:t>
                  </w:r>
                </w:p>
              </w:tc>
              <w:tc>
                <w:tcPr>
                  <w:tcW w:w="519" w:type="dxa"/>
                  <w:vMerge w:val="continue"/>
                  <w:tcBorders>
                    <w:top w:val="single" w:color="000000" w:sz="2" w:space="0"/>
                    <w:bottom w:val="single" w:color="000000" w:sz="2" w:space="0"/>
                  </w:tcBorders>
                  <w:vAlign w:val="center"/>
                </w:tcPr>
                <w:p>
                  <w:pPr>
                    <w:jc w:val="center"/>
                    <w:rPr>
                      <w:rFonts w:hint="default"/>
                    </w:rPr>
                  </w:pPr>
                </w:p>
              </w:tc>
              <w:tc>
                <w:tcPr>
                  <w:tcW w:w="718" w:type="dxa"/>
                  <w:vMerge w:val="continue"/>
                  <w:tcBorders>
                    <w:top w:val="single" w:color="000000" w:sz="2" w:space="0"/>
                    <w:bottom w:val="single" w:color="000000" w:sz="2" w:space="0"/>
                  </w:tcBorders>
                  <w:vAlign w:val="center"/>
                </w:tcPr>
                <w:p>
                  <w:pPr>
                    <w:jc w:val="center"/>
                    <w:rPr>
                      <w:rFonts w:hint="default"/>
                    </w:rPr>
                  </w:pPr>
                </w:p>
              </w:tc>
              <w:tc>
                <w:tcPr>
                  <w:tcW w:w="1628" w:type="dxa"/>
                  <w:vMerge w:val="continue"/>
                  <w:tcBorders>
                    <w:top w:val="single" w:color="000000" w:sz="2" w:space="0"/>
                    <w:bottom w:val="single" w:color="000000" w:sz="2" w:space="0"/>
                  </w:tcBorders>
                  <w:vAlign w:val="center"/>
                </w:tcPr>
                <w:p>
                  <w:pPr>
                    <w:jc w:val="center"/>
                    <w:rPr>
                      <w:rFonts w:hint="default"/>
                    </w:rPr>
                  </w:pPr>
                </w:p>
              </w:tc>
              <w:tc>
                <w:tcPr>
                  <w:tcW w:w="516" w:type="dxa"/>
                  <w:vMerge w:val="continue"/>
                  <w:tcBorders>
                    <w:top w:val="single" w:color="000000" w:sz="2" w:space="0"/>
                    <w:bottom w:val="single" w:color="000000" w:sz="2" w:space="0"/>
                  </w:tcBorders>
                  <w:vAlign w:val="center"/>
                </w:tcPr>
                <w:p>
                  <w:pPr>
                    <w:jc w:val="center"/>
                    <w:rPr>
                      <w:rFonts w:hint="default"/>
                    </w:rPr>
                  </w:pPr>
                </w:p>
              </w:tc>
              <w:tc>
                <w:tcPr>
                  <w:tcW w:w="855" w:type="dxa"/>
                  <w:vMerge w:val="continue"/>
                  <w:tcBorders>
                    <w:top w:val="single" w:color="000000" w:sz="2" w:space="0"/>
                    <w:bottom w:val="single" w:color="000000" w:sz="2" w:space="0"/>
                  </w:tcBorders>
                  <w:vAlign w:val="center"/>
                </w:tcPr>
                <w:p>
                  <w:pPr>
                    <w:jc w:val="center"/>
                    <w:rPr>
                      <w:rFonts w:hint="default"/>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42" w:hRule="atLeast"/>
              </w:trPr>
              <w:tc>
                <w:tcPr>
                  <w:tcW w:w="380" w:type="dxa"/>
                  <w:vMerge w:val="restart"/>
                  <w:tcBorders>
                    <w:top w:val="single" w:color="000000" w:sz="2" w:space="0"/>
                  </w:tcBorders>
                  <w:textDirection w:val="tbRlV"/>
                  <w:vAlign w:val="center"/>
                </w:tcPr>
                <w:p>
                  <w:pPr>
                    <w:jc w:val="center"/>
                    <w:rPr>
                      <w:rFonts w:hint="eastAsia" w:eastAsia="宋体"/>
                      <w:lang w:val="en-US" w:eastAsia="zh-CN"/>
                    </w:rPr>
                  </w:pPr>
                  <w:r>
                    <w:rPr>
                      <w:rFonts w:hint="eastAsia"/>
                      <w:b/>
                      <w:bCs/>
                      <w:lang w:val="en-US" w:eastAsia="zh-CN"/>
                    </w:rPr>
                    <w:t>大气环境</w:t>
                  </w:r>
                </w:p>
              </w:tc>
              <w:tc>
                <w:tcPr>
                  <w:tcW w:w="856" w:type="dxa"/>
                  <w:tcBorders>
                    <w:top w:val="single" w:color="000000" w:sz="2" w:space="0"/>
                  </w:tcBorders>
                  <w:vAlign w:val="center"/>
                </w:tcPr>
                <w:p>
                  <w:pPr>
                    <w:jc w:val="center"/>
                    <w:rPr>
                      <w:rFonts w:hint="eastAsia"/>
                      <w:color w:val="auto"/>
                      <w:lang w:val="en-US" w:eastAsia="zh-CN"/>
                    </w:rPr>
                  </w:pPr>
                  <w:r>
                    <w:rPr>
                      <w:rFonts w:hint="eastAsia"/>
                      <w:color w:val="auto"/>
                      <w:lang w:val="en-US" w:eastAsia="zh-CN"/>
                    </w:rPr>
                    <w:t>野毛</w:t>
                  </w:r>
                </w:p>
                <w:p>
                  <w:pPr>
                    <w:jc w:val="center"/>
                    <w:rPr>
                      <w:rFonts w:hint="eastAsia"/>
                      <w:color w:val="auto"/>
                      <w:lang w:val="en-US" w:eastAsia="zh-CN"/>
                    </w:rPr>
                  </w:pPr>
                  <w:r>
                    <w:rPr>
                      <w:rFonts w:hint="eastAsia"/>
                      <w:color w:val="auto"/>
                      <w:lang w:val="en-US" w:eastAsia="zh-CN"/>
                    </w:rPr>
                    <w:t>山</w:t>
                  </w:r>
                </w:p>
              </w:tc>
              <w:tc>
                <w:tcPr>
                  <w:tcW w:w="1314" w:type="dxa"/>
                  <w:tcBorders>
                    <w:top w:val="single" w:color="000000" w:sz="2" w:space="0"/>
                    <w:bottom w:val="single" w:color="000000" w:sz="2" w:space="0"/>
                  </w:tcBorders>
                  <w:vAlign w:val="center"/>
                </w:tcPr>
                <w:p>
                  <w:pPr>
                    <w:jc w:val="center"/>
                    <w:rPr>
                      <w:rFonts w:hint="default"/>
                      <w:color w:val="auto"/>
                    </w:rPr>
                  </w:pPr>
                  <w:r>
                    <w:rPr>
                      <w:rFonts w:hint="default"/>
                      <w:color w:val="auto"/>
                    </w:rPr>
                    <w:t>111°30′3.547″</w:t>
                  </w:r>
                </w:p>
              </w:tc>
              <w:tc>
                <w:tcPr>
                  <w:tcW w:w="1243" w:type="dxa"/>
                  <w:tcBorders>
                    <w:top w:val="single" w:color="000000" w:sz="2" w:space="0"/>
                    <w:bottom w:val="single" w:color="000000" w:sz="2" w:space="0"/>
                  </w:tcBorders>
                  <w:vAlign w:val="center"/>
                </w:tcPr>
                <w:p>
                  <w:pPr>
                    <w:jc w:val="center"/>
                    <w:rPr>
                      <w:rFonts w:hint="default"/>
                      <w:color w:val="auto"/>
                    </w:rPr>
                  </w:pPr>
                  <w:r>
                    <w:rPr>
                      <w:rFonts w:hint="default"/>
                      <w:color w:val="auto"/>
                    </w:rPr>
                    <w:t>26°7′7.295″</w:t>
                  </w:r>
                </w:p>
              </w:tc>
              <w:tc>
                <w:tcPr>
                  <w:tcW w:w="519" w:type="dxa"/>
                  <w:vMerge w:val="restart"/>
                  <w:tcBorders>
                    <w:top w:val="single" w:color="000000" w:sz="2" w:space="0"/>
                  </w:tcBorders>
                  <w:vAlign w:val="center"/>
                </w:tcPr>
                <w:p>
                  <w:pPr>
                    <w:jc w:val="center"/>
                    <w:rPr>
                      <w:rFonts w:hint="default"/>
                      <w:color w:val="auto"/>
                      <w:lang w:val="en-US" w:eastAsia="zh-CN"/>
                    </w:rPr>
                  </w:pPr>
                  <w:r>
                    <w:rPr>
                      <w:rFonts w:hint="eastAsia"/>
                      <w:color w:val="auto"/>
                      <w:lang w:val="en-US" w:eastAsia="zh-CN"/>
                    </w:rPr>
                    <w:t>居民</w:t>
                  </w:r>
                </w:p>
              </w:tc>
              <w:tc>
                <w:tcPr>
                  <w:tcW w:w="718" w:type="dxa"/>
                  <w:tcBorders>
                    <w:top w:val="single" w:color="000000" w:sz="2" w:space="0"/>
                    <w:bottom w:val="single" w:color="000000" w:sz="2" w:space="0"/>
                  </w:tcBorders>
                  <w:vAlign w:val="center"/>
                </w:tcPr>
                <w:p>
                  <w:pPr>
                    <w:jc w:val="center"/>
                    <w:rPr>
                      <w:rFonts w:hint="default"/>
                      <w:color w:val="auto"/>
                      <w:lang w:val="en-US" w:eastAsia="zh-CN"/>
                    </w:rPr>
                  </w:pPr>
                  <w:r>
                    <w:rPr>
                      <w:rFonts w:hint="default"/>
                      <w:color w:val="auto"/>
                      <w:lang w:val="en-US" w:eastAsia="zh-CN"/>
                    </w:rPr>
                    <w:t>约</w:t>
                  </w:r>
                  <w:r>
                    <w:rPr>
                      <w:rFonts w:hint="eastAsia"/>
                      <w:color w:val="auto"/>
                      <w:lang w:val="en-US" w:eastAsia="zh-CN"/>
                    </w:rPr>
                    <w:t>20</w:t>
                  </w:r>
                  <w:r>
                    <w:rPr>
                      <w:rFonts w:hint="default"/>
                      <w:color w:val="auto"/>
                      <w:lang w:val="en-US" w:eastAsia="zh-CN"/>
                    </w:rPr>
                    <w:t>户</w:t>
                  </w:r>
                </w:p>
              </w:tc>
              <w:tc>
                <w:tcPr>
                  <w:tcW w:w="1628" w:type="dxa"/>
                  <w:vMerge w:val="restart"/>
                  <w:tcBorders>
                    <w:top w:val="single" w:color="000000" w:sz="2" w:space="0"/>
                  </w:tcBorders>
                  <w:vAlign w:val="center"/>
                </w:tcPr>
                <w:p>
                  <w:pPr>
                    <w:jc w:val="center"/>
                    <w:rPr>
                      <w:rFonts w:hint="default"/>
                      <w:color w:val="auto"/>
                      <w:lang w:val="en-US" w:eastAsia="zh-CN"/>
                    </w:rPr>
                  </w:pPr>
                  <w:r>
                    <w:rPr>
                      <w:rFonts w:hint="eastAsia"/>
                      <w:color w:val="auto"/>
                      <w:lang w:eastAsia="zh-CN"/>
                    </w:rPr>
                    <w:t>《</w:t>
                  </w:r>
                  <w:r>
                    <w:rPr>
                      <w:rFonts w:hint="default"/>
                      <w:color w:val="auto"/>
                    </w:rPr>
                    <w:t>环境空气质量标准》（GB3095-2012）中二</w:t>
                  </w:r>
                  <w:r>
                    <w:rPr>
                      <w:rFonts w:hint="eastAsia"/>
                      <w:color w:val="auto"/>
                      <w:lang w:val="en-US" w:eastAsia="zh-CN"/>
                    </w:rPr>
                    <w:t>类区</w:t>
                  </w:r>
                </w:p>
              </w:tc>
              <w:tc>
                <w:tcPr>
                  <w:tcW w:w="516" w:type="dxa"/>
                  <w:tcBorders>
                    <w:top w:val="single" w:color="000000" w:sz="2" w:space="0"/>
                    <w:bottom w:val="single" w:color="000000" w:sz="2" w:space="0"/>
                  </w:tcBorders>
                  <w:vAlign w:val="center"/>
                </w:tcPr>
                <w:p>
                  <w:pPr>
                    <w:jc w:val="center"/>
                    <w:rPr>
                      <w:rFonts w:hint="default"/>
                      <w:color w:val="auto"/>
                      <w:lang w:val="en-US" w:eastAsia="zh-CN"/>
                    </w:rPr>
                  </w:pPr>
                  <w:r>
                    <w:rPr>
                      <w:rFonts w:hint="eastAsia"/>
                      <w:color w:val="auto"/>
                      <w:lang w:val="en-US" w:eastAsia="zh-CN"/>
                    </w:rPr>
                    <w:t>东</w:t>
                  </w:r>
                </w:p>
              </w:tc>
              <w:tc>
                <w:tcPr>
                  <w:tcW w:w="855" w:type="dxa"/>
                  <w:tcBorders>
                    <w:top w:val="single" w:color="000000" w:sz="2" w:space="0"/>
                    <w:bottom w:val="single" w:color="000000" w:sz="2" w:space="0"/>
                  </w:tcBorders>
                  <w:vAlign w:val="center"/>
                </w:tcPr>
                <w:p>
                  <w:pPr>
                    <w:jc w:val="center"/>
                    <w:rPr>
                      <w:rFonts w:hint="default"/>
                      <w:color w:val="auto"/>
                      <w:lang w:val="en-US" w:eastAsia="zh-CN"/>
                    </w:rPr>
                  </w:pPr>
                  <w:r>
                    <w:rPr>
                      <w:rFonts w:hint="eastAsia"/>
                      <w:color w:val="auto"/>
                      <w:lang w:val="en-US" w:eastAsia="zh-CN"/>
                    </w:rPr>
                    <w:t>300m</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45" w:hRule="atLeast"/>
              </w:trPr>
              <w:tc>
                <w:tcPr>
                  <w:tcW w:w="380" w:type="dxa"/>
                  <w:vMerge w:val="continue"/>
                  <w:textDirection w:val="tbRlV"/>
                  <w:vAlign w:val="center"/>
                </w:tcPr>
                <w:p>
                  <w:pPr>
                    <w:jc w:val="center"/>
                    <w:rPr>
                      <w:rFonts w:hint="default"/>
                    </w:rPr>
                  </w:pPr>
                </w:p>
              </w:tc>
              <w:tc>
                <w:tcPr>
                  <w:tcW w:w="856" w:type="dxa"/>
                  <w:tcBorders>
                    <w:top w:val="single" w:color="000000" w:sz="2" w:space="0"/>
                  </w:tcBorders>
                  <w:vAlign w:val="center"/>
                </w:tcPr>
                <w:p>
                  <w:pPr>
                    <w:jc w:val="center"/>
                    <w:rPr>
                      <w:rFonts w:hint="default"/>
                      <w:color w:val="auto"/>
                      <w:lang w:val="en-US" w:eastAsia="zh-CN"/>
                    </w:rPr>
                  </w:pPr>
                  <w:r>
                    <w:rPr>
                      <w:rFonts w:hint="default"/>
                      <w:color w:val="auto"/>
                      <w:lang w:val="en-US" w:eastAsia="zh-CN"/>
                    </w:rPr>
                    <w:t>代田</w:t>
                  </w:r>
                </w:p>
                <w:p>
                  <w:pPr>
                    <w:jc w:val="center"/>
                    <w:rPr>
                      <w:rFonts w:hint="default"/>
                      <w:color w:val="auto"/>
                      <w:lang w:val="en-US" w:eastAsia="zh-CN"/>
                    </w:rPr>
                  </w:pPr>
                  <w:r>
                    <w:rPr>
                      <w:rFonts w:hint="default"/>
                      <w:color w:val="auto"/>
                      <w:lang w:val="en-US" w:eastAsia="zh-CN"/>
                    </w:rPr>
                    <w:t>塘家</w:t>
                  </w:r>
                </w:p>
              </w:tc>
              <w:tc>
                <w:tcPr>
                  <w:tcW w:w="1314" w:type="dxa"/>
                  <w:tcBorders>
                    <w:top w:val="single" w:color="000000" w:sz="2" w:space="0"/>
                    <w:bottom w:val="single" w:color="000000" w:sz="2" w:space="0"/>
                  </w:tcBorders>
                  <w:vAlign w:val="center"/>
                </w:tcPr>
                <w:p>
                  <w:pPr>
                    <w:jc w:val="center"/>
                    <w:rPr>
                      <w:rFonts w:hint="default"/>
                      <w:color w:val="auto"/>
                    </w:rPr>
                  </w:pPr>
                  <w:r>
                    <w:rPr>
                      <w:rFonts w:hint="default"/>
                      <w:color w:val="auto"/>
                    </w:rPr>
                    <w:t>111°29′54.398</w:t>
                  </w:r>
                </w:p>
              </w:tc>
              <w:tc>
                <w:tcPr>
                  <w:tcW w:w="1243" w:type="dxa"/>
                  <w:tcBorders>
                    <w:top w:val="single" w:color="000000" w:sz="2" w:space="0"/>
                    <w:bottom w:val="single" w:color="000000" w:sz="2" w:space="0"/>
                  </w:tcBorders>
                  <w:vAlign w:val="center"/>
                </w:tcPr>
                <w:p>
                  <w:pPr>
                    <w:jc w:val="center"/>
                    <w:rPr>
                      <w:rFonts w:hint="default"/>
                      <w:color w:val="auto"/>
                    </w:rPr>
                  </w:pPr>
                  <w:r>
                    <w:rPr>
                      <w:rFonts w:hint="default"/>
                      <w:color w:val="auto"/>
                    </w:rPr>
                    <w:t>26°7′13.865″</w:t>
                  </w:r>
                </w:p>
              </w:tc>
              <w:tc>
                <w:tcPr>
                  <w:tcW w:w="519" w:type="dxa"/>
                  <w:vMerge w:val="continue"/>
                  <w:vAlign w:val="center"/>
                </w:tcPr>
                <w:p>
                  <w:pPr>
                    <w:jc w:val="center"/>
                    <w:rPr>
                      <w:rFonts w:hint="default"/>
                      <w:color w:val="auto"/>
                    </w:rPr>
                  </w:pPr>
                </w:p>
              </w:tc>
              <w:tc>
                <w:tcPr>
                  <w:tcW w:w="718" w:type="dxa"/>
                  <w:tcBorders>
                    <w:top w:val="single" w:color="000000" w:sz="2" w:space="0"/>
                    <w:bottom w:val="single" w:color="000000" w:sz="2" w:space="0"/>
                  </w:tcBorders>
                  <w:vAlign w:val="center"/>
                </w:tcPr>
                <w:p>
                  <w:pPr>
                    <w:jc w:val="center"/>
                    <w:rPr>
                      <w:rFonts w:hint="default"/>
                      <w:color w:val="auto"/>
                    </w:rPr>
                  </w:pPr>
                  <w:r>
                    <w:rPr>
                      <w:rFonts w:hint="default"/>
                      <w:color w:val="auto"/>
                    </w:rPr>
                    <w:t>约15户</w:t>
                  </w:r>
                </w:p>
              </w:tc>
              <w:tc>
                <w:tcPr>
                  <w:tcW w:w="1628" w:type="dxa"/>
                  <w:vMerge w:val="continue"/>
                  <w:vAlign w:val="center"/>
                </w:tcPr>
                <w:p>
                  <w:pPr>
                    <w:jc w:val="center"/>
                    <w:rPr>
                      <w:rFonts w:hint="default"/>
                      <w:color w:val="auto"/>
                    </w:rPr>
                  </w:pPr>
                </w:p>
              </w:tc>
              <w:tc>
                <w:tcPr>
                  <w:tcW w:w="516" w:type="dxa"/>
                  <w:tcBorders>
                    <w:top w:val="single" w:color="000000" w:sz="2" w:space="0"/>
                    <w:bottom w:val="single" w:color="000000" w:sz="2" w:space="0"/>
                  </w:tcBorders>
                  <w:vAlign w:val="center"/>
                </w:tcPr>
                <w:p>
                  <w:pPr>
                    <w:jc w:val="center"/>
                    <w:rPr>
                      <w:rFonts w:hint="default"/>
                      <w:color w:val="auto"/>
                      <w:lang w:val="en-US" w:eastAsia="zh-CN"/>
                    </w:rPr>
                  </w:pPr>
                  <w:r>
                    <w:rPr>
                      <w:rFonts w:hint="eastAsia"/>
                      <w:color w:val="auto"/>
                      <w:lang w:val="en-US" w:eastAsia="zh-CN"/>
                    </w:rPr>
                    <w:t>西</w:t>
                  </w:r>
                </w:p>
              </w:tc>
              <w:tc>
                <w:tcPr>
                  <w:tcW w:w="855" w:type="dxa"/>
                  <w:tcBorders>
                    <w:top w:val="single" w:color="000000" w:sz="2" w:space="0"/>
                    <w:bottom w:val="single" w:color="000000" w:sz="2" w:space="0"/>
                  </w:tcBorders>
                  <w:vAlign w:val="center"/>
                </w:tcPr>
                <w:p>
                  <w:pPr>
                    <w:jc w:val="center"/>
                    <w:rPr>
                      <w:rFonts w:hint="default"/>
                      <w:color w:val="auto"/>
                      <w:lang w:val="en-US" w:eastAsia="zh-CN"/>
                    </w:rPr>
                  </w:pPr>
                  <w:r>
                    <w:rPr>
                      <w:rFonts w:hint="eastAsia"/>
                      <w:color w:val="auto"/>
                      <w:lang w:val="en-US" w:eastAsia="zh-CN"/>
                    </w:rPr>
                    <w:t>220m</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30" w:hRule="atLeast"/>
              </w:trPr>
              <w:tc>
                <w:tcPr>
                  <w:tcW w:w="380" w:type="dxa"/>
                  <w:vMerge w:val="continue"/>
                  <w:textDirection w:val="tbRlV"/>
                  <w:vAlign w:val="center"/>
                </w:tcPr>
                <w:p>
                  <w:pPr>
                    <w:jc w:val="center"/>
                    <w:rPr>
                      <w:rFonts w:hint="default"/>
                    </w:rPr>
                  </w:pPr>
                </w:p>
              </w:tc>
              <w:tc>
                <w:tcPr>
                  <w:tcW w:w="856" w:type="dxa"/>
                  <w:vMerge w:val="restart"/>
                  <w:tcBorders>
                    <w:top w:val="single" w:color="000000" w:sz="2" w:space="0"/>
                  </w:tcBorders>
                  <w:vAlign w:val="center"/>
                </w:tcPr>
                <w:p>
                  <w:pPr>
                    <w:jc w:val="center"/>
                    <w:rPr>
                      <w:rFonts w:hint="default"/>
                      <w:color w:val="auto"/>
                      <w:lang w:val="en-US" w:eastAsia="zh-CN"/>
                    </w:rPr>
                  </w:pPr>
                  <w:r>
                    <w:rPr>
                      <w:rFonts w:hint="default"/>
                      <w:color w:val="auto"/>
                      <w:lang w:val="en-US" w:eastAsia="zh-CN"/>
                    </w:rPr>
                    <w:t>新塘</w:t>
                  </w:r>
                </w:p>
                <w:p>
                  <w:pPr>
                    <w:jc w:val="center"/>
                    <w:rPr>
                      <w:rFonts w:hint="default"/>
                      <w:color w:val="auto"/>
                      <w:lang w:val="en-US" w:eastAsia="zh-CN"/>
                    </w:rPr>
                  </w:pPr>
                  <w:r>
                    <w:rPr>
                      <w:rFonts w:hint="default"/>
                      <w:color w:val="auto"/>
                      <w:lang w:val="en-US" w:eastAsia="zh-CN"/>
                    </w:rPr>
                    <w:t>蒋家</w:t>
                  </w:r>
                </w:p>
              </w:tc>
              <w:tc>
                <w:tcPr>
                  <w:tcW w:w="1314" w:type="dxa"/>
                  <w:vMerge w:val="restart"/>
                  <w:tcBorders>
                    <w:top w:val="single" w:color="000000" w:sz="2" w:space="0"/>
                  </w:tcBorders>
                  <w:vAlign w:val="center"/>
                </w:tcPr>
                <w:p>
                  <w:pPr>
                    <w:jc w:val="center"/>
                    <w:rPr>
                      <w:rFonts w:hint="default"/>
                      <w:color w:val="auto"/>
                    </w:rPr>
                  </w:pPr>
                  <w:r>
                    <w:rPr>
                      <w:rFonts w:hint="default"/>
                      <w:color w:val="auto"/>
                    </w:rPr>
                    <w:t>111°29′1.196″</w:t>
                  </w:r>
                </w:p>
              </w:tc>
              <w:tc>
                <w:tcPr>
                  <w:tcW w:w="1243" w:type="dxa"/>
                  <w:vMerge w:val="restart"/>
                  <w:tcBorders>
                    <w:top w:val="single" w:color="000000" w:sz="2" w:space="0"/>
                  </w:tcBorders>
                  <w:vAlign w:val="center"/>
                </w:tcPr>
                <w:p>
                  <w:pPr>
                    <w:jc w:val="center"/>
                    <w:rPr>
                      <w:rFonts w:hint="default"/>
                      <w:color w:val="auto"/>
                    </w:rPr>
                  </w:pPr>
                  <w:r>
                    <w:rPr>
                      <w:rFonts w:hint="default"/>
                      <w:color w:val="auto"/>
                    </w:rPr>
                    <w:t>26°7′26.190″</w:t>
                  </w:r>
                </w:p>
              </w:tc>
              <w:tc>
                <w:tcPr>
                  <w:tcW w:w="519" w:type="dxa"/>
                  <w:vMerge w:val="continue"/>
                  <w:vAlign w:val="center"/>
                </w:tcPr>
                <w:p>
                  <w:pPr>
                    <w:jc w:val="center"/>
                    <w:rPr>
                      <w:rFonts w:hint="default"/>
                      <w:color w:val="auto"/>
                    </w:rPr>
                  </w:pPr>
                </w:p>
              </w:tc>
              <w:tc>
                <w:tcPr>
                  <w:tcW w:w="718" w:type="dxa"/>
                  <w:tcBorders>
                    <w:top w:val="single" w:color="000000" w:sz="2" w:space="0"/>
                  </w:tcBorders>
                  <w:vAlign w:val="center"/>
                </w:tcPr>
                <w:p>
                  <w:pPr>
                    <w:jc w:val="center"/>
                    <w:rPr>
                      <w:rFonts w:hint="default"/>
                      <w:color w:val="auto"/>
                    </w:rPr>
                  </w:pPr>
                  <w:r>
                    <w:rPr>
                      <w:rFonts w:hint="default"/>
                      <w:color w:val="auto"/>
                    </w:rPr>
                    <w:t>约25户</w:t>
                  </w:r>
                </w:p>
              </w:tc>
              <w:tc>
                <w:tcPr>
                  <w:tcW w:w="1628" w:type="dxa"/>
                  <w:vMerge w:val="continue"/>
                  <w:vAlign w:val="center"/>
                </w:tcPr>
                <w:p>
                  <w:pPr>
                    <w:jc w:val="center"/>
                    <w:rPr>
                      <w:rFonts w:hint="eastAsia"/>
                      <w:color w:val="auto"/>
                      <w:lang w:val="en-US" w:eastAsia="zh-CN"/>
                    </w:rPr>
                  </w:pPr>
                </w:p>
              </w:tc>
              <w:tc>
                <w:tcPr>
                  <w:tcW w:w="516" w:type="dxa"/>
                  <w:tcBorders>
                    <w:top w:val="single" w:color="000000" w:sz="2" w:space="0"/>
                  </w:tcBorders>
                  <w:vAlign w:val="center"/>
                </w:tcPr>
                <w:p>
                  <w:pPr>
                    <w:jc w:val="center"/>
                    <w:rPr>
                      <w:rFonts w:hint="eastAsia" w:eastAsia="宋体"/>
                      <w:color w:val="auto"/>
                      <w:lang w:val="en-US" w:eastAsia="zh-CN"/>
                    </w:rPr>
                  </w:pPr>
                  <w:r>
                    <w:rPr>
                      <w:rFonts w:hint="eastAsia"/>
                      <w:color w:val="auto"/>
                      <w:lang w:val="en-US" w:eastAsia="zh-CN"/>
                    </w:rPr>
                    <w:t>西北</w:t>
                  </w:r>
                </w:p>
              </w:tc>
              <w:tc>
                <w:tcPr>
                  <w:tcW w:w="855" w:type="dxa"/>
                  <w:tcBorders>
                    <w:top w:val="single" w:color="000000" w:sz="2" w:space="0"/>
                    <w:bottom w:val="single" w:color="000000" w:sz="2" w:space="0"/>
                  </w:tcBorders>
                  <w:vAlign w:val="center"/>
                </w:tcPr>
                <w:p>
                  <w:pPr>
                    <w:jc w:val="center"/>
                    <w:rPr>
                      <w:rFonts w:hint="default"/>
                      <w:color w:val="auto"/>
                      <w:lang w:val="en-US" w:eastAsia="zh-CN"/>
                    </w:rPr>
                  </w:pPr>
                  <w:r>
                    <w:rPr>
                      <w:rFonts w:hint="eastAsia"/>
                      <w:color w:val="auto"/>
                      <w:lang w:val="en-US" w:eastAsia="zh-CN"/>
                    </w:rPr>
                    <w:t>240,m</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488" w:hRule="atLeast"/>
              </w:trPr>
              <w:tc>
                <w:tcPr>
                  <w:tcW w:w="380" w:type="dxa"/>
                  <w:vMerge w:val="continue"/>
                  <w:textDirection w:val="tbRlV"/>
                  <w:vAlign w:val="center"/>
                </w:tcPr>
                <w:p>
                  <w:pPr>
                    <w:jc w:val="center"/>
                    <w:rPr>
                      <w:rFonts w:hint="default"/>
                    </w:rPr>
                  </w:pPr>
                </w:p>
              </w:tc>
              <w:tc>
                <w:tcPr>
                  <w:tcW w:w="856" w:type="dxa"/>
                  <w:tcBorders>
                    <w:top w:val="single" w:color="000000" w:sz="2" w:space="0"/>
                  </w:tcBorders>
                  <w:vAlign w:val="center"/>
                </w:tcPr>
                <w:p>
                  <w:pPr>
                    <w:jc w:val="center"/>
                    <w:rPr>
                      <w:rFonts w:hint="default"/>
                      <w:color w:val="auto"/>
                      <w:lang w:val="en-US" w:eastAsia="zh-CN"/>
                    </w:rPr>
                  </w:pPr>
                  <w:r>
                    <w:rPr>
                      <w:rFonts w:hint="default"/>
                      <w:color w:val="auto"/>
                      <w:lang w:val="en-US" w:eastAsia="zh-CN"/>
                    </w:rPr>
                    <w:t>高山</w:t>
                  </w:r>
                </w:p>
                <w:p>
                  <w:pPr>
                    <w:jc w:val="center"/>
                    <w:rPr>
                      <w:rFonts w:hint="default"/>
                      <w:color w:val="auto"/>
                      <w:lang w:val="en-US" w:eastAsia="zh-CN"/>
                    </w:rPr>
                  </w:pPr>
                  <w:r>
                    <w:rPr>
                      <w:rFonts w:hint="default"/>
                      <w:color w:val="auto"/>
                      <w:lang w:val="en-US" w:eastAsia="zh-CN"/>
                    </w:rPr>
                    <w:t>岭彭</w:t>
                  </w:r>
                </w:p>
                <w:p>
                  <w:pPr>
                    <w:jc w:val="center"/>
                    <w:rPr>
                      <w:rFonts w:hint="default"/>
                      <w:color w:val="auto"/>
                      <w:lang w:val="en-US" w:eastAsia="zh-CN"/>
                    </w:rPr>
                  </w:pPr>
                  <w:r>
                    <w:rPr>
                      <w:rFonts w:hint="default"/>
                      <w:color w:val="auto"/>
                      <w:lang w:val="en-US" w:eastAsia="zh-CN"/>
                    </w:rPr>
                    <w:t>家</w:t>
                  </w:r>
                </w:p>
              </w:tc>
              <w:tc>
                <w:tcPr>
                  <w:tcW w:w="1314" w:type="dxa"/>
                  <w:tcBorders>
                    <w:top w:val="single" w:color="000000" w:sz="2" w:space="0"/>
                  </w:tcBorders>
                  <w:vAlign w:val="center"/>
                </w:tcPr>
                <w:p>
                  <w:pPr>
                    <w:jc w:val="center"/>
                    <w:rPr>
                      <w:rFonts w:hint="default"/>
                      <w:color w:val="auto"/>
                    </w:rPr>
                  </w:pPr>
                  <w:r>
                    <w:rPr>
                      <w:rFonts w:hint="default"/>
                      <w:color w:val="auto"/>
                    </w:rPr>
                    <w:t>111°30′9.964″</w:t>
                  </w:r>
                </w:p>
              </w:tc>
              <w:tc>
                <w:tcPr>
                  <w:tcW w:w="1243" w:type="dxa"/>
                  <w:tcBorders>
                    <w:top w:val="single" w:color="000000" w:sz="2" w:space="0"/>
                  </w:tcBorders>
                  <w:vAlign w:val="center"/>
                </w:tcPr>
                <w:p>
                  <w:pPr>
                    <w:jc w:val="center"/>
                    <w:rPr>
                      <w:rFonts w:hint="default"/>
                      <w:color w:val="auto"/>
                    </w:rPr>
                  </w:pPr>
                  <w:r>
                    <w:rPr>
                      <w:rFonts w:hint="default"/>
                      <w:color w:val="auto"/>
                    </w:rPr>
                    <w:t>26°7′30.787″</w:t>
                  </w:r>
                </w:p>
              </w:tc>
              <w:tc>
                <w:tcPr>
                  <w:tcW w:w="519" w:type="dxa"/>
                  <w:vMerge w:val="continue"/>
                  <w:vAlign w:val="center"/>
                </w:tcPr>
                <w:p>
                  <w:pPr>
                    <w:jc w:val="center"/>
                    <w:rPr>
                      <w:rFonts w:hint="default"/>
                      <w:color w:val="auto"/>
                    </w:rPr>
                  </w:pPr>
                </w:p>
              </w:tc>
              <w:tc>
                <w:tcPr>
                  <w:tcW w:w="718" w:type="dxa"/>
                  <w:tcBorders>
                    <w:top w:val="single" w:color="000000" w:sz="2" w:space="0"/>
                  </w:tcBorders>
                  <w:vAlign w:val="center"/>
                </w:tcPr>
                <w:p>
                  <w:pPr>
                    <w:jc w:val="center"/>
                    <w:rPr>
                      <w:rFonts w:hint="default"/>
                      <w:color w:val="auto"/>
                    </w:rPr>
                  </w:pPr>
                  <w:r>
                    <w:rPr>
                      <w:rFonts w:hint="default"/>
                      <w:color w:val="auto"/>
                    </w:rPr>
                    <w:t>约10户</w:t>
                  </w:r>
                </w:p>
              </w:tc>
              <w:tc>
                <w:tcPr>
                  <w:tcW w:w="1628" w:type="dxa"/>
                  <w:vMerge w:val="continue"/>
                  <w:vAlign w:val="center"/>
                </w:tcPr>
                <w:p>
                  <w:pPr>
                    <w:jc w:val="center"/>
                    <w:rPr>
                      <w:rFonts w:hint="eastAsia"/>
                      <w:color w:val="auto"/>
                      <w:lang w:val="en-US" w:eastAsia="zh-CN"/>
                    </w:rPr>
                  </w:pPr>
                </w:p>
              </w:tc>
              <w:tc>
                <w:tcPr>
                  <w:tcW w:w="516" w:type="dxa"/>
                  <w:tcBorders>
                    <w:top w:val="single" w:color="000000" w:sz="2" w:space="0"/>
                    <w:bottom w:val="single" w:color="000000" w:sz="2" w:space="0"/>
                  </w:tcBorders>
                  <w:vAlign w:val="center"/>
                </w:tcPr>
                <w:p>
                  <w:pPr>
                    <w:jc w:val="center"/>
                    <w:rPr>
                      <w:rFonts w:hint="eastAsia" w:eastAsia="宋体"/>
                      <w:color w:val="auto"/>
                      <w:lang w:val="en-US" w:eastAsia="zh-CN"/>
                    </w:rPr>
                  </w:pPr>
                  <w:r>
                    <w:rPr>
                      <w:rFonts w:hint="eastAsia"/>
                      <w:color w:val="auto"/>
                      <w:lang w:val="en-US" w:eastAsia="zh-CN"/>
                    </w:rPr>
                    <w:t>北</w:t>
                  </w:r>
                </w:p>
              </w:tc>
              <w:tc>
                <w:tcPr>
                  <w:tcW w:w="855" w:type="dxa"/>
                  <w:tcBorders>
                    <w:top w:val="single" w:color="000000" w:sz="2" w:space="0"/>
                  </w:tcBorders>
                  <w:vAlign w:val="center"/>
                </w:tcPr>
                <w:p>
                  <w:pPr>
                    <w:jc w:val="center"/>
                    <w:rPr>
                      <w:rFonts w:hint="default"/>
                      <w:color w:val="auto"/>
                      <w:lang w:val="en-US" w:eastAsia="zh-CN"/>
                    </w:rPr>
                  </w:pPr>
                  <w:r>
                    <w:rPr>
                      <w:rFonts w:hint="eastAsia"/>
                      <w:color w:val="auto"/>
                      <w:lang w:val="en-US" w:eastAsia="zh-CN"/>
                    </w:rPr>
                    <w:t>270m</w:t>
                  </w:r>
                </w:p>
              </w:tc>
            </w:tr>
          </w:tbl>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000000"/>
                <w:kern w:val="0"/>
                <w:sz w:val="24"/>
                <w:szCs w:val="24"/>
                <w:lang w:val="en-US" w:eastAsia="zh-CN"/>
              </w:rPr>
            </w:pPr>
            <w:r>
              <w:rPr>
                <w:rFonts w:hint="default" w:ascii="Times New Roman" w:hAnsi="Times New Roman" w:cs="Times New Roman"/>
                <w:color w:val="000000"/>
                <w:kern w:val="0"/>
                <w:sz w:val="24"/>
                <w:szCs w:val="24"/>
                <w:lang w:val="en-US" w:eastAsia="zh-CN"/>
              </w:rPr>
              <w:t>经现场调查，本工程生态环境评价范围内无自然保护区、风景名胜区、世界文化和自然遗产地、饮用水水源保护区、生态保护红线等生态敏感区，也不涉及受影响的重要物种以及其他需要保护的物种、种群、生物群落及生态空间等。项目生态环境环保目标见下表3-</w:t>
            </w:r>
            <w:r>
              <w:rPr>
                <w:rFonts w:hint="eastAsia" w:ascii="Times New Roman" w:hAnsi="Times New Roman" w:cs="Times New Roman"/>
                <w:color w:val="000000"/>
                <w:kern w:val="0"/>
                <w:sz w:val="24"/>
                <w:szCs w:val="24"/>
                <w:lang w:val="en-US" w:eastAsia="zh-CN"/>
              </w:rPr>
              <w:t>9</w:t>
            </w:r>
            <w:r>
              <w:rPr>
                <w:rFonts w:hint="default" w:ascii="Times New Roman" w:hAnsi="Times New Roman" w:cs="Times New Roman"/>
                <w:color w:val="000000"/>
                <w:kern w:val="0"/>
                <w:sz w:val="24"/>
                <w:szCs w:val="24"/>
                <w:lang w:val="en-US" w:eastAsia="zh-CN"/>
              </w:rPr>
              <w:t>。</w:t>
            </w:r>
          </w:p>
          <w:p>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default" w:ascii="Times New Roman" w:hAnsi="Times New Roman" w:eastAsia="宋体" w:cs="Times New Roman"/>
                <w:b/>
                <w:bCs/>
                <w:color w:val="000000"/>
                <w:kern w:val="0"/>
                <w:sz w:val="21"/>
                <w:szCs w:val="21"/>
                <w:lang w:val="en-US" w:eastAsia="zh-CN"/>
              </w:rPr>
            </w:pPr>
            <w:r>
              <w:rPr>
                <w:rFonts w:hint="default" w:ascii="Times New Roman" w:hAnsi="Times New Roman" w:eastAsia="宋体" w:cs="Times New Roman"/>
                <w:b/>
                <w:bCs/>
                <w:color w:val="000000"/>
                <w:kern w:val="0"/>
                <w:sz w:val="21"/>
                <w:szCs w:val="21"/>
                <w:lang w:val="en-US" w:eastAsia="zh-CN"/>
              </w:rPr>
              <w:t>表3-</w:t>
            </w:r>
            <w:r>
              <w:rPr>
                <w:rFonts w:hint="eastAsia" w:cs="Times New Roman"/>
                <w:b/>
                <w:bCs/>
                <w:color w:val="000000"/>
                <w:kern w:val="0"/>
                <w:sz w:val="21"/>
                <w:szCs w:val="21"/>
                <w:lang w:val="en-US" w:eastAsia="zh-CN"/>
              </w:rPr>
              <w:t>6</w:t>
            </w:r>
            <w:r>
              <w:rPr>
                <w:rFonts w:hint="default" w:ascii="Times New Roman" w:hAnsi="Times New Roman" w:eastAsia="宋体" w:cs="Times New Roman"/>
                <w:b/>
                <w:bCs/>
                <w:color w:val="000000"/>
                <w:kern w:val="0"/>
                <w:sz w:val="21"/>
                <w:szCs w:val="21"/>
                <w:lang w:val="en-US" w:eastAsia="zh-CN"/>
              </w:rPr>
              <w:t>本项目生态环境保护目标</w:t>
            </w:r>
          </w:p>
          <w:tbl>
            <w:tblPr>
              <w:tblStyle w:val="21"/>
              <w:tblW w:w="8004" w:type="dxa"/>
              <w:jc w:val="center"/>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2072"/>
              <w:gridCol w:w="1683"/>
              <w:gridCol w:w="306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rPr>
                <w:trHeight w:val="660" w:hRule="atLeast"/>
                <w:jc w:val="center"/>
              </w:trPr>
              <w:tc>
                <w:tcPr>
                  <w:tcW w:w="1188" w:type="dxa"/>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
                      <w:bCs/>
                      <w:color w:val="000000"/>
                      <w:kern w:val="0"/>
                      <w:sz w:val="21"/>
                      <w:szCs w:val="21"/>
                      <w:vertAlign w:val="baseline"/>
                      <w:lang w:val="en-US" w:eastAsia="zh-CN"/>
                    </w:rPr>
                  </w:pPr>
                  <w:r>
                    <w:rPr>
                      <w:rFonts w:hint="default" w:ascii="Times New Roman" w:hAnsi="Times New Roman" w:eastAsia="宋体" w:cs="Times New Roman"/>
                      <w:b/>
                      <w:bCs/>
                      <w:color w:val="000000"/>
                      <w:kern w:val="0"/>
                      <w:sz w:val="21"/>
                      <w:szCs w:val="21"/>
                      <w:vertAlign w:val="baseline"/>
                      <w:lang w:val="en-US" w:eastAsia="zh-CN"/>
                    </w:rPr>
                    <w:t>环境要素</w:t>
                  </w:r>
                </w:p>
              </w:tc>
              <w:tc>
                <w:tcPr>
                  <w:tcW w:w="2072" w:type="dxa"/>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
                      <w:bCs/>
                      <w:color w:val="000000"/>
                      <w:kern w:val="0"/>
                      <w:sz w:val="21"/>
                      <w:szCs w:val="21"/>
                      <w:vertAlign w:val="baseline"/>
                      <w:lang w:val="en-US" w:eastAsia="zh-CN"/>
                    </w:rPr>
                  </w:pPr>
                  <w:r>
                    <w:rPr>
                      <w:rFonts w:hint="default" w:ascii="Times New Roman" w:hAnsi="Times New Roman" w:eastAsia="宋体" w:cs="Times New Roman"/>
                      <w:b/>
                      <w:bCs/>
                      <w:color w:val="000000"/>
                      <w:kern w:val="0"/>
                      <w:sz w:val="21"/>
                      <w:szCs w:val="21"/>
                      <w:vertAlign w:val="baseline"/>
                      <w:lang w:val="en-US" w:eastAsia="zh-CN"/>
                    </w:rPr>
                    <w:t>保护目标名称</w:t>
                  </w:r>
                </w:p>
              </w:tc>
              <w:tc>
                <w:tcPr>
                  <w:tcW w:w="1683" w:type="dxa"/>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
                      <w:bCs/>
                      <w:color w:val="000000"/>
                      <w:kern w:val="0"/>
                      <w:sz w:val="21"/>
                      <w:szCs w:val="21"/>
                      <w:vertAlign w:val="baseline"/>
                      <w:lang w:val="en-US" w:eastAsia="zh-CN"/>
                    </w:rPr>
                  </w:pPr>
                  <w:r>
                    <w:rPr>
                      <w:rFonts w:hint="default" w:ascii="Times New Roman" w:hAnsi="Times New Roman" w:eastAsia="宋体" w:cs="Times New Roman"/>
                      <w:b/>
                      <w:bCs/>
                      <w:color w:val="000000"/>
                      <w:kern w:val="0"/>
                      <w:sz w:val="21"/>
                      <w:szCs w:val="21"/>
                      <w:vertAlign w:val="baseline"/>
                      <w:lang w:val="en-US" w:eastAsia="zh-CN"/>
                    </w:rPr>
                    <w:t>与项目的位置关系</w:t>
                  </w:r>
                </w:p>
              </w:tc>
              <w:tc>
                <w:tcPr>
                  <w:tcW w:w="3061" w:type="dxa"/>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
                      <w:bCs/>
                      <w:color w:val="000000"/>
                      <w:kern w:val="0"/>
                      <w:sz w:val="21"/>
                      <w:szCs w:val="21"/>
                      <w:vertAlign w:val="baseline"/>
                      <w:lang w:val="en-US" w:eastAsia="zh-CN"/>
                    </w:rPr>
                  </w:pPr>
                  <w:r>
                    <w:rPr>
                      <w:rFonts w:hint="default" w:ascii="Times New Roman" w:hAnsi="Times New Roman" w:eastAsia="宋体" w:cs="Times New Roman"/>
                      <w:b/>
                      <w:bCs/>
                      <w:color w:val="000000"/>
                      <w:kern w:val="0"/>
                      <w:sz w:val="21"/>
                      <w:szCs w:val="21"/>
                      <w:vertAlign w:val="baseline"/>
                      <w:lang w:val="en-US" w:eastAsia="zh-CN"/>
                    </w:rPr>
                    <w:t>主要保护对象及功能</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rPr>
                <w:trHeight w:val="180" w:hRule="atLeast"/>
                <w:jc w:val="center"/>
              </w:trPr>
              <w:tc>
                <w:tcPr>
                  <w:tcW w:w="1188" w:type="dxa"/>
                  <w:vMerge w:val="restart"/>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color w:val="000000"/>
                      <w:kern w:val="0"/>
                      <w:sz w:val="21"/>
                      <w:szCs w:val="21"/>
                      <w:vertAlign w:val="baseline"/>
                      <w:lang w:val="en-US" w:eastAsia="zh-CN"/>
                    </w:rPr>
                  </w:pPr>
                  <w:r>
                    <w:rPr>
                      <w:rFonts w:hint="default" w:ascii="Times New Roman" w:hAnsi="Times New Roman" w:eastAsia="宋体" w:cs="Times New Roman"/>
                      <w:color w:val="000000"/>
                      <w:kern w:val="0"/>
                      <w:sz w:val="21"/>
                      <w:szCs w:val="21"/>
                      <w:vertAlign w:val="baseline"/>
                      <w:lang w:val="en-US" w:eastAsia="zh-CN"/>
                    </w:rPr>
                    <w:t>生态环境</w:t>
                  </w:r>
                </w:p>
              </w:tc>
              <w:tc>
                <w:tcPr>
                  <w:tcW w:w="2072" w:type="dxa"/>
                  <w:tcBorders>
                    <w:tl2br w:val="nil"/>
                    <w:tr2bl w:val="nil"/>
                  </w:tcBorders>
                  <w:noWrap w:val="0"/>
                  <w:vAlign w:val="top"/>
                </w:tcPr>
                <w:p>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color w:val="000000"/>
                      <w:kern w:val="0"/>
                      <w:sz w:val="21"/>
                      <w:szCs w:val="21"/>
                      <w:vertAlign w:val="baseline"/>
                      <w:lang w:val="en-US" w:eastAsia="zh-CN"/>
                    </w:rPr>
                  </w:pPr>
                  <w:r>
                    <w:rPr>
                      <w:rFonts w:hint="default" w:ascii="Times New Roman" w:hAnsi="Times New Roman" w:eastAsia="宋体" w:cs="Times New Roman"/>
                      <w:color w:val="000000"/>
                      <w:kern w:val="0"/>
                      <w:sz w:val="21"/>
                      <w:szCs w:val="21"/>
                      <w:vertAlign w:val="baseline"/>
                      <w:lang w:val="en-US" w:eastAsia="zh-CN"/>
                    </w:rPr>
                    <w:t>占地范围内生态</w:t>
                  </w:r>
                </w:p>
              </w:tc>
              <w:tc>
                <w:tcPr>
                  <w:tcW w:w="1683" w:type="dxa"/>
                  <w:tcBorders>
                    <w:tl2br w:val="nil"/>
                    <w:tr2bl w:val="nil"/>
                  </w:tcBorders>
                  <w:noWrap w:val="0"/>
                  <w:vAlign w:val="top"/>
                </w:tcPr>
                <w:p>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color w:val="000000"/>
                      <w:kern w:val="0"/>
                      <w:sz w:val="21"/>
                      <w:szCs w:val="21"/>
                      <w:vertAlign w:val="baseline"/>
                      <w:lang w:val="en-US" w:eastAsia="zh-CN"/>
                    </w:rPr>
                  </w:pPr>
                  <w:r>
                    <w:rPr>
                      <w:rFonts w:hint="default" w:ascii="Times New Roman" w:hAnsi="Times New Roman" w:eastAsia="宋体" w:cs="Times New Roman"/>
                      <w:color w:val="000000"/>
                      <w:kern w:val="0"/>
                      <w:sz w:val="21"/>
                      <w:szCs w:val="21"/>
                      <w:vertAlign w:val="baseline"/>
                      <w:lang w:val="en-US" w:eastAsia="zh-CN"/>
                    </w:rPr>
                    <w:t>范围内</w:t>
                  </w:r>
                </w:p>
              </w:tc>
              <w:tc>
                <w:tcPr>
                  <w:tcW w:w="3061" w:type="dxa"/>
                  <w:tcBorders>
                    <w:tl2br w:val="nil"/>
                    <w:tr2bl w:val="nil"/>
                  </w:tcBorders>
                  <w:noWrap w:val="0"/>
                  <w:vAlign w:val="top"/>
                </w:tcPr>
                <w:p>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color w:val="000000"/>
                      <w:kern w:val="0"/>
                      <w:sz w:val="21"/>
                      <w:szCs w:val="21"/>
                      <w:vertAlign w:val="baseline"/>
                      <w:lang w:val="en-US" w:eastAsia="zh-CN"/>
                    </w:rPr>
                  </w:pPr>
                  <w:r>
                    <w:rPr>
                      <w:rFonts w:hint="eastAsia" w:ascii="Times New Roman" w:hAnsi="Times New Roman" w:eastAsia="宋体" w:cs="Times New Roman"/>
                      <w:color w:val="000000"/>
                      <w:kern w:val="0"/>
                      <w:sz w:val="21"/>
                      <w:szCs w:val="21"/>
                      <w:vertAlign w:val="baseline"/>
                      <w:lang w:val="en-US" w:eastAsia="zh-CN"/>
                    </w:rPr>
                    <w:t>项目区水域水生生物</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rPr>
                <w:trHeight w:val="380" w:hRule="atLeast"/>
                <w:jc w:val="center"/>
              </w:trPr>
              <w:tc>
                <w:tcPr>
                  <w:tcW w:w="1188" w:type="dxa"/>
                  <w:vMerge w:val="continue"/>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color w:val="000000"/>
                      <w:kern w:val="0"/>
                      <w:sz w:val="21"/>
                      <w:szCs w:val="21"/>
                      <w:vertAlign w:val="baseline"/>
                      <w:lang w:val="en-US" w:eastAsia="zh-CN"/>
                    </w:rPr>
                  </w:pPr>
                </w:p>
              </w:tc>
              <w:tc>
                <w:tcPr>
                  <w:tcW w:w="2072" w:type="dxa"/>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color w:val="000000"/>
                      <w:kern w:val="0"/>
                      <w:sz w:val="21"/>
                      <w:szCs w:val="21"/>
                      <w:vertAlign w:val="baseline"/>
                      <w:lang w:val="en-US" w:eastAsia="zh-CN"/>
                    </w:rPr>
                  </w:pPr>
                  <w:r>
                    <w:rPr>
                      <w:rFonts w:hint="eastAsia" w:ascii="Times New Roman" w:hAnsi="Times New Roman" w:eastAsia="宋体" w:cs="Times New Roman"/>
                      <w:color w:val="000000"/>
                      <w:kern w:val="0"/>
                      <w:sz w:val="21"/>
                      <w:szCs w:val="21"/>
                      <w:vertAlign w:val="baseline"/>
                      <w:lang w:val="en-US" w:eastAsia="zh-CN"/>
                    </w:rPr>
                    <w:t>周边</w:t>
                  </w:r>
                  <w:r>
                    <w:rPr>
                      <w:rFonts w:hint="default" w:ascii="Times New Roman" w:hAnsi="Times New Roman" w:eastAsia="宋体" w:cs="Times New Roman"/>
                      <w:color w:val="000000"/>
                      <w:kern w:val="0"/>
                      <w:sz w:val="21"/>
                      <w:szCs w:val="21"/>
                      <w:vertAlign w:val="baseline"/>
                      <w:lang w:val="en-US" w:eastAsia="zh-CN"/>
                    </w:rPr>
                    <w:t>区域</w:t>
                  </w:r>
                </w:p>
              </w:tc>
              <w:tc>
                <w:tcPr>
                  <w:tcW w:w="1683" w:type="dxa"/>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color w:val="000000"/>
                      <w:kern w:val="0"/>
                      <w:sz w:val="21"/>
                      <w:szCs w:val="21"/>
                      <w:vertAlign w:val="baseline"/>
                      <w:lang w:val="en-US" w:eastAsia="zh-CN"/>
                    </w:rPr>
                  </w:pPr>
                  <w:r>
                    <w:rPr>
                      <w:rFonts w:hint="default" w:ascii="Times New Roman" w:hAnsi="Times New Roman" w:eastAsia="宋体" w:cs="Times New Roman"/>
                      <w:color w:val="000000"/>
                      <w:kern w:val="0"/>
                      <w:sz w:val="21"/>
                      <w:szCs w:val="21"/>
                      <w:vertAlign w:val="baseline"/>
                      <w:lang w:val="en-US" w:eastAsia="zh-CN"/>
                    </w:rPr>
                    <w:t>项目周围</w:t>
                  </w:r>
                  <w:r>
                    <w:rPr>
                      <w:rFonts w:hint="eastAsia" w:ascii="Times New Roman" w:hAnsi="Times New Roman" w:eastAsia="宋体" w:cs="Times New Roman"/>
                      <w:color w:val="000000"/>
                      <w:kern w:val="0"/>
                      <w:sz w:val="21"/>
                      <w:szCs w:val="21"/>
                      <w:vertAlign w:val="baseline"/>
                      <w:lang w:val="en-US" w:eastAsia="zh-CN"/>
                    </w:rPr>
                    <w:t>200m</w:t>
                  </w:r>
                </w:p>
              </w:tc>
              <w:tc>
                <w:tcPr>
                  <w:tcW w:w="3061" w:type="dxa"/>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color w:val="000000"/>
                      <w:kern w:val="0"/>
                      <w:sz w:val="21"/>
                      <w:szCs w:val="21"/>
                      <w:vertAlign w:val="baseline"/>
                      <w:lang w:val="en-US" w:eastAsia="zh-CN"/>
                    </w:rPr>
                  </w:pPr>
                  <w:r>
                    <w:rPr>
                      <w:rFonts w:hint="eastAsia" w:ascii="Times New Roman" w:hAnsi="Times New Roman" w:eastAsia="宋体" w:cs="Times New Roman"/>
                      <w:color w:val="000000"/>
                      <w:kern w:val="0"/>
                      <w:sz w:val="21"/>
                      <w:szCs w:val="21"/>
                      <w:vertAlign w:val="baseline"/>
                      <w:lang w:val="en-US" w:eastAsia="zh-CN"/>
                    </w:rPr>
                    <w:t>周边区域植被、野生动物及鸟类、耕地、景观生态环境</w:t>
                  </w:r>
                  <w:r>
                    <w:rPr>
                      <w:rFonts w:hint="eastAsia" w:ascii="Times New Roman" w:hAnsi="Times New Roman" w:eastAsia="宋体" w:cs="Times New Roman"/>
                      <w:color w:val="000000"/>
                      <w:kern w:val="0"/>
                      <w:sz w:val="21"/>
                      <w:szCs w:val="21"/>
                      <w:u w:val="single"/>
                      <w:vertAlign w:val="baseline"/>
                      <w:lang w:val="en-US" w:eastAsia="zh-CN"/>
                    </w:rPr>
                    <w:t>、永久基本农田等</w:t>
                  </w:r>
                </w:p>
              </w:tc>
            </w:tr>
          </w:tbl>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000000"/>
                <w:kern w:val="0"/>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2211" w:hRule="atLeast"/>
          <w:jc w:val="center"/>
        </w:trPr>
        <w:tc>
          <w:tcPr>
            <w:tcW w:w="904" w:type="dxa"/>
            <w:noWrap w:val="0"/>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000000"/>
                <w:kern w:val="0"/>
                <w:sz w:val="24"/>
                <w:szCs w:val="24"/>
              </w:rPr>
            </w:pPr>
            <w:r>
              <w:rPr>
                <w:rFonts w:hint="default" w:ascii="Times New Roman" w:hAnsi="Times New Roman" w:cs="Times New Roman"/>
                <w:color w:val="000000"/>
                <w:kern w:val="0"/>
                <w:sz w:val="24"/>
                <w:szCs w:val="24"/>
              </w:rPr>
              <w:t>评价</w:t>
            </w:r>
          </w:p>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000000"/>
                <w:kern w:val="0"/>
                <w:sz w:val="24"/>
                <w:szCs w:val="24"/>
              </w:rPr>
            </w:pPr>
            <w:r>
              <w:rPr>
                <w:rFonts w:hint="default" w:ascii="Times New Roman" w:hAnsi="Times New Roman" w:cs="Times New Roman"/>
                <w:color w:val="000000"/>
                <w:kern w:val="0"/>
                <w:sz w:val="24"/>
                <w:szCs w:val="24"/>
              </w:rPr>
              <w:t>标准</w:t>
            </w:r>
          </w:p>
        </w:tc>
        <w:tc>
          <w:tcPr>
            <w:tcW w:w="8253"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2" w:firstLineChars="200"/>
              <w:textAlignment w:val="auto"/>
              <w:rPr>
                <w:rFonts w:hint="default" w:ascii="Times New Roman" w:hAnsi="Times New Roman" w:cs="Times New Roman"/>
                <w:b/>
                <w:bCs/>
                <w:sz w:val="24"/>
                <w:szCs w:val="24"/>
              </w:rPr>
            </w:pPr>
            <w:r>
              <w:rPr>
                <w:rFonts w:hint="default" w:ascii="Times New Roman" w:hAnsi="Times New Roman" w:cs="Times New Roman"/>
                <w:b/>
                <w:bCs/>
                <w:sz w:val="24"/>
                <w:szCs w:val="24"/>
              </w:rPr>
              <w:t>一、环境质量标准</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2" w:firstLineChars="200"/>
              <w:textAlignment w:val="auto"/>
              <w:rPr>
                <w:rFonts w:hint="default" w:ascii="Times New Roman" w:hAnsi="Times New Roman" w:cs="Times New Roman"/>
                <w:b/>
                <w:bCs/>
                <w:sz w:val="24"/>
                <w:szCs w:val="24"/>
              </w:rPr>
            </w:pPr>
            <w:r>
              <w:rPr>
                <w:rFonts w:hint="default" w:ascii="Times New Roman" w:hAnsi="Times New Roman" w:cs="Times New Roman"/>
                <w:b/>
                <w:bCs/>
                <w:sz w:val="24"/>
                <w:szCs w:val="24"/>
              </w:rPr>
              <w:t>（1）大气环境质量标准</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rPr>
            </w:pPr>
            <w:r>
              <w:rPr>
                <w:rFonts w:hint="default" w:ascii="Times New Roman" w:hAnsi="Times New Roman" w:cs="Times New Roman"/>
                <w:sz w:val="24"/>
                <w:szCs w:val="24"/>
              </w:rPr>
              <w:t>项目所在地属于环境空气质量功能二类区，基本因子执行《环境空气质量标准》（GB3095-2012）及其修改单二级标准，具体标准限值见下表。</w:t>
            </w:r>
          </w:p>
          <w:p>
            <w:pPr>
              <w:keepNext w:val="0"/>
              <w:keepLines w:val="0"/>
              <w:suppressLineNumbers w:val="0"/>
              <w:spacing w:before="0" w:beforeAutospacing="0" w:after="0" w:afterAutospacing="0"/>
              <w:ind w:left="0" w:right="0"/>
              <w:jc w:val="center"/>
              <w:rPr>
                <w:rFonts w:hint="default"/>
                <w:b/>
                <w:bCs/>
              </w:rPr>
            </w:pPr>
            <w:r>
              <w:rPr>
                <w:rFonts w:hint="default"/>
                <w:b/>
                <w:bCs/>
              </w:rPr>
              <w:t>表3-</w:t>
            </w:r>
            <w:r>
              <w:rPr>
                <w:rFonts w:hint="eastAsia"/>
                <w:b/>
                <w:bCs/>
                <w:lang w:val="en-US" w:eastAsia="zh-CN"/>
              </w:rPr>
              <w:t>7</w:t>
            </w:r>
            <w:r>
              <w:rPr>
                <w:rFonts w:hint="default"/>
                <w:b/>
                <w:bCs/>
              </w:rPr>
              <w:t>环境空气质量标准</w:t>
            </w:r>
          </w:p>
          <w:tbl>
            <w:tblPr>
              <w:tblStyle w:val="63"/>
              <w:tblW w:w="8030"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578"/>
              <w:gridCol w:w="2196"/>
              <w:gridCol w:w="1931"/>
              <w:gridCol w:w="2325"/>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19" w:hRule="atLeast"/>
              </w:trPr>
              <w:tc>
                <w:tcPr>
                  <w:tcW w:w="1578" w:type="dxa"/>
                  <w:tcBorders>
                    <w:tl2br w:val="nil"/>
                    <w:tr2bl w:val="nil"/>
                  </w:tcBorders>
                  <w:vAlign w:val="center"/>
                </w:tcPr>
                <w:p>
                  <w:pPr>
                    <w:jc w:val="center"/>
                    <w:rPr>
                      <w:rFonts w:hint="default" w:ascii="Times New Roman" w:hAnsi="Times New Roman" w:cs="Times New Roman"/>
                      <w:b/>
                      <w:bCs/>
                    </w:rPr>
                  </w:pPr>
                  <w:r>
                    <w:rPr>
                      <w:rFonts w:hint="default" w:ascii="Times New Roman" w:hAnsi="Times New Roman" w:cs="Times New Roman"/>
                      <w:b/>
                      <w:bCs/>
                    </w:rPr>
                    <w:t>污染物名称</w:t>
                  </w:r>
                </w:p>
              </w:tc>
              <w:tc>
                <w:tcPr>
                  <w:tcW w:w="2196" w:type="dxa"/>
                  <w:tcBorders>
                    <w:tl2br w:val="nil"/>
                    <w:tr2bl w:val="nil"/>
                  </w:tcBorders>
                  <w:vAlign w:val="center"/>
                </w:tcPr>
                <w:p>
                  <w:pPr>
                    <w:jc w:val="center"/>
                    <w:rPr>
                      <w:rFonts w:hint="default" w:ascii="Times New Roman" w:hAnsi="Times New Roman" w:cs="Times New Roman"/>
                      <w:b/>
                      <w:bCs/>
                    </w:rPr>
                  </w:pPr>
                  <w:r>
                    <w:rPr>
                      <w:rFonts w:hint="default" w:ascii="Times New Roman" w:hAnsi="Times New Roman" w:cs="Times New Roman"/>
                      <w:b/>
                      <w:bCs/>
                    </w:rPr>
                    <w:t>取值时间</w:t>
                  </w:r>
                </w:p>
              </w:tc>
              <w:tc>
                <w:tcPr>
                  <w:tcW w:w="1931" w:type="dxa"/>
                  <w:tcBorders>
                    <w:tl2br w:val="nil"/>
                    <w:tr2bl w:val="nil"/>
                  </w:tcBorders>
                  <w:vAlign w:val="center"/>
                </w:tcPr>
                <w:p>
                  <w:pPr>
                    <w:jc w:val="center"/>
                    <w:rPr>
                      <w:rFonts w:hint="default" w:ascii="Times New Roman" w:hAnsi="Times New Roman" w:cs="Times New Roman"/>
                      <w:b/>
                      <w:bCs/>
                    </w:rPr>
                  </w:pPr>
                  <w:r>
                    <w:rPr>
                      <w:rFonts w:hint="default" w:ascii="Times New Roman" w:hAnsi="Times New Roman" w:cs="Times New Roman"/>
                      <w:b/>
                      <w:bCs/>
                    </w:rPr>
                    <w:t>浓度限值</w:t>
                  </w:r>
                </w:p>
              </w:tc>
              <w:tc>
                <w:tcPr>
                  <w:tcW w:w="2325" w:type="dxa"/>
                  <w:tcBorders>
                    <w:tl2br w:val="nil"/>
                    <w:tr2bl w:val="nil"/>
                  </w:tcBorders>
                  <w:vAlign w:val="center"/>
                </w:tcPr>
                <w:p>
                  <w:pPr>
                    <w:jc w:val="center"/>
                    <w:rPr>
                      <w:rFonts w:hint="default" w:ascii="Times New Roman" w:hAnsi="Times New Roman" w:cs="Times New Roman"/>
                      <w:b/>
                      <w:bCs/>
                    </w:rPr>
                  </w:pPr>
                  <w:r>
                    <w:rPr>
                      <w:rFonts w:hint="default" w:ascii="Times New Roman" w:hAnsi="Times New Roman" w:cs="Times New Roman"/>
                      <w:b/>
                      <w:bCs/>
                    </w:rPr>
                    <w:t>标准来源</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90" w:hRule="atLeast"/>
              </w:trPr>
              <w:tc>
                <w:tcPr>
                  <w:tcW w:w="1578" w:type="dxa"/>
                  <w:vMerge w:val="restart"/>
                  <w:tcBorders>
                    <w:tl2br w:val="nil"/>
                    <w:tr2bl w:val="nil"/>
                  </w:tcBorders>
                  <w:vAlign w:val="center"/>
                </w:tcPr>
                <w:p>
                  <w:pPr>
                    <w:jc w:val="center"/>
                    <w:rPr>
                      <w:rFonts w:hint="default" w:ascii="Times New Roman" w:hAnsi="Times New Roman" w:cs="Times New Roman"/>
                    </w:rPr>
                  </w:pPr>
                  <w:r>
                    <w:rPr>
                      <w:rFonts w:hint="default" w:ascii="Times New Roman" w:hAnsi="Times New Roman" w:cs="Times New Roman"/>
                    </w:rPr>
                    <w:t>SO2</w:t>
                  </w:r>
                </w:p>
              </w:tc>
              <w:tc>
                <w:tcPr>
                  <w:tcW w:w="2196" w:type="dxa"/>
                  <w:tcBorders>
                    <w:tl2br w:val="nil"/>
                    <w:tr2bl w:val="nil"/>
                  </w:tcBorders>
                  <w:vAlign w:val="center"/>
                </w:tcPr>
                <w:p>
                  <w:pPr>
                    <w:jc w:val="center"/>
                    <w:rPr>
                      <w:rFonts w:hint="default" w:ascii="Times New Roman" w:hAnsi="Times New Roman" w:cs="Times New Roman"/>
                    </w:rPr>
                  </w:pPr>
                  <w:r>
                    <w:rPr>
                      <w:rFonts w:hint="default" w:ascii="Times New Roman" w:hAnsi="Times New Roman" w:cs="Times New Roman"/>
                    </w:rPr>
                    <w:t>年平均</w:t>
                  </w:r>
                </w:p>
              </w:tc>
              <w:tc>
                <w:tcPr>
                  <w:tcW w:w="1931" w:type="dxa"/>
                  <w:tcBorders>
                    <w:tl2br w:val="nil"/>
                    <w:tr2bl w:val="nil"/>
                  </w:tcBorders>
                  <w:vAlign w:val="center"/>
                </w:tcPr>
                <w:p>
                  <w:pPr>
                    <w:jc w:val="center"/>
                    <w:rPr>
                      <w:rFonts w:hint="default" w:ascii="Times New Roman" w:hAnsi="Times New Roman" w:cs="Times New Roman"/>
                    </w:rPr>
                  </w:pPr>
                  <w:r>
                    <w:rPr>
                      <w:rFonts w:hint="default" w:ascii="Times New Roman" w:hAnsi="Times New Roman" w:cs="Times New Roman"/>
                    </w:rPr>
                    <w:t>60μg/m3</w:t>
                  </w:r>
                </w:p>
              </w:tc>
              <w:tc>
                <w:tcPr>
                  <w:tcW w:w="2325" w:type="dxa"/>
                  <w:vMerge w:val="restart"/>
                  <w:tcBorders>
                    <w:tl2br w:val="nil"/>
                    <w:tr2bl w:val="nil"/>
                  </w:tcBorders>
                  <w:vAlign w:val="center"/>
                </w:tcPr>
                <w:p>
                  <w:pPr>
                    <w:jc w:val="center"/>
                    <w:rPr>
                      <w:rFonts w:hint="default" w:ascii="Times New Roman" w:hAnsi="Times New Roman" w:cs="Times New Roman"/>
                    </w:rPr>
                  </w:pPr>
                  <w:r>
                    <w:rPr>
                      <w:rFonts w:hint="default" w:ascii="Times New Roman" w:hAnsi="Times New Roman" w:cs="Times New Roman"/>
                    </w:rPr>
                    <w:t>《环境空气质</w:t>
                  </w:r>
                </w:p>
                <w:p>
                  <w:pPr>
                    <w:jc w:val="center"/>
                    <w:rPr>
                      <w:rFonts w:hint="default" w:ascii="Times New Roman" w:hAnsi="Times New Roman" w:cs="Times New Roman"/>
                    </w:rPr>
                  </w:pPr>
                  <w:r>
                    <w:rPr>
                      <w:rFonts w:hint="default" w:ascii="Times New Roman" w:hAnsi="Times New Roman" w:cs="Times New Roman"/>
                    </w:rPr>
                    <w:t>量标准》</w:t>
                  </w:r>
                </w:p>
                <w:p>
                  <w:pPr>
                    <w:jc w:val="center"/>
                    <w:rPr>
                      <w:rFonts w:hint="default" w:ascii="Times New Roman" w:hAnsi="Times New Roman" w:cs="Times New Roman"/>
                    </w:rPr>
                  </w:pPr>
                  <w:r>
                    <w:rPr>
                      <w:rFonts w:hint="default" w:ascii="Times New Roman" w:hAnsi="Times New Roman" w:cs="Times New Roman"/>
                    </w:rPr>
                    <w:t>（GB3095-2012）及其修改单（2018年）二</w:t>
                  </w:r>
                </w:p>
                <w:p>
                  <w:pPr>
                    <w:jc w:val="center"/>
                    <w:rPr>
                      <w:rFonts w:hint="default" w:ascii="Times New Roman" w:hAnsi="Times New Roman" w:cs="Times New Roman"/>
                    </w:rPr>
                  </w:pPr>
                  <w:r>
                    <w:rPr>
                      <w:rFonts w:hint="default" w:ascii="Times New Roman" w:hAnsi="Times New Roman" w:cs="Times New Roman"/>
                    </w:rPr>
                    <w:t>级标准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90" w:hRule="atLeast"/>
              </w:trPr>
              <w:tc>
                <w:tcPr>
                  <w:tcW w:w="1578" w:type="dxa"/>
                  <w:vMerge w:val="continue"/>
                  <w:tcBorders>
                    <w:tl2br w:val="nil"/>
                    <w:tr2bl w:val="nil"/>
                  </w:tcBorders>
                  <w:vAlign w:val="center"/>
                </w:tcPr>
                <w:p>
                  <w:pPr>
                    <w:jc w:val="center"/>
                    <w:rPr>
                      <w:rFonts w:hint="default" w:ascii="Times New Roman" w:hAnsi="Times New Roman" w:cs="Times New Roman"/>
                    </w:rPr>
                  </w:pPr>
                </w:p>
              </w:tc>
              <w:tc>
                <w:tcPr>
                  <w:tcW w:w="2196" w:type="dxa"/>
                  <w:tcBorders>
                    <w:tl2br w:val="nil"/>
                    <w:tr2bl w:val="nil"/>
                  </w:tcBorders>
                  <w:vAlign w:val="center"/>
                </w:tcPr>
                <w:p>
                  <w:pPr>
                    <w:jc w:val="center"/>
                    <w:rPr>
                      <w:rFonts w:hint="default" w:ascii="Times New Roman" w:hAnsi="Times New Roman" w:cs="Times New Roman"/>
                    </w:rPr>
                  </w:pPr>
                  <w:r>
                    <w:rPr>
                      <w:rFonts w:hint="default" w:ascii="Times New Roman" w:hAnsi="Times New Roman" w:cs="Times New Roman"/>
                    </w:rPr>
                    <w:t>24小时平均</w:t>
                  </w:r>
                </w:p>
              </w:tc>
              <w:tc>
                <w:tcPr>
                  <w:tcW w:w="1931" w:type="dxa"/>
                  <w:tcBorders>
                    <w:tl2br w:val="nil"/>
                    <w:tr2bl w:val="nil"/>
                  </w:tcBorders>
                  <w:vAlign w:val="center"/>
                </w:tcPr>
                <w:p>
                  <w:pPr>
                    <w:jc w:val="center"/>
                    <w:rPr>
                      <w:rFonts w:hint="default" w:ascii="Times New Roman" w:hAnsi="Times New Roman" w:cs="Times New Roman"/>
                    </w:rPr>
                  </w:pPr>
                  <w:r>
                    <w:rPr>
                      <w:rFonts w:hint="default" w:ascii="Times New Roman" w:hAnsi="Times New Roman" w:cs="Times New Roman"/>
                    </w:rPr>
                    <w:t>150μg/m3</w:t>
                  </w:r>
                </w:p>
              </w:tc>
              <w:tc>
                <w:tcPr>
                  <w:tcW w:w="2325" w:type="dxa"/>
                  <w:vMerge w:val="continue"/>
                  <w:tcBorders>
                    <w:tl2br w:val="nil"/>
                    <w:tr2bl w:val="nil"/>
                  </w:tcBorders>
                  <w:vAlign w:val="center"/>
                </w:tcPr>
                <w:p>
                  <w:pPr>
                    <w:jc w:val="center"/>
                    <w:rPr>
                      <w:rFonts w:hint="default" w:ascii="Times New Roman" w:hAnsi="Times New Roman" w:cs="Times New Roma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89" w:hRule="atLeast"/>
              </w:trPr>
              <w:tc>
                <w:tcPr>
                  <w:tcW w:w="1578" w:type="dxa"/>
                  <w:vMerge w:val="continue"/>
                  <w:tcBorders>
                    <w:tl2br w:val="nil"/>
                    <w:tr2bl w:val="nil"/>
                  </w:tcBorders>
                  <w:vAlign w:val="center"/>
                </w:tcPr>
                <w:p>
                  <w:pPr>
                    <w:jc w:val="center"/>
                    <w:rPr>
                      <w:rFonts w:hint="default" w:ascii="Times New Roman" w:hAnsi="Times New Roman" w:cs="Times New Roman"/>
                    </w:rPr>
                  </w:pPr>
                </w:p>
              </w:tc>
              <w:tc>
                <w:tcPr>
                  <w:tcW w:w="2196" w:type="dxa"/>
                  <w:tcBorders>
                    <w:tl2br w:val="nil"/>
                    <w:tr2bl w:val="nil"/>
                  </w:tcBorders>
                  <w:vAlign w:val="center"/>
                </w:tcPr>
                <w:p>
                  <w:pPr>
                    <w:jc w:val="center"/>
                    <w:rPr>
                      <w:rFonts w:hint="default" w:ascii="Times New Roman" w:hAnsi="Times New Roman" w:cs="Times New Roman"/>
                    </w:rPr>
                  </w:pPr>
                  <w:r>
                    <w:rPr>
                      <w:rFonts w:hint="default" w:ascii="Times New Roman" w:hAnsi="Times New Roman" w:cs="Times New Roman"/>
                    </w:rPr>
                    <w:t>1小时平均</w:t>
                  </w:r>
                </w:p>
              </w:tc>
              <w:tc>
                <w:tcPr>
                  <w:tcW w:w="1931" w:type="dxa"/>
                  <w:tcBorders>
                    <w:tl2br w:val="nil"/>
                    <w:tr2bl w:val="nil"/>
                  </w:tcBorders>
                  <w:vAlign w:val="center"/>
                </w:tcPr>
                <w:p>
                  <w:pPr>
                    <w:jc w:val="center"/>
                    <w:rPr>
                      <w:rFonts w:hint="default" w:ascii="Times New Roman" w:hAnsi="Times New Roman" w:cs="Times New Roman"/>
                    </w:rPr>
                  </w:pPr>
                  <w:r>
                    <w:rPr>
                      <w:rFonts w:hint="default" w:ascii="Times New Roman" w:hAnsi="Times New Roman" w:cs="Times New Roman"/>
                    </w:rPr>
                    <w:t>500μg/m3</w:t>
                  </w:r>
                </w:p>
              </w:tc>
              <w:tc>
                <w:tcPr>
                  <w:tcW w:w="2325" w:type="dxa"/>
                  <w:vMerge w:val="continue"/>
                  <w:tcBorders>
                    <w:tl2br w:val="nil"/>
                    <w:tr2bl w:val="nil"/>
                  </w:tcBorders>
                  <w:vAlign w:val="center"/>
                </w:tcPr>
                <w:p>
                  <w:pPr>
                    <w:jc w:val="center"/>
                    <w:rPr>
                      <w:rFonts w:hint="default" w:ascii="Times New Roman" w:hAnsi="Times New Roman" w:cs="Times New Roma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90" w:hRule="atLeast"/>
              </w:trPr>
              <w:tc>
                <w:tcPr>
                  <w:tcW w:w="1578" w:type="dxa"/>
                  <w:vMerge w:val="restart"/>
                  <w:tcBorders>
                    <w:tl2br w:val="nil"/>
                    <w:tr2bl w:val="nil"/>
                  </w:tcBorders>
                  <w:vAlign w:val="center"/>
                </w:tcPr>
                <w:p>
                  <w:pPr>
                    <w:jc w:val="center"/>
                    <w:rPr>
                      <w:rFonts w:hint="default" w:ascii="Times New Roman" w:hAnsi="Times New Roman" w:cs="Times New Roman"/>
                    </w:rPr>
                  </w:pPr>
                  <w:r>
                    <w:rPr>
                      <w:rFonts w:hint="default" w:ascii="Times New Roman" w:hAnsi="Times New Roman" w:cs="Times New Roman"/>
                    </w:rPr>
                    <w:t>NO2</w:t>
                  </w:r>
                </w:p>
              </w:tc>
              <w:tc>
                <w:tcPr>
                  <w:tcW w:w="2196" w:type="dxa"/>
                  <w:tcBorders>
                    <w:tl2br w:val="nil"/>
                    <w:tr2bl w:val="nil"/>
                  </w:tcBorders>
                  <w:vAlign w:val="center"/>
                </w:tcPr>
                <w:p>
                  <w:pPr>
                    <w:jc w:val="center"/>
                    <w:rPr>
                      <w:rFonts w:hint="default" w:ascii="Times New Roman" w:hAnsi="Times New Roman" w:cs="Times New Roman"/>
                    </w:rPr>
                  </w:pPr>
                  <w:r>
                    <w:rPr>
                      <w:rFonts w:hint="default" w:ascii="Times New Roman" w:hAnsi="Times New Roman" w:cs="Times New Roman"/>
                    </w:rPr>
                    <w:t>年平均</w:t>
                  </w:r>
                </w:p>
              </w:tc>
              <w:tc>
                <w:tcPr>
                  <w:tcW w:w="1931" w:type="dxa"/>
                  <w:tcBorders>
                    <w:tl2br w:val="nil"/>
                    <w:tr2bl w:val="nil"/>
                  </w:tcBorders>
                  <w:vAlign w:val="center"/>
                </w:tcPr>
                <w:p>
                  <w:pPr>
                    <w:jc w:val="center"/>
                    <w:rPr>
                      <w:rFonts w:hint="default" w:ascii="Times New Roman" w:hAnsi="Times New Roman" w:cs="Times New Roman"/>
                    </w:rPr>
                  </w:pPr>
                  <w:r>
                    <w:rPr>
                      <w:rFonts w:hint="default" w:ascii="Times New Roman" w:hAnsi="Times New Roman" w:cs="Times New Roman"/>
                    </w:rPr>
                    <w:t>40μg/m3</w:t>
                  </w:r>
                </w:p>
              </w:tc>
              <w:tc>
                <w:tcPr>
                  <w:tcW w:w="2325" w:type="dxa"/>
                  <w:vMerge w:val="continue"/>
                  <w:tcBorders>
                    <w:tl2br w:val="nil"/>
                    <w:tr2bl w:val="nil"/>
                  </w:tcBorders>
                  <w:vAlign w:val="center"/>
                </w:tcPr>
                <w:p>
                  <w:pPr>
                    <w:jc w:val="center"/>
                    <w:rPr>
                      <w:rFonts w:hint="default" w:ascii="Times New Roman" w:hAnsi="Times New Roman" w:cs="Times New Roma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89" w:hRule="atLeast"/>
              </w:trPr>
              <w:tc>
                <w:tcPr>
                  <w:tcW w:w="1578" w:type="dxa"/>
                  <w:vMerge w:val="continue"/>
                  <w:tcBorders>
                    <w:tl2br w:val="nil"/>
                    <w:tr2bl w:val="nil"/>
                  </w:tcBorders>
                  <w:vAlign w:val="center"/>
                </w:tcPr>
                <w:p>
                  <w:pPr>
                    <w:jc w:val="center"/>
                    <w:rPr>
                      <w:rFonts w:hint="default" w:ascii="Times New Roman" w:hAnsi="Times New Roman" w:cs="Times New Roman"/>
                    </w:rPr>
                  </w:pPr>
                </w:p>
              </w:tc>
              <w:tc>
                <w:tcPr>
                  <w:tcW w:w="2196" w:type="dxa"/>
                  <w:tcBorders>
                    <w:tl2br w:val="nil"/>
                    <w:tr2bl w:val="nil"/>
                  </w:tcBorders>
                  <w:vAlign w:val="center"/>
                </w:tcPr>
                <w:p>
                  <w:pPr>
                    <w:jc w:val="center"/>
                    <w:rPr>
                      <w:rFonts w:hint="default" w:ascii="Times New Roman" w:hAnsi="Times New Roman" w:cs="Times New Roman"/>
                    </w:rPr>
                  </w:pPr>
                  <w:r>
                    <w:rPr>
                      <w:rFonts w:hint="default" w:ascii="Times New Roman" w:hAnsi="Times New Roman" w:cs="Times New Roman"/>
                    </w:rPr>
                    <w:t>24小时平均</w:t>
                  </w:r>
                </w:p>
              </w:tc>
              <w:tc>
                <w:tcPr>
                  <w:tcW w:w="1931" w:type="dxa"/>
                  <w:tcBorders>
                    <w:tl2br w:val="nil"/>
                    <w:tr2bl w:val="nil"/>
                  </w:tcBorders>
                  <w:vAlign w:val="center"/>
                </w:tcPr>
                <w:p>
                  <w:pPr>
                    <w:jc w:val="center"/>
                    <w:rPr>
                      <w:rFonts w:hint="default" w:ascii="Times New Roman" w:hAnsi="Times New Roman" w:cs="Times New Roman"/>
                    </w:rPr>
                  </w:pPr>
                  <w:r>
                    <w:rPr>
                      <w:rFonts w:hint="default" w:ascii="Times New Roman" w:hAnsi="Times New Roman" w:cs="Times New Roman"/>
                    </w:rPr>
                    <w:t>80μg/m3</w:t>
                  </w:r>
                </w:p>
              </w:tc>
              <w:tc>
                <w:tcPr>
                  <w:tcW w:w="2325" w:type="dxa"/>
                  <w:vMerge w:val="continue"/>
                  <w:tcBorders>
                    <w:tl2br w:val="nil"/>
                    <w:tr2bl w:val="nil"/>
                  </w:tcBorders>
                  <w:vAlign w:val="center"/>
                </w:tcPr>
                <w:p>
                  <w:pPr>
                    <w:jc w:val="center"/>
                    <w:rPr>
                      <w:rFonts w:hint="default" w:ascii="Times New Roman" w:hAnsi="Times New Roman" w:cs="Times New Roma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90" w:hRule="atLeast"/>
              </w:trPr>
              <w:tc>
                <w:tcPr>
                  <w:tcW w:w="1578" w:type="dxa"/>
                  <w:vMerge w:val="continue"/>
                  <w:tcBorders>
                    <w:tl2br w:val="nil"/>
                    <w:tr2bl w:val="nil"/>
                  </w:tcBorders>
                  <w:vAlign w:val="center"/>
                </w:tcPr>
                <w:p>
                  <w:pPr>
                    <w:jc w:val="center"/>
                    <w:rPr>
                      <w:rFonts w:hint="default" w:ascii="Times New Roman" w:hAnsi="Times New Roman" w:cs="Times New Roman"/>
                    </w:rPr>
                  </w:pPr>
                </w:p>
              </w:tc>
              <w:tc>
                <w:tcPr>
                  <w:tcW w:w="2196" w:type="dxa"/>
                  <w:tcBorders>
                    <w:tl2br w:val="nil"/>
                    <w:tr2bl w:val="nil"/>
                  </w:tcBorders>
                  <w:vAlign w:val="center"/>
                </w:tcPr>
                <w:p>
                  <w:pPr>
                    <w:jc w:val="center"/>
                    <w:rPr>
                      <w:rFonts w:hint="default" w:ascii="Times New Roman" w:hAnsi="Times New Roman" w:cs="Times New Roman"/>
                    </w:rPr>
                  </w:pPr>
                  <w:r>
                    <w:rPr>
                      <w:rFonts w:hint="default" w:ascii="Times New Roman" w:hAnsi="Times New Roman" w:cs="Times New Roman"/>
                    </w:rPr>
                    <w:t>1小时平均</w:t>
                  </w:r>
                </w:p>
              </w:tc>
              <w:tc>
                <w:tcPr>
                  <w:tcW w:w="1931" w:type="dxa"/>
                  <w:tcBorders>
                    <w:tl2br w:val="nil"/>
                    <w:tr2bl w:val="nil"/>
                  </w:tcBorders>
                  <w:vAlign w:val="center"/>
                </w:tcPr>
                <w:p>
                  <w:pPr>
                    <w:jc w:val="center"/>
                    <w:rPr>
                      <w:rFonts w:hint="default" w:ascii="Times New Roman" w:hAnsi="Times New Roman" w:cs="Times New Roman"/>
                    </w:rPr>
                  </w:pPr>
                  <w:r>
                    <w:rPr>
                      <w:rFonts w:hint="default" w:ascii="Times New Roman" w:hAnsi="Times New Roman" w:cs="Times New Roman"/>
                    </w:rPr>
                    <w:t>200μg/m3</w:t>
                  </w:r>
                </w:p>
              </w:tc>
              <w:tc>
                <w:tcPr>
                  <w:tcW w:w="2325" w:type="dxa"/>
                  <w:vMerge w:val="continue"/>
                  <w:tcBorders>
                    <w:tl2br w:val="nil"/>
                    <w:tr2bl w:val="nil"/>
                  </w:tcBorders>
                  <w:vAlign w:val="center"/>
                </w:tcPr>
                <w:p>
                  <w:pPr>
                    <w:jc w:val="center"/>
                    <w:rPr>
                      <w:rFonts w:hint="default" w:ascii="Times New Roman" w:hAnsi="Times New Roman" w:cs="Times New Roma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90" w:hRule="atLeast"/>
              </w:trPr>
              <w:tc>
                <w:tcPr>
                  <w:tcW w:w="1578" w:type="dxa"/>
                  <w:vMerge w:val="restart"/>
                  <w:tcBorders>
                    <w:tl2br w:val="nil"/>
                    <w:tr2bl w:val="nil"/>
                  </w:tcBorders>
                  <w:vAlign w:val="center"/>
                </w:tcPr>
                <w:p>
                  <w:pPr>
                    <w:jc w:val="center"/>
                    <w:rPr>
                      <w:rFonts w:hint="default" w:ascii="Times New Roman" w:hAnsi="Times New Roman" w:cs="Times New Roman"/>
                    </w:rPr>
                  </w:pPr>
                  <w:r>
                    <w:rPr>
                      <w:rFonts w:hint="default" w:ascii="Times New Roman" w:hAnsi="Times New Roman" w:cs="Times New Roman"/>
                    </w:rPr>
                    <w:t>O3</w:t>
                  </w:r>
                </w:p>
              </w:tc>
              <w:tc>
                <w:tcPr>
                  <w:tcW w:w="2196" w:type="dxa"/>
                  <w:tcBorders>
                    <w:tl2br w:val="nil"/>
                    <w:tr2bl w:val="nil"/>
                  </w:tcBorders>
                  <w:vAlign w:val="center"/>
                </w:tcPr>
                <w:p>
                  <w:pPr>
                    <w:jc w:val="center"/>
                    <w:rPr>
                      <w:rFonts w:hint="default" w:ascii="Times New Roman" w:hAnsi="Times New Roman" w:cs="Times New Roman"/>
                    </w:rPr>
                  </w:pPr>
                  <w:r>
                    <w:rPr>
                      <w:rFonts w:hint="default" w:ascii="Times New Roman" w:hAnsi="Times New Roman" w:cs="Times New Roman"/>
                    </w:rPr>
                    <w:t>8小时平均</w:t>
                  </w:r>
                </w:p>
              </w:tc>
              <w:tc>
                <w:tcPr>
                  <w:tcW w:w="1931" w:type="dxa"/>
                  <w:tcBorders>
                    <w:tl2br w:val="nil"/>
                    <w:tr2bl w:val="nil"/>
                  </w:tcBorders>
                  <w:vAlign w:val="center"/>
                </w:tcPr>
                <w:p>
                  <w:pPr>
                    <w:jc w:val="center"/>
                    <w:rPr>
                      <w:rFonts w:hint="default" w:ascii="Times New Roman" w:hAnsi="Times New Roman" w:cs="Times New Roman"/>
                    </w:rPr>
                  </w:pPr>
                  <w:r>
                    <w:rPr>
                      <w:rFonts w:hint="default" w:ascii="Times New Roman" w:hAnsi="Times New Roman" w:cs="Times New Roman"/>
                    </w:rPr>
                    <w:t>160μg/m3</w:t>
                  </w:r>
                </w:p>
              </w:tc>
              <w:tc>
                <w:tcPr>
                  <w:tcW w:w="2325" w:type="dxa"/>
                  <w:vMerge w:val="continue"/>
                  <w:tcBorders>
                    <w:tl2br w:val="nil"/>
                    <w:tr2bl w:val="nil"/>
                  </w:tcBorders>
                  <w:vAlign w:val="center"/>
                </w:tcPr>
                <w:p>
                  <w:pPr>
                    <w:jc w:val="center"/>
                    <w:rPr>
                      <w:rFonts w:hint="default" w:ascii="Times New Roman" w:hAnsi="Times New Roman" w:cs="Times New Roma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90" w:hRule="atLeast"/>
              </w:trPr>
              <w:tc>
                <w:tcPr>
                  <w:tcW w:w="1578" w:type="dxa"/>
                  <w:vMerge w:val="continue"/>
                  <w:tcBorders>
                    <w:tl2br w:val="nil"/>
                    <w:tr2bl w:val="nil"/>
                  </w:tcBorders>
                  <w:vAlign w:val="center"/>
                </w:tcPr>
                <w:p>
                  <w:pPr>
                    <w:jc w:val="center"/>
                    <w:rPr>
                      <w:rFonts w:hint="default" w:ascii="Times New Roman" w:hAnsi="Times New Roman" w:cs="Times New Roman"/>
                    </w:rPr>
                  </w:pPr>
                </w:p>
              </w:tc>
              <w:tc>
                <w:tcPr>
                  <w:tcW w:w="2196" w:type="dxa"/>
                  <w:tcBorders>
                    <w:tl2br w:val="nil"/>
                    <w:tr2bl w:val="nil"/>
                  </w:tcBorders>
                  <w:vAlign w:val="center"/>
                </w:tcPr>
                <w:p>
                  <w:pPr>
                    <w:jc w:val="center"/>
                    <w:rPr>
                      <w:rFonts w:hint="default" w:ascii="Times New Roman" w:hAnsi="Times New Roman" w:cs="Times New Roman"/>
                    </w:rPr>
                  </w:pPr>
                  <w:r>
                    <w:rPr>
                      <w:rFonts w:hint="default" w:ascii="Times New Roman" w:hAnsi="Times New Roman" w:cs="Times New Roman"/>
                    </w:rPr>
                    <w:t>1小时平均</w:t>
                  </w:r>
                </w:p>
              </w:tc>
              <w:tc>
                <w:tcPr>
                  <w:tcW w:w="1931" w:type="dxa"/>
                  <w:tcBorders>
                    <w:tl2br w:val="nil"/>
                    <w:tr2bl w:val="nil"/>
                  </w:tcBorders>
                  <w:vAlign w:val="center"/>
                </w:tcPr>
                <w:p>
                  <w:pPr>
                    <w:jc w:val="center"/>
                    <w:rPr>
                      <w:rFonts w:hint="default" w:ascii="Times New Roman" w:hAnsi="Times New Roman" w:cs="Times New Roman"/>
                    </w:rPr>
                  </w:pPr>
                  <w:r>
                    <w:rPr>
                      <w:rFonts w:hint="default" w:ascii="Times New Roman" w:hAnsi="Times New Roman" w:cs="Times New Roman"/>
                    </w:rPr>
                    <w:t>200μg/m3</w:t>
                  </w:r>
                </w:p>
              </w:tc>
              <w:tc>
                <w:tcPr>
                  <w:tcW w:w="2325" w:type="dxa"/>
                  <w:vMerge w:val="continue"/>
                  <w:tcBorders>
                    <w:tl2br w:val="nil"/>
                    <w:tr2bl w:val="nil"/>
                  </w:tcBorders>
                  <w:vAlign w:val="center"/>
                </w:tcPr>
                <w:p>
                  <w:pPr>
                    <w:jc w:val="center"/>
                    <w:rPr>
                      <w:rFonts w:hint="default" w:ascii="Times New Roman" w:hAnsi="Times New Roman" w:cs="Times New Roma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90" w:hRule="atLeast"/>
              </w:trPr>
              <w:tc>
                <w:tcPr>
                  <w:tcW w:w="1578" w:type="dxa"/>
                  <w:vMerge w:val="restart"/>
                  <w:tcBorders>
                    <w:tl2br w:val="nil"/>
                    <w:tr2bl w:val="nil"/>
                  </w:tcBorders>
                  <w:vAlign w:val="center"/>
                </w:tcPr>
                <w:p>
                  <w:pPr>
                    <w:jc w:val="center"/>
                    <w:rPr>
                      <w:rFonts w:hint="default" w:ascii="Times New Roman" w:hAnsi="Times New Roman" w:cs="Times New Roman"/>
                    </w:rPr>
                  </w:pPr>
                  <w:r>
                    <w:rPr>
                      <w:rFonts w:hint="default" w:ascii="Times New Roman" w:hAnsi="Times New Roman" w:cs="Times New Roman"/>
                    </w:rPr>
                    <w:t>PM10</w:t>
                  </w:r>
                </w:p>
              </w:tc>
              <w:tc>
                <w:tcPr>
                  <w:tcW w:w="2196" w:type="dxa"/>
                  <w:tcBorders>
                    <w:tl2br w:val="nil"/>
                    <w:tr2bl w:val="nil"/>
                  </w:tcBorders>
                  <w:vAlign w:val="center"/>
                </w:tcPr>
                <w:p>
                  <w:pPr>
                    <w:jc w:val="center"/>
                    <w:rPr>
                      <w:rFonts w:hint="default" w:ascii="Times New Roman" w:hAnsi="Times New Roman" w:cs="Times New Roman"/>
                    </w:rPr>
                  </w:pPr>
                  <w:r>
                    <w:rPr>
                      <w:rFonts w:hint="default" w:ascii="Times New Roman" w:hAnsi="Times New Roman" w:cs="Times New Roman"/>
                    </w:rPr>
                    <w:t>年平均</w:t>
                  </w:r>
                </w:p>
              </w:tc>
              <w:tc>
                <w:tcPr>
                  <w:tcW w:w="1931" w:type="dxa"/>
                  <w:tcBorders>
                    <w:tl2br w:val="nil"/>
                    <w:tr2bl w:val="nil"/>
                  </w:tcBorders>
                  <w:vAlign w:val="center"/>
                </w:tcPr>
                <w:p>
                  <w:pPr>
                    <w:jc w:val="center"/>
                    <w:rPr>
                      <w:rFonts w:hint="default" w:ascii="Times New Roman" w:hAnsi="Times New Roman" w:cs="Times New Roman"/>
                    </w:rPr>
                  </w:pPr>
                  <w:r>
                    <w:rPr>
                      <w:rFonts w:hint="default" w:ascii="Times New Roman" w:hAnsi="Times New Roman" w:cs="Times New Roman"/>
                    </w:rPr>
                    <w:t>70μg/m3</w:t>
                  </w:r>
                </w:p>
              </w:tc>
              <w:tc>
                <w:tcPr>
                  <w:tcW w:w="2325" w:type="dxa"/>
                  <w:vMerge w:val="continue"/>
                  <w:tcBorders>
                    <w:tl2br w:val="nil"/>
                    <w:tr2bl w:val="nil"/>
                  </w:tcBorders>
                  <w:vAlign w:val="center"/>
                </w:tcPr>
                <w:p>
                  <w:pPr>
                    <w:jc w:val="center"/>
                    <w:rPr>
                      <w:rFonts w:hint="default" w:ascii="Times New Roman" w:hAnsi="Times New Roman" w:cs="Times New Roma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90" w:hRule="atLeast"/>
              </w:trPr>
              <w:tc>
                <w:tcPr>
                  <w:tcW w:w="1578" w:type="dxa"/>
                  <w:vMerge w:val="continue"/>
                  <w:tcBorders>
                    <w:tl2br w:val="nil"/>
                    <w:tr2bl w:val="nil"/>
                  </w:tcBorders>
                  <w:vAlign w:val="center"/>
                </w:tcPr>
                <w:p>
                  <w:pPr>
                    <w:jc w:val="center"/>
                    <w:rPr>
                      <w:rFonts w:hint="default" w:ascii="Times New Roman" w:hAnsi="Times New Roman" w:cs="Times New Roman"/>
                    </w:rPr>
                  </w:pPr>
                </w:p>
              </w:tc>
              <w:tc>
                <w:tcPr>
                  <w:tcW w:w="2196" w:type="dxa"/>
                  <w:tcBorders>
                    <w:tl2br w:val="nil"/>
                    <w:tr2bl w:val="nil"/>
                  </w:tcBorders>
                  <w:vAlign w:val="center"/>
                </w:tcPr>
                <w:p>
                  <w:pPr>
                    <w:jc w:val="center"/>
                    <w:rPr>
                      <w:rFonts w:hint="default" w:ascii="Times New Roman" w:hAnsi="Times New Roman" w:cs="Times New Roman"/>
                    </w:rPr>
                  </w:pPr>
                  <w:r>
                    <w:rPr>
                      <w:rFonts w:hint="default" w:ascii="Times New Roman" w:hAnsi="Times New Roman" w:cs="Times New Roman"/>
                    </w:rPr>
                    <w:t>24小时平均</w:t>
                  </w:r>
                </w:p>
              </w:tc>
              <w:tc>
                <w:tcPr>
                  <w:tcW w:w="1931" w:type="dxa"/>
                  <w:tcBorders>
                    <w:tl2br w:val="nil"/>
                    <w:tr2bl w:val="nil"/>
                  </w:tcBorders>
                  <w:vAlign w:val="center"/>
                </w:tcPr>
                <w:p>
                  <w:pPr>
                    <w:jc w:val="center"/>
                    <w:rPr>
                      <w:rFonts w:hint="default" w:ascii="Times New Roman" w:hAnsi="Times New Roman" w:cs="Times New Roman"/>
                    </w:rPr>
                  </w:pPr>
                  <w:r>
                    <w:rPr>
                      <w:rFonts w:hint="default" w:ascii="Times New Roman" w:hAnsi="Times New Roman" w:cs="Times New Roman"/>
                    </w:rPr>
                    <w:t>150μg/m3</w:t>
                  </w:r>
                </w:p>
              </w:tc>
              <w:tc>
                <w:tcPr>
                  <w:tcW w:w="2325" w:type="dxa"/>
                  <w:vMerge w:val="continue"/>
                  <w:tcBorders>
                    <w:tl2br w:val="nil"/>
                    <w:tr2bl w:val="nil"/>
                  </w:tcBorders>
                  <w:vAlign w:val="center"/>
                </w:tcPr>
                <w:p>
                  <w:pPr>
                    <w:jc w:val="center"/>
                    <w:rPr>
                      <w:rFonts w:hint="default" w:ascii="Times New Roman" w:hAnsi="Times New Roman" w:cs="Times New Roma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90" w:hRule="atLeast"/>
              </w:trPr>
              <w:tc>
                <w:tcPr>
                  <w:tcW w:w="1578" w:type="dxa"/>
                  <w:vMerge w:val="restart"/>
                  <w:tcBorders>
                    <w:tl2br w:val="nil"/>
                    <w:tr2bl w:val="nil"/>
                  </w:tcBorders>
                  <w:vAlign w:val="center"/>
                </w:tcPr>
                <w:p>
                  <w:pPr>
                    <w:jc w:val="center"/>
                    <w:rPr>
                      <w:rFonts w:hint="default" w:ascii="Times New Roman" w:hAnsi="Times New Roman" w:cs="Times New Roman"/>
                    </w:rPr>
                  </w:pPr>
                  <w:r>
                    <w:rPr>
                      <w:rFonts w:hint="default" w:ascii="Times New Roman" w:hAnsi="Times New Roman" w:cs="Times New Roman"/>
                    </w:rPr>
                    <w:t>Pm2.5</w:t>
                  </w:r>
                </w:p>
              </w:tc>
              <w:tc>
                <w:tcPr>
                  <w:tcW w:w="2196" w:type="dxa"/>
                  <w:tcBorders>
                    <w:tl2br w:val="nil"/>
                    <w:tr2bl w:val="nil"/>
                  </w:tcBorders>
                  <w:vAlign w:val="center"/>
                </w:tcPr>
                <w:p>
                  <w:pPr>
                    <w:jc w:val="center"/>
                    <w:rPr>
                      <w:rFonts w:hint="default" w:ascii="Times New Roman" w:hAnsi="Times New Roman" w:cs="Times New Roman"/>
                    </w:rPr>
                  </w:pPr>
                  <w:r>
                    <w:rPr>
                      <w:rFonts w:hint="default" w:ascii="Times New Roman" w:hAnsi="Times New Roman" w:cs="Times New Roman"/>
                    </w:rPr>
                    <w:t>年平均</w:t>
                  </w:r>
                </w:p>
              </w:tc>
              <w:tc>
                <w:tcPr>
                  <w:tcW w:w="1931" w:type="dxa"/>
                  <w:tcBorders>
                    <w:tl2br w:val="nil"/>
                    <w:tr2bl w:val="nil"/>
                  </w:tcBorders>
                  <w:vAlign w:val="center"/>
                </w:tcPr>
                <w:p>
                  <w:pPr>
                    <w:jc w:val="center"/>
                    <w:rPr>
                      <w:rFonts w:hint="default" w:ascii="Times New Roman" w:hAnsi="Times New Roman" w:cs="Times New Roman"/>
                    </w:rPr>
                  </w:pPr>
                  <w:r>
                    <w:rPr>
                      <w:rFonts w:hint="default" w:ascii="Times New Roman" w:hAnsi="Times New Roman" w:cs="Times New Roman"/>
                    </w:rPr>
                    <w:t>35μg/m3</w:t>
                  </w:r>
                </w:p>
              </w:tc>
              <w:tc>
                <w:tcPr>
                  <w:tcW w:w="2325" w:type="dxa"/>
                  <w:vMerge w:val="continue"/>
                  <w:tcBorders>
                    <w:tl2br w:val="nil"/>
                    <w:tr2bl w:val="nil"/>
                  </w:tcBorders>
                  <w:vAlign w:val="center"/>
                </w:tcPr>
                <w:p>
                  <w:pPr>
                    <w:jc w:val="center"/>
                    <w:rPr>
                      <w:rFonts w:hint="default" w:ascii="Times New Roman" w:hAnsi="Times New Roman" w:cs="Times New Roma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90" w:hRule="atLeast"/>
              </w:trPr>
              <w:tc>
                <w:tcPr>
                  <w:tcW w:w="1578" w:type="dxa"/>
                  <w:vMerge w:val="continue"/>
                  <w:tcBorders>
                    <w:tl2br w:val="nil"/>
                    <w:tr2bl w:val="nil"/>
                  </w:tcBorders>
                  <w:vAlign w:val="center"/>
                </w:tcPr>
                <w:p>
                  <w:pPr>
                    <w:jc w:val="center"/>
                    <w:rPr>
                      <w:rFonts w:hint="default" w:ascii="Times New Roman" w:hAnsi="Times New Roman" w:cs="Times New Roman"/>
                    </w:rPr>
                  </w:pPr>
                </w:p>
              </w:tc>
              <w:tc>
                <w:tcPr>
                  <w:tcW w:w="2196" w:type="dxa"/>
                  <w:tcBorders>
                    <w:tl2br w:val="nil"/>
                    <w:tr2bl w:val="nil"/>
                  </w:tcBorders>
                  <w:vAlign w:val="center"/>
                </w:tcPr>
                <w:p>
                  <w:pPr>
                    <w:jc w:val="center"/>
                    <w:rPr>
                      <w:rFonts w:hint="default" w:ascii="Times New Roman" w:hAnsi="Times New Roman" w:cs="Times New Roman"/>
                    </w:rPr>
                  </w:pPr>
                  <w:r>
                    <w:rPr>
                      <w:rFonts w:hint="default" w:ascii="Times New Roman" w:hAnsi="Times New Roman" w:cs="Times New Roman"/>
                    </w:rPr>
                    <w:t>24小时平均</w:t>
                  </w:r>
                </w:p>
              </w:tc>
              <w:tc>
                <w:tcPr>
                  <w:tcW w:w="1931" w:type="dxa"/>
                  <w:tcBorders>
                    <w:tl2br w:val="nil"/>
                    <w:tr2bl w:val="nil"/>
                  </w:tcBorders>
                  <w:vAlign w:val="center"/>
                </w:tcPr>
                <w:p>
                  <w:pPr>
                    <w:jc w:val="center"/>
                    <w:rPr>
                      <w:rFonts w:hint="default" w:ascii="Times New Roman" w:hAnsi="Times New Roman" w:cs="Times New Roman"/>
                    </w:rPr>
                  </w:pPr>
                  <w:r>
                    <w:rPr>
                      <w:rFonts w:hint="default" w:ascii="Times New Roman" w:hAnsi="Times New Roman" w:cs="Times New Roman"/>
                    </w:rPr>
                    <w:t>75μg/m3</w:t>
                  </w:r>
                </w:p>
              </w:tc>
              <w:tc>
                <w:tcPr>
                  <w:tcW w:w="2325" w:type="dxa"/>
                  <w:vMerge w:val="continue"/>
                  <w:tcBorders>
                    <w:tl2br w:val="nil"/>
                    <w:tr2bl w:val="nil"/>
                  </w:tcBorders>
                  <w:vAlign w:val="center"/>
                </w:tcPr>
                <w:p>
                  <w:pPr>
                    <w:jc w:val="center"/>
                    <w:rPr>
                      <w:rFonts w:hint="default" w:ascii="Times New Roman" w:hAnsi="Times New Roman" w:cs="Times New Roma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89" w:hRule="atLeast"/>
              </w:trPr>
              <w:tc>
                <w:tcPr>
                  <w:tcW w:w="1578" w:type="dxa"/>
                  <w:vMerge w:val="restart"/>
                  <w:tcBorders>
                    <w:tl2br w:val="nil"/>
                    <w:tr2bl w:val="nil"/>
                  </w:tcBorders>
                  <w:vAlign w:val="center"/>
                </w:tcPr>
                <w:p>
                  <w:pPr>
                    <w:jc w:val="center"/>
                    <w:rPr>
                      <w:rFonts w:hint="default" w:ascii="Times New Roman" w:hAnsi="Times New Roman" w:cs="Times New Roman"/>
                    </w:rPr>
                  </w:pPr>
                  <w:r>
                    <w:rPr>
                      <w:rFonts w:hint="default" w:ascii="Times New Roman" w:hAnsi="Times New Roman" w:cs="Times New Roman"/>
                    </w:rPr>
                    <w:t>CO</w:t>
                  </w:r>
                </w:p>
              </w:tc>
              <w:tc>
                <w:tcPr>
                  <w:tcW w:w="2196" w:type="dxa"/>
                  <w:tcBorders>
                    <w:tl2br w:val="nil"/>
                    <w:tr2bl w:val="nil"/>
                  </w:tcBorders>
                  <w:vAlign w:val="center"/>
                </w:tcPr>
                <w:p>
                  <w:pPr>
                    <w:jc w:val="center"/>
                    <w:rPr>
                      <w:rFonts w:hint="default" w:ascii="Times New Roman" w:hAnsi="Times New Roman" w:cs="Times New Roman"/>
                    </w:rPr>
                  </w:pPr>
                  <w:r>
                    <w:rPr>
                      <w:rFonts w:hint="default" w:ascii="Times New Roman" w:hAnsi="Times New Roman" w:cs="Times New Roman"/>
                    </w:rPr>
                    <w:t>24小时平均</w:t>
                  </w:r>
                </w:p>
              </w:tc>
              <w:tc>
                <w:tcPr>
                  <w:tcW w:w="1931" w:type="dxa"/>
                  <w:tcBorders>
                    <w:tl2br w:val="nil"/>
                    <w:tr2bl w:val="nil"/>
                  </w:tcBorders>
                  <w:vAlign w:val="center"/>
                </w:tcPr>
                <w:p>
                  <w:pPr>
                    <w:jc w:val="center"/>
                    <w:rPr>
                      <w:rFonts w:hint="default" w:ascii="Times New Roman" w:hAnsi="Times New Roman" w:cs="Times New Roman"/>
                    </w:rPr>
                  </w:pPr>
                  <w:r>
                    <w:rPr>
                      <w:rFonts w:hint="default" w:ascii="Times New Roman" w:hAnsi="Times New Roman" w:cs="Times New Roman"/>
                    </w:rPr>
                    <w:t>4mg/m3</w:t>
                  </w:r>
                </w:p>
              </w:tc>
              <w:tc>
                <w:tcPr>
                  <w:tcW w:w="2325" w:type="dxa"/>
                  <w:vMerge w:val="continue"/>
                  <w:tcBorders>
                    <w:tl2br w:val="nil"/>
                    <w:tr2bl w:val="nil"/>
                  </w:tcBorders>
                  <w:vAlign w:val="center"/>
                </w:tcPr>
                <w:p>
                  <w:pPr>
                    <w:jc w:val="center"/>
                    <w:rPr>
                      <w:rFonts w:hint="default" w:ascii="Times New Roman" w:hAnsi="Times New Roman" w:cs="Times New Roma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90" w:hRule="atLeast"/>
              </w:trPr>
              <w:tc>
                <w:tcPr>
                  <w:tcW w:w="1578" w:type="dxa"/>
                  <w:vMerge w:val="continue"/>
                  <w:tcBorders>
                    <w:tl2br w:val="nil"/>
                    <w:tr2bl w:val="nil"/>
                  </w:tcBorders>
                  <w:vAlign w:val="center"/>
                </w:tcPr>
                <w:p>
                  <w:pPr>
                    <w:jc w:val="center"/>
                    <w:rPr>
                      <w:rFonts w:hint="default" w:ascii="Times New Roman" w:hAnsi="Times New Roman" w:cs="Times New Roman"/>
                    </w:rPr>
                  </w:pPr>
                </w:p>
              </w:tc>
              <w:tc>
                <w:tcPr>
                  <w:tcW w:w="2196" w:type="dxa"/>
                  <w:tcBorders>
                    <w:tl2br w:val="nil"/>
                    <w:tr2bl w:val="nil"/>
                  </w:tcBorders>
                  <w:vAlign w:val="center"/>
                </w:tcPr>
                <w:p>
                  <w:pPr>
                    <w:jc w:val="center"/>
                    <w:rPr>
                      <w:rFonts w:hint="default" w:ascii="Times New Roman" w:hAnsi="Times New Roman" w:cs="Times New Roman"/>
                    </w:rPr>
                  </w:pPr>
                  <w:r>
                    <w:rPr>
                      <w:rFonts w:hint="default" w:ascii="Times New Roman" w:hAnsi="Times New Roman" w:cs="Times New Roman"/>
                    </w:rPr>
                    <w:t>1小时平均</w:t>
                  </w:r>
                </w:p>
              </w:tc>
              <w:tc>
                <w:tcPr>
                  <w:tcW w:w="1931" w:type="dxa"/>
                  <w:tcBorders>
                    <w:tl2br w:val="nil"/>
                    <w:tr2bl w:val="nil"/>
                  </w:tcBorders>
                  <w:vAlign w:val="center"/>
                </w:tcPr>
                <w:p>
                  <w:pPr>
                    <w:jc w:val="center"/>
                    <w:rPr>
                      <w:rFonts w:hint="default" w:ascii="Times New Roman" w:hAnsi="Times New Roman" w:cs="Times New Roman"/>
                    </w:rPr>
                  </w:pPr>
                  <w:r>
                    <w:rPr>
                      <w:rFonts w:hint="default" w:ascii="Times New Roman" w:hAnsi="Times New Roman" w:cs="Times New Roman"/>
                    </w:rPr>
                    <w:t>10mg/m3</w:t>
                  </w:r>
                </w:p>
              </w:tc>
              <w:tc>
                <w:tcPr>
                  <w:tcW w:w="2325" w:type="dxa"/>
                  <w:vMerge w:val="continue"/>
                  <w:tcBorders>
                    <w:tl2br w:val="nil"/>
                    <w:tr2bl w:val="nil"/>
                  </w:tcBorders>
                  <w:vAlign w:val="center"/>
                </w:tcPr>
                <w:p>
                  <w:pPr>
                    <w:jc w:val="center"/>
                    <w:rPr>
                      <w:rFonts w:hint="default" w:ascii="Times New Roman" w:hAnsi="Times New Roman" w:cs="Times New Roman"/>
                    </w:rPr>
                  </w:pPr>
                </w:p>
              </w:tc>
            </w:tr>
          </w:tbl>
          <w:p>
            <w:pPr>
              <w:keepNext w:val="0"/>
              <w:keepLines w:val="0"/>
              <w:pageBreakBefore w:val="0"/>
              <w:widowControl w:val="0"/>
              <w:suppressLineNumbers w:val="0"/>
              <w:kinsoku/>
              <w:wordWrap/>
              <w:overflowPunct/>
              <w:topLinePunct w:val="0"/>
              <w:autoSpaceDE/>
              <w:autoSpaceDN/>
              <w:bidi w:val="0"/>
              <w:adjustRightInd/>
              <w:snapToGrid/>
              <w:spacing w:before="157" w:beforeLines="50" w:beforeAutospacing="0" w:after="0" w:afterAutospacing="0" w:line="360" w:lineRule="auto"/>
              <w:ind w:left="0" w:right="0" w:firstLine="482" w:firstLineChars="200"/>
              <w:textAlignment w:val="auto"/>
              <w:rPr>
                <w:rFonts w:hint="default" w:ascii="Times New Roman" w:hAnsi="Times New Roman" w:cs="Times New Roman"/>
                <w:b/>
                <w:bCs/>
                <w:sz w:val="24"/>
                <w:szCs w:val="24"/>
              </w:rPr>
            </w:pPr>
            <w:r>
              <w:rPr>
                <w:rFonts w:hint="default" w:ascii="Times New Roman" w:hAnsi="Times New Roman" w:cs="Times New Roman"/>
                <w:b/>
                <w:bCs/>
                <w:sz w:val="24"/>
                <w:szCs w:val="24"/>
              </w:rPr>
              <w:t>（2）地表水环境质量标准</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rPr>
            </w:pPr>
            <w:r>
              <w:rPr>
                <w:rFonts w:hint="default" w:ascii="Times New Roman" w:hAnsi="Times New Roman" w:cs="Times New Roman"/>
                <w:sz w:val="24"/>
                <w:szCs w:val="24"/>
              </w:rPr>
              <w:t>项目区域地表水执行《地表水环境质量标准》（GB3838-2002）中的</w:t>
            </w:r>
            <w:r>
              <w:rPr>
                <w:rFonts w:hint="eastAsia" w:ascii="微软雅黑" w:hAnsi="微软雅黑" w:eastAsia="微软雅黑" w:cs="微软雅黑"/>
                <w:sz w:val="24"/>
                <w:szCs w:val="24"/>
                <w:lang w:val="en-US" w:eastAsia="zh-CN"/>
              </w:rPr>
              <w:t>Ⅲ</w:t>
            </w:r>
            <w:r>
              <w:rPr>
                <w:rFonts w:hint="default" w:ascii="Times New Roman" w:hAnsi="Times New Roman" w:cs="Times New Roman"/>
                <w:sz w:val="24"/>
                <w:szCs w:val="24"/>
              </w:rPr>
              <w:t>类标准。</w:t>
            </w:r>
          </w:p>
          <w:p>
            <w:pPr>
              <w:keepNext w:val="0"/>
              <w:keepLines w:val="0"/>
              <w:suppressLineNumbers w:val="0"/>
              <w:spacing w:before="0" w:beforeAutospacing="0" w:after="0" w:afterAutospacing="0"/>
              <w:ind w:left="0" w:right="0"/>
              <w:jc w:val="center"/>
              <w:rPr>
                <w:rFonts w:hint="default"/>
                <w:b/>
                <w:bCs/>
              </w:rPr>
            </w:pPr>
            <w:r>
              <w:rPr>
                <w:rFonts w:hint="default"/>
                <w:b/>
                <w:bCs/>
              </w:rPr>
              <w:t>表3-</w:t>
            </w:r>
            <w:r>
              <w:rPr>
                <w:rFonts w:hint="eastAsia"/>
                <w:b/>
                <w:bCs/>
                <w:lang w:val="en-US" w:eastAsia="zh-CN"/>
              </w:rPr>
              <w:t>8</w:t>
            </w:r>
            <w:r>
              <w:rPr>
                <w:rFonts w:hint="default"/>
                <w:b/>
                <w:bCs/>
              </w:rPr>
              <w:t>地表水环境质量标准</w:t>
            </w:r>
          </w:p>
          <w:tbl>
            <w:tblPr>
              <w:tblStyle w:val="22"/>
              <w:tblW w:w="80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5"/>
              <w:gridCol w:w="982"/>
              <w:gridCol w:w="1017"/>
              <w:gridCol w:w="1008"/>
              <w:gridCol w:w="1023"/>
              <w:gridCol w:w="1032"/>
              <w:gridCol w:w="1302"/>
              <w:gridCol w:w="6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75" w:type="dxa"/>
                  <w:vAlign w:val="center"/>
                </w:tcPr>
                <w:p>
                  <w:pPr>
                    <w:keepNext w:val="0"/>
                    <w:keepLines w:val="0"/>
                    <w:suppressLineNumbers w:val="0"/>
                    <w:spacing w:before="0" w:beforeAutospacing="0" w:after="0" w:afterAutospacing="0"/>
                    <w:ind w:left="0" w:right="0"/>
                    <w:jc w:val="center"/>
                    <w:rPr>
                      <w:rFonts w:hint="default" w:ascii="Calibri" w:hAnsi="Calibri" w:cs="Times New Roman"/>
                      <w:b/>
                      <w:bCs/>
                    </w:rPr>
                  </w:pPr>
                  <w:r>
                    <w:rPr>
                      <w:rFonts w:hint="default" w:ascii="Calibri" w:hAnsi="Calibri" w:cs="Times New Roman"/>
                      <w:b/>
                      <w:bCs/>
                    </w:rPr>
                    <w:t>项目</w:t>
                  </w:r>
                </w:p>
              </w:tc>
              <w:tc>
                <w:tcPr>
                  <w:tcW w:w="982" w:type="dxa"/>
                  <w:vAlign w:val="center"/>
                </w:tcPr>
                <w:p>
                  <w:pPr>
                    <w:keepNext w:val="0"/>
                    <w:keepLines w:val="0"/>
                    <w:suppressLineNumbers w:val="0"/>
                    <w:spacing w:before="0" w:beforeAutospacing="0" w:after="0" w:afterAutospacing="0"/>
                    <w:ind w:left="0" w:right="0"/>
                    <w:jc w:val="center"/>
                    <w:rPr>
                      <w:rFonts w:hint="default" w:ascii="Calibri" w:hAnsi="Calibri" w:cs="Times New Roman"/>
                      <w:b/>
                      <w:bCs/>
                    </w:rPr>
                  </w:pPr>
                  <w:r>
                    <w:rPr>
                      <w:rFonts w:hint="default" w:ascii="Calibri" w:hAnsi="Calibri" w:cs="Times New Roman"/>
                      <w:b/>
                      <w:bCs/>
                    </w:rPr>
                    <w:t>pH</w:t>
                  </w:r>
                </w:p>
              </w:tc>
              <w:tc>
                <w:tcPr>
                  <w:tcW w:w="1017" w:type="dxa"/>
                  <w:vAlign w:val="center"/>
                </w:tcPr>
                <w:p>
                  <w:pPr>
                    <w:keepNext w:val="0"/>
                    <w:keepLines w:val="0"/>
                    <w:suppressLineNumbers w:val="0"/>
                    <w:spacing w:before="0" w:beforeAutospacing="0" w:after="0" w:afterAutospacing="0"/>
                    <w:ind w:left="0" w:right="0"/>
                    <w:jc w:val="center"/>
                    <w:rPr>
                      <w:rFonts w:hint="default" w:ascii="Calibri" w:hAnsi="Calibri" w:cs="Times New Roman"/>
                      <w:b/>
                      <w:bCs/>
                    </w:rPr>
                  </w:pPr>
                  <w:r>
                    <w:rPr>
                      <w:rFonts w:hint="default" w:ascii="Calibri" w:hAnsi="Calibri" w:cs="Times New Roman"/>
                      <w:b/>
                      <w:bCs/>
                    </w:rPr>
                    <w:t>COD</w:t>
                  </w:r>
                </w:p>
              </w:tc>
              <w:tc>
                <w:tcPr>
                  <w:tcW w:w="1008" w:type="dxa"/>
                  <w:vAlign w:val="center"/>
                </w:tcPr>
                <w:p>
                  <w:pPr>
                    <w:keepNext w:val="0"/>
                    <w:keepLines w:val="0"/>
                    <w:suppressLineNumbers w:val="0"/>
                    <w:spacing w:before="0" w:beforeAutospacing="0" w:after="0" w:afterAutospacing="0"/>
                    <w:ind w:left="0" w:right="0"/>
                    <w:jc w:val="center"/>
                    <w:rPr>
                      <w:rFonts w:hint="default" w:ascii="Calibri" w:hAnsi="Calibri" w:cs="Times New Roman"/>
                      <w:b/>
                      <w:bCs/>
                    </w:rPr>
                  </w:pPr>
                  <w:r>
                    <w:rPr>
                      <w:rFonts w:hint="default" w:ascii="Calibri" w:hAnsi="Calibri" w:cs="Times New Roman"/>
                      <w:b/>
                      <w:bCs/>
                    </w:rPr>
                    <w:t>BOD</w:t>
                  </w:r>
                  <w:r>
                    <w:rPr>
                      <w:rFonts w:hint="default" w:ascii="Calibri" w:hAnsi="Calibri" w:cs="Times New Roman"/>
                      <w:b/>
                      <w:bCs/>
                      <w:vertAlign w:val="subscript"/>
                    </w:rPr>
                    <w:t>5</w:t>
                  </w:r>
                </w:p>
              </w:tc>
              <w:tc>
                <w:tcPr>
                  <w:tcW w:w="1023" w:type="dxa"/>
                  <w:vAlign w:val="center"/>
                </w:tcPr>
                <w:p>
                  <w:pPr>
                    <w:keepNext w:val="0"/>
                    <w:keepLines w:val="0"/>
                    <w:suppressLineNumbers w:val="0"/>
                    <w:spacing w:before="0" w:beforeAutospacing="0" w:after="0" w:afterAutospacing="0"/>
                    <w:ind w:left="0" w:right="0"/>
                    <w:jc w:val="center"/>
                    <w:rPr>
                      <w:rFonts w:hint="default" w:ascii="Calibri" w:hAnsi="Calibri" w:cs="Times New Roman"/>
                      <w:b/>
                      <w:bCs/>
                    </w:rPr>
                  </w:pPr>
                  <w:r>
                    <w:rPr>
                      <w:rFonts w:hint="default" w:ascii="Calibri" w:hAnsi="Calibri" w:cs="Times New Roman"/>
                      <w:b/>
                      <w:bCs/>
                    </w:rPr>
                    <w:t>NH</w:t>
                  </w:r>
                  <w:r>
                    <w:rPr>
                      <w:rFonts w:hint="default" w:ascii="Calibri" w:hAnsi="Calibri" w:cs="Times New Roman"/>
                      <w:b/>
                      <w:bCs/>
                      <w:vertAlign w:val="subscript"/>
                    </w:rPr>
                    <w:t>3</w:t>
                  </w:r>
                  <w:r>
                    <w:rPr>
                      <w:rFonts w:hint="default" w:ascii="Calibri" w:hAnsi="Calibri" w:cs="Times New Roman"/>
                      <w:b/>
                      <w:bCs/>
                    </w:rPr>
                    <w:t>-N</w:t>
                  </w:r>
                </w:p>
              </w:tc>
              <w:tc>
                <w:tcPr>
                  <w:tcW w:w="1032" w:type="dxa"/>
                  <w:vAlign w:val="center"/>
                </w:tcPr>
                <w:p>
                  <w:pPr>
                    <w:keepNext w:val="0"/>
                    <w:keepLines w:val="0"/>
                    <w:suppressLineNumbers w:val="0"/>
                    <w:spacing w:before="0" w:beforeAutospacing="0" w:after="0" w:afterAutospacing="0"/>
                    <w:ind w:left="0" w:right="0"/>
                    <w:jc w:val="center"/>
                    <w:rPr>
                      <w:rFonts w:hint="default" w:ascii="Calibri" w:hAnsi="Calibri" w:cs="Times New Roman"/>
                      <w:b/>
                      <w:bCs/>
                    </w:rPr>
                  </w:pPr>
                  <w:r>
                    <w:rPr>
                      <w:rFonts w:hint="default" w:ascii="Calibri" w:hAnsi="Calibri" w:cs="Times New Roman"/>
                      <w:b/>
                      <w:bCs/>
                    </w:rPr>
                    <w:t>石油类</w:t>
                  </w:r>
                </w:p>
              </w:tc>
              <w:tc>
                <w:tcPr>
                  <w:tcW w:w="1302" w:type="dxa"/>
                  <w:vAlign w:val="center"/>
                </w:tcPr>
                <w:p>
                  <w:pPr>
                    <w:keepNext w:val="0"/>
                    <w:keepLines w:val="0"/>
                    <w:suppressLineNumbers w:val="0"/>
                    <w:spacing w:before="0" w:beforeAutospacing="0" w:after="0" w:afterAutospacing="0"/>
                    <w:ind w:left="0" w:right="0"/>
                    <w:jc w:val="center"/>
                    <w:rPr>
                      <w:rFonts w:hint="default" w:ascii="Calibri" w:hAnsi="Calibri" w:cs="Times New Roman"/>
                      <w:b/>
                      <w:bCs/>
                    </w:rPr>
                  </w:pPr>
                  <w:r>
                    <w:rPr>
                      <w:rFonts w:hint="default" w:ascii="Calibri" w:hAnsi="Calibri" w:cs="Times New Roman"/>
                      <w:b/>
                      <w:bCs/>
                    </w:rPr>
                    <w:t>粪大肠菌群</w:t>
                  </w:r>
                </w:p>
              </w:tc>
              <w:tc>
                <w:tcPr>
                  <w:tcW w:w="688" w:type="dxa"/>
                  <w:vAlign w:val="center"/>
                </w:tcPr>
                <w:p>
                  <w:pPr>
                    <w:keepNext w:val="0"/>
                    <w:keepLines w:val="0"/>
                    <w:suppressLineNumbers w:val="0"/>
                    <w:spacing w:before="0" w:beforeAutospacing="0" w:after="0" w:afterAutospacing="0"/>
                    <w:ind w:left="0" w:right="0"/>
                    <w:jc w:val="center"/>
                    <w:rPr>
                      <w:rFonts w:hint="default" w:ascii="Calibri" w:hAnsi="Calibri" w:cs="Times New Roman"/>
                      <w:b/>
                      <w:bCs/>
                    </w:rPr>
                  </w:pPr>
                  <w:r>
                    <w:rPr>
                      <w:rFonts w:hint="default" w:ascii="Calibri" w:hAnsi="Calibri" w:cs="Times New Roman"/>
                      <w:b/>
                      <w:bCs/>
                    </w:rPr>
                    <w:t>SS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75" w:type="dxa"/>
                  <w:vAlign w:val="center"/>
                </w:tcPr>
                <w:p>
                  <w:pPr>
                    <w:keepNext w:val="0"/>
                    <w:keepLines w:val="0"/>
                    <w:suppressLineNumbers w:val="0"/>
                    <w:spacing w:before="0" w:beforeAutospacing="0" w:after="0" w:afterAutospacing="0"/>
                    <w:ind w:left="0" w:right="0"/>
                    <w:jc w:val="center"/>
                    <w:rPr>
                      <w:rFonts w:hint="default" w:ascii="Calibri" w:hAnsi="Calibri" w:cs="Times New Roman"/>
                    </w:rPr>
                  </w:pPr>
                  <w:r>
                    <w:rPr>
                      <w:rFonts w:hint="default" w:ascii="Calibri" w:hAnsi="Calibri" w:cs="Times New Roman"/>
                    </w:rPr>
                    <w:t>标准值III类</w:t>
                  </w:r>
                </w:p>
              </w:tc>
              <w:tc>
                <w:tcPr>
                  <w:tcW w:w="982" w:type="dxa"/>
                  <w:vAlign w:val="center"/>
                </w:tcPr>
                <w:p>
                  <w:pPr>
                    <w:keepNext w:val="0"/>
                    <w:keepLines w:val="0"/>
                    <w:suppressLineNumbers w:val="0"/>
                    <w:spacing w:before="0" w:beforeAutospacing="0" w:after="0" w:afterAutospacing="0"/>
                    <w:ind w:left="0" w:right="0"/>
                    <w:jc w:val="center"/>
                    <w:rPr>
                      <w:rFonts w:hint="default" w:ascii="Calibri" w:hAnsi="Calibri" w:eastAsia="宋体" w:cs="Times New Roman"/>
                      <w:lang w:val="en-US" w:eastAsia="zh-CN"/>
                    </w:rPr>
                  </w:pPr>
                  <w:r>
                    <w:rPr>
                      <w:rFonts w:hint="eastAsia" w:ascii="Calibri" w:hAnsi="Calibri" w:cs="Times New Roman"/>
                      <w:lang w:val="en-US" w:eastAsia="zh-CN"/>
                    </w:rPr>
                    <w:t>6-9</w:t>
                  </w:r>
                </w:p>
              </w:tc>
              <w:tc>
                <w:tcPr>
                  <w:tcW w:w="1017" w:type="dxa"/>
                  <w:vAlign w:val="center"/>
                </w:tcPr>
                <w:p>
                  <w:pPr>
                    <w:keepNext w:val="0"/>
                    <w:keepLines w:val="0"/>
                    <w:suppressLineNumbers w:val="0"/>
                    <w:spacing w:before="0" w:beforeAutospacing="0" w:after="0" w:afterAutospacing="0"/>
                    <w:ind w:left="0" w:right="0"/>
                    <w:jc w:val="center"/>
                    <w:rPr>
                      <w:rFonts w:hint="default" w:ascii="Calibri" w:hAnsi="Calibri" w:eastAsia="宋体" w:cs="Times New Roman"/>
                      <w:lang w:val="en-US" w:eastAsia="zh-CN"/>
                    </w:rPr>
                  </w:pPr>
                  <w:r>
                    <w:rPr>
                      <w:rFonts w:hint="eastAsia" w:ascii="Calibri" w:hAnsi="Calibri" w:cs="Times New Roman"/>
                      <w:lang w:val="en-US" w:eastAsia="zh-CN"/>
                    </w:rPr>
                    <w:t>20mg/L</w:t>
                  </w:r>
                </w:p>
              </w:tc>
              <w:tc>
                <w:tcPr>
                  <w:tcW w:w="1008" w:type="dxa"/>
                  <w:vAlign w:val="center"/>
                </w:tcPr>
                <w:p>
                  <w:pPr>
                    <w:keepNext w:val="0"/>
                    <w:keepLines w:val="0"/>
                    <w:suppressLineNumbers w:val="0"/>
                    <w:spacing w:before="0" w:beforeAutospacing="0" w:after="0" w:afterAutospacing="0"/>
                    <w:ind w:left="0" w:right="0"/>
                    <w:jc w:val="center"/>
                    <w:rPr>
                      <w:rFonts w:hint="eastAsia" w:ascii="Calibri" w:hAnsi="Calibri" w:eastAsia="宋体" w:cs="Times New Roman"/>
                      <w:lang w:val="en-US" w:eastAsia="zh-CN"/>
                    </w:rPr>
                  </w:pPr>
                  <w:r>
                    <w:rPr>
                      <w:rFonts w:hint="eastAsia" w:ascii="Calibri" w:hAnsi="Calibri" w:cs="Times New Roman"/>
                      <w:lang w:val="en-US" w:eastAsia="zh-CN"/>
                    </w:rPr>
                    <w:t>4mg/L</w:t>
                  </w:r>
                </w:p>
              </w:tc>
              <w:tc>
                <w:tcPr>
                  <w:tcW w:w="1023" w:type="dxa"/>
                  <w:vAlign w:val="center"/>
                </w:tcPr>
                <w:p>
                  <w:pPr>
                    <w:keepNext w:val="0"/>
                    <w:keepLines w:val="0"/>
                    <w:suppressLineNumbers w:val="0"/>
                    <w:spacing w:before="0" w:beforeAutospacing="0" w:after="0" w:afterAutospacing="0"/>
                    <w:ind w:left="0" w:right="0"/>
                    <w:jc w:val="center"/>
                    <w:rPr>
                      <w:rFonts w:hint="default" w:ascii="Calibri" w:hAnsi="Calibri" w:eastAsia="宋体" w:cs="Times New Roman"/>
                      <w:lang w:val="en-US" w:eastAsia="zh-CN"/>
                    </w:rPr>
                  </w:pPr>
                  <w:r>
                    <w:rPr>
                      <w:rFonts w:hint="eastAsia" w:ascii="Calibri" w:hAnsi="Calibri" w:cs="Times New Roman"/>
                      <w:lang w:val="en-US" w:eastAsia="zh-CN"/>
                    </w:rPr>
                    <w:t>1.0mg/L</w:t>
                  </w:r>
                </w:p>
              </w:tc>
              <w:tc>
                <w:tcPr>
                  <w:tcW w:w="1032" w:type="dxa"/>
                  <w:vAlign w:val="center"/>
                </w:tcPr>
                <w:p>
                  <w:pPr>
                    <w:keepNext w:val="0"/>
                    <w:keepLines w:val="0"/>
                    <w:suppressLineNumbers w:val="0"/>
                    <w:spacing w:before="0" w:beforeAutospacing="0" w:after="0" w:afterAutospacing="0"/>
                    <w:ind w:left="0" w:right="0"/>
                    <w:jc w:val="center"/>
                    <w:rPr>
                      <w:rFonts w:hint="default" w:ascii="Calibri" w:hAnsi="Calibri" w:eastAsia="宋体" w:cs="Times New Roman"/>
                      <w:lang w:val="en-US" w:eastAsia="zh-CN"/>
                    </w:rPr>
                  </w:pPr>
                  <w:r>
                    <w:rPr>
                      <w:rFonts w:hint="eastAsia" w:ascii="Calibri" w:hAnsi="Calibri" w:cs="Times New Roman"/>
                      <w:lang w:val="en-US" w:eastAsia="zh-CN"/>
                    </w:rPr>
                    <w:t>0.05mg/L</w:t>
                  </w:r>
                </w:p>
              </w:tc>
              <w:tc>
                <w:tcPr>
                  <w:tcW w:w="1302" w:type="dxa"/>
                  <w:vAlign w:val="center"/>
                </w:tcPr>
                <w:p>
                  <w:pPr>
                    <w:keepNext w:val="0"/>
                    <w:keepLines w:val="0"/>
                    <w:suppressLineNumbers w:val="0"/>
                    <w:spacing w:before="0" w:beforeAutospacing="0" w:after="0" w:afterAutospacing="0"/>
                    <w:ind w:left="0" w:right="0"/>
                    <w:jc w:val="center"/>
                    <w:rPr>
                      <w:rFonts w:hint="default" w:ascii="Calibri" w:hAnsi="Calibri" w:eastAsia="宋体" w:cs="Times New Roman"/>
                      <w:lang w:val="en-US" w:eastAsia="zh-CN"/>
                    </w:rPr>
                  </w:pPr>
                  <w:r>
                    <w:rPr>
                      <w:rFonts w:hint="eastAsia" w:ascii="Calibri" w:hAnsi="Calibri" w:cs="Times New Roman"/>
                      <w:lang w:val="en-US" w:eastAsia="zh-CN"/>
                    </w:rPr>
                    <w:t>10000L</w:t>
                  </w:r>
                </w:p>
              </w:tc>
              <w:tc>
                <w:tcPr>
                  <w:tcW w:w="688" w:type="dxa"/>
                  <w:vAlign w:val="center"/>
                </w:tcPr>
                <w:p>
                  <w:pPr>
                    <w:keepNext w:val="0"/>
                    <w:keepLines w:val="0"/>
                    <w:suppressLineNumbers w:val="0"/>
                    <w:spacing w:before="0" w:beforeAutospacing="0" w:after="0" w:afterAutospacing="0"/>
                    <w:ind w:left="0" w:right="0"/>
                    <w:jc w:val="center"/>
                    <w:rPr>
                      <w:rFonts w:hint="eastAsia" w:ascii="Calibri" w:hAnsi="Calibri" w:eastAsia="宋体" w:cs="Times New Roman"/>
                      <w:lang w:val="en-US" w:eastAsia="zh-CN"/>
                    </w:rPr>
                  </w:pPr>
                  <w:r>
                    <w:rPr>
                      <w:rFonts w:hint="eastAsia" w:ascii="Calibri" w:hAnsi="Calibri" w:cs="Times New Roman"/>
                      <w:lang w:val="en-US" w:eastAsia="zh-CN"/>
                    </w:rPr>
                    <w:t>/</w:t>
                  </w:r>
                </w:p>
              </w:tc>
            </w:tr>
          </w:tbl>
          <w:p>
            <w:pPr>
              <w:keepNext w:val="0"/>
              <w:keepLines w:val="0"/>
              <w:pageBreakBefore w:val="0"/>
              <w:widowControl w:val="0"/>
              <w:suppressLineNumbers w:val="0"/>
              <w:kinsoku/>
              <w:wordWrap/>
              <w:overflowPunct/>
              <w:topLinePunct w:val="0"/>
              <w:autoSpaceDE/>
              <w:autoSpaceDN/>
              <w:bidi w:val="0"/>
              <w:adjustRightInd/>
              <w:snapToGrid/>
              <w:spacing w:before="157" w:beforeLines="50" w:beforeAutospacing="0" w:after="0" w:afterAutospacing="0" w:line="360" w:lineRule="auto"/>
              <w:ind w:left="0" w:right="0" w:firstLine="482" w:firstLineChars="200"/>
              <w:textAlignment w:val="auto"/>
              <w:rPr>
                <w:rFonts w:hint="default" w:ascii="Times New Roman" w:hAnsi="Times New Roman" w:cs="Times New Roman"/>
                <w:b/>
                <w:bCs/>
                <w:sz w:val="24"/>
                <w:szCs w:val="24"/>
              </w:rPr>
            </w:pPr>
            <w:r>
              <w:rPr>
                <w:rFonts w:hint="default" w:ascii="Times New Roman" w:hAnsi="Times New Roman" w:cs="Times New Roman"/>
                <w:b/>
                <w:bCs/>
                <w:sz w:val="24"/>
                <w:szCs w:val="24"/>
              </w:rPr>
              <w:t>（3）声环境质量标准</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rPr>
            </w:pPr>
            <w:r>
              <w:rPr>
                <w:rFonts w:hint="default" w:ascii="Times New Roman" w:hAnsi="Times New Roman" w:cs="Times New Roman"/>
                <w:sz w:val="24"/>
                <w:szCs w:val="24"/>
              </w:rPr>
              <w:t>沿线敏感点执行《声环境质量标准》（GB3096-2008）中2类标准。声环境质量标准限值见下表：</w:t>
            </w:r>
          </w:p>
          <w:p>
            <w:pPr>
              <w:keepNext w:val="0"/>
              <w:keepLines w:val="0"/>
              <w:suppressLineNumbers w:val="0"/>
              <w:spacing w:before="0" w:beforeAutospacing="0" w:after="0" w:afterAutospacing="0"/>
              <w:ind w:left="0" w:right="0"/>
              <w:jc w:val="center"/>
              <w:rPr>
                <w:rFonts w:hint="default"/>
                <w:b/>
                <w:bCs/>
              </w:rPr>
            </w:pPr>
            <w:r>
              <w:rPr>
                <w:rFonts w:hint="default"/>
                <w:b/>
                <w:bCs/>
              </w:rPr>
              <w:t>表3-</w:t>
            </w:r>
            <w:r>
              <w:rPr>
                <w:rFonts w:hint="eastAsia"/>
                <w:b/>
                <w:bCs/>
                <w:lang w:val="en-US" w:eastAsia="zh-CN"/>
              </w:rPr>
              <w:t>9</w:t>
            </w:r>
            <w:r>
              <w:rPr>
                <w:rFonts w:hint="default"/>
                <w:b/>
                <w:bCs/>
              </w:rPr>
              <w:t>声环境质量标准（单位dB（A））</w:t>
            </w:r>
          </w:p>
          <w:tbl>
            <w:tblPr>
              <w:tblStyle w:val="63"/>
              <w:tblW w:w="8030"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678"/>
              <w:gridCol w:w="2673"/>
              <w:gridCol w:w="2679"/>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80" w:hRule="atLeast"/>
              </w:trPr>
              <w:tc>
                <w:tcPr>
                  <w:tcW w:w="2678" w:type="dxa"/>
                  <w:vMerge w:val="restart"/>
                  <w:tcBorders>
                    <w:bottom w:val="nil"/>
                  </w:tcBorders>
                  <w:vAlign w:val="center"/>
                </w:tcPr>
                <w:p>
                  <w:pPr>
                    <w:jc w:val="center"/>
                    <w:rPr>
                      <w:rFonts w:hint="default" w:ascii="Times New Roman" w:hAnsi="Times New Roman" w:cs="Times New Roman"/>
                      <w:b/>
                      <w:bCs/>
                    </w:rPr>
                  </w:pPr>
                  <w:r>
                    <w:rPr>
                      <w:rFonts w:hint="default" w:ascii="Times New Roman" w:hAnsi="Times New Roman" w:cs="Times New Roman"/>
                      <w:b/>
                      <w:bCs/>
                    </w:rPr>
                    <w:t>声环境功能区类别</w:t>
                  </w:r>
                </w:p>
              </w:tc>
              <w:tc>
                <w:tcPr>
                  <w:tcW w:w="5352" w:type="dxa"/>
                  <w:gridSpan w:val="2"/>
                  <w:vAlign w:val="center"/>
                </w:tcPr>
                <w:p>
                  <w:pPr>
                    <w:jc w:val="center"/>
                    <w:rPr>
                      <w:rFonts w:hint="default" w:ascii="Times New Roman" w:hAnsi="Times New Roman" w:cs="Times New Roman"/>
                      <w:b/>
                      <w:bCs/>
                    </w:rPr>
                  </w:pPr>
                  <w:r>
                    <w:rPr>
                      <w:rFonts w:hint="default" w:ascii="Times New Roman" w:hAnsi="Times New Roman" w:cs="Times New Roman"/>
                      <w:b/>
                      <w:bCs/>
                    </w:rPr>
                    <w:t>时段</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76" w:hRule="atLeast"/>
              </w:trPr>
              <w:tc>
                <w:tcPr>
                  <w:tcW w:w="2678" w:type="dxa"/>
                  <w:vMerge w:val="continue"/>
                  <w:tcBorders>
                    <w:top w:val="nil"/>
                  </w:tcBorders>
                  <w:vAlign w:val="center"/>
                </w:tcPr>
                <w:p>
                  <w:pPr>
                    <w:jc w:val="center"/>
                    <w:rPr>
                      <w:rFonts w:hint="default" w:ascii="Times New Roman" w:hAnsi="Times New Roman" w:cs="Times New Roman"/>
                      <w:b/>
                      <w:bCs/>
                    </w:rPr>
                  </w:pPr>
                </w:p>
              </w:tc>
              <w:tc>
                <w:tcPr>
                  <w:tcW w:w="2673" w:type="dxa"/>
                  <w:vAlign w:val="center"/>
                </w:tcPr>
                <w:p>
                  <w:pPr>
                    <w:jc w:val="center"/>
                    <w:rPr>
                      <w:rFonts w:hint="default" w:ascii="Times New Roman" w:hAnsi="Times New Roman" w:cs="Times New Roman"/>
                      <w:b/>
                      <w:bCs/>
                    </w:rPr>
                  </w:pPr>
                  <w:r>
                    <w:rPr>
                      <w:rFonts w:hint="default" w:ascii="Times New Roman" w:hAnsi="Times New Roman" w:cs="Times New Roman"/>
                      <w:b/>
                      <w:bCs/>
                    </w:rPr>
                    <w:t>昼间</w:t>
                  </w:r>
                </w:p>
              </w:tc>
              <w:tc>
                <w:tcPr>
                  <w:tcW w:w="2679" w:type="dxa"/>
                  <w:vAlign w:val="center"/>
                </w:tcPr>
                <w:p>
                  <w:pPr>
                    <w:jc w:val="center"/>
                    <w:rPr>
                      <w:rFonts w:hint="default" w:ascii="Times New Roman" w:hAnsi="Times New Roman" w:cs="Times New Roman"/>
                      <w:b/>
                      <w:bCs/>
                    </w:rPr>
                  </w:pPr>
                  <w:r>
                    <w:rPr>
                      <w:rFonts w:hint="default" w:ascii="Times New Roman" w:hAnsi="Times New Roman" w:cs="Times New Roman"/>
                      <w:b/>
                      <w:bCs/>
                    </w:rPr>
                    <w:t>夜间</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80" w:hRule="atLeast"/>
              </w:trPr>
              <w:tc>
                <w:tcPr>
                  <w:tcW w:w="2678" w:type="dxa"/>
                  <w:vAlign w:val="center"/>
                </w:tcPr>
                <w:p>
                  <w:pPr>
                    <w:jc w:val="center"/>
                    <w:rPr>
                      <w:rFonts w:hint="default" w:ascii="Times New Roman" w:hAnsi="Times New Roman" w:cs="Times New Roman"/>
                    </w:rPr>
                  </w:pPr>
                  <w:r>
                    <w:rPr>
                      <w:rFonts w:hint="default" w:ascii="Times New Roman" w:hAnsi="Times New Roman" w:cs="Times New Roman"/>
                    </w:rPr>
                    <w:t>2类</w:t>
                  </w:r>
                </w:p>
              </w:tc>
              <w:tc>
                <w:tcPr>
                  <w:tcW w:w="2673" w:type="dxa"/>
                  <w:vAlign w:val="center"/>
                </w:tcPr>
                <w:p>
                  <w:pPr>
                    <w:jc w:val="center"/>
                    <w:rPr>
                      <w:rFonts w:hint="default" w:ascii="Times New Roman" w:hAnsi="Times New Roman" w:cs="Times New Roman"/>
                    </w:rPr>
                  </w:pPr>
                  <w:r>
                    <w:rPr>
                      <w:rFonts w:hint="default" w:ascii="Times New Roman" w:hAnsi="Times New Roman" w:cs="Times New Roman"/>
                    </w:rPr>
                    <w:t>60</w:t>
                  </w:r>
                </w:p>
              </w:tc>
              <w:tc>
                <w:tcPr>
                  <w:tcW w:w="2679" w:type="dxa"/>
                  <w:vAlign w:val="center"/>
                </w:tcPr>
                <w:p>
                  <w:pPr>
                    <w:jc w:val="center"/>
                    <w:rPr>
                      <w:rFonts w:hint="default" w:ascii="Times New Roman" w:hAnsi="Times New Roman" w:cs="Times New Roman"/>
                    </w:rPr>
                  </w:pPr>
                  <w:r>
                    <w:rPr>
                      <w:rFonts w:hint="default" w:ascii="Times New Roman" w:hAnsi="Times New Roman" w:cs="Times New Roman"/>
                    </w:rPr>
                    <w:t>50</w:t>
                  </w:r>
                </w:p>
              </w:tc>
            </w:tr>
          </w:tbl>
          <w:p>
            <w:pPr>
              <w:keepNext w:val="0"/>
              <w:keepLines w:val="0"/>
              <w:pageBreakBefore w:val="0"/>
              <w:widowControl w:val="0"/>
              <w:suppressLineNumbers w:val="0"/>
              <w:kinsoku/>
              <w:wordWrap/>
              <w:overflowPunct/>
              <w:topLinePunct w:val="0"/>
              <w:autoSpaceDE/>
              <w:autoSpaceDN/>
              <w:bidi w:val="0"/>
              <w:adjustRightInd/>
              <w:snapToGrid/>
              <w:spacing w:before="157" w:beforeLines="50" w:beforeAutospacing="0" w:after="0" w:afterAutospacing="0" w:line="360" w:lineRule="auto"/>
              <w:ind w:left="0" w:right="0" w:firstLine="482" w:firstLineChars="200"/>
              <w:textAlignment w:val="auto"/>
              <w:rPr>
                <w:rFonts w:hint="default" w:ascii="Times New Roman" w:hAnsi="Times New Roman" w:cs="Times New Roman"/>
                <w:b/>
                <w:bCs/>
                <w:sz w:val="24"/>
                <w:szCs w:val="24"/>
              </w:rPr>
            </w:pPr>
            <w:r>
              <w:rPr>
                <w:rFonts w:hint="default" w:ascii="Times New Roman" w:hAnsi="Times New Roman" w:cs="Times New Roman"/>
                <w:b/>
                <w:bCs/>
                <w:sz w:val="24"/>
                <w:szCs w:val="24"/>
              </w:rPr>
              <w:t>二、污染物排放标准</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2" w:firstLineChars="200"/>
              <w:textAlignment w:val="auto"/>
              <w:rPr>
                <w:rFonts w:hint="default" w:ascii="Times New Roman" w:hAnsi="Times New Roman" w:cs="Times New Roman"/>
                <w:b/>
                <w:bCs/>
                <w:sz w:val="24"/>
                <w:szCs w:val="24"/>
              </w:rPr>
            </w:pPr>
            <w:r>
              <w:rPr>
                <w:rFonts w:hint="default" w:ascii="Times New Roman" w:hAnsi="Times New Roman" w:cs="Times New Roman"/>
                <w:b/>
                <w:bCs/>
                <w:sz w:val="24"/>
                <w:szCs w:val="24"/>
              </w:rPr>
              <w:t>（1）废气排放标准</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rPr>
            </w:pPr>
            <w:r>
              <w:rPr>
                <w:rFonts w:hint="default" w:ascii="Times New Roman" w:hAnsi="Times New Roman" w:cs="Times New Roman"/>
                <w:sz w:val="24"/>
                <w:szCs w:val="24"/>
              </w:rPr>
              <w:t>本项目运营期，施工期产生的颗粒物执行《大气污染物综合排放标准》（GB16297-1996）中表2的排放标准限值，标准值见下表：</w:t>
            </w:r>
          </w:p>
          <w:p>
            <w:pPr>
              <w:keepNext w:val="0"/>
              <w:keepLines w:val="0"/>
              <w:suppressLineNumbers w:val="0"/>
              <w:spacing w:before="0" w:beforeAutospacing="0" w:after="0" w:afterAutospacing="0"/>
              <w:ind w:left="0" w:right="0"/>
              <w:jc w:val="center"/>
              <w:rPr>
                <w:rFonts w:hint="default"/>
                <w:b/>
                <w:bCs/>
              </w:rPr>
            </w:pPr>
            <w:r>
              <w:rPr>
                <w:rFonts w:hint="default"/>
                <w:b/>
                <w:bCs/>
              </w:rPr>
              <w:t>表3-</w:t>
            </w:r>
            <w:r>
              <w:rPr>
                <w:rFonts w:hint="eastAsia"/>
                <w:b/>
                <w:bCs/>
                <w:lang w:val="en-US" w:eastAsia="zh-CN"/>
              </w:rPr>
              <w:t>10</w:t>
            </w:r>
            <w:r>
              <w:rPr>
                <w:rFonts w:hint="default"/>
                <w:b/>
                <w:bCs/>
              </w:rPr>
              <w:t>大气污染排放标准（单位：mg/m3）</w:t>
            </w:r>
          </w:p>
          <w:tbl>
            <w:tblPr>
              <w:tblStyle w:val="63"/>
              <w:tblW w:w="7903" w:type="dxa"/>
              <w:tblInd w:w="10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84"/>
              <w:gridCol w:w="1475"/>
              <w:gridCol w:w="906"/>
              <w:gridCol w:w="1479"/>
              <w:gridCol w:w="1479"/>
              <w:gridCol w:w="148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21" w:hRule="atLeast"/>
              </w:trPr>
              <w:tc>
                <w:tcPr>
                  <w:tcW w:w="1084" w:type="dxa"/>
                  <w:tcBorders>
                    <w:tl2br w:val="nil"/>
                    <w:tr2bl w:val="nil"/>
                  </w:tcBorders>
                  <w:vAlign w:val="center"/>
                </w:tcPr>
                <w:p>
                  <w:pPr>
                    <w:jc w:val="center"/>
                    <w:rPr>
                      <w:rFonts w:hint="default" w:ascii="Times New Roman" w:hAnsi="Times New Roman" w:cs="Times New Roman"/>
                      <w:b/>
                      <w:bCs/>
                    </w:rPr>
                  </w:pPr>
                  <w:r>
                    <w:rPr>
                      <w:rFonts w:hint="default" w:ascii="Times New Roman" w:hAnsi="Times New Roman" w:cs="Times New Roman"/>
                      <w:b/>
                      <w:bCs/>
                    </w:rPr>
                    <w:t>污染物</w:t>
                  </w:r>
                </w:p>
              </w:tc>
              <w:tc>
                <w:tcPr>
                  <w:tcW w:w="1475" w:type="dxa"/>
                  <w:tcBorders>
                    <w:tl2br w:val="nil"/>
                    <w:tr2bl w:val="nil"/>
                  </w:tcBorders>
                  <w:vAlign w:val="center"/>
                </w:tcPr>
                <w:p>
                  <w:pPr>
                    <w:jc w:val="center"/>
                    <w:rPr>
                      <w:rFonts w:hint="default" w:ascii="Times New Roman" w:hAnsi="Times New Roman" w:cs="Times New Roman"/>
                      <w:b/>
                      <w:bCs/>
                    </w:rPr>
                  </w:pPr>
                  <w:r>
                    <w:rPr>
                      <w:rFonts w:hint="default" w:ascii="Times New Roman" w:hAnsi="Times New Roman" w:cs="Times New Roman"/>
                      <w:b/>
                      <w:bCs/>
                    </w:rPr>
                    <w:t>最高允许排放浓度mg/m</w:t>
                  </w:r>
                  <w:r>
                    <w:rPr>
                      <w:rFonts w:hint="default" w:ascii="Times New Roman" w:hAnsi="Times New Roman" w:cs="Times New Roman"/>
                      <w:b/>
                      <w:bCs/>
                      <w:vertAlign w:val="superscript"/>
                    </w:rPr>
                    <w:t>3</w:t>
                  </w:r>
                </w:p>
              </w:tc>
              <w:tc>
                <w:tcPr>
                  <w:tcW w:w="906" w:type="dxa"/>
                  <w:tcBorders>
                    <w:tl2br w:val="nil"/>
                    <w:tr2bl w:val="nil"/>
                  </w:tcBorders>
                  <w:vAlign w:val="center"/>
                </w:tcPr>
                <w:p>
                  <w:pPr>
                    <w:jc w:val="center"/>
                    <w:rPr>
                      <w:rFonts w:hint="eastAsia" w:ascii="Times New Roman" w:hAnsi="Times New Roman" w:eastAsia="宋体" w:cs="Times New Roman"/>
                      <w:b/>
                      <w:bCs/>
                      <w:lang w:val="en-US" w:eastAsia="zh-CN"/>
                    </w:rPr>
                  </w:pPr>
                  <w:r>
                    <w:rPr>
                      <w:rFonts w:hint="default" w:ascii="Times New Roman" w:hAnsi="Times New Roman" w:cs="Times New Roman"/>
                      <w:b/>
                      <w:bCs/>
                    </w:rPr>
                    <w:t>排气筒高</w:t>
                  </w:r>
                  <w:r>
                    <w:rPr>
                      <w:rFonts w:hint="eastAsia" w:cs="Times New Roman"/>
                      <w:b/>
                      <w:bCs/>
                      <w:lang w:val="en-US" w:eastAsia="zh-CN"/>
                    </w:rPr>
                    <w:t>度</w:t>
                  </w:r>
                </w:p>
              </w:tc>
              <w:tc>
                <w:tcPr>
                  <w:tcW w:w="1479" w:type="dxa"/>
                  <w:tcBorders>
                    <w:tl2br w:val="nil"/>
                    <w:tr2bl w:val="nil"/>
                  </w:tcBorders>
                  <w:vAlign w:val="center"/>
                </w:tcPr>
                <w:p>
                  <w:pPr>
                    <w:jc w:val="center"/>
                    <w:rPr>
                      <w:rFonts w:hint="default" w:ascii="Times New Roman" w:hAnsi="Times New Roman" w:cs="Times New Roman"/>
                      <w:b/>
                      <w:bCs/>
                    </w:rPr>
                  </w:pPr>
                  <w:r>
                    <w:rPr>
                      <w:rFonts w:hint="default" w:ascii="Times New Roman" w:hAnsi="Times New Roman" w:cs="Times New Roman"/>
                      <w:b/>
                      <w:bCs/>
                    </w:rPr>
                    <w:t>最高允许排放速率kg/h</w:t>
                  </w:r>
                </w:p>
              </w:tc>
              <w:tc>
                <w:tcPr>
                  <w:tcW w:w="1479" w:type="dxa"/>
                  <w:tcBorders>
                    <w:tl2br w:val="nil"/>
                    <w:tr2bl w:val="nil"/>
                  </w:tcBorders>
                  <w:vAlign w:val="center"/>
                </w:tcPr>
                <w:p>
                  <w:pPr>
                    <w:jc w:val="center"/>
                    <w:rPr>
                      <w:rFonts w:hint="eastAsia" w:ascii="Times New Roman" w:hAnsi="Times New Roman" w:eastAsia="宋体" w:cs="Times New Roman"/>
                      <w:b/>
                      <w:bCs/>
                      <w:lang w:eastAsia="zh-CN"/>
                    </w:rPr>
                  </w:pPr>
                  <w:r>
                    <w:rPr>
                      <w:rFonts w:hint="default" w:ascii="Times New Roman" w:hAnsi="Times New Roman" w:cs="Times New Roman"/>
                      <w:b/>
                      <w:bCs/>
                    </w:rPr>
                    <w:t>无组织排放监控</w:t>
                  </w:r>
                  <w:r>
                    <w:rPr>
                      <w:rFonts w:hint="eastAsia" w:cs="Times New Roman"/>
                      <w:b/>
                      <w:bCs/>
                      <w:lang w:val="en-US" w:eastAsia="zh-CN"/>
                    </w:rPr>
                    <w:t>监控点</w:t>
                  </w:r>
                </w:p>
              </w:tc>
              <w:tc>
                <w:tcPr>
                  <w:tcW w:w="1480" w:type="dxa"/>
                  <w:tcBorders>
                    <w:tl2br w:val="nil"/>
                    <w:tr2bl w:val="nil"/>
                  </w:tcBorders>
                  <w:vAlign w:val="center"/>
                </w:tcPr>
                <w:p>
                  <w:pPr>
                    <w:jc w:val="center"/>
                    <w:rPr>
                      <w:rFonts w:hint="default" w:ascii="Times New Roman" w:hAnsi="Times New Roman" w:cs="Times New Roman"/>
                      <w:b/>
                      <w:bCs/>
                    </w:rPr>
                  </w:pPr>
                  <w:r>
                    <w:rPr>
                      <w:rFonts w:hint="default" w:ascii="Times New Roman" w:hAnsi="Times New Roman" w:cs="Times New Roman"/>
                      <w:b/>
                      <w:bCs/>
                    </w:rPr>
                    <w:t>无组织排放监控浓度限值mg/m</w:t>
                  </w:r>
                  <w:r>
                    <w:rPr>
                      <w:rFonts w:hint="default" w:ascii="Times New Roman" w:hAnsi="Times New Roman" w:cs="Times New Roman"/>
                      <w:b/>
                      <w:bCs/>
                      <w:vertAlign w:val="superscript"/>
                    </w:rPr>
                    <w:t>3</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89" w:hRule="atLeast"/>
              </w:trPr>
              <w:tc>
                <w:tcPr>
                  <w:tcW w:w="1084" w:type="dxa"/>
                  <w:tcBorders>
                    <w:tl2br w:val="nil"/>
                    <w:tr2bl w:val="nil"/>
                  </w:tcBorders>
                  <w:vAlign w:val="center"/>
                </w:tcPr>
                <w:p>
                  <w:pPr>
                    <w:jc w:val="center"/>
                    <w:rPr>
                      <w:rFonts w:hint="default" w:ascii="Times New Roman" w:hAnsi="Times New Roman" w:cs="Times New Roman"/>
                    </w:rPr>
                  </w:pPr>
                  <w:r>
                    <w:rPr>
                      <w:rFonts w:hint="default" w:ascii="Times New Roman" w:hAnsi="Times New Roman" w:cs="Times New Roman"/>
                    </w:rPr>
                    <w:t>颗粒物</w:t>
                  </w:r>
                </w:p>
              </w:tc>
              <w:tc>
                <w:tcPr>
                  <w:tcW w:w="1475" w:type="dxa"/>
                  <w:tcBorders>
                    <w:tl2br w:val="nil"/>
                    <w:tr2bl w:val="nil"/>
                  </w:tcBorders>
                  <w:vAlign w:val="center"/>
                </w:tcPr>
                <w:p>
                  <w:pPr>
                    <w:jc w:val="center"/>
                    <w:rPr>
                      <w:rFonts w:hint="default" w:ascii="Times New Roman" w:hAnsi="Times New Roman" w:eastAsia="宋体" w:cs="Times New Roman"/>
                      <w:lang w:val="en-US" w:eastAsia="zh-CN"/>
                    </w:rPr>
                  </w:pPr>
                  <w:r>
                    <w:rPr>
                      <w:rFonts w:hint="eastAsia" w:cs="Times New Roman"/>
                      <w:lang w:val="en-US" w:eastAsia="zh-CN"/>
                    </w:rPr>
                    <w:t>120</w:t>
                  </w:r>
                </w:p>
              </w:tc>
              <w:tc>
                <w:tcPr>
                  <w:tcW w:w="906" w:type="dxa"/>
                  <w:tcBorders>
                    <w:tl2br w:val="nil"/>
                    <w:tr2bl w:val="nil"/>
                  </w:tcBorders>
                  <w:vAlign w:val="center"/>
                </w:tcPr>
                <w:p>
                  <w:pPr>
                    <w:jc w:val="center"/>
                    <w:rPr>
                      <w:rFonts w:hint="default" w:ascii="Times New Roman" w:hAnsi="Times New Roman" w:eastAsia="宋体" w:cs="Times New Roman"/>
                      <w:lang w:val="en-US" w:eastAsia="zh-CN"/>
                    </w:rPr>
                  </w:pPr>
                  <w:r>
                    <w:rPr>
                      <w:rFonts w:hint="eastAsia" w:cs="Times New Roman"/>
                      <w:lang w:val="en-US" w:eastAsia="zh-CN"/>
                    </w:rPr>
                    <w:t>15m</w:t>
                  </w:r>
                </w:p>
              </w:tc>
              <w:tc>
                <w:tcPr>
                  <w:tcW w:w="1479" w:type="dxa"/>
                  <w:tcBorders>
                    <w:tl2br w:val="nil"/>
                    <w:tr2bl w:val="nil"/>
                  </w:tcBorders>
                  <w:vAlign w:val="center"/>
                </w:tcPr>
                <w:p>
                  <w:pPr>
                    <w:jc w:val="center"/>
                    <w:rPr>
                      <w:rFonts w:hint="default" w:ascii="Times New Roman" w:hAnsi="Times New Roman" w:eastAsia="宋体" w:cs="Times New Roman"/>
                      <w:lang w:val="en-US" w:eastAsia="zh-CN"/>
                    </w:rPr>
                  </w:pPr>
                  <w:r>
                    <w:rPr>
                      <w:rFonts w:hint="eastAsia" w:cs="Times New Roman"/>
                      <w:lang w:val="en-US" w:eastAsia="zh-CN"/>
                    </w:rPr>
                    <w:t>3.5</w:t>
                  </w:r>
                </w:p>
              </w:tc>
              <w:tc>
                <w:tcPr>
                  <w:tcW w:w="1479" w:type="dxa"/>
                  <w:tcBorders>
                    <w:tl2br w:val="nil"/>
                    <w:tr2bl w:val="nil"/>
                  </w:tcBorders>
                  <w:vAlign w:val="center"/>
                </w:tcPr>
                <w:p>
                  <w:pPr>
                    <w:jc w:val="center"/>
                    <w:rPr>
                      <w:rFonts w:hint="default" w:ascii="Times New Roman" w:hAnsi="Times New Roman" w:cs="Times New Roman"/>
                    </w:rPr>
                  </w:pPr>
                  <w:r>
                    <w:rPr>
                      <w:rFonts w:hint="default" w:ascii="Times New Roman" w:hAnsi="Times New Roman" w:cs="Times New Roman"/>
                    </w:rPr>
                    <w:t>周界外浓度最高点</w:t>
                  </w:r>
                </w:p>
              </w:tc>
              <w:tc>
                <w:tcPr>
                  <w:tcW w:w="1480" w:type="dxa"/>
                  <w:tcBorders>
                    <w:tl2br w:val="nil"/>
                    <w:tr2bl w:val="nil"/>
                  </w:tcBorders>
                  <w:vAlign w:val="center"/>
                </w:tcPr>
                <w:p>
                  <w:pPr>
                    <w:jc w:val="center"/>
                    <w:rPr>
                      <w:rFonts w:hint="default" w:ascii="Times New Roman" w:hAnsi="Times New Roman" w:eastAsia="宋体" w:cs="Times New Roman"/>
                      <w:lang w:val="en-US" w:eastAsia="zh-CN"/>
                    </w:rPr>
                  </w:pPr>
                  <w:r>
                    <w:rPr>
                      <w:rFonts w:hint="eastAsia" w:cs="Times New Roman"/>
                      <w:lang w:val="en-US" w:eastAsia="zh-CN"/>
                    </w:rPr>
                    <w:t>1.0</w:t>
                  </w:r>
                </w:p>
              </w:tc>
            </w:tr>
          </w:tbl>
          <w:p>
            <w:pPr>
              <w:keepNext w:val="0"/>
              <w:keepLines w:val="0"/>
              <w:pageBreakBefore w:val="0"/>
              <w:widowControl w:val="0"/>
              <w:suppressLineNumbers w:val="0"/>
              <w:kinsoku/>
              <w:wordWrap/>
              <w:overflowPunct/>
              <w:topLinePunct w:val="0"/>
              <w:autoSpaceDE/>
              <w:autoSpaceDN/>
              <w:bidi w:val="0"/>
              <w:adjustRightInd/>
              <w:snapToGrid/>
              <w:spacing w:before="157" w:beforeLines="50" w:beforeAutospacing="0" w:after="0" w:afterAutospacing="0" w:line="360" w:lineRule="auto"/>
              <w:ind w:left="0" w:right="0" w:firstLine="482" w:firstLineChars="200"/>
              <w:textAlignment w:val="auto"/>
              <w:rPr>
                <w:rFonts w:hint="default" w:ascii="Times New Roman" w:hAnsi="Times New Roman" w:cs="Times New Roman"/>
                <w:b/>
                <w:bCs/>
                <w:sz w:val="24"/>
                <w:szCs w:val="24"/>
              </w:rPr>
            </w:pPr>
            <w:r>
              <w:rPr>
                <w:rFonts w:hint="default" w:ascii="Times New Roman" w:hAnsi="Times New Roman" w:cs="Times New Roman"/>
                <w:b/>
                <w:bCs/>
                <w:sz w:val="24"/>
                <w:szCs w:val="24"/>
              </w:rPr>
              <w:t>（2）废水污染物排放标准</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color w:val="auto"/>
                <w:sz w:val="24"/>
                <w:szCs w:val="24"/>
              </w:rPr>
            </w:pPr>
            <w:r>
              <w:rPr>
                <w:rFonts w:hint="default" w:ascii="Times New Roman" w:hAnsi="Times New Roman" w:cs="Times New Roman"/>
                <w:color w:val="auto"/>
                <w:sz w:val="24"/>
                <w:szCs w:val="24"/>
              </w:rPr>
              <w:t>运营期：项目营运期生产废水经沉淀池沉淀后回用，不外排；生活污水经化粪池处理后用于周边农田菜地施肥，不外排。</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2" w:firstLineChars="200"/>
              <w:textAlignment w:val="auto"/>
              <w:rPr>
                <w:rFonts w:hint="default" w:ascii="Times New Roman" w:hAnsi="Times New Roman" w:cs="Times New Roman"/>
                <w:b/>
                <w:bCs/>
                <w:sz w:val="24"/>
                <w:szCs w:val="24"/>
              </w:rPr>
            </w:pPr>
            <w:r>
              <w:rPr>
                <w:rFonts w:hint="default" w:ascii="Times New Roman" w:hAnsi="Times New Roman" w:cs="Times New Roman"/>
                <w:b/>
                <w:bCs/>
                <w:sz w:val="24"/>
                <w:szCs w:val="24"/>
              </w:rPr>
              <w:t>（3）噪声污染控制标准</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rPr>
            </w:pPr>
            <w:r>
              <w:rPr>
                <w:rFonts w:hint="default" w:ascii="Times New Roman" w:hAnsi="Times New Roman" w:cs="Times New Roman"/>
                <w:sz w:val="24"/>
                <w:szCs w:val="24"/>
              </w:rPr>
              <w:t>本项目施工期噪声执行《建筑施工场界环境噪声排放标准》（GB12523-2011）标准要求。噪声控制标准详见下表：</w:t>
            </w:r>
          </w:p>
          <w:p>
            <w:pPr>
              <w:keepNext w:val="0"/>
              <w:keepLines w:val="0"/>
              <w:suppressLineNumbers w:val="0"/>
              <w:spacing w:before="0" w:beforeAutospacing="0" w:after="0" w:afterAutospacing="0"/>
              <w:ind w:left="0" w:right="0"/>
              <w:jc w:val="center"/>
              <w:rPr>
                <w:b/>
                <w:bCs/>
              </w:rPr>
            </w:pPr>
            <w:r>
              <w:rPr>
                <w:rFonts w:hint="eastAsia"/>
                <w:b/>
                <w:bCs/>
              </w:rPr>
              <w:t>表3-</w:t>
            </w:r>
            <w:r>
              <w:rPr>
                <w:rFonts w:hint="eastAsia"/>
                <w:b/>
                <w:bCs/>
                <w:lang w:val="en-US" w:eastAsia="zh-CN"/>
              </w:rPr>
              <w:t>11</w:t>
            </w:r>
            <w:r>
              <w:rPr>
                <w:b/>
                <w:bCs/>
              </w:rPr>
              <w:t>建筑施工场界环境噪声排放限值单位：dB（A）</w:t>
            </w:r>
          </w:p>
          <w:tbl>
            <w:tblPr>
              <w:tblStyle w:val="21"/>
              <w:tblW w:w="7947"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43"/>
              <w:gridCol w:w="38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4143" w:type="dxa"/>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ascii="Calibri" w:hAnsi="Calibri" w:cs="Times New Roman"/>
                      <w:b/>
                      <w:bCs/>
                      <w:kern w:val="0"/>
                      <w:szCs w:val="21"/>
                    </w:rPr>
                  </w:pPr>
                  <w:r>
                    <w:rPr>
                      <w:rFonts w:hint="eastAsia" w:ascii="Calibri" w:hAnsi="Calibri" w:cs="Times New Roman"/>
                      <w:b/>
                      <w:bCs/>
                      <w:kern w:val="0"/>
                      <w:szCs w:val="21"/>
                    </w:rPr>
                    <w:t>昼间</w:t>
                  </w:r>
                </w:p>
              </w:tc>
              <w:tc>
                <w:tcPr>
                  <w:tcW w:w="3804" w:type="dxa"/>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ascii="Calibri" w:hAnsi="Calibri" w:cs="Times New Roman"/>
                      <w:b/>
                      <w:bCs/>
                      <w:kern w:val="0"/>
                      <w:szCs w:val="21"/>
                    </w:rPr>
                  </w:pPr>
                  <w:r>
                    <w:rPr>
                      <w:rFonts w:hint="eastAsia" w:ascii="Calibri" w:hAnsi="Calibri" w:cs="Times New Roman"/>
                      <w:b/>
                      <w:bCs/>
                      <w:kern w:val="0"/>
                      <w:szCs w:val="21"/>
                    </w:rPr>
                    <w:t>夜间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4143" w:type="dxa"/>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ascii="Calibri" w:hAnsi="Calibri" w:cs="Times New Roman"/>
                      <w:b/>
                      <w:bCs/>
                      <w:kern w:val="0"/>
                      <w:szCs w:val="21"/>
                    </w:rPr>
                  </w:pPr>
                  <w:r>
                    <w:rPr>
                      <w:rFonts w:hint="eastAsia" w:ascii="Calibri" w:hAnsi="Calibri" w:cs="Times New Roman"/>
                    </w:rPr>
                    <w:t>7</w:t>
                  </w:r>
                  <w:r>
                    <w:rPr>
                      <w:rFonts w:ascii="Calibri" w:hAnsi="Calibri" w:cs="Times New Roman"/>
                    </w:rPr>
                    <w:t>0</w:t>
                  </w:r>
                </w:p>
              </w:tc>
              <w:tc>
                <w:tcPr>
                  <w:tcW w:w="3804" w:type="dxa"/>
                  <w:shd w:val="clear" w:color="auto" w:fill="auto"/>
                  <w:noWrap w:val="0"/>
                  <w:vAlign w:val="center"/>
                </w:tcPr>
                <w:p>
                  <w:pPr>
                    <w:keepNext w:val="0"/>
                    <w:keepLines w:val="0"/>
                    <w:suppressLineNumbers w:val="0"/>
                    <w:adjustRightInd w:val="0"/>
                    <w:snapToGrid w:val="0"/>
                    <w:spacing w:before="0" w:beforeAutospacing="0" w:after="0" w:afterAutospacing="0" w:line="276" w:lineRule="auto"/>
                    <w:ind w:left="0" w:right="0"/>
                    <w:jc w:val="center"/>
                    <w:rPr>
                      <w:rFonts w:ascii="Calibri" w:hAnsi="Calibri" w:cs="Times New Roman"/>
                      <w:b/>
                      <w:bCs/>
                      <w:kern w:val="0"/>
                      <w:szCs w:val="21"/>
                    </w:rPr>
                  </w:pPr>
                  <w:r>
                    <w:rPr>
                      <w:rFonts w:ascii="Calibri" w:hAnsi="Calibri" w:cs="Times New Roman"/>
                    </w:rPr>
                    <w:t>55</w:t>
                  </w:r>
                </w:p>
              </w:tc>
            </w:tr>
          </w:tbl>
          <w:p>
            <w:pPr>
              <w:keepNext w:val="0"/>
              <w:keepLines w:val="0"/>
              <w:pageBreakBefore w:val="0"/>
              <w:widowControl w:val="0"/>
              <w:suppressLineNumbers w:val="0"/>
              <w:kinsoku/>
              <w:wordWrap/>
              <w:overflowPunct/>
              <w:topLinePunct w:val="0"/>
              <w:autoSpaceDE/>
              <w:autoSpaceDN/>
              <w:bidi w:val="0"/>
              <w:adjustRightInd/>
              <w:snapToGrid/>
              <w:spacing w:before="157" w:beforeLines="50" w:beforeAutospacing="0" w:after="0" w:afterAutospacing="0" w:line="360" w:lineRule="auto"/>
              <w:ind w:left="0" w:right="0" w:firstLine="480" w:firstLineChars="200"/>
              <w:textAlignment w:val="auto"/>
              <w:rPr>
                <w:rFonts w:hint="default" w:ascii="Times New Roman" w:hAnsi="Times New Roman" w:cs="Times New Roman"/>
                <w:sz w:val="24"/>
                <w:szCs w:val="24"/>
              </w:rPr>
            </w:pPr>
            <w:r>
              <w:rPr>
                <w:rFonts w:hint="default" w:ascii="Times New Roman" w:hAnsi="Times New Roman" w:cs="Times New Roman"/>
                <w:sz w:val="24"/>
                <w:szCs w:val="24"/>
              </w:rPr>
              <w:t>本项目</w:t>
            </w:r>
            <w:r>
              <w:rPr>
                <w:rFonts w:hint="eastAsia" w:ascii="Calibri" w:hAnsi="Calibri" w:cs="Times New Roman"/>
                <w:sz w:val="24"/>
                <w:szCs w:val="24"/>
                <w:lang w:val="en-US" w:eastAsia="zh-CN"/>
              </w:rPr>
              <w:t>运营</w:t>
            </w:r>
            <w:r>
              <w:rPr>
                <w:rFonts w:hint="default" w:ascii="Times New Roman" w:hAnsi="Times New Roman" w:cs="Times New Roman"/>
                <w:sz w:val="24"/>
                <w:szCs w:val="24"/>
              </w:rPr>
              <w:t>期噪声执行《工业企业厂界环境噪声排放标准》（GB12348-2008）中2类标准。噪声控制标准详见下表：</w:t>
            </w:r>
          </w:p>
          <w:p>
            <w:pPr>
              <w:keepNext w:val="0"/>
              <w:keepLines w:val="0"/>
              <w:suppressLineNumbers w:val="0"/>
              <w:spacing w:before="0" w:beforeAutospacing="0" w:after="0" w:afterAutospacing="0"/>
              <w:ind w:left="0" w:right="0"/>
              <w:jc w:val="center"/>
              <w:rPr>
                <w:b/>
                <w:bCs/>
              </w:rPr>
            </w:pPr>
            <w:r>
              <w:rPr>
                <w:b/>
                <w:bCs/>
              </w:rPr>
              <w:t>表</w:t>
            </w:r>
            <w:r>
              <w:rPr>
                <w:rFonts w:hint="eastAsia"/>
                <w:b/>
                <w:bCs/>
              </w:rPr>
              <w:t>3-1</w:t>
            </w:r>
            <w:r>
              <w:rPr>
                <w:rFonts w:hint="eastAsia"/>
                <w:b/>
                <w:bCs/>
                <w:lang w:val="en-US" w:eastAsia="zh-CN"/>
              </w:rPr>
              <w:t xml:space="preserve">2 </w:t>
            </w:r>
            <w:r>
              <w:rPr>
                <w:b/>
                <w:bCs/>
              </w:rPr>
              <w:t>工业企业厂界环境噪声排放标准单位：LeqdB（A）</w:t>
            </w:r>
          </w:p>
          <w:tbl>
            <w:tblPr>
              <w:tblStyle w:val="21"/>
              <w:tblW w:w="8027" w:type="dxa"/>
              <w:jc w:val="center"/>
              <w:tblInd w:w="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2676"/>
              <w:gridCol w:w="2675"/>
              <w:gridCol w:w="2676"/>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60" w:hRule="atLeast"/>
                <w:jc w:val="center"/>
              </w:trPr>
              <w:tc>
                <w:tcPr>
                  <w:tcW w:w="2676" w:type="dxa"/>
                  <w:shd w:val="clear" w:color="auto" w:fill="auto"/>
                  <w:vAlign w:val="center"/>
                </w:tcPr>
                <w:p>
                  <w:pPr>
                    <w:keepNext w:val="0"/>
                    <w:keepLines w:val="0"/>
                    <w:suppressLineNumbers w:val="0"/>
                    <w:spacing w:before="0" w:beforeAutospacing="0" w:after="0" w:afterAutospacing="0"/>
                    <w:ind w:left="0" w:right="0"/>
                    <w:jc w:val="center"/>
                    <w:rPr>
                      <w:rFonts w:ascii="Calibri" w:hAnsi="Calibri" w:cs="Times New Roman"/>
                      <w:b/>
                      <w:szCs w:val="21"/>
                    </w:rPr>
                  </w:pPr>
                  <w:r>
                    <w:rPr>
                      <w:rFonts w:ascii="Calibri" w:hAnsi="Calibri" w:cs="Times New Roman"/>
                      <w:b/>
                      <w:szCs w:val="21"/>
                    </w:rPr>
                    <w:t>类别</w:t>
                  </w:r>
                </w:p>
              </w:tc>
              <w:tc>
                <w:tcPr>
                  <w:tcW w:w="2675" w:type="dxa"/>
                  <w:shd w:val="clear" w:color="auto" w:fill="auto"/>
                  <w:vAlign w:val="center"/>
                </w:tcPr>
                <w:p>
                  <w:pPr>
                    <w:keepNext w:val="0"/>
                    <w:keepLines w:val="0"/>
                    <w:suppressLineNumbers w:val="0"/>
                    <w:spacing w:before="0" w:beforeAutospacing="0" w:after="0" w:afterAutospacing="0"/>
                    <w:ind w:left="0" w:right="0"/>
                    <w:jc w:val="center"/>
                    <w:rPr>
                      <w:rFonts w:ascii="Calibri" w:hAnsi="Calibri" w:cs="Times New Roman"/>
                      <w:b/>
                      <w:szCs w:val="21"/>
                    </w:rPr>
                  </w:pPr>
                  <w:r>
                    <w:rPr>
                      <w:rFonts w:ascii="Calibri" w:hAnsi="Calibri" w:cs="Times New Roman"/>
                      <w:b/>
                      <w:szCs w:val="21"/>
                    </w:rPr>
                    <w:t>昼间</w:t>
                  </w:r>
                </w:p>
              </w:tc>
              <w:tc>
                <w:tcPr>
                  <w:tcW w:w="2676" w:type="dxa"/>
                  <w:shd w:val="clear" w:color="auto" w:fill="auto"/>
                  <w:vAlign w:val="center"/>
                </w:tcPr>
                <w:p>
                  <w:pPr>
                    <w:keepNext w:val="0"/>
                    <w:keepLines w:val="0"/>
                    <w:suppressLineNumbers w:val="0"/>
                    <w:spacing w:before="0" w:beforeAutospacing="0" w:after="0" w:afterAutospacing="0"/>
                    <w:ind w:left="0" w:right="0"/>
                    <w:jc w:val="center"/>
                    <w:rPr>
                      <w:rFonts w:ascii="Calibri" w:hAnsi="Calibri" w:cs="Times New Roman"/>
                      <w:b/>
                      <w:szCs w:val="21"/>
                    </w:rPr>
                  </w:pPr>
                  <w:r>
                    <w:rPr>
                      <w:rFonts w:ascii="Calibri" w:hAnsi="Calibri" w:cs="Times New Roman"/>
                      <w:b/>
                      <w:szCs w:val="21"/>
                    </w:rPr>
                    <w:t>夜间</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Ex>
              <w:trPr>
                <w:jc w:val="center"/>
              </w:trPr>
              <w:tc>
                <w:tcPr>
                  <w:tcW w:w="2676" w:type="dxa"/>
                  <w:shd w:val="clear" w:color="auto" w:fill="auto"/>
                  <w:vAlign w:val="center"/>
                </w:tcPr>
                <w:p>
                  <w:pPr>
                    <w:keepNext w:val="0"/>
                    <w:keepLines w:val="0"/>
                    <w:suppressLineNumbers w:val="0"/>
                    <w:spacing w:before="0" w:beforeAutospacing="0" w:after="0" w:afterAutospacing="0"/>
                    <w:ind w:left="0" w:right="0"/>
                    <w:jc w:val="center"/>
                    <w:rPr>
                      <w:rFonts w:ascii="Calibri" w:hAnsi="Calibri" w:cs="Times New Roman"/>
                      <w:szCs w:val="21"/>
                    </w:rPr>
                  </w:pPr>
                  <w:r>
                    <w:rPr>
                      <w:rFonts w:hint="eastAsia" w:ascii="Calibri" w:hAnsi="Calibri" w:cs="Times New Roman"/>
                      <w:szCs w:val="21"/>
                      <w:lang w:val="en-US" w:eastAsia="zh-CN"/>
                    </w:rPr>
                    <w:t>2</w:t>
                  </w:r>
                  <w:r>
                    <w:rPr>
                      <w:rFonts w:ascii="Calibri" w:hAnsi="Calibri" w:cs="Times New Roman"/>
                      <w:szCs w:val="21"/>
                    </w:rPr>
                    <w:t>类</w:t>
                  </w:r>
                </w:p>
              </w:tc>
              <w:tc>
                <w:tcPr>
                  <w:tcW w:w="2675" w:type="dxa"/>
                  <w:shd w:val="clear" w:color="auto" w:fill="auto"/>
                  <w:vAlign w:val="center"/>
                </w:tcPr>
                <w:p>
                  <w:pPr>
                    <w:keepNext w:val="0"/>
                    <w:keepLines w:val="0"/>
                    <w:suppressLineNumbers w:val="0"/>
                    <w:spacing w:before="0" w:beforeAutospacing="0" w:after="0" w:afterAutospacing="0"/>
                    <w:ind w:left="0" w:right="0"/>
                    <w:jc w:val="center"/>
                    <w:rPr>
                      <w:rFonts w:hint="default" w:ascii="Calibri" w:hAnsi="Calibri" w:eastAsia="宋体" w:cs="Times New Roman"/>
                      <w:szCs w:val="21"/>
                      <w:lang w:val="en-US" w:eastAsia="zh-CN"/>
                    </w:rPr>
                  </w:pPr>
                  <w:r>
                    <w:rPr>
                      <w:rFonts w:hint="eastAsia" w:ascii="Calibri" w:hAnsi="Calibri" w:cs="Times New Roman"/>
                      <w:szCs w:val="21"/>
                      <w:lang w:val="en-US" w:eastAsia="zh-CN"/>
                    </w:rPr>
                    <w:t>60</w:t>
                  </w:r>
                </w:p>
              </w:tc>
              <w:tc>
                <w:tcPr>
                  <w:tcW w:w="2676" w:type="dxa"/>
                  <w:shd w:val="clear" w:color="auto" w:fill="auto"/>
                  <w:vAlign w:val="center"/>
                </w:tcPr>
                <w:p>
                  <w:pPr>
                    <w:keepNext w:val="0"/>
                    <w:keepLines w:val="0"/>
                    <w:suppressLineNumbers w:val="0"/>
                    <w:spacing w:before="0" w:beforeAutospacing="0" w:after="0" w:afterAutospacing="0"/>
                    <w:ind w:left="0" w:right="0"/>
                    <w:jc w:val="center"/>
                    <w:rPr>
                      <w:rFonts w:hint="default" w:ascii="Calibri" w:hAnsi="Calibri" w:eastAsia="宋体" w:cs="Times New Roman"/>
                      <w:szCs w:val="21"/>
                      <w:lang w:val="en-US" w:eastAsia="zh-CN"/>
                    </w:rPr>
                  </w:pPr>
                  <w:r>
                    <w:rPr>
                      <w:rFonts w:hint="eastAsia" w:ascii="Calibri" w:hAnsi="Calibri" w:cs="Times New Roman"/>
                      <w:szCs w:val="21"/>
                      <w:lang w:val="en-US" w:eastAsia="zh-CN"/>
                    </w:rPr>
                    <w:t>50</w:t>
                  </w:r>
                </w:p>
              </w:tc>
            </w:tr>
          </w:tbl>
          <w:p>
            <w:pPr>
              <w:keepNext w:val="0"/>
              <w:keepLines w:val="0"/>
              <w:pageBreakBefore w:val="0"/>
              <w:widowControl w:val="0"/>
              <w:suppressLineNumbers w:val="0"/>
              <w:kinsoku/>
              <w:wordWrap/>
              <w:overflowPunct/>
              <w:topLinePunct w:val="0"/>
              <w:autoSpaceDE/>
              <w:autoSpaceDN/>
              <w:bidi w:val="0"/>
              <w:adjustRightInd/>
              <w:snapToGrid/>
              <w:spacing w:before="157" w:beforeLines="50" w:beforeAutospacing="0" w:after="0" w:afterAutospacing="0" w:line="360" w:lineRule="auto"/>
              <w:ind w:left="0" w:right="0" w:firstLine="482" w:firstLineChars="200"/>
              <w:textAlignment w:val="auto"/>
              <w:rPr>
                <w:rFonts w:hint="default" w:ascii="Times New Roman" w:hAnsi="Times New Roman" w:cs="Times New Roman"/>
                <w:b/>
                <w:bCs/>
                <w:sz w:val="24"/>
                <w:szCs w:val="24"/>
              </w:rPr>
            </w:pPr>
            <w:r>
              <w:rPr>
                <w:rFonts w:hint="default" w:ascii="Times New Roman" w:hAnsi="Times New Roman" w:cs="Times New Roman"/>
                <w:b/>
                <w:bCs/>
                <w:sz w:val="24"/>
                <w:szCs w:val="24"/>
              </w:rPr>
              <w:t>（4）固体污染物控制标准</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default" w:ascii="Times New Roman" w:hAnsi="Times New Roman" w:cs="Times New Roman"/>
                <w:color w:val="000000"/>
                <w:kern w:val="0"/>
                <w:sz w:val="24"/>
                <w:szCs w:val="24"/>
              </w:rPr>
            </w:pPr>
            <w:r>
              <w:rPr>
                <w:rFonts w:hint="eastAsia" w:ascii="Times New Roman" w:hAnsi="Times New Roman" w:cs="Times New Roman"/>
                <w:sz w:val="24"/>
                <w:szCs w:val="24"/>
                <w:lang w:val="en-US" w:eastAsia="zh-CN"/>
              </w:rPr>
              <w:t>本项目</w:t>
            </w:r>
            <w:r>
              <w:rPr>
                <w:rFonts w:hint="default" w:ascii="Times New Roman" w:hAnsi="Times New Roman" w:cs="Times New Roman"/>
                <w:sz w:val="24"/>
                <w:szCs w:val="24"/>
              </w:rPr>
              <w:t>生活垃圾</w:t>
            </w:r>
            <w:r>
              <w:rPr>
                <w:rFonts w:hint="eastAsia" w:ascii="Times New Roman" w:hAnsi="Times New Roman" w:cs="Times New Roman"/>
                <w:sz w:val="24"/>
                <w:szCs w:val="24"/>
                <w:lang w:val="en-US" w:eastAsia="zh-CN"/>
              </w:rPr>
              <w:t>统一收集，委托环卫部门定期清理</w:t>
            </w:r>
            <w:r>
              <w:rPr>
                <w:rFonts w:hint="default" w:ascii="Times New Roman" w:hAnsi="Times New Roman" w:cs="Times New Roman"/>
                <w:sz w:val="24"/>
                <w:szCs w:val="24"/>
              </w:rPr>
              <w:t>；建筑垃圾固体废物均执行《一般工业固体废物贮存和填埋污染控制标准》(GB18599-2020)，危险废物执行《危险废物贮存污染控制标准》（GB18597-2023）。</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1879" w:hRule="atLeast"/>
          <w:jc w:val="center"/>
        </w:trPr>
        <w:tc>
          <w:tcPr>
            <w:tcW w:w="904" w:type="dxa"/>
            <w:noWrap w:val="0"/>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000000"/>
                <w:kern w:val="0"/>
                <w:sz w:val="24"/>
                <w:szCs w:val="24"/>
              </w:rPr>
            </w:pPr>
            <w:r>
              <w:rPr>
                <w:rFonts w:hint="default" w:ascii="Times New Roman" w:hAnsi="Times New Roman" w:cs="Times New Roman"/>
                <w:color w:val="000000"/>
                <w:kern w:val="0"/>
                <w:sz w:val="24"/>
                <w:szCs w:val="24"/>
              </w:rPr>
              <w:t>其他</w:t>
            </w:r>
          </w:p>
        </w:tc>
        <w:tc>
          <w:tcPr>
            <w:tcW w:w="8253" w:type="dxa"/>
            <w:noWrap w:val="0"/>
            <w:vAlign w:val="center"/>
          </w:tcPr>
          <w:p>
            <w:pPr>
              <w:keepNext w:val="0"/>
              <w:keepLines w:val="0"/>
              <w:suppressLineNumbers w:val="0"/>
              <w:adjustRightInd w:val="0"/>
              <w:snapToGrid w:val="0"/>
              <w:spacing w:before="0" w:beforeAutospacing="0" w:after="0" w:afterAutospacing="0"/>
              <w:ind w:left="0" w:right="0"/>
              <w:jc w:val="center"/>
              <w:rPr>
                <w:rFonts w:hint="eastAsia" w:ascii="Times New Roman" w:hAnsi="Times New Roman" w:eastAsia="宋体" w:cs="Times New Roman"/>
                <w:color w:val="000000"/>
                <w:kern w:val="0"/>
                <w:sz w:val="24"/>
                <w:szCs w:val="24"/>
                <w:lang w:val="en-US" w:eastAsia="zh-CN"/>
              </w:rPr>
            </w:pPr>
            <w:r>
              <w:rPr>
                <w:rFonts w:hint="eastAsia" w:ascii="Calibri" w:hAnsi="Calibri" w:cs="Times New Roman"/>
                <w:lang w:val="en-US" w:eastAsia="zh-CN"/>
              </w:rPr>
              <w:t>无</w:t>
            </w:r>
          </w:p>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000000"/>
                <w:kern w:val="0"/>
                <w:sz w:val="24"/>
                <w:szCs w:val="24"/>
              </w:rPr>
            </w:pPr>
          </w:p>
        </w:tc>
      </w:tr>
    </w:tbl>
    <w:p>
      <w:pPr>
        <w:rPr>
          <w:rFonts w:hint="default" w:ascii="Times New Roman" w:hAnsi="Times New Roman" w:eastAsia="黑体" w:cs="Times New Roman"/>
          <w:snapToGrid w:val="0"/>
          <w:color w:val="000000"/>
          <w:sz w:val="30"/>
          <w:szCs w:val="30"/>
        </w:rPr>
      </w:pPr>
      <w:bookmarkStart w:id="19" w:name="_Toc9427"/>
      <w:bookmarkStart w:id="20" w:name="_Toc4626"/>
      <w:bookmarkStart w:id="21" w:name="_Toc24788"/>
      <w:bookmarkStart w:id="22" w:name="_Toc11088"/>
      <w:bookmarkStart w:id="23" w:name="_Toc15579"/>
      <w:r>
        <w:rPr>
          <w:rFonts w:hint="default" w:ascii="Times New Roman" w:hAnsi="Times New Roman" w:eastAsia="黑体" w:cs="Times New Roman"/>
          <w:snapToGrid w:val="0"/>
          <w:color w:val="000000"/>
          <w:sz w:val="30"/>
          <w:szCs w:val="30"/>
        </w:rPr>
        <w:br w:type="page"/>
      </w:r>
    </w:p>
    <w:p>
      <w:pPr>
        <w:pStyle w:val="16"/>
        <w:jc w:val="center"/>
        <w:outlineLvl w:val="0"/>
        <w:rPr>
          <w:rFonts w:hint="default" w:ascii="Times New Roman" w:hAnsi="Times New Roman" w:eastAsia="黑体" w:cs="Times New Roman"/>
          <w:snapToGrid w:val="0"/>
          <w:color w:val="000000"/>
          <w:sz w:val="30"/>
          <w:szCs w:val="30"/>
        </w:rPr>
      </w:pPr>
      <w:bookmarkStart w:id="24" w:name="_Toc30437"/>
      <w:r>
        <w:rPr>
          <w:rFonts w:hint="default" w:ascii="Times New Roman" w:hAnsi="Times New Roman" w:eastAsia="黑体" w:cs="Times New Roman"/>
          <w:snapToGrid w:val="0"/>
          <w:color w:val="000000"/>
          <w:sz w:val="30"/>
          <w:szCs w:val="30"/>
        </w:rPr>
        <w:t>四、生态环境影响分析</w:t>
      </w:r>
      <w:bookmarkEnd w:id="19"/>
      <w:bookmarkEnd w:id="20"/>
      <w:bookmarkEnd w:id="21"/>
      <w:bookmarkEnd w:id="22"/>
      <w:bookmarkEnd w:id="23"/>
      <w:bookmarkEnd w:id="24"/>
    </w:p>
    <w:tbl>
      <w:tblPr>
        <w:tblStyle w:val="21"/>
        <w:tblW w:w="9242" w:type="dxa"/>
        <w:jc w:val="center"/>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66"/>
        <w:gridCol w:w="8376"/>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2754" w:hRule="atLeast"/>
          <w:jc w:val="center"/>
        </w:trPr>
        <w:tc>
          <w:tcPr>
            <w:tcW w:w="866" w:type="dxa"/>
            <w:noWrap w:val="0"/>
            <w:tcMar>
              <w:left w:w="28" w:type="dxa"/>
              <w:right w:w="28" w:type="dxa"/>
            </w:tcMar>
            <w:vAlign w:val="center"/>
          </w:tcPr>
          <w:p>
            <w:pPr>
              <w:pStyle w:val="16"/>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color w:val="000000"/>
                <w:kern w:val="2"/>
                <w:sz w:val="24"/>
                <w:szCs w:val="24"/>
              </w:rPr>
            </w:pPr>
            <w:bookmarkStart w:id="25" w:name="_Hlk49796138"/>
            <w:r>
              <w:rPr>
                <w:rFonts w:hint="default" w:ascii="Times New Roman" w:hAnsi="Times New Roman" w:cs="Times New Roman"/>
                <w:bCs/>
                <w:color w:val="000000"/>
                <w:spacing w:val="10"/>
                <w:kern w:val="2"/>
                <w:sz w:val="24"/>
                <w:szCs w:val="24"/>
              </w:rPr>
              <w:t>施工期生态环境影响分析</w:t>
            </w:r>
            <w:bookmarkEnd w:id="25"/>
          </w:p>
        </w:tc>
        <w:tc>
          <w:tcPr>
            <w:tcW w:w="8376" w:type="dxa"/>
            <w:noWrap w:val="0"/>
            <w:vAlign w:val="top"/>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default" w:ascii="Times New Roman" w:hAnsi="Times New Roman" w:eastAsia="宋体" w:cs="Times New Roman"/>
                <w:b w:val="0"/>
                <w:bCs/>
                <w:sz w:val="24"/>
                <w:szCs w:val="24"/>
                <w:lang w:val="en-US" w:eastAsia="zh-CN"/>
              </w:rPr>
            </w:pPr>
            <w:r>
              <w:rPr>
                <w:rFonts w:hint="default" w:ascii="Times New Roman" w:hAnsi="Times New Roman" w:cs="Times New Roman"/>
                <w:b w:val="0"/>
                <w:bCs/>
                <w:sz w:val="24"/>
                <w:szCs w:val="24"/>
                <w:lang w:val="en-US" w:eastAsia="zh-CN"/>
              </w:rPr>
              <w:t>本项目主体工程施工期已经完成，本次施工期主要针对新增临时用地，包括表土堆场以及</w:t>
            </w:r>
            <w:r>
              <w:rPr>
                <w:rFonts w:hint="eastAsia" w:cs="Times New Roman"/>
                <w:b w:val="0"/>
                <w:bCs/>
                <w:sz w:val="24"/>
                <w:szCs w:val="24"/>
                <w:lang w:val="en-US" w:eastAsia="zh-CN"/>
              </w:rPr>
              <w:t>成品中转堆场</w:t>
            </w:r>
            <w:r>
              <w:rPr>
                <w:rFonts w:hint="default" w:ascii="Times New Roman" w:hAnsi="Times New Roman" w:cs="Times New Roman"/>
                <w:b w:val="0"/>
                <w:bCs/>
                <w:sz w:val="24"/>
                <w:szCs w:val="24"/>
                <w:lang w:val="en-US" w:eastAsia="zh-CN"/>
              </w:rPr>
              <w:t>的表土剥离，以及堆场护坡等工程。</w:t>
            </w:r>
          </w:p>
          <w:p>
            <w:pPr>
              <w:keepNext w:val="0"/>
              <w:keepLines w:val="0"/>
              <w:suppressLineNumbers w:val="0"/>
              <w:adjustRightInd w:val="0"/>
              <w:snapToGrid w:val="0"/>
              <w:spacing w:before="0" w:beforeAutospacing="0" w:after="0" w:afterAutospacing="0"/>
              <w:ind w:left="0" w:right="0" w:firstLine="482" w:firstLineChars="200"/>
              <w:rPr>
                <w:rFonts w:hint="default" w:ascii="Times New Roman" w:hAnsi="Times New Roman" w:cs="Times New Roman"/>
                <w:b/>
                <w:bCs w:val="0"/>
                <w:color w:val="000000" w:themeColor="text1"/>
                <w:sz w:val="24"/>
                <w:szCs w:val="24"/>
                <w:lang w:val="en-US" w:eastAsia="zh-CN"/>
                <w14:textFill>
                  <w14:solidFill>
                    <w14:schemeClr w14:val="tx1"/>
                  </w14:solidFill>
                </w14:textFill>
              </w:rPr>
            </w:pPr>
            <w:r>
              <w:rPr>
                <w:rFonts w:hint="default" w:ascii="Times New Roman" w:hAnsi="Times New Roman" w:cs="Times New Roman"/>
                <w:b/>
                <w:bCs w:val="0"/>
                <w:color w:val="000000" w:themeColor="text1"/>
                <w:sz w:val="24"/>
                <w:szCs w:val="24"/>
                <w14:textFill>
                  <w14:solidFill>
                    <w14:schemeClr w14:val="tx1"/>
                  </w14:solidFill>
                </w14:textFill>
              </w:rPr>
              <w:t>4.</w:t>
            </w:r>
            <w:r>
              <w:rPr>
                <w:rFonts w:hint="default" w:ascii="Times New Roman" w:hAnsi="Times New Roman" w:cs="Times New Roman"/>
                <w:b/>
                <w:bCs w:val="0"/>
                <w:color w:val="000000" w:themeColor="text1"/>
                <w:sz w:val="24"/>
                <w:szCs w:val="24"/>
                <w:lang w:val="en-US" w:eastAsia="zh-CN"/>
                <w14:textFill>
                  <w14:solidFill>
                    <w14:schemeClr w14:val="tx1"/>
                  </w14:solidFill>
                </w14:textFill>
              </w:rPr>
              <w:t>1施工期大气环境影响分析</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 w:val="0"/>
                <w:bCs/>
                <w:color w:val="000000" w:themeColor="text1"/>
                <w:sz w:val="24"/>
                <w:szCs w:val="24"/>
                <w:lang w:val="en-US" w:eastAsia="zh-CN"/>
                <w14:textFill>
                  <w14:solidFill>
                    <w14:schemeClr w14:val="tx1"/>
                  </w14:solidFill>
                </w14:textFill>
              </w:rPr>
            </w:pPr>
            <w:r>
              <w:rPr>
                <w:rFonts w:hint="default" w:ascii="Times New Roman" w:hAnsi="Times New Roman" w:cs="Times New Roman"/>
                <w:b w:val="0"/>
                <w:bCs/>
                <w:color w:val="000000" w:themeColor="text1"/>
                <w:sz w:val="24"/>
                <w:szCs w:val="24"/>
                <w:lang w:val="en-US" w:eastAsia="zh-CN"/>
                <w14:textFill>
                  <w14:solidFill>
                    <w14:schemeClr w14:val="tx1"/>
                  </w14:solidFill>
                </w14:textFill>
              </w:rPr>
              <w:t>施工期的大气污染物主要来源于施工扬尘、施工机械和运输车辆产生废气以及运输粉尘。</w:t>
            </w:r>
          </w:p>
          <w:p>
            <w:pPr>
              <w:keepNext w:val="0"/>
              <w:keepLines w:val="0"/>
              <w:suppressLineNumbers w:val="0"/>
              <w:adjustRightInd w:val="0"/>
              <w:snapToGrid w:val="0"/>
              <w:spacing w:before="0" w:beforeAutospacing="0" w:after="0" w:afterAutospacing="0" w:line="360" w:lineRule="auto"/>
              <w:ind w:left="0" w:right="0" w:firstLine="482" w:firstLineChars="200"/>
              <w:rPr>
                <w:rFonts w:hint="default" w:ascii="Times New Roman" w:hAnsi="Times New Roman" w:cs="Times New Roman"/>
                <w:b/>
                <w:bCs w:val="0"/>
                <w:color w:val="000000" w:themeColor="text1"/>
                <w:sz w:val="24"/>
                <w:szCs w:val="24"/>
                <w:lang w:val="en-US" w:eastAsia="zh-CN"/>
                <w14:textFill>
                  <w14:solidFill>
                    <w14:schemeClr w14:val="tx1"/>
                  </w14:solidFill>
                </w14:textFill>
              </w:rPr>
            </w:pPr>
            <w:r>
              <w:rPr>
                <w:rFonts w:hint="default" w:ascii="Times New Roman" w:hAnsi="Times New Roman" w:cs="Times New Roman"/>
                <w:b/>
                <w:bCs w:val="0"/>
                <w:color w:val="000000" w:themeColor="text1"/>
                <w:sz w:val="24"/>
                <w:szCs w:val="24"/>
                <w:lang w:val="en-US" w:eastAsia="zh-CN"/>
                <w14:textFill>
                  <w14:solidFill>
                    <w14:schemeClr w14:val="tx1"/>
                  </w14:solidFill>
                </w14:textFill>
              </w:rPr>
              <w:t>①施工扬尘</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 w:val="0"/>
                <w:bCs/>
                <w:color w:val="000000" w:themeColor="text1"/>
                <w:sz w:val="24"/>
                <w:szCs w:val="24"/>
                <w:lang w:val="en-US" w:eastAsia="zh-CN"/>
                <w14:textFill>
                  <w14:solidFill>
                    <w14:schemeClr w14:val="tx1"/>
                  </w14:solidFill>
                </w14:textFill>
              </w:rPr>
            </w:pPr>
            <w:r>
              <w:rPr>
                <w:rFonts w:hint="default" w:ascii="Times New Roman" w:hAnsi="Times New Roman" w:cs="Times New Roman"/>
                <w:b w:val="0"/>
                <w:bCs/>
                <w:color w:val="000000" w:themeColor="text1"/>
                <w:sz w:val="24"/>
                <w:szCs w:val="24"/>
                <w:lang w:val="en-US" w:eastAsia="zh-CN"/>
                <w14:textFill>
                  <w14:solidFill>
                    <w14:schemeClr w14:val="tx1"/>
                  </w14:solidFill>
                </w14:textFill>
              </w:rPr>
              <w:t>施工扬尘的一种情况是露天堆场和裸露场地的风力扬尘，由于施工需要，一些建材需露天堆放，一些施工点表层土壤需人工开挖、堆放，在气候干燥又有风的情况下，会产生扬尘，其扬尘量可按堆场起尘的经验公式计算：：</w:t>
            </w:r>
          </w:p>
          <w:p>
            <w:pPr>
              <w:keepNext w:val="0"/>
              <w:keepLines w:val="0"/>
              <w:pageBreakBefore w:val="0"/>
              <w:widowControl w:val="0"/>
              <w:suppressLineNumbers w:val="0"/>
              <w:kinsoku/>
              <w:wordWrap/>
              <w:overflowPunct/>
              <w:topLinePunct w:val="0"/>
              <w:autoSpaceDE/>
              <w:autoSpaceDN/>
              <w:bidi w:val="0"/>
              <w:adjustRightInd w:val="0"/>
              <w:snapToGrid w:val="0"/>
              <w:spacing w:before="157" w:beforeLines="50" w:beforeAutospacing="0" w:after="157" w:afterLines="50" w:afterAutospacing="0" w:line="360" w:lineRule="auto"/>
              <w:ind w:left="0" w:right="0"/>
              <w:jc w:val="center"/>
              <w:textAlignment w:val="auto"/>
              <w:rPr>
                <w:rFonts w:hint="default" w:ascii="Times New Roman" w:hAnsi="Times New Roman" w:cs="Times New Roman"/>
                <w:b w:val="0"/>
                <w:bCs/>
                <w:color w:val="000000" w:themeColor="text1"/>
                <w:sz w:val="24"/>
                <w:szCs w:val="24"/>
                <w:lang w:val="en-US" w:eastAsia="zh-CN"/>
                <w14:textFill>
                  <w14:solidFill>
                    <w14:schemeClr w14:val="tx1"/>
                  </w14:solidFill>
                </w14:textFill>
              </w:rPr>
            </w:pPr>
            <w:r>
              <w:rPr>
                <w:rFonts w:hint="default" w:ascii="Times New Roman" w:hAnsi="Times New Roman" w:cs="Times New Roman"/>
                <w:b w:val="0"/>
                <w:bCs/>
                <w:color w:val="000000" w:themeColor="text1"/>
                <w:sz w:val="24"/>
                <w:szCs w:val="24"/>
                <w:lang w:val="en-US" w:eastAsia="zh-CN"/>
                <w14:textFill>
                  <w14:solidFill>
                    <w14:schemeClr w14:val="tx1"/>
                  </w14:solidFill>
                </w14:textFill>
              </w:rPr>
              <w:t>Q=2.1(V50-V0)</w:t>
            </w:r>
            <w:r>
              <w:rPr>
                <w:rFonts w:hint="default" w:ascii="Times New Roman" w:hAnsi="Times New Roman" w:cs="Times New Roman"/>
                <w:b w:val="0"/>
                <w:bCs/>
                <w:color w:val="000000" w:themeColor="text1"/>
                <w:sz w:val="24"/>
                <w:szCs w:val="24"/>
                <w:vertAlign w:val="superscript"/>
                <w:lang w:val="en-US" w:eastAsia="zh-CN"/>
                <w14:textFill>
                  <w14:solidFill>
                    <w14:schemeClr w14:val="tx1"/>
                  </w14:solidFill>
                </w14:textFill>
              </w:rPr>
              <w:t>3</w:t>
            </w:r>
            <w:r>
              <w:rPr>
                <w:rFonts w:hint="default" w:ascii="Times New Roman" w:hAnsi="Times New Roman" w:cs="Times New Roman"/>
                <w:b w:val="0"/>
                <w:bCs/>
                <w:color w:val="000000" w:themeColor="text1"/>
                <w:sz w:val="24"/>
                <w:szCs w:val="24"/>
                <w:lang w:val="en-US" w:eastAsia="zh-CN"/>
                <w14:textFill>
                  <w14:solidFill>
                    <w14:schemeClr w14:val="tx1"/>
                  </w14:solidFill>
                </w14:textFill>
              </w:rPr>
              <w:t>e</w:t>
            </w:r>
            <w:r>
              <w:rPr>
                <w:rFonts w:hint="default" w:ascii="Times New Roman" w:hAnsi="Times New Roman" w:cs="Times New Roman"/>
                <w:b w:val="0"/>
                <w:bCs/>
                <w:color w:val="000000" w:themeColor="text1"/>
                <w:sz w:val="24"/>
                <w:szCs w:val="24"/>
                <w:vertAlign w:val="superscript"/>
                <w:lang w:val="en-US" w:eastAsia="zh-CN"/>
                <w14:textFill>
                  <w14:solidFill>
                    <w14:schemeClr w14:val="tx1"/>
                  </w14:solidFill>
                </w14:textFill>
              </w:rPr>
              <w:t>-1.023W</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 w:val="0"/>
                <w:bCs/>
                <w:color w:val="000000" w:themeColor="text1"/>
                <w:sz w:val="24"/>
                <w:szCs w:val="24"/>
                <w:lang w:val="en-US" w:eastAsia="zh-CN"/>
                <w14:textFill>
                  <w14:solidFill>
                    <w14:schemeClr w14:val="tx1"/>
                  </w14:solidFill>
                </w14:textFill>
              </w:rPr>
            </w:pPr>
            <w:r>
              <w:rPr>
                <w:rFonts w:hint="default" w:ascii="Times New Roman" w:hAnsi="Times New Roman" w:cs="Times New Roman"/>
                <w:b w:val="0"/>
                <w:bCs/>
                <w:color w:val="000000" w:themeColor="text1"/>
                <w:sz w:val="24"/>
                <w:szCs w:val="24"/>
                <w:lang w:val="en-US" w:eastAsia="zh-CN"/>
                <w14:textFill>
                  <w14:solidFill>
                    <w14:schemeClr w14:val="tx1"/>
                  </w14:solidFill>
                </w14:textFill>
              </w:rPr>
              <w:t>其中：Q——起尘量，kg/t·a；</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 w:val="0"/>
                <w:bCs/>
                <w:color w:val="000000" w:themeColor="text1"/>
                <w:sz w:val="24"/>
                <w:szCs w:val="24"/>
                <w:lang w:val="en-US" w:eastAsia="zh-CN"/>
                <w14:textFill>
                  <w14:solidFill>
                    <w14:schemeClr w14:val="tx1"/>
                  </w14:solidFill>
                </w14:textFill>
              </w:rPr>
            </w:pPr>
            <w:r>
              <w:rPr>
                <w:rFonts w:hint="default" w:ascii="Times New Roman" w:hAnsi="Times New Roman" w:cs="Times New Roman"/>
                <w:b w:val="0"/>
                <w:bCs/>
                <w:color w:val="000000" w:themeColor="text1"/>
                <w:sz w:val="24"/>
                <w:szCs w:val="24"/>
                <w:lang w:val="en-US" w:eastAsia="zh-CN"/>
                <w14:textFill>
                  <w14:solidFill>
                    <w14:schemeClr w14:val="tx1"/>
                  </w14:solidFill>
                </w14:textFill>
              </w:rPr>
              <w:t>V50——距地面50m处风速，m/s；V0——起尘风速，m/s；</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 w:val="0"/>
                <w:bCs/>
                <w:color w:val="000000" w:themeColor="text1"/>
                <w:sz w:val="24"/>
                <w:szCs w:val="24"/>
                <w:lang w:val="en-US" w:eastAsia="zh-CN"/>
                <w14:textFill>
                  <w14:solidFill>
                    <w14:schemeClr w14:val="tx1"/>
                  </w14:solidFill>
                </w14:textFill>
              </w:rPr>
            </w:pPr>
            <w:r>
              <w:rPr>
                <w:rFonts w:hint="default" w:ascii="Times New Roman" w:hAnsi="Times New Roman" w:cs="Times New Roman"/>
                <w:b w:val="0"/>
                <w:bCs/>
                <w:color w:val="000000" w:themeColor="text1"/>
                <w:sz w:val="24"/>
                <w:szCs w:val="24"/>
                <w:lang w:val="en-US" w:eastAsia="zh-CN"/>
                <w14:textFill>
                  <w14:solidFill>
                    <w14:schemeClr w14:val="tx1"/>
                  </w14:solidFill>
                </w14:textFill>
              </w:rPr>
              <w:t>W——尘粒的含水率，%。</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 w:val="0"/>
                <w:bCs/>
                <w:color w:val="000000" w:themeColor="text1"/>
                <w:sz w:val="24"/>
                <w:szCs w:val="24"/>
                <w:lang w:val="en-US" w:eastAsia="zh-CN"/>
                <w14:textFill>
                  <w14:solidFill>
                    <w14:schemeClr w14:val="tx1"/>
                  </w14:solidFill>
                </w14:textFill>
              </w:rPr>
            </w:pPr>
            <w:r>
              <w:rPr>
                <w:rFonts w:hint="default" w:ascii="Times New Roman" w:hAnsi="Times New Roman" w:cs="Times New Roman"/>
                <w:b w:val="0"/>
                <w:bCs/>
                <w:color w:val="000000" w:themeColor="text1"/>
                <w:sz w:val="24"/>
                <w:szCs w:val="24"/>
                <w:lang w:val="en-US" w:eastAsia="zh-CN"/>
                <w14:textFill>
                  <w14:solidFill>
                    <w14:schemeClr w14:val="tx1"/>
                  </w14:solidFill>
                </w14:textFill>
              </w:rPr>
              <w:t>V0与粒径和含水率有关，因此，减少露天堆放、减少裸露地面及保证一定的含水率是减少风力起尘的有效手段。尘粒在空气中的传播扩散情况与风速等气象条件有关，也与尘粒本身的沉降速度有关。不同粒径粉尘的沉降速度见表4-1。</w:t>
            </w:r>
          </w:p>
          <w:p>
            <w:pPr>
              <w:keepNext w:val="0"/>
              <w:keepLines w:val="0"/>
              <w:suppressLineNumbers w:val="0"/>
              <w:adjustRightInd w:val="0"/>
              <w:snapToGrid w:val="0"/>
              <w:spacing w:before="0" w:beforeAutospacing="0" w:after="0" w:afterAutospacing="0" w:line="360" w:lineRule="auto"/>
              <w:ind w:left="0" w:right="0" w:firstLine="422" w:firstLineChars="200"/>
              <w:jc w:val="center"/>
              <w:rPr>
                <w:rFonts w:hint="default" w:ascii="Times New Roman" w:hAnsi="Times New Roman" w:cs="Times New Roman"/>
                <w:b/>
                <w:bCs w:val="0"/>
                <w:color w:val="000000" w:themeColor="text1"/>
                <w:szCs w:val="21"/>
                <w:lang w:val="en-US" w:eastAsia="zh-CN"/>
                <w14:textFill>
                  <w14:solidFill>
                    <w14:schemeClr w14:val="tx1"/>
                  </w14:solidFill>
                </w14:textFill>
              </w:rPr>
            </w:pPr>
            <w:r>
              <w:rPr>
                <w:rFonts w:hint="default" w:ascii="Times New Roman" w:hAnsi="Times New Roman" w:cs="Times New Roman"/>
                <w:b/>
                <w:bCs w:val="0"/>
                <w:color w:val="000000" w:themeColor="text1"/>
                <w:szCs w:val="21"/>
                <w:lang w:val="en-US" w:eastAsia="zh-CN"/>
                <w14:textFill>
                  <w14:solidFill>
                    <w14:schemeClr w14:val="tx1"/>
                  </w14:solidFill>
                </w14:textFill>
              </w:rPr>
              <w:t>表4-1不同粒径尘粒的沉降速度</w:t>
            </w:r>
          </w:p>
          <w:tbl>
            <w:tblPr>
              <w:tblStyle w:val="63"/>
              <w:tblW w:w="8152"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279"/>
              <w:gridCol w:w="1030"/>
              <w:gridCol w:w="798"/>
              <w:gridCol w:w="798"/>
              <w:gridCol w:w="810"/>
              <w:gridCol w:w="784"/>
              <w:gridCol w:w="823"/>
              <w:gridCol w:w="8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81" w:hRule="atLeast"/>
              </w:trPr>
              <w:tc>
                <w:tcPr>
                  <w:tcW w:w="2279" w:type="dxa"/>
                  <w:vAlign w:val="center"/>
                </w:tcPr>
                <w:p>
                  <w:pPr>
                    <w:jc w:val="center"/>
                    <w:rPr>
                      <w:rFonts w:hint="default" w:ascii="Times New Roman" w:hAnsi="Times New Roman" w:cs="Times New Roman"/>
                      <w:b/>
                      <w:bCs/>
                      <w:color w:val="000000" w:themeColor="text1"/>
                      <w:lang w:val="en-US" w:eastAsia="zh-CN"/>
                      <w14:textFill>
                        <w14:solidFill>
                          <w14:schemeClr w14:val="tx1"/>
                        </w14:solidFill>
                      </w14:textFill>
                    </w:rPr>
                  </w:pPr>
                  <w:r>
                    <w:rPr>
                      <w:rFonts w:hint="default" w:ascii="Times New Roman" w:hAnsi="Times New Roman" w:cs="Times New Roman"/>
                      <w:b/>
                      <w:bCs/>
                      <w:color w:val="000000" w:themeColor="text1"/>
                      <w:lang w:val="en-US" w:eastAsia="zh-CN"/>
                      <w14:textFill>
                        <w14:solidFill>
                          <w14:schemeClr w14:val="tx1"/>
                        </w14:solidFill>
                      </w14:textFill>
                    </w:rPr>
                    <w:t>粒径(μm）</w:t>
                  </w:r>
                </w:p>
              </w:tc>
              <w:tc>
                <w:tcPr>
                  <w:tcW w:w="1030" w:type="dxa"/>
                  <w:vAlign w:val="center"/>
                </w:tcPr>
                <w:p>
                  <w:pPr>
                    <w:jc w:val="center"/>
                    <w:rPr>
                      <w:rFonts w:hint="default" w:ascii="Times New Roman" w:hAnsi="Times New Roman" w:cs="Times New Roman"/>
                      <w:b/>
                      <w:bCs/>
                      <w:color w:val="000000" w:themeColor="text1"/>
                      <w:lang w:val="en-US" w:eastAsia="zh-CN"/>
                      <w14:textFill>
                        <w14:solidFill>
                          <w14:schemeClr w14:val="tx1"/>
                        </w14:solidFill>
                      </w14:textFill>
                    </w:rPr>
                  </w:pPr>
                  <w:r>
                    <w:rPr>
                      <w:rFonts w:hint="default" w:ascii="Times New Roman" w:hAnsi="Times New Roman" w:cs="Times New Roman"/>
                      <w:b/>
                      <w:bCs/>
                      <w:color w:val="000000" w:themeColor="text1"/>
                      <w:lang w:val="en-US" w:eastAsia="zh-CN"/>
                      <w14:textFill>
                        <w14:solidFill>
                          <w14:schemeClr w14:val="tx1"/>
                        </w14:solidFill>
                      </w14:textFill>
                    </w:rPr>
                    <w:t>10</w:t>
                  </w:r>
                </w:p>
              </w:tc>
              <w:tc>
                <w:tcPr>
                  <w:tcW w:w="798" w:type="dxa"/>
                  <w:vAlign w:val="center"/>
                </w:tcPr>
                <w:p>
                  <w:pPr>
                    <w:jc w:val="center"/>
                    <w:rPr>
                      <w:rFonts w:hint="default" w:ascii="Times New Roman" w:hAnsi="Times New Roman" w:cs="Times New Roman"/>
                      <w:b/>
                      <w:bCs/>
                      <w:color w:val="000000" w:themeColor="text1"/>
                      <w:lang w:val="en-US" w:eastAsia="zh-CN"/>
                      <w14:textFill>
                        <w14:solidFill>
                          <w14:schemeClr w14:val="tx1"/>
                        </w14:solidFill>
                      </w14:textFill>
                    </w:rPr>
                  </w:pPr>
                  <w:r>
                    <w:rPr>
                      <w:rFonts w:hint="default" w:ascii="Times New Roman" w:hAnsi="Times New Roman" w:cs="Times New Roman"/>
                      <w:b/>
                      <w:bCs/>
                      <w:color w:val="000000" w:themeColor="text1"/>
                      <w:lang w:val="en-US" w:eastAsia="zh-CN"/>
                      <w14:textFill>
                        <w14:solidFill>
                          <w14:schemeClr w14:val="tx1"/>
                        </w14:solidFill>
                      </w14:textFill>
                    </w:rPr>
                    <w:t>20</w:t>
                  </w:r>
                </w:p>
              </w:tc>
              <w:tc>
                <w:tcPr>
                  <w:tcW w:w="798" w:type="dxa"/>
                  <w:vAlign w:val="center"/>
                </w:tcPr>
                <w:p>
                  <w:pPr>
                    <w:jc w:val="center"/>
                    <w:rPr>
                      <w:rFonts w:hint="default" w:ascii="Times New Roman" w:hAnsi="Times New Roman" w:cs="Times New Roman"/>
                      <w:b/>
                      <w:bCs/>
                      <w:color w:val="000000" w:themeColor="text1"/>
                      <w:lang w:val="en-US" w:eastAsia="zh-CN"/>
                      <w14:textFill>
                        <w14:solidFill>
                          <w14:schemeClr w14:val="tx1"/>
                        </w14:solidFill>
                      </w14:textFill>
                    </w:rPr>
                  </w:pPr>
                  <w:r>
                    <w:rPr>
                      <w:rFonts w:hint="default" w:ascii="Times New Roman" w:hAnsi="Times New Roman" w:cs="Times New Roman"/>
                      <w:b/>
                      <w:bCs/>
                      <w:color w:val="000000" w:themeColor="text1"/>
                      <w:lang w:val="en-US" w:eastAsia="zh-CN"/>
                      <w14:textFill>
                        <w14:solidFill>
                          <w14:schemeClr w14:val="tx1"/>
                        </w14:solidFill>
                      </w14:textFill>
                    </w:rPr>
                    <w:t>30</w:t>
                  </w:r>
                </w:p>
              </w:tc>
              <w:tc>
                <w:tcPr>
                  <w:tcW w:w="810" w:type="dxa"/>
                  <w:vAlign w:val="center"/>
                </w:tcPr>
                <w:p>
                  <w:pPr>
                    <w:jc w:val="center"/>
                    <w:rPr>
                      <w:rFonts w:hint="default" w:ascii="Times New Roman" w:hAnsi="Times New Roman" w:cs="Times New Roman"/>
                      <w:b/>
                      <w:bCs/>
                      <w:color w:val="000000" w:themeColor="text1"/>
                      <w:lang w:val="en-US" w:eastAsia="zh-CN"/>
                      <w14:textFill>
                        <w14:solidFill>
                          <w14:schemeClr w14:val="tx1"/>
                        </w14:solidFill>
                      </w14:textFill>
                    </w:rPr>
                  </w:pPr>
                  <w:r>
                    <w:rPr>
                      <w:rFonts w:hint="default" w:ascii="Times New Roman" w:hAnsi="Times New Roman" w:cs="Times New Roman"/>
                      <w:b/>
                      <w:bCs/>
                      <w:color w:val="000000" w:themeColor="text1"/>
                      <w:lang w:val="en-US" w:eastAsia="zh-CN"/>
                      <w14:textFill>
                        <w14:solidFill>
                          <w14:schemeClr w14:val="tx1"/>
                        </w14:solidFill>
                      </w14:textFill>
                    </w:rPr>
                    <w:t>40</w:t>
                  </w:r>
                </w:p>
              </w:tc>
              <w:tc>
                <w:tcPr>
                  <w:tcW w:w="784" w:type="dxa"/>
                  <w:vAlign w:val="center"/>
                </w:tcPr>
                <w:p>
                  <w:pPr>
                    <w:jc w:val="center"/>
                    <w:rPr>
                      <w:rFonts w:hint="default" w:ascii="Times New Roman" w:hAnsi="Times New Roman" w:cs="Times New Roman"/>
                      <w:b/>
                      <w:bCs/>
                      <w:color w:val="000000" w:themeColor="text1"/>
                      <w:lang w:val="en-US" w:eastAsia="zh-CN"/>
                      <w14:textFill>
                        <w14:solidFill>
                          <w14:schemeClr w14:val="tx1"/>
                        </w14:solidFill>
                      </w14:textFill>
                    </w:rPr>
                  </w:pPr>
                  <w:r>
                    <w:rPr>
                      <w:rFonts w:hint="default" w:ascii="Times New Roman" w:hAnsi="Times New Roman" w:cs="Times New Roman"/>
                      <w:b/>
                      <w:bCs/>
                      <w:color w:val="000000" w:themeColor="text1"/>
                      <w:lang w:val="en-US" w:eastAsia="zh-CN"/>
                      <w14:textFill>
                        <w14:solidFill>
                          <w14:schemeClr w14:val="tx1"/>
                        </w14:solidFill>
                      </w14:textFill>
                    </w:rPr>
                    <w:t>50</w:t>
                  </w:r>
                </w:p>
              </w:tc>
              <w:tc>
                <w:tcPr>
                  <w:tcW w:w="823" w:type="dxa"/>
                  <w:vAlign w:val="center"/>
                </w:tcPr>
                <w:p>
                  <w:pPr>
                    <w:jc w:val="center"/>
                    <w:rPr>
                      <w:rFonts w:hint="default" w:ascii="Times New Roman" w:hAnsi="Times New Roman" w:cs="Times New Roman"/>
                      <w:b/>
                      <w:bCs/>
                      <w:color w:val="000000" w:themeColor="text1"/>
                      <w:lang w:val="en-US" w:eastAsia="zh-CN"/>
                      <w14:textFill>
                        <w14:solidFill>
                          <w14:schemeClr w14:val="tx1"/>
                        </w14:solidFill>
                      </w14:textFill>
                    </w:rPr>
                  </w:pPr>
                  <w:r>
                    <w:rPr>
                      <w:rFonts w:hint="default" w:ascii="Times New Roman" w:hAnsi="Times New Roman" w:cs="Times New Roman"/>
                      <w:b/>
                      <w:bCs/>
                      <w:color w:val="000000" w:themeColor="text1"/>
                      <w:lang w:val="en-US" w:eastAsia="zh-CN"/>
                      <w14:textFill>
                        <w14:solidFill>
                          <w14:schemeClr w14:val="tx1"/>
                        </w14:solidFill>
                      </w14:textFill>
                    </w:rPr>
                    <w:t>60</w:t>
                  </w:r>
                </w:p>
              </w:tc>
              <w:tc>
                <w:tcPr>
                  <w:tcW w:w="830" w:type="dxa"/>
                  <w:vAlign w:val="center"/>
                </w:tcPr>
                <w:p>
                  <w:pPr>
                    <w:jc w:val="center"/>
                    <w:rPr>
                      <w:rFonts w:hint="default" w:ascii="Times New Roman" w:hAnsi="Times New Roman" w:cs="Times New Roman"/>
                      <w:b/>
                      <w:bCs/>
                      <w:color w:val="000000" w:themeColor="text1"/>
                      <w:lang w:val="en-US" w:eastAsia="zh-CN"/>
                      <w14:textFill>
                        <w14:solidFill>
                          <w14:schemeClr w14:val="tx1"/>
                        </w14:solidFill>
                      </w14:textFill>
                    </w:rPr>
                  </w:pPr>
                  <w:r>
                    <w:rPr>
                      <w:rFonts w:hint="default" w:ascii="Times New Roman" w:hAnsi="Times New Roman" w:cs="Times New Roman"/>
                      <w:b/>
                      <w:bCs/>
                      <w:color w:val="000000" w:themeColor="text1"/>
                      <w:lang w:val="en-US" w:eastAsia="zh-CN"/>
                      <w14:textFill>
                        <w14:solidFill>
                          <w14:schemeClr w14:val="tx1"/>
                        </w14:solidFill>
                      </w14:textFill>
                    </w:rPr>
                    <w:t>70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77" w:hRule="atLeast"/>
              </w:trPr>
              <w:tc>
                <w:tcPr>
                  <w:tcW w:w="2279" w:type="dxa"/>
                  <w:vAlign w:val="center"/>
                </w:tcPr>
                <w:p>
                  <w:pPr>
                    <w:jc w:val="center"/>
                    <w:rPr>
                      <w:rFonts w:hint="default" w:ascii="Times New Roman" w:hAnsi="Times New Roman" w:cs="Times New Roman"/>
                      <w:color w:val="000000" w:themeColor="text1"/>
                      <w:lang w:val="en-US" w:eastAsia="zh-CN"/>
                      <w14:textFill>
                        <w14:solidFill>
                          <w14:schemeClr w14:val="tx1"/>
                        </w14:solidFill>
                      </w14:textFill>
                    </w:rPr>
                  </w:pPr>
                  <w:r>
                    <w:rPr>
                      <w:rFonts w:hint="default" w:ascii="Times New Roman" w:hAnsi="Times New Roman" w:cs="Times New Roman"/>
                      <w:color w:val="000000" w:themeColor="text1"/>
                      <w:lang w:val="en-US" w:eastAsia="zh-CN"/>
                      <w14:textFill>
                        <w14:solidFill>
                          <w14:schemeClr w14:val="tx1"/>
                        </w14:solidFill>
                      </w14:textFill>
                    </w:rPr>
                    <w:t>沉降速度（m/s）</w:t>
                  </w:r>
                </w:p>
              </w:tc>
              <w:tc>
                <w:tcPr>
                  <w:tcW w:w="1030" w:type="dxa"/>
                  <w:vAlign w:val="center"/>
                </w:tcPr>
                <w:p>
                  <w:pPr>
                    <w:jc w:val="center"/>
                    <w:rPr>
                      <w:rFonts w:hint="default" w:ascii="Times New Roman" w:hAnsi="Times New Roman" w:cs="Times New Roman"/>
                      <w:color w:val="000000" w:themeColor="text1"/>
                      <w:lang w:val="en-US" w:eastAsia="zh-CN"/>
                      <w14:textFill>
                        <w14:solidFill>
                          <w14:schemeClr w14:val="tx1"/>
                        </w14:solidFill>
                      </w14:textFill>
                    </w:rPr>
                  </w:pPr>
                  <w:r>
                    <w:rPr>
                      <w:rFonts w:hint="default" w:ascii="Times New Roman" w:hAnsi="Times New Roman" w:cs="Times New Roman"/>
                      <w:color w:val="000000" w:themeColor="text1"/>
                      <w:lang w:val="en-US" w:eastAsia="zh-CN"/>
                      <w14:textFill>
                        <w14:solidFill>
                          <w14:schemeClr w14:val="tx1"/>
                        </w14:solidFill>
                      </w14:textFill>
                    </w:rPr>
                    <w:t>0.003</w:t>
                  </w:r>
                </w:p>
              </w:tc>
              <w:tc>
                <w:tcPr>
                  <w:tcW w:w="798" w:type="dxa"/>
                  <w:vAlign w:val="center"/>
                </w:tcPr>
                <w:p>
                  <w:pPr>
                    <w:jc w:val="center"/>
                    <w:rPr>
                      <w:rFonts w:hint="default" w:ascii="Times New Roman" w:hAnsi="Times New Roman" w:cs="Times New Roman"/>
                      <w:color w:val="000000" w:themeColor="text1"/>
                      <w:lang w:val="en-US" w:eastAsia="zh-CN"/>
                      <w14:textFill>
                        <w14:solidFill>
                          <w14:schemeClr w14:val="tx1"/>
                        </w14:solidFill>
                      </w14:textFill>
                    </w:rPr>
                  </w:pPr>
                  <w:r>
                    <w:rPr>
                      <w:rFonts w:hint="default" w:ascii="Times New Roman" w:hAnsi="Times New Roman" w:cs="Times New Roman"/>
                      <w:color w:val="000000" w:themeColor="text1"/>
                      <w:lang w:val="en-US" w:eastAsia="zh-CN"/>
                      <w14:textFill>
                        <w14:solidFill>
                          <w14:schemeClr w14:val="tx1"/>
                        </w14:solidFill>
                      </w14:textFill>
                    </w:rPr>
                    <w:t>0.012</w:t>
                  </w:r>
                </w:p>
              </w:tc>
              <w:tc>
                <w:tcPr>
                  <w:tcW w:w="798" w:type="dxa"/>
                  <w:vAlign w:val="center"/>
                </w:tcPr>
                <w:p>
                  <w:pPr>
                    <w:jc w:val="center"/>
                    <w:rPr>
                      <w:rFonts w:hint="default" w:ascii="Times New Roman" w:hAnsi="Times New Roman" w:cs="Times New Roman"/>
                      <w:color w:val="000000" w:themeColor="text1"/>
                      <w:lang w:val="en-US" w:eastAsia="zh-CN"/>
                      <w14:textFill>
                        <w14:solidFill>
                          <w14:schemeClr w14:val="tx1"/>
                        </w14:solidFill>
                      </w14:textFill>
                    </w:rPr>
                  </w:pPr>
                  <w:r>
                    <w:rPr>
                      <w:rFonts w:hint="default" w:ascii="Times New Roman" w:hAnsi="Times New Roman" w:cs="Times New Roman"/>
                      <w:color w:val="000000" w:themeColor="text1"/>
                      <w:lang w:val="en-US" w:eastAsia="zh-CN"/>
                      <w14:textFill>
                        <w14:solidFill>
                          <w14:schemeClr w14:val="tx1"/>
                        </w14:solidFill>
                      </w14:textFill>
                    </w:rPr>
                    <w:t>0.027</w:t>
                  </w:r>
                </w:p>
              </w:tc>
              <w:tc>
                <w:tcPr>
                  <w:tcW w:w="810" w:type="dxa"/>
                  <w:vAlign w:val="center"/>
                </w:tcPr>
                <w:p>
                  <w:pPr>
                    <w:jc w:val="center"/>
                    <w:rPr>
                      <w:rFonts w:hint="default" w:ascii="Times New Roman" w:hAnsi="Times New Roman" w:cs="Times New Roman"/>
                      <w:color w:val="000000" w:themeColor="text1"/>
                      <w:lang w:val="en-US" w:eastAsia="zh-CN"/>
                      <w14:textFill>
                        <w14:solidFill>
                          <w14:schemeClr w14:val="tx1"/>
                        </w14:solidFill>
                      </w14:textFill>
                    </w:rPr>
                  </w:pPr>
                  <w:r>
                    <w:rPr>
                      <w:rFonts w:hint="default" w:ascii="Times New Roman" w:hAnsi="Times New Roman" w:cs="Times New Roman"/>
                      <w:color w:val="000000" w:themeColor="text1"/>
                      <w:lang w:val="en-US" w:eastAsia="zh-CN"/>
                      <w14:textFill>
                        <w14:solidFill>
                          <w14:schemeClr w14:val="tx1"/>
                        </w14:solidFill>
                      </w14:textFill>
                    </w:rPr>
                    <w:t>0.048</w:t>
                  </w:r>
                </w:p>
              </w:tc>
              <w:tc>
                <w:tcPr>
                  <w:tcW w:w="784" w:type="dxa"/>
                  <w:vAlign w:val="center"/>
                </w:tcPr>
                <w:p>
                  <w:pPr>
                    <w:jc w:val="center"/>
                    <w:rPr>
                      <w:rFonts w:hint="default" w:ascii="Times New Roman" w:hAnsi="Times New Roman" w:cs="Times New Roman"/>
                      <w:color w:val="000000" w:themeColor="text1"/>
                      <w:lang w:val="en-US" w:eastAsia="zh-CN"/>
                      <w14:textFill>
                        <w14:solidFill>
                          <w14:schemeClr w14:val="tx1"/>
                        </w14:solidFill>
                      </w14:textFill>
                    </w:rPr>
                  </w:pPr>
                  <w:r>
                    <w:rPr>
                      <w:rFonts w:hint="default" w:ascii="Times New Roman" w:hAnsi="Times New Roman" w:cs="Times New Roman"/>
                      <w:color w:val="000000" w:themeColor="text1"/>
                      <w:lang w:val="en-US" w:eastAsia="zh-CN"/>
                      <w14:textFill>
                        <w14:solidFill>
                          <w14:schemeClr w14:val="tx1"/>
                        </w14:solidFill>
                      </w14:textFill>
                    </w:rPr>
                    <w:t>0.075</w:t>
                  </w:r>
                </w:p>
              </w:tc>
              <w:tc>
                <w:tcPr>
                  <w:tcW w:w="823" w:type="dxa"/>
                  <w:vAlign w:val="center"/>
                </w:tcPr>
                <w:p>
                  <w:pPr>
                    <w:jc w:val="center"/>
                    <w:rPr>
                      <w:rFonts w:hint="default" w:ascii="Times New Roman" w:hAnsi="Times New Roman" w:cs="Times New Roman"/>
                      <w:color w:val="000000" w:themeColor="text1"/>
                      <w:lang w:val="en-US" w:eastAsia="zh-CN"/>
                      <w14:textFill>
                        <w14:solidFill>
                          <w14:schemeClr w14:val="tx1"/>
                        </w14:solidFill>
                      </w14:textFill>
                    </w:rPr>
                  </w:pPr>
                  <w:r>
                    <w:rPr>
                      <w:rFonts w:hint="default" w:ascii="Times New Roman" w:hAnsi="Times New Roman" w:cs="Times New Roman"/>
                      <w:color w:val="000000" w:themeColor="text1"/>
                      <w:lang w:val="en-US" w:eastAsia="zh-CN"/>
                      <w14:textFill>
                        <w14:solidFill>
                          <w14:schemeClr w14:val="tx1"/>
                        </w14:solidFill>
                      </w14:textFill>
                    </w:rPr>
                    <w:t>0.108</w:t>
                  </w:r>
                </w:p>
              </w:tc>
              <w:tc>
                <w:tcPr>
                  <w:tcW w:w="830" w:type="dxa"/>
                  <w:vAlign w:val="center"/>
                </w:tcPr>
                <w:p>
                  <w:pPr>
                    <w:jc w:val="center"/>
                    <w:rPr>
                      <w:rFonts w:hint="default" w:ascii="Times New Roman" w:hAnsi="Times New Roman" w:cs="Times New Roman"/>
                      <w:color w:val="000000" w:themeColor="text1"/>
                      <w:lang w:val="en-US" w:eastAsia="zh-CN"/>
                      <w14:textFill>
                        <w14:solidFill>
                          <w14:schemeClr w14:val="tx1"/>
                        </w14:solidFill>
                      </w14:textFill>
                    </w:rPr>
                  </w:pPr>
                  <w:r>
                    <w:rPr>
                      <w:rFonts w:hint="default" w:ascii="Times New Roman" w:hAnsi="Times New Roman" w:cs="Times New Roman"/>
                      <w:color w:val="000000" w:themeColor="text1"/>
                      <w:lang w:val="en-US" w:eastAsia="zh-CN"/>
                      <w14:textFill>
                        <w14:solidFill>
                          <w14:schemeClr w14:val="tx1"/>
                        </w14:solidFill>
                      </w14:textFill>
                    </w:rPr>
                    <w:t>0.147</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76" w:hRule="atLeast"/>
              </w:trPr>
              <w:tc>
                <w:tcPr>
                  <w:tcW w:w="2279" w:type="dxa"/>
                  <w:vAlign w:val="center"/>
                </w:tcPr>
                <w:p>
                  <w:pPr>
                    <w:jc w:val="center"/>
                    <w:rPr>
                      <w:rFonts w:hint="default" w:ascii="Times New Roman" w:hAnsi="Times New Roman" w:cs="Times New Roman"/>
                      <w:b/>
                      <w:bCs/>
                      <w:color w:val="000000" w:themeColor="text1"/>
                      <w:lang w:val="en-US" w:eastAsia="zh-CN"/>
                      <w14:textFill>
                        <w14:solidFill>
                          <w14:schemeClr w14:val="tx1"/>
                        </w14:solidFill>
                      </w14:textFill>
                    </w:rPr>
                  </w:pPr>
                  <w:r>
                    <w:rPr>
                      <w:rFonts w:hint="default" w:ascii="Times New Roman" w:hAnsi="Times New Roman" w:cs="Times New Roman"/>
                      <w:b/>
                      <w:bCs/>
                      <w:color w:val="000000" w:themeColor="text1"/>
                      <w:lang w:val="en-US" w:eastAsia="zh-CN"/>
                      <w14:textFill>
                        <w14:solidFill>
                          <w14:schemeClr w14:val="tx1"/>
                        </w14:solidFill>
                      </w14:textFill>
                    </w:rPr>
                    <w:t>粒径(μm）</w:t>
                  </w:r>
                </w:p>
              </w:tc>
              <w:tc>
                <w:tcPr>
                  <w:tcW w:w="1030" w:type="dxa"/>
                  <w:vAlign w:val="center"/>
                </w:tcPr>
                <w:p>
                  <w:pPr>
                    <w:jc w:val="center"/>
                    <w:rPr>
                      <w:rFonts w:hint="default" w:ascii="Times New Roman" w:hAnsi="Times New Roman" w:cs="Times New Roman"/>
                      <w:b/>
                      <w:bCs/>
                      <w:color w:val="000000" w:themeColor="text1"/>
                      <w:lang w:val="en-US" w:eastAsia="zh-CN"/>
                      <w14:textFill>
                        <w14:solidFill>
                          <w14:schemeClr w14:val="tx1"/>
                        </w14:solidFill>
                      </w14:textFill>
                    </w:rPr>
                  </w:pPr>
                  <w:r>
                    <w:rPr>
                      <w:rFonts w:hint="default" w:ascii="Times New Roman" w:hAnsi="Times New Roman" w:cs="Times New Roman"/>
                      <w:b/>
                      <w:bCs/>
                      <w:color w:val="000000" w:themeColor="text1"/>
                      <w:lang w:val="en-US" w:eastAsia="zh-CN"/>
                      <w14:textFill>
                        <w14:solidFill>
                          <w14:schemeClr w14:val="tx1"/>
                        </w14:solidFill>
                      </w14:textFill>
                    </w:rPr>
                    <w:t>80</w:t>
                  </w:r>
                </w:p>
              </w:tc>
              <w:tc>
                <w:tcPr>
                  <w:tcW w:w="798" w:type="dxa"/>
                  <w:vAlign w:val="center"/>
                </w:tcPr>
                <w:p>
                  <w:pPr>
                    <w:jc w:val="center"/>
                    <w:rPr>
                      <w:rFonts w:hint="default" w:ascii="Times New Roman" w:hAnsi="Times New Roman" w:cs="Times New Roman"/>
                      <w:b/>
                      <w:bCs/>
                      <w:color w:val="000000" w:themeColor="text1"/>
                      <w:lang w:val="en-US" w:eastAsia="zh-CN"/>
                      <w14:textFill>
                        <w14:solidFill>
                          <w14:schemeClr w14:val="tx1"/>
                        </w14:solidFill>
                      </w14:textFill>
                    </w:rPr>
                  </w:pPr>
                  <w:r>
                    <w:rPr>
                      <w:rFonts w:hint="default" w:ascii="Times New Roman" w:hAnsi="Times New Roman" w:cs="Times New Roman"/>
                      <w:b/>
                      <w:bCs/>
                      <w:color w:val="000000" w:themeColor="text1"/>
                      <w:lang w:val="en-US" w:eastAsia="zh-CN"/>
                      <w14:textFill>
                        <w14:solidFill>
                          <w14:schemeClr w14:val="tx1"/>
                        </w14:solidFill>
                      </w14:textFill>
                    </w:rPr>
                    <w:t>90</w:t>
                  </w:r>
                </w:p>
              </w:tc>
              <w:tc>
                <w:tcPr>
                  <w:tcW w:w="798" w:type="dxa"/>
                  <w:vAlign w:val="center"/>
                </w:tcPr>
                <w:p>
                  <w:pPr>
                    <w:jc w:val="center"/>
                    <w:rPr>
                      <w:rFonts w:hint="default" w:ascii="Times New Roman" w:hAnsi="Times New Roman" w:cs="Times New Roman"/>
                      <w:b/>
                      <w:bCs/>
                      <w:color w:val="000000" w:themeColor="text1"/>
                      <w:lang w:val="en-US" w:eastAsia="zh-CN"/>
                      <w14:textFill>
                        <w14:solidFill>
                          <w14:schemeClr w14:val="tx1"/>
                        </w14:solidFill>
                      </w14:textFill>
                    </w:rPr>
                  </w:pPr>
                  <w:r>
                    <w:rPr>
                      <w:rFonts w:hint="default" w:ascii="Times New Roman" w:hAnsi="Times New Roman" w:cs="Times New Roman"/>
                      <w:b/>
                      <w:bCs/>
                      <w:color w:val="000000" w:themeColor="text1"/>
                      <w:lang w:val="en-US" w:eastAsia="zh-CN"/>
                      <w14:textFill>
                        <w14:solidFill>
                          <w14:schemeClr w14:val="tx1"/>
                        </w14:solidFill>
                      </w14:textFill>
                    </w:rPr>
                    <w:t>100</w:t>
                  </w:r>
                </w:p>
              </w:tc>
              <w:tc>
                <w:tcPr>
                  <w:tcW w:w="810" w:type="dxa"/>
                  <w:vAlign w:val="center"/>
                </w:tcPr>
                <w:p>
                  <w:pPr>
                    <w:jc w:val="center"/>
                    <w:rPr>
                      <w:rFonts w:hint="default" w:ascii="Times New Roman" w:hAnsi="Times New Roman" w:cs="Times New Roman"/>
                      <w:b/>
                      <w:bCs/>
                      <w:color w:val="000000" w:themeColor="text1"/>
                      <w:lang w:val="en-US" w:eastAsia="zh-CN"/>
                      <w14:textFill>
                        <w14:solidFill>
                          <w14:schemeClr w14:val="tx1"/>
                        </w14:solidFill>
                      </w14:textFill>
                    </w:rPr>
                  </w:pPr>
                  <w:r>
                    <w:rPr>
                      <w:rFonts w:hint="default" w:ascii="Times New Roman" w:hAnsi="Times New Roman" w:cs="Times New Roman"/>
                      <w:b/>
                      <w:bCs/>
                      <w:color w:val="000000" w:themeColor="text1"/>
                      <w:lang w:val="en-US" w:eastAsia="zh-CN"/>
                      <w14:textFill>
                        <w14:solidFill>
                          <w14:schemeClr w14:val="tx1"/>
                        </w14:solidFill>
                      </w14:textFill>
                    </w:rPr>
                    <w:t>150</w:t>
                  </w:r>
                </w:p>
              </w:tc>
              <w:tc>
                <w:tcPr>
                  <w:tcW w:w="784" w:type="dxa"/>
                  <w:vAlign w:val="center"/>
                </w:tcPr>
                <w:p>
                  <w:pPr>
                    <w:jc w:val="center"/>
                    <w:rPr>
                      <w:rFonts w:hint="default" w:ascii="Times New Roman" w:hAnsi="Times New Roman" w:cs="Times New Roman"/>
                      <w:b/>
                      <w:bCs/>
                      <w:color w:val="000000" w:themeColor="text1"/>
                      <w:lang w:val="en-US" w:eastAsia="zh-CN"/>
                      <w14:textFill>
                        <w14:solidFill>
                          <w14:schemeClr w14:val="tx1"/>
                        </w14:solidFill>
                      </w14:textFill>
                    </w:rPr>
                  </w:pPr>
                  <w:r>
                    <w:rPr>
                      <w:rFonts w:hint="default" w:ascii="Times New Roman" w:hAnsi="Times New Roman" w:cs="Times New Roman"/>
                      <w:b/>
                      <w:bCs/>
                      <w:color w:val="000000" w:themeColor="text1"/>
                      <w:lang w:val="en-US" w:eastAsia="zh-CN"/>
                      <w14:textFill>
                        <w14:solidFill>
                          <w14:schemeClr w14:val="tx1"/>
                        </w14:solidFill>
                      </w14:textFill>
                    </w:rPr>
                    <w:t>200</w:t>
                  </w:r>
                </w:p>
              </w:tc>
              <w:tc>
                <w:tcPr>
                  <w:tcW w:w="823" w:type="dxa"/>
                  <w:vAlign w:val="center"/>
                </w:tcPr>
                <w:p>
                  <w:pPr>
                    <w:jc w:val="center"/>
                    <w:rPr>
                      <w:rFonts w:hint="default" w:ascii="Times New Roman" w:hAnsi="Times New Roman" w:cs="Times New Roman"/>
                      <w:b/>
                      <w:bCs/>
                      <w:color w:val="000000" w:themeColor="text1"/>
                      <w:lang w:val="en-US" w:eastAsia="zh-CN"/>
                      <w14:textFill>
                        <w14:solidFill>
                          <w14:schemeClr w14:val="tx1"/>
                        </w14:solidFill>
                      </w14:textFill>
                    </w:rPr>
                  </w:pPr>
                  <w:r>
                    <w:rPr>
                      <w:rFonts w:hint="default" w:ascii="Times New Roman" w:hAnsi="Times New Roman" w:cs="Times New Roman"/>
                      <w:b/>
                      <w:bCs/>
                      <w:color w:val="000000" w:themeColor="text1"/>
                      <w:lang w:val="en-US" w:eastAsia="zh-CN"/>
                      <w14:textFill>
                        <w14:solidFill>
                          <w14:schemeClr w14:val="tx1"/>
                        </w14:solidFill>
                      </w14:textFill>
                    </w:rPr>
                    <w:t>250</w:t>
                  </w:r>
                </w:p>
              </w:tc>
              <w:tc>
                <w:tcPr>
                  <w:tcW w:w="830" w:type="dxa"/>
                  <w:vAlign w:val="center"/>
                </w:tcPr>
                <w:p>
                  <w:pPr>
                    <w:jc w:val="center"/>
                    <w:rPr>
                      <w:rFonts w:hint="default" w:ascii="Times New Roman" w:hAnsi="Times New Roman" w:cs="Times New Roman"/>
                      <w:b/>
                      <w:bCs/>
                      <w:color w:val="000000" w:themeColor="text1"/>
                      <w:lang w:val="en-US" w:eastAsia="zh-CN"/>
                      <w14:textFill>
                        <w14:solidFill>
                          <w14:schemeClr w14:val="tx1"/>
                        </w14:solidFill>
                      </w14:textFill>
                    </w:rPr>
                  </w:pPr>
                  <w:r>
                    <w:rPr>
                      <w:rFonts w:hint="default" w:ascii="Times New Roman" w:hAnsi="Times New Roman" w:cs="Times New Roman"/>
                      <w:b/>
                      <w:bCs/>
                      <w:color w:val="000000" w:themeColor="text1"/>
                      <w:lang w:val="en-US" w:eastAsia="zh-CN"/>
                      <w14:textFill>
                        <w14:solidFill>
                          <w14:schemeClr w14:val="tx1"/>
                        </w14:solidFill>
                      </w14:textFill>
                    </w:rPr>
                    <w:t>350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76" w:hRule="atLeast"/>
              </w:trPr>
              <w:tc>
                <w:tcPr>
                  <w:tcW w:w="2279" w:type="dxa"/>
                  <w:vAlign w:val="center"/>
                </w:tcPr>
                <w:p>
                  <w:pPr>
                    <w:jc w:val="center"/>
                    <w:rPr>
                      <w:rFonts w:hint="default" w:ascii="Times New Roman" w:hAnsi="Times New Roman" w:cs="Times New Roman"/>
                      <w:color w:val="000000" w:themeColor="text1"/>
                      <w:lang w:val="en-US" w:eastAsia="zh-CN"/>
                      <w14:textFill>
                        <w14:solidFill>
                          <w14:schemeClr w14:val="tx1"/>
                        </w14:solidFill>
                      </w14:textFill>
                    </w:rPr>
                  </w:pPr>
                  <w:r>
                    <w:rPr>
                      <w:rFonts w:hint="default" w:ascii="Times New Roman" w:hAnsi="Times New Roman" w:cs="Times New Roman"/>
                      <w:color w:val="000000" w:themeColor="text1"/>
                      <w:lang w:val="en-US" w:eastAsia="zh-CN"/>
                      <w14:textFill>
                        <w14:solidFill>
                          <w14:schemeClr w14:val="tx1"/>
                        </w14:solidFill>
                      </w14:textFill>
                    </w:rPr>
                    <w:t>沉降速度（m/s）</w:t>
                  </w:r>
                </w:p>
              </w:tc>
              <w:tc>
                <w:tcPr>
                  <w:tcW w:w="1030" w:type="dxa"/>
                  <w:vAlign w:val="center"/>
                </w:tcPr>
                <w:p>
                  <w:pPr>
                    <w:jc w:val="center"/>
                    <w:rPr>
                      <w:rFonts w:hint="default" w:ascii="Times New Roman" w:hAnsi="Times New Roman" w:cs="Times New Roman"/>
                      <w:color w:val="000000" w:themeColor="text1"/>
                      <w:lang w:val="en-US" w:eastAsia="zh-CN"/>
                      <w14:textFill>
                        <w14:solidFill>
                          <w14:schemeClr w14:val="tx1"/>
                        </w14:solidFill>
                      </w14:textFill>
                    </w:rPr>
                  </w:pPr>
                  <w:r>
                    <w:rPr>
                      <w:rFonts w:hint="default" w:ascii="Times New Roman" w:hAnsi="Times New Roman" w:cs="Times New Roman"/>
                      <w:color w:val="000000" w:themeColor="text1"/>
                      <w:lang w:val="en-US" w:eastAsia="zh-CN"/>
                      <w14:textFill>
                        <w14:solidFill>
                          <w14:schemeClr w14:val="tx1"/>
                        </w14:solidFill>
                      </w14:textFill>
                    </w:rPr>
                    <w:t>0.158</w:t>
                  </w:r>
                </w:p>
              </w:tc>
              <w:tc>
                <w:tcPr>
                  <w:tcW w:w="798" w:type="dxa"/>
                  <w:vAlign w:val="center"/>
                </w:tcPr>
                <w:p>
                  <w:pPr>
                    <w:jc w:val="center"/>
                    <w:rPr>
                      <w:rFonts w:hint="default" w:ascii="Times New Roman" w:hAnsi="Times New Roman" w:cs="Times New Roman"/>
                      <w:color w:val="000000" w:themeColor="text1"/>
                      <w:lang w:val="en-US" w:eastAsia="zh-CN"/>
                      <w14:textFill>
                        <w14:solidFill>
                          <w14:schemeClr w14:val="tx1"/>
                        </w14:solidFill>
                      </w14:textFill>
                    </w:rPr>
                  </w:pPr>
                  <w:r>
                    <w:rPr>
                      <w:rFonts w:hint="default" w:ascii="Times New Roman" w:hAnsi="Times New Roman" w:cs="Times New Roman"/>
                      <w:color w:val="000000" w:themeColor="text1"/>
                      <w:lang w:val="en-US" w:eastAsia="zh-CN"/>
                      <w14:textFill>
                        <w14:solidFill>
                          <w14:schemeClr w14:val="tx1"/>
                        </w14:solidFill>
                      </w14:textFill>
                    </w:rPr>
                    <w:t>0.17</w:t>
                  </w:r>
                </w:p>
              </w:tc>
              <w:tc>
                <w:tcPr>
                  <w:tcW w:w="798" w:type="dxa"/>
                  <w:vAlign w:val="center"/>
                </w:tcPr>
                <w:p>
                  <w:pPr>
                    <w:jc w:val="center"/>
                    <w:rPr>
                      <w:rFonts w:hint="default" w:ascii="Times New Roman" w:hAnsi="Times New Roman" w:cs="Times New Roman"/>
                      <w:color w:val="000000" w:themeColor="text1"/>
                      <w:lang w:val="en-US" w:eastAsia="zh-CN"/>
                      <w14:textFill>
                        <w14:solidFill>
                          <w14:schemeClr w14:val="tx1"/>
                        </w14:solidFill>
                      </w14:textFill>
                    </w:rPr>
                  </w:pPr>
                  <w:r>
                    <w:rPr>
                      <w:rFonts w:hint="default" w:ascii="Times New Roman" w:hAnsi="Times New Roman" w:cs="Times New Roman"/>
                      <w:color w:val="000000" w:themeColor="text1"/>
                      <w:lang w:val="en-US" w:eastAsia="zh-CN"/>
                      <w14:textFill>
                        <w14:solidFill>
                          <w14:schemeClr w14:val="tx1"/>
                        </w14:solidFill>
                      </w14:textFill>
                    </w:rPr>
                    <w:t>0.182</w:t>
                  </w:r>
                </w:p>
              </w:tc>
              <w:tc>
                <w:tcPr>
                  <w:tcW w:w="810" w:type="dxa"/>
                  <w:vAlign w:val="center"/>
                </w:tcPr>
                <w:p>
                  <w:pPr>
                    <w:jc w:val="center"/>
                    <w:rPr>
                      <w:rFonts w:hint="default" w:ascii="Times New Roman" w:hAnsi="Times New Roman" w:cs="Times New Roman"/>
                      <w:color w:val="000000" w:themeColor="text1"/>
                      <w:lang w:val="en-US" w:eastAsia="zh-CN"/>
                      <w14:textFill>
                        <w14:solidFill>
                          <w14:schemeClr w14:val="tx1"/>
                        </w14:solidFill>
                      </w14:textFill>
                    </w:rPr>
                  </w:pPr>
                  <w:r>
                    <w:rPr>
                      <w:rFonts w:hint="default" w:ascii="Times New Roman" w:hAnsi="Times New Roman" w:cs="Times New Roman"/>
                      <w:color w:val="000000" w:themeColor="text1"/>
                      <w:lang w:val="en-US" w:eastAsia="zh-CN"/>
                      <w14:textFill>
                        <w14:solidFill>
                          <w14:schemeClr w14:val="tx1"/>
                        </w14:solidFill>
                      </w14:textFill>
                    </w:rPr>
                    <w:t>0.239</w:t>
                  </w:r>
                </w:p>
              </w:tc>
              <w:tc>
                <w:tcPr>
                  <w:tcW w:w="784" w:type="dxa"/>
                  <w:vAlign w:val="center"/>
                </w:tcPr>
                <w:p>
                  <w:pPr>
                    <w:jc w:val="center"/>
                    <w:rPr>
                      <w:rFonts w:hint="default" w:ascii="Times New Roman" w:hAnsi="Times New Roman" w:cs="Times New Roman"/>
                      <w:color w:val="000000" w:themeColor="text1"/>
                      <w:lang w:val="en-US" w:eastAsia="zh-CN"/>
                      <w14:textFill>
                        <w14:solidFill>
                          <w14:schemeClr w14:val="tx1"/>
                        </w14:solidFill>
                      </w14:textFill>
                    </w:rPr>
                  </w:pPr>
                  <w:r>
                    <w:rPr>
                      <w:rFonts w:hint="default" w:ascii="Times New Roman" w:hAnsi="Times New Roman" w:cs="Times New Roman"/>
                      <w:color w:val="000000" w:themeColor="text1"/>
                      <w:lang w:val="en-US" w:eastAsia="zh-CN"/>
                      <w14:textFill>
                        <w14:solidFill>
                          <w14:schemeClr w14:val="tx1"/>
                        </w14:solidFill>
                      </w14:textFill>
                    </w:rPr>
                    <w:t>0.804</w:t>
                  </w:r>
                </w:p>
              </w:tc>
              <w:tc>
                <w:tcPr>
                  <w:tcW w:w="823" w:type="dxa"/>
                  <w:vAlign w:val="center"/>
                </w:tcPr>
                <w:p>
                  <w:pPr>
                    <w:jc w:val="center"/>
                    <w:rPr>
                      <w:rFonts w:hint="default" w:ascii="Times New Roman" w:hAnsi="Times New Roman" w:cs="Times New Roman"/>
                      <w:color w:val="000000" w:themeColor="text1"/>
                      <w:lang w:val="en-US" w:eastAsia="zh-CN"/>
                      <w14:textFill>
                        <w14:solidFill>
                          <w14:schemeClr w14:val="tx1"/>
                        </w14:solidFill>
                      </w14:textFill>
                    </w:rPr>
                  </w:pPr>
                  <w:r>
                    <w:rPr>
                      <w:rFonts w:hint="default" w:ascii="Times New Roman" w:hAnsi="Times New Roman" w:cs="Times New Roman"/>
                      <w:color w:val="000000" w:themeColor="text1"/>
                      <w:lang w:val="en-US" w:eastAsia="zh-CN"/>
                      <w14:textFill>
                        <w14:solidFill>
                          <w14:schemeClr w14:val="tx1"/>
                        </w14:solidFill>
                      </w14:textFill>
                    </w:rPr>
                    <w:t>1.005</w:t>
                  </w:r>
                </w:p>
              </w:tc>
              <w:tc>
                <w:tcPr>
                  <w:tcW w:w="830" w:type="dxa"/>
                  <w:vAlign w:val="center"/>
                </w:tcPr>
                <w:p>
                  <w:pPr>
                    <w:jc w:val="center"/>
                    <w:rPr>
                      <w:rFonts w:hint="default" w:ascii="Times New Roman" w:hAnsi="Times New Roman" w:cs="Times New Roman"/>
                      <w:color w:val="000000" w:themeColor="text1"/>
                      <w:lang w:val="en-US" w:eastAsia="zh-CN"/>
                      <w14:textFill>
                        <w14:solidFill>
                          <w14:schemeClr w14:val="tx1"/>
                        </w14:solidFill>
                      </w14:textFill>
                    </w:rPr>
                  </w:pPr>
                  <w:r>
                    <w:rPr>
                      <w:rFonts w:hint="default" w:ascii="Times New Roman" w:hAnsi="Times New Roman" w:cs="Times New Roman"/>
                      <w:color w:val="000000" w:themeColor="text1"/>
                      <w:lang w:val="en-US" w:eastAsia="zh-CN"/>
                      <w14:textFill>
                        <w14:solidFill>
                          <w14:schemeClr w14:val="tx1"/>
                        </w14:solidFill>
                      </w14:textFill>
                    </w:rPr>
                    <w:t>1.829</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77" w:hRule="atLeast"/>
              </w:trPr>
              <w:tc>
                <w:tcPr>
                  <w:tcW w:w="2279" w:type="dxa"/>
                  <w:vAlign w:val="center"/>
                </w:tcPr>
                <w:p>
                  <w:pPr>
                    <w:jc w:val="center"/>
                    <w:rPr>
                      <w:rFonts w:hint="default" w:ascii="Times New Roman" w:hAnsi="Times New Roman" w:cs="Times New Roman"/>
                      <w:b/>
                      <w:bCs/>
                      <w:color w:val="000000" w:themeColor="text1"/>
                      <w:lang w:val="en-US" w:eastAsia="zh-CN"/>
                      <w14:textFill>
                        <w14:solidFill>
                          <w14:schemeClr w14:val="tx1"/>
                        </w14:solidFill>
                      </w14:textFill>
                    </w:rPr>
                  </w:pPr>
                  <w:r>
                    <w:rPr>
                      <w:rFonts w:hint="default" w:ascii="Times New Roman" w:hAnsi="Times New Roman" w:cs="Times New Roman"/>
                      <w:b/>
                      <w:bCs/>
                      <w:color w:val="000000" w:themeColor="text1"/>
                      <w:lang w:val="en-US" w:eastAsia="zh-CN"/>
                      <w14:textFill>
                        <w14:solidFill>
                          <w14:schemeClr w14:val="tx1"/>
                        </w14:solidFill>
                      </w14:textFill>
                    </w:rPr>
                    <w:t>粒径(μm）</w:t>
                  </w:r>
                </w:p>
              </w:tc>
              <w:tc>
                <w:tcPr>
                  <w:tcW w:w="1030" w:type="dxa"/>
                  <w:vAlign w:val="center"/>
                </w:tcPr>
                <w:p>
                  <w:pPr>
                    <w:jc w:val="center"/>
                    <w:rPr>
                      <w:rFonts w:hint="default" w:ascii="Times New Roman" w:hAnsi="Times New Roman" w:cs="Times New Roman"/>
                      <w:b/>
                      <w:bCs/>
                      <w:color w:val="000000" w:themeColor="text1"/>
                      <w:lang w:val="en-US" w:eastAsia="zh-CN"/>
                      <w14:textFill>
                        <w14:solidFill>
                          <w14:schemeClr w14:val="tx1"/>
                        </w14:solidFill>
                      </w14:textFill>
                    </w:rPr>
                  </w:pPr>
                  <w:r>
                    <w:rPr>
                      <w:rFonts w:hint="default" w:ascii="Times New Roman" w:hAnsi="Times New Roman" w:cs="Times New Roman"/>
                      <w:b/>
                      <w:bCs/>
                      <w:color w:val="000000" w:themeColor="text1"/>
                      <w:lang w:val="en-US" w:eastAsia="zh-CN"/>
                      <w14:textFill>
                        <w14:solidFill>
                          <w14:schemeClr w14:val="tx1"/>
                        </w14:solidFill>
                      </w14:textFill>
                    </w:rPr>
                    <w:t>450</w:t>
                  </w:r>
                </w:p>
              </w:tc>
              <w:tc>
                <w:tcPr>
                  <w:tcW w:w="798" w:type="dxa"/>
                  <w:vAlign w:val="center"/>
                </w:tcPr>
                <w:p>
                  <w:pPr>
                    <w:jc w:val="center"/>
                    <w:rPr>
                      <w:rFonts w:hint="default" w:ascii="Times New Roman" w:hAnsi="Times New Roman" w:cs="Times New Roman"/>
                      <w:b/>
                      <w:bCs/>
                      <w:color w:val="000000" w:themeColor="text1"/>
                      <w:lang w:val="en-US" w:eastAsia="zh-CN"/>
                      <w14:textFill>
                        <w14:solidFill>
                          <w14:schemeClr w14:val="tx1"/>
                        </w14:solidFill>
                      </w14:textFill>
                    </w:rPr>
                  </w:pPr>
                  <w:r>
                    <w:rPr>
                      <w:rFonts w:hint="default" w:ascii="Times New Roman" w:hAnsi="Times New Roman" w:cs="Times New Roman"/>
                      <w:b/>
                      <w:bCs/>
                      <w:color w:val="000000" w:themeColor="text1"/>
                      <w:lang w:val="en-US" w:eastAsia="zh-CN"/>
                      <w14:textFill>
                        <w14:solidFill>
                          <w14:schemeClr w14:val="tx1"/>
                        </w14:solidFill>
                      </w14:textFill>
                    </w:rPr>
                    <w:t>550</w:t>
                  </w:r>
                </w:p>
              </w:tc>
              <w:tc>
                <w:tcPr>
                  <w:tcW w:w="798" w:type="dxa"/>
                  <w:vAlign w:val="center"/>
                </w:tcPr>
                <w:p>
                  <w:pPr>
                    <w:jc w:val="center"/>
                    <w:rPr>
                      <w:rFonts w:hint="default" w:ascii="Times New Roman" w:hAnsi="Times New Roman" w:cs="Times New Roman"/>
                      <w:b/>
                      <w:bCs/>
                      <w:color w:val="000000" w:themeColor="text1"/>
                      <w:lang w:val="en-US" w:eastAsia="zh-CN"/>
                      <w14:textFill>
                        <w14:solidFill>
                          <w14:schemeClr w14:val="tx1"/>
                        </w14:solidFill>
                      </w14:textFill>
                    </w:rPr>
                  </w:pPr>
                  <w:r>
                    <w:rPr>
                      <w:rFonts w:hint="default" w:ascii="Times New Roman" w:hAnsi="Times New Roman" w:cs="Times New Roman"/>
                      <w:b/>
                      <w:bCs/>
                      <w:color w:val="000000" w:themeColor="text1"/>
                      <w:lang w:val="en-US" w:eastAsia="zh-CN"/>
                      <w14:textFill>
                        <w14:solidFill>
                          <w14:schemeClr w14:val="tx1"/>
                        </w14:solidFill>
                      </w14:textFill>
                    </w:rPr>
                    <w:t>650</w:t>
                  </w:r>
                </w:p>
              </w:tc>
              <w:tc>
                <w:tcPr>
                  <w:tcW w:w="810" w:type="dxa"/>
                  <w:vAlign w:val="center"/>
                </w:tcPr>
                <w:p>
                  <w:pPr>
                    <w:jc w:val="center"/>
                    <w:rPr>
                      <w:rFonts w:hint="default" w:ascii="Times New Roman" w:hAnsi="Times New Roman" w:cs="Times New Roman"/>
                      <w:b/>
                      <w:bCs/>
                      <w:color w:val="000000" w:themeColor="text1"/>
                      <w:lang w:val="en-US" w:eastAsia="zh-CN"/>
                      <w14:textFill>
                        <w14:solidFill>
                          <w14:schemeClr w14:val="tx1"/>
                        </w14:solidFill>
                      </w14:textFill>
                    </w:rPr>
                  </w:pPr>
                  <w:r>
                    <w:rPr>
                      <w:rFonts w:hint="default" w:ascii="Times New Roman" w:hAnsi="Times New Roman" w:cs="Times New Roman"/>
                      <w:b/>
                      <w:bCs/>
                      <w:color w:val="000000" w:themeColor="text1"/>
                      <w:lang w:val="en-US" w:eastAsia="zh-CN"/>
                      <w14:textFill>
                        <w14:solidFill>
                          <w14:schemeClr w14:val="tx1"/>
                        </w14:solidFill>
                      </w14:textFill>
                    </w:rPr>
                    <w:t>750</w:t>
                  </w:r>
                </w:p>
              </w:tc>
              <w:tc>
                <w:tcPr>
                  <w:tcW w:w="784" w:type="dxa"/>
                  <w:vAlign w:val="center"/>
                </w:tcPr>
                <w:p>
                  <w:pPr>
                    <w:jc w:val="center"/>
                    <w:rPr>
                      <w:rFonts w:hint="default" w:ascii="Times New Roman" w:hAnsi="Times New Roman" w:cs="Times New Roman"/>
                      <w:b/>
                      <w:bCs/>
                      <w:color w:val="000000" w:themeColor="text1"/>
                      <w:lang w:val="en-US" w:eastAsia="zh-CN"/>
                      <w14:textFill>
                        <w14:solidFill>
                          <w14:schemeClr w14:val="tx1"/>
                        </w14:solidFill>
                      </w14:textFill>
                    </w:rPr>
                  </w:pPr>
                  <w:r>
                    <w:rPr>
                      <w:rFonts w:hint="default" w:ascii="Times New Roman" w:hAnsi="Times New Roman" w:cs="Times New Roman"/>
                      <w:b/>
                      <w:bCs/>
                      <w:color w:val="000000" w:themeColor="text1"/>
                      <w:lang w:val="en-US" w:eastAsia="zh-CN"/>
                      <w14:textFill>
                        <w14:solidFill>
                          <w14:schemeClr w14:val="tx1"/>
                        </w14:solidFill>
                      </w14:textFill>
                    </w:rPr>
                    <w:t>850</w:t>
                  </w:r>
                </w:p>
              </w:tc>
              <w:tc>
                <w:tcPr>
                  <w:tcW w:w="823" w:type="dxa"/>
                  <w:vAlign w:val="center"/>
                </w:tcPr>
                <w:p>
                  <w:pPr>
                    <w:jc w:val="center"/>
                    <w:rPr>
                      <w:rFonts w:hint="default" w:ascii="Times New Roman" w:hAnsi="Times New Roman" w:cs="Times New Roman"/>
                      <w:b/>
                      <w:bCs/>
                      <w:color w:val="000000" w:themeColor="text1"/>
                      <w:lang w:val="en-US" w:eastAsia="zh-CN"/>
                      <w14:textFill>
                        <w14:solidFill>
                          <w14:schemeClr w14:val="tx1"/>
                        </w14:solidFill>
                      </w14:textFill>
                    </w:rPr>
                  </w:pPr>
                  <w:r>
                    <w:rPr>
                      <w:rFonts w:hint="default" w:ascii="Times New Roman" w:hAnsi="Times New Roman" w:cs="Times New Roman"/>
                      <w:b/>
                      <w:bCs/>
                      <w:color w:val="000000" w:themeColor="text1"/>
                      <w:lang w:val="en-US" w:eastAsia="zh-CN"/>
                      <w14:textFill>
                        <w14:solidFill>
                          <w14:schemeClr w14:val="tx1"/>
                        </w14:solidFill>
                      </w14:textFill>
                    </w:rPr>
                    <w:t>980</w:t>
                  </w:r>
                </w:p>
              </w:tc>
              <w:tc>
                <w:tcPr>
                  <w:tcW w:w="830" w:type="dxa"/>
                  <w:vAlign w:val="center"/>
                </w:tcPr>
                <w:p>
                  <w:pPr>
                    <w:jc w:val="center"/>
                    <w:rPr>
                      <w:rFonts w:hint="default" w:ascii="Times New Roman" w:hAnsi="Times New Roman" w:cs="Times New Roman"/>
                      <w:b/>
                      <w:bCs/>
                      <w:color w:val="000000" w:themeColor="text1"/>
                      <w:lang w:val="en-US" w:eastAsia="zh-CN"/>
                      <w14:textFill>
                        <w14:solidFill>
                          <w14:schemeClr w14:val="tx1"/>
                        </w14:solidFill>
                      </w14:textFill>
                    </w:rPr>
                  </w:pPr>
                  <w:r>
                    <w:rPr>
                      <w:rFonts w:hint="default" w:ascii="Times New Roman" w:hAnsi="Times New Roman" w:cs="Times New Roman"/>
                      <w:b/>
                      <w:bCs/>
                      <w:color w:val="000000" w:themeColor="text1"/>
                      <w:lang w:val="en-US" w:eastAsia="zh-CN"/>
                      <w14:textFill>
                        <w14:solidFill>
                          <w14:schemeClr w14:val="tx1"/>
                        </w14:solidFill>
                      </w14:textFill>
                    </w:rPr>
                    <w:t>1050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81" w:hRule="atLeast"/>
              </w:trPr>
              <w:tc>
                <w:tcPr>
                  <w:tcW w:w="2279" w:type="dxa"/>
                  <w:vAlign w:val="center"/>
                </w:tcPr>
                <w:p>
                  <w:pPr>
                    <w:jc w:val="center"/>
                    <w:rPr>
                      <w:rFonts w:hint="default" w:ascii="Times New Roman" w:hAnsi="Times New Roman" w:cs="Times New Roman"/>
                      <w:color w:val="000000" w:themeColor="text1"/>
                      <w:lang w:val="en-US" w:eastAsia="zh-CN"/>
                      <w14:textFill>
                        <w14:solidFill>
                          <w14:schemeClr w14:val="tx1"/>
                        </w14:solidFill>
                      </w14:textFill>
                    </w:rPr>
                  </w:pPr>
                  <w:r>
                    <w:rPr>
                      <w:rFonts w:hint="default" w:ascii="Times New Roman" w:hAnsi="Times New Roman" w:cs="Times New Roman"/>
                      <w:color w:val="000000" w:themeColor="text1"/>
                      <w:lang w:val="en-US" w:eastAsia="zh-CN"/>
                      <w14:textFill>
                        <w14:solidFill>
                          <w14:schemeClr w14:val="tx1"/>
                        </w14:solidFill>
                      </w14:textFill>
                    </w:rPr>
                    <w:t>沉降速度（m/s）</w:t>
                  </w:r>
                </w:p>
              </w:tc>
              <w:tc>
                <w:tcPr>
                  <w:tcW w:w="1030" w:type="dxa"/>
                  <w:vAlign w:val="center"/>
                </w:tcPr>
                <w:p>
                  <w:pPr>
                    <w:jc w:val="center"/>
                    <w:rPr>
                      <w:rFonts w:hint="default" w:ascii="Times New Roman" w:hAnsi="Times New Roman" w:cs="Times New Roman"/>
                      <w:color w:val="000000" w:themeColor="text1"/>
                      <w:lang w:val="en-US" w:eastAsia="zh-CN"/>
                      <w14:textFill>
                        <w14:solidFill>
                          <w14:schemeClr w14:val="tx1"/>
                        </w14:solidFill>
                      </w14:textFill>
                    </w:rPr>
                  </w:pPr>
                  <w:r>
                    <w:rPr>
                      <w:rFonts w:hint="default" w:ascii="Times New Roman" w:hAnsi="Times New Roman" w:cs="Times New Roman"/>
                      <w:color w:val="000000" w:themeColor="text1"/>
                      <w:lang w:val="en-US" w:eastAsia="zh-CN"/>
                      <w14:textFill>
                        <w14:solidFill>
                          <w14:schemeClr w14:val="tx1"/>
                        </w14:solidFill>
                      </w14:textFill>
                    </w:rPr>
                    <w:t>2.211</w:t>
                  </w:r>
                </w:p>
              </w:tc>
              <w:tc>
                <w:tcPr>
                  <w:tcW w:w="798" w:type="dxa"/>
                  <w:vAlign w:val="center"/>
                </w:tcPr>
                <w:p>
                  <w:pPr>
                    <w:jc w:val="center"/>
                    <w:rPr>
                      <w:rFonts w:hint="default" w:ascii="Times New Roman" w:hAnsi="Times New Roman" w:cs="Times New Roman"/>
                      <w:color w:val="000000" w:themeColor="text1"/>
                      <w:lang w:val="en-US" w:eastAsia="zh-CN"/>
                      <w14:textFill>
                        <w14:solidFill>
                          <w14:schemeClr w14:val="tx1"/>
                        </w14:solidFill>
                      </w14:textFill>
                    </w:rPr>
                  </w:pPr>
                  <w:r>
                    <w:rPr>
                      <w:rFonts w:hint="default" w:ascii="Times New Roman" w:hAnsi="Times New Roman" w:cs="Times New Roman"/>
                      <w:color w:val="000000" w:themeColor="text1"/>
                      <w:lang w:val="en-US" w:eastAsia="zh-CN"/>
                      <w14:textFill>
                        <w14:solidFill>
                          <w14:schemeClr w14:val="tx1"/>
                        </w14:solidFill>
                      </w14:textFill>
                    </w:rPr>
                    <w:t>2.614</w:t>
                  </w:r>
                </w:p>
              </w:tc>
              <w:tc>
                <w:tcPr>
                  <w:tcW w:w="798" w:type="dxa"/>
                  <w:vAlign w:val="center"/>
                </w:tcPr>
                <w:p>
                  <w:pPr>
                    <w:jc w:val="center"/>
                    <w:rPr>
                      <w:rFonts w:hint="default" w:ascii="Times New Roman" w:hAnsi="Times New Roman" w:cs="Times New Roman"/>
                      <w:color w:val="000000" w:themeColor="text1"/>
                      <w:lang w:val="en-US" w:eastAsia="zh-CN"/>
                      <w14:textFill>
                        <w14:solidFill>
                          <w14:schemeClr w14:val="tx1"/>
                        </w14:solidFill>
                      </w14:textFill>
                    </w:rPr>
                  </w:pPr>
                  <w:r>
                    <w:rPr>
                      <w:rFonts w:hint="default" w:ascii="Times New Roman" w:hAnsi="Times New Roman" w:cs="Times New Roman"/>
                      <w:color w:val="000000" w:themeColor="text1"/>
                      <w:lang w:val="en-US" w:eastAsia="zh-CN"/>
                      <w14:textFill>
                        <w14:solidFill>
                          <w14:schemeClr w14:val="tx1"/>
                        </w14:solidFill>
                      </w14:textFill>
                    </w:rPr>
                    <w:t>3.016</w:t>
                  </w:r>
                </w:p>
              </w:tc>
              <w:tc>
                <w:tcPr>
                  <w:tcW w:w="810" w:type="dxa"/>
                  <w:vAlign w:val="center"/>
                </w:tcPr>
                <w:p>
                  <w:pPr>
                    <w:jc w:val="center"/>
                    <w:rPr>
                      <w:rFonts w:hint="default" w:ascii="Times New Roman" w:hAnsi="Times New Roman" w:cs="Times New Roman"/>
                      <w:color w:val="000000" w:themeColor="text1"/>
                      <w:lang w:val="en-US" w:eastAsia="zh-CN"/>
                      <w14:textFill>
                        <w14:solidFill>
                          <w14:schemeClr w14:val="tx1"/>
                        </w14:solidFill>
                      </w14:textFill>
                    </w:rPr>
                  </w:pPr>
                  <w:r>
                    <w:rPr>
                      <w:rFonts w:hint="default" w:ascii="Times New Roman" w:hAnsi="Times New Roman" w:cs="Times New Roman"/>
                      <w:color w:val="000000" w:themeColor="text1"/>
                      <w:lang w:val="en-US" w:eastAsia="zh-CN"/>
                      <w14:textFill>
                        <w14:solidFill>
                          <w14:schemeClr w14:val="tx1"/>
                        </w14:solidFill>
                      </w14:textFill>
                    </w:rPr>
                    <w:t>3.418</w:t>
                  </w:r>
                </w:p>
              </w:tc>
              <w:tc>
                <w:tcPr>
                  <w:tcW w:w="784" w:type="dxa"/>
                  <w:vAlign w:val="center"/>
                </w:tcPr>
                <w:p>
                  <w:pPr>
                    <w:jc w:val="center"/>
                    <w:rPr>
                      <w:rFonts w:hint="default" w:ascii="Times New Roman" w:hAnsi="Times New Roman" w:cs="Times New Roman"/>
                      <w:color w:val="000000" w:themeColor="text1"/>
                      <w:lang w:val="en-US" w:eastAsia="zh-CN"/>
                      <w14:textFill>
                        <w14:solidFill>
                          <w14:schemeClr w14:val="tx1"/>
                        </w14:solidFill>
                      </w14:textFill>
                    </w:rPr>
                  </w:pPr>
                  <w:r>
                    <w:rPr>
                      <w:rFonts w:hint="default" w:ascii="Times New Roman" w:hAnsi="Times New Roman" w:cs="Times New Roman"/>
                      <w:color w:val="000000" w:themeColor="text1"/>
                      <w:lang w:val="en-US" w:eastAsia="zh-CN"/>
                      <w14:textFill>
                        <w14:solidFill>
                          <w14:schemeClr w14:val="tx1"/>
                        </w14:solidFill>
                      </w14:textFill>
                    </w:rPr>
                    <w:t>3.82</w:t>
                  </w:r>
                </w:p>
              </w:tc>
              <w:tc>
                <w:tcPr>
                  <w:tcW w:w="823" w:type="dxa"/>
                  <w:vAlign w:val="center"/>
                </w:tcPr>
                <w:p>
                  <w:pPr>
                    <w:jc w:val="center"/>
                    <w:rPr>
                      <w:rFonts w:hint="default" w:ascii="Times New Roman" w:hAnsi="Times New Roman" w:cs="Times New Roman"/>
                      <w:color w:val="000000" w:themeColor="text1"/>
                      <w:lang w:val="en-US" w:eastAsia="zh-CN"/>
                      <w14:textFill>
                        <w14:solidFill>
                          <w14:schemeClr w14:val="tx1"/>
                        </w14:solidFill>
                      </w14:textFill>
                    </w:rPr>
                  </w:pPr>
                  <w:r>
                    <w:rPr>
                      <w:rFonts w:hint="default" w:ascii="Times New Roman" w:hAnsi="Times New Roman" w:cs="Times New Roman"/>
                      <w:color w:val="000000" w:themeColor="text1"/>
                      <w:lang w:val="en-US" w:eastAsia="zh-CN"/>
                      <w14:textFill>
                        <w14:solidFill>
                          <w14:schemeClr w14:val="tx1"/>
                        </w14:solidFill>
                      </w14:textFill>
                    </w:rPr>
                    <w:t>4.222</w:t>
                  </w:r>
                </w:p>
              </w:tc>
              <w:tc>
                <w:tcPr>
                  <w:tcW w:w="830" w:type="dxa"/>
                  <w:vAlign w:val="center"/>
                </w:tcPr>
                <w:p>
                  <w:pPr>
                    <w:jc w:val="center"/>
                    <w:rPr>
                      <w:rFonts w:hint="default" w:ascii="Times New Roman" w:hAnsi="Times New Roman" w:cs="Times New Roman"/>
                      <w:color w:val="000000" w:themeColor="text1"/>
                      <w:lang w:val="en-US" w:eastAsia="zh-CN"/>
                      <w14:textFill>
                        <w14:solidFill>
                          <w14:schemeClr w14:val="tx1"/>
                        </w14:solidFill>
                      </w14:textFill>
                    </w:rPr>
                  </w:pPr>
                  <w:r>
                    <w:rPr>
                      <w:rFonts w:hint="default" w:ascii="Times New Roman" w:hAnsi="Times New Roman" w:cs="Times New Roman"/>
                      <w:color w:val="000000" w:themeColor="text1"/>
                      <w:lang w:val="en-US" w:eastAsia="zh-CN"/>
                      <w14:textFill>
                        <w14:solidFill>
                          <w14:schemeClr w14:val="tx1"/>
                        </w14:solidFill>
                      </w14:textFill>
                    </w:rPr>
                    <w:t>4.624</w:t>
                  </w:r>
                </w:p>
              </w:tc>
            </w:tr>
          </w:tbl>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 w:val="0"/>
                <w:bCs/>
                <w:color w:val="000000" w:themeColor="text1"/>
                <w:sz w:val="24"/>
                <w:szCs w:val="24"/>
                <w:lang w:val="en-US" w:eastAsia="zh-CN"/>
                <w14:textFill>
                  <w14:solidFill>
                    <w14:schemeClr w14:val="tx1"/>
                  </w14:solidFill>
                </w14:textFill>
              </w:rPr>
            </w:pPr>
            <w:r>
              <w:rPr>
                <w:rFonts w:hint="default" w:ascii="Times New Roman" w:hAnsi="Times New Roman" w:cs="Times New Roman"/>
                <w:b w:val="0"/>
                <w:bCs/>
                <w:color w:val="000000" w:themeColor="text1"/>
                <w:sz w:val="24"/>
                <w:szCs w:val="24"/>
                <w:lang w:val="en-US" w:eastAsia="zh-CN"/>
                <w14:textFill>
                  <w14:solidFill>
                    <w14:schemeClr w14:val="tx1"/>
                  </w14:solidFill>
                </w14:textFill>
              </w:rPr>
              <w:t>由表4-1可知，尘粒的沉降速度随粒径的增大而迅速增大。当粒径为250μm时，沉降速度为1.005m/s，因此可以认为当尘粒大于250μm时，主要影响范围在扬尘点下风向近距离范围内，而对外环境产生影响的是一些微小尘粒，根据现场的气候条件不同，其影响范围也有所不同。可以通过要求砂石、水泥等物料的储存场地三面及顶部封闭，配套防风、防雨、防扬散措施，同时定期对施工场地周围洒水，严格控制扬尘，施工时工地边界设置1.8米以上的围挡，堆土采取覆盖防尘布、覆盖防尘网、配合定期洒水等措施，减少扬尘的产生。</w:t>
            </w:r>
          </w:p>
          <w:p>
            <w:pPr>
              <w:keepNext w:val="0"/>
              <w:keepLines w:val="0"/>
              <w:suppressLineNumbers w:val="0"/>
              <w:adjustRightInd w:val="0"/>
              <w:snapToGrid w:val="0"/>
              <w:spacing w:before="0" w:beforeAutospacing="0" w:after="0" w:afterAutospacing="0" w:line="360" w:lineRule="auto"/>
              <w:ind w:left="0" w:right="0" w:firstLine="482" w:firstLineChars="200"/>
              <w:rPr>
                <w:rFonts w:hint="default" w:ascii="Times New Roman" w:hAnsi="Times New Roman" w:cs="Times New Roman"/>
                <w:b/>
                <w:bCs w:val="0"/>
                <w:color w:val="000000" w:themeColor="text1"/>
                <w:sz w:val="24"/>
                <w:szCs w:val="24"/>
                <w:lang w:val="en-US" w:eastAsia="zh-CN"/>
                <w14:textFill>
                  <w14:solidFill>
                    <w14:schemeClr w14:val="tx1"/>
                  </w14:solidFill>
                </w14:textFill>
              </w:rPr>
            </w:pPr>
            <w:r>
              <w:rPr>
                <w:rFonts w:hint="default" w:ascii="Times New Roman" w:hAnsi="Times New Roman" w:cs="Times New Roman"/>
                <w:b/>
                <w:bCs/>
                <w:color w:val="000000" w:themeColor="text1"/>
                <w:sz w:val="24"/>
                <w:szCs w:val="24"/>
                <w:lang w:val="en-US" w:eastAsia="zh-CN"/>
                <w14:textFill>
                  <w14:solidFill>
                    <w14:schemeClr w14:val="tx1"/>
                  </w14:solidFill>
                </w14:textFill>
              </w:rPr>
              <w:fldChar w:fldCharType="begin"/>
            </w:r>
            <w:r>
              <w:rPr>
                <w:rFonts w:hint="default" w:ascii="Times New Roman" w:hAnsi="Times New Roman" w:cs="Times New Roman"/>
                <w:b/>
                <w:bCs/>
                <w:color w:val="000000" w:themeColor="text1"/>
                <w:sz w:val="24"/>
                <w:szCs w:val="24"/>
                <w:lang w:val="en-US" w:eastAsia="zh-CN"/>
                <w14:textFill>
                  <w14:solidFill>
                    <w14:schemeClr w14:val="tx1"/>
                  </w14:solidFill>
                </w14:textFill>
              </w:rPr>
              <w:instrText xml:space="preserve"> = 2 \* GB3 \* MERGEFORMAT </w:instrText>
            </w:r>
            <w:r>
              <w:rPr>
                <w:rFonts w:hint="default" w:ascii="Times New Roman" w:hAnsi="Times New Roman" w:cs="Times New Roman"/>
                <w:b/>
                <w:bCs/>
                <w:color w:val="000000" w:themeColor="text1"/>
                <w:sz w:val="24"/>
                <w:szCs w:val="24"/>
                <w:lang w:val="en-US" w:eastAsia="zh-CN"/>
                <w14:textFill>
                  <w14:solidFill>
                    <w14:schemeClr w14:val="tx1"/>
                  </w14:solidFill>
                </w14:textFill>
              </w:rPr>
              <w:fldChar w:fldCharType="separate"/>
            </w:r>
            <w:r>
              <w:rPr>
                <w:rFonts w:ascii="Times New Roman" w:hAnsi="Times New Roman" w:cs="Times New Roman"/>
                <w:b/>
                <w:bCs/>
                <w:color w:val="000000" w:themeColor="text1"/>
                <w:sz w:val="24"/>
                <w:szCs w:val="24"/>
                <w14:textFill>
                  <w14:solidFill>
                    <w14:schemeClr w14:val="tx1"/>
                  </w14:solidFill>
                </w14:textFill>
              </w:rPr>
              <w:t>②</w:t>
            </w:r>
            <w:r>
              <w:rPr>
                <w:rFonts w:hint="default" w:ascii="Times New Roman" w:hAnsi="Times New Roman" w:cs="Times New Roman"/>
                <w:b/>
                <w:bCs/>
                <w:color w:val="000000" w:themeColor="text1"/>
                <w:sz w:val="24"/>
                <w:szCs w:val="24"/>
                <w:lang w:val="en-US" w:eastAsia="zh-CN"/>
                <w14:textFill>
                  <w14:solidFill>
                    <w14:schemeClr w14:val="tx1"/>
                  </w14:solidFill>
                </w14:textFill>
              </w:rPr>
              <w:fldChar w:fldCharType="end"/>
            </w:r>
            <w:r>
              <w:rPr>
                <w:rFonts w:hint="default" w:ascii="Times New Roman" w:hAnsi="Times New Roman" w:cs="Times New Roman"/>
                <w:b/>
                <w:bCs w:val="0"/>
                <w:color w:val="000000" w:themeColor="text1"/>
                <w:sz w:val="24"/>
                <w:szCs w:val="24"/>
                <w:lang w:val="en-US" w:eastAsia="zh-CN"/>
                <w14:textFill>
                  <w14:solidFill>
                    <w14:schemeClr w14:val="tx1"/>
                  </w14:solidFill>
                </w14:textFill>
              </w:rPr>
              <w:t>施工机械尾气和运输车辆尾气</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000000" w:themeColor="text1"/>
                <w:sz w:val="24"/>
                <w:szCs w:val="24"/>
                <w:lang w:val="en-US" w:eastAsia="zh-CN"/>
                <w14:textFill>
                  <w14:solidFill>
                    <w14:schemeClr w14:val="tx1"/>
                  </w14:solidFill>
                </w14:textFill>
              </w:rPr>
            </w:pPr>
            <w:r>
              <w:rPr>
                <w:rFonts w:hint="default" w:ascii="Times New Roman" w:hAnsi="Times New Roman" w:cs="Times New Roman"/>
                <w:color w:val="000000" w:themeColor="text1"/>
                <w:sz w:val="24"/>
                <w:szCs w:val="24"/>
                <w:lang w:val="en-US" w:eastAsia="zh-CN"/>
                <w14:textFill>
                  <w14:solidFill>
                    <w14:schemeClr w14:val="tx1"/>
                  </w14:solidFill>
                </w14:textFill>
              </w:rPr>
              <w:t>施工机械、运输车辆一般以汽油和柴油为燃料，施工机械和运输工具燃油燃烧产生的汽车尾气中的污染物主要有CO、NOx和THC等。由于工程分布较分散，施工过程包括基础开挖及回填、工程材料的运输等工序，难以进行定量预测分析。但是本工程型施工机械不多且连续使用时间较短，且地形开阔，空气流通较好，汽车排放的废气能够较快的扩散，不会对当地的空气环境产生较大影响，但项目建设过程中仍应控制施工车辆的数量，使空气环境质量受到的影响降至最低。</w:t>
            </w:r>
          </w:p>
          <w:p>
            <w:pPr>
              <w:keepNext w:val="0"/>
              <w:keepLines w:val="0"/>
              <w:suppressLineNumbers w:val="0"/>
              <w:spacing w:before="0" w:beforeAutospacing="0" w:after="0" w:afterAutospacing="0" w:line="360" w:lineRule="auto"/>
              <w:ind w:left="0" w:right="0" w:firstLine="482" w:firstLineChars="200"/>
              <w:rPr>
                <w:rFonts w:hint="default" w:ascii="Times New Roman" w:hAnsi="Times New Roman" w:cs="Times New Roman"/>
                <w:b/>
                <w:bCs/>
                <w:color w:val="000000" w:themeColor="text1"/>
                <w:sz w:val="24"/>
                <w:szCs w:val="24"/>
                <w:lang w:val="en-US" w:eastAsia="zh-CN"/>
                <w14:textFill>
                  <w14:solidFill>
                    <w14:schemeClr w14:val="tx1"/>
                  </w14:solidFill>
                </w14:textFill>
              </w:rPr>
            </w:pPr>
            <w:r>
              <w:rPr>
                <w:rFonts w:hint="default" w:ascii="Times New Roman" w:hAnsi="Times New Roman" w:cs="Times New Roman"/>
                <w:b/>
                <w:bCs/>
                <w:color w:val="000000" w:themeColor="text1"/>
                <w:sz w:val="24"/>
                <w:szCs w:val="24"/>
                <w:lang w:val="en-US" w:eastAsia="zh-CN"/>
                <w14:textFill>
                  <w14:solidFill>
                    <w14:schemeClr w14:val="tx1"/>
                  </w14:solidFill>
                </w14:textFill>
              </w:rPr>
              <w:fldChar w:fldCharType="begin"/>
            </w:r>
            <w:r>
              <w:rPr>
                <w:rFonts w:hint="default" w:ascii="Times New Roman" w:hAnsi="Times New Roman" w:cs="Times New Roman"/>
                <w:b/>
                <w:bCs/>
                <w:color w:val="000000" w:themeColor="text1"/>
                <w:sz w:val="24"/>
                <w:szCs w:val="24"/>
                <w:lang w:val="en-US" w:eastAsia="zh-CN"/>
                <w14:textFill>
                  <w14:solidFill>
                    <w14:schemeClr w14:val="tx1"/>
                  </w14:solidFill>
                </w14:textFill>
              </w:rPr>
              <w:instrText xml:space="preserve"> = 3 \* GB3 \* MERGEFORMAT </w:instrText>
            </w:r>
            <w:r>
              <w:rPr>
                <w:rFonts w:hint="default" w:ascii="Times New Roman" w:hAnsi="Times New Roman" w:cs="Times New Roman"/>
                <w:b/>
                <w:bCs/>
                <w:color w:val="000000" w:themeColor="text1"/>
                <w:sz w:val="24"/>
                <w:szCs w:val="24"/>
                <w:lang w:val="en-US" w:eastAsia="zh-CN"/>
                <w14:textFill>
                  <w14:solidFill>
                    <w14:schemeClr w14:val="tx1"/>
                  </w14:solidFill>
                </w14:textFill>
              </w:rPr>
              <w:fldChar w:fldCharType="separate"/>
            </w:r>
            <w:r>
              <w:rPr>
                <w:rFonts w:hint="default" w:ascii="Times New Roman" w:hAnsi="Times New Roman" w:cs="Times New Roman"/>
                <w:b/>
                <w:bCs/>
                <w:color w:val="000000" w:themeColor="text1"/>
                <w:sz w:val="24"/>
                <w:szCs w:val="24"/>
                <w:lang w:val="en-US" w:eastAsia="zh-CN"/>
                <w14:textFill>
                  <w14:solidFill>
                    <w14:schemeClr w14:val="tx1"/>
                  </w14:solidFill>
                </w14:textFill>
              </w:rPr>
              <w:t>③</w:t>
            </w:r>
            <w:r>
              <w:rPr>
                <w:rFonts w:hint="default" w:ascii="Times New Roman" w:hAnsi="Times New Roman" w:cs="Times New Roman"/>
                <w:b/>
                <w:bCs/>
                <w:color w:val="000000" w:themeColor="text1"/>
                <w:sz w:val="24"/>
                <w:szCs w:val="24"/>
                <w:lang w:val="en-US" w:eastAsia="zh-CN"/>
                <w14:textFill>
                  <w14:solidFill>
                    <w14:schemeClr w14:val="tx1"/>
                  </w14:solidFill>
                </w14:textFill>
              </w:rPr>
              <w:fldChar w:fldCharType="end"/>
            </w:r>
            <w:r>
              <w:rPr>
                <w:rFonts w:hint="default" w:ascii="Times New Roman" w:hAnsi="Times New Roman" w:cs="Times New Roman"/>
                <w:b/>
                <w:bCs/>
                <w:color w:val="000000" w:themeColor="text1"/>
                <w:sz w:val="24"/>
                <w:szCs w:val="24"/>
                <w:lang w:val="en-US" w:eastAsia="zh-CN"/>
                <w14:textFill>
                  <w14:solidFill>
                    <w14:schemeClr w14:val="tx1"/>
                  </w14:solidFill>
                </w14:textFill>
              </w:rPr>
              <w:t>运输粉尘</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000000" w:themeColor="text1"/>
                <w:sz w:val="24"/>
                <w:szCs w:val="24"/>
                <w:lang w:val="en-US" w:eastAsia="zh-CN"/>
                <w14:textFill>
                  <w14:solidFill>
                    <w14:schemeClr w14:val="tx1"/>
                  </w14:solidFill>
                </w14:textFill>
              </w:rPr>
            </w:pPr>
            <w:r>
              <w:rPr>
                <w:rFonts w:hint="default" w:ascii="Times New Roman" w:hAnsi="Times New Roman" w:cs="Times New Roman"/>
                <w:b w:val="0"/>
                <w:bCs/>
                <w:color w:val="000000" w:themeColor="text1"/>
                <w:sz w:val="24"/>
                <w:szCs w:val="24"/>
                <w:lang w:val="en-US" w:eastAsia="zh-CN"/>
                <w14:textFill>
                  <w14:solidFill>
                    <w14:schemeClr w14:val="tx1"/>
                  </w14:solidFill>
                </w14:textFill>
              </w:rPr>
              <w:t>施工扬尘的另一种情况是</w:t>
            </w:r>
            <w:r>
              <w:rPr>
                <w:rFonts w:hint="default" w:ascii="Times New Roman" w:hAnsi="Times New Roman" w:cs="Times New Roman"/>
                <w:color w:val="000000" w:themeColor="text1"/>
                <w:sz w:val="24"/>
                <w:szCs w:val="24"/>
                <w:lang w:val="en-US" w:eastAsia="zh-CN"/>
                <w14:textFill>
                  <w14:solidFill>
                    <w14:schemeClr w14:val="tx1"/>
                  </w14:solidFill>
                </w14:textFill>
              </w:rPr>
              <w:t>有关调查显示，施工工地的扬尘主要是由运输车辆的行驶产生，约占扬尘总量的60%，在完全干燥情况下，可按下列经验公式计算：</w:t>
            </w:r>
          </w:p>
          <w:p>
            <w:pPr>
              <w:keepNext w:val="0"/>
              <w:keepLines w:val="0"/>
              <w:suppressLineNumbers w:val="0"/>
              <w:spacing w:before="0" w:beforeAutospacing="0" w:after="0" w:afterAutospacing="0" w:line="360" w:lineRule="auto"/>
              <w:ind w:left="0" w:right="0"/>
              <w:jc w:val="center"/>
              <w:rPr>
                <w:rFonts w:hint="default" w:ascii="Times New Roman" w:hAnsi="Times New Roman" w:cs="Times New Roman"/>
                <w:color w:val="000000" w:themeColor="text1"/>
                <w:sz w:val="24"/>
                <w:szCs w:val="24"/>
                <w:lang w:val="en-US" w:eastAsia="zh-CN"/>
                <w14:textFill>
                  <w14:solidFill>
                    <w14:schemeClr w14:val="tx1"/>
                  </w14:solidFill>
                </w14:textFill>
              </w:rPr>
            </w:pPr>
            <w:r>
              <w:rPr>
                <w:rFonts w:hint="default" w:ascii="Times New Roman" w:hAnsi="Times New Roman" w:cs="Times New Roman"/>
                <w:color w:val="000000" w:themeColor="text1"/>
                <w:position w:val="-24"/>
                <w:sz w:val="24"/>
                <w:szCs w:val="24"/>
                <w:lang w:val="en-US" w:eastAsia="zh-CN"/>
                <w14:textFill>
                  <w14:solidFill>
                    <w14:schemeClr w14:val="tx1"/>
                  </w14:solidFill>
                </w14:textFill>
              </w:rPr>
              <w:object>
                <v:shape id="_x0000_i1025" o:spt="75" type="#_x0000_t75" style="height:31pt;width:144pt;" o:ole="t" filled="f" o:preferrelative="t" stroked="f" coordsize="21600,21600">
                  <v:path/>
                  <v:fill on="f" focussize="0,0"/>
                  <v:stroke on="f"/>
                  <v:imagedata r:id="rId16" o:title=""/>
                  <o:lock v:ext="edit" aspectratio="t"/>
                  <w10:wrap type="none"/>
                  <w10:anchorlock/>
                </v:shape>
                <o:OLEObject Type="Embed" ProgID="Equation.KSEE3" ShapeID="_x0000_i1025" DrawAspect="Content" ObjectID="_1468075725" r:id="rId15">
                  <o:LockedField>false</o:LockedField>
                </o:OLEObject>
              </w:objec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000000" w:themeColor="text1"/>
                <w:sz w:val="24"/>
                <w:szCs w:val="24"/>
                <w:lang w:val="en-US" w:eastAsia="zh-CN"/>
                <w14:textFill>
                  <w14:solidFill>
                    <w14:schemeClr w14:val="tx1"/>
                  </w14:solidFill>
                </w14:textFill>
              </w:rPr>
            </w:pPr>
            <w:r>
              <w:rPr>
                <w:rFonts w:hint="default" w:ascii="Times New Roman" w:hAnsi="Times New Roman" w:cs="Times New Roman"/>
                <w:color w:val="000000" w:themeColor="text1"/>
                <w:sz w:val="24"/>
                <w:szCs w:val="24"/>
                <w:lang w:val="en-US" w:eastAsia="zh-CN"/>
                <w14:textFill>
                  <w14:solidFill>
                    <w14:schemeClr w14:val="tx1"/>
                  </w14:solidFill>
                </w14:textFill>
              </w:rPr>
              <w:t>式中：Q——汽车行驶的扬尘，kg/km·辆；</w:t>
            </w:r>
          </w:p>
          <w:p>
            <w:pPr>
              <w:keepNext w:val="0"/>
              <w:keepLines w:val="0"/>
              <w:suppressLineNumbers w:val="0"/>
              <w:spacing w:before="0" w:beforeAutospacing="0" w:after="0" w:afterAutospacing="0" w:line="360" w:lineRule="auto"/>
              <w:ind w:left="0" w:right="0" w:firstLine="1200" w:firstLineChars="500"/>
              <w:rPr>
                <w:rFonts w:hint="default" w:ascii="Times New Roman" w:hAnsi="Times New Roman" w:cs="Times New Roman"/>
                <w:color w:val="000000" w:themeColor="text1"/>
                <w:sz w:val="24"/>
                <w:szCs w:val="24"/>
                <w:lang w:val="en-US" w:eastAsia="zh-CN"/>
                <w14:textFill>
                  <w14:solidFill>
                    <w14:schemeClr w14:val="tx1"/>
                  </w14:solidFill>
                </w14:textFill>
              </w:rPr>
            </w:pPr>
            <w:r>
              <w:rPr>
                <w:rFonts w:hint="default" w:ascii="Times New Roman" w:hAnsi="Times New Roman" w:cs="Times New Roman"/>
                <w:color w:val="000000" w:themeColor="text1"/>
                <w:sz w:val="24"/>
                <w:szCs w:val="24"/>
                <w:lang w:val="en-US" w:eastAsia="zh-CN"/>
                <w14:textFill>
                  <w14:solidFill>
                    <w14:schemeClr w14:val="tx1"/>
                  </w14:solidFill>
                </w14:textFill>
              </w:rPr>
              <w:t>V——汽车速度，km/h；</w:t>
            </w:r>
          </w:p>
          <w:p>
            <w:pPr>
              <w:keepNext w:val="0"/>
              <w:keepLines w:val="0"/>
              <w:suppressLineNumbers w:val="0"/>
              <w:spacing w:before="0" w:beforeAutospacing="0" w:after="0" w:afterAutospacing="0" w:line="360" w:lineRule="auto"/>
              <w:ind w:left="0" w:right="0" w:firstLine="1200" w:firstLineChars="500"/>
              <w:rPr>
                <w:rFonts w:hint="default" w:ascii="Times New Roman" w:hAnsi="Times New Roman" w:cs="Times New Roman"/>
                <w:color w:val="000000" w:themeColor="text1"/>
                <w:sz w:val="24"/>
                <w:szCs w:val="24"/>
                <w:lang w:val="en-US" w:eastAsia="zh-CN"/>
                <w14:textFill>
                  <w14:solidFill>
                    <w14:schemeClr w14:val="tx1"/>
                  </w14:solidFill>
                </w14:textFill>
              </w:rPr>
            </w:pPr>
            <w:r>
              <w:rPr>
                <w:rFonts w:hint="default" w:ascii="Times New Roman" w:hAnsi="Times New Roman" w:cs="Times New Roman"/>
                <w:color w:val="000000" w:themeColor="text1"/>
                <w:sz w:val="24"/>
                <w:szCs w:val="24"/>
                <w:lang w:val="en-US" w:eastAsia="zh-CN"/>
                <w14:textFill>
                  <w14:solidFill>
                    <w14:schemeClr w14:val="tx1"/>
                  </w14:solidFill>
                </w14:textFill>
              </w:rPr>
              <w:t>W——汽车载重量，t；</w:t>
            </w:r>
          </w:p>
          <w:p>
            <w:pPr>
              <w:keepNext w:val="0"/>
              <w:keepLines w:val="0"/>
              <w:suppressLineNumbers w:val="0"/>
              <w:spacing w:before="0" w:beforeAutospacing="0" w:after="0" w:afterAutospacing="0" w:line="360" w:lineRule="auto"/>
              <w:ind w:left="0" w:right="0" w:firstLine="1200" w:firstLineChars="500"/>
              <w:rPr>
                <w:rFonts w:hint="default" w:ascii="Times New Roman" w:hAnsi="Times New Roman" w:cs="Times New Roman"/>
                <w:color w:val="000000" w:themeColor="text1"/>
                <w:sz w:val="24"/>
                <w:szCs w:val="24"/>
                <w:lang w:val="en-US" w:eastAsia="zh-CN"/>
                <w14:textFill>
                  <w14:solidFill>
                    <w14:schemeClr w14:val="tx1"/>
                  </w14:solidFill>
                </w14:textFill>
              </w:rPr>
            </w:pPr>
            <w:r>
              <w:rPr>
                <w:rFonts w:hint="default" w:ascii="Times New Roman" w:hAnsi="Times New Roman" w:cs="Times New Roman"/>
                <w:color w:val="000000" w:themeColor="text1"/>
                <w:sz w:val="24"/>
                <w:szCs w:val="24"/>
                <w:lang w:val="en-US" w:eastAsia="zh-CN"/>
                <w14:textFill>
                  <w14:solidFill>
                    <w14:schemeClr w14:val="tx1"/>
                  </w14:solidFill>
                </w14:textFill>
              </w:rPr>
              <w:t>P——道路表面粉尘量，kg/m</w:t>
            </w:r>
            <w:r>
              <w:rPr>
                <w:rFonts w:hint="default" w:ascii="Times New Roman" w:hAnsi="Times New Roman" w:cs="Times New Roman"/>
                <w:color w:val="000000" w:themeColor="text1"/>
                <w:sz w:val="24"/>
                <w:szCs w:val="24"/>
                <w:vertAlign w:val="superscript"/>
                <w:lang w:val="en-US" w:eastAsia="zh-CN"/>
                <w14:textFill>
                  <w14:solidFill>
                    <w14:schemeClr w14:val="tx1"/>
                  </w14:solidFill>
                </w14:textFill>
              </w:rPr>
              <w:t>2</w:t>
            </w:r>
            <w:r>
              <w:rPr>
                <w:rFonts w:hint="default" w:ascii="Times New Roman" w:hAnsi="Times New Roman" w:cs="Times New Roman"/>
                <w:color w:val="000000" w:themeColor="text1"/>
                <w:sz w:val="24"/>
                <w:szCs w:val="24"/>
                <w:lang w:val="en-US" w:eastAsia="zh-CN"/>
                <w14:textFill>
                  <w14:solidFill>
                    <w14:schemeClr w14:val="tx1"/>
                  </w14:solidFill>
                </w14:textFill>
              </w:rPr>
              <w:t>。</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000000" w:themeColor="text1"/>
                <w:sz w:val="24"/>
                <w:szCs w:val="24"/>
                <w:lang w:val="en-US" w:eastAsia="zh-CN"/>
                <w14:textFill>
                  <w14:solidFill>
                    <w14:schemeClr w14:val="tx1"/>
                  </w14:solidFill>
                </w14:textFill>
              </w:rPr>
            </w:pPr>
            <w:r>
              <w:rPr>
                <w:rFonts w:hint="default" w:ascii="Times New Roman" w:hAnsi="Times New Roman" w:cs="Times New Roman"/>
                <w:color w:val="000000" w:themeColor="text1"/>
                <w:sz w:val="24"/>
                <w:szCs w:val="24"/>
                <w:lang w:val="en-US" w:eastAsia="zh-CN"/>
                <w14:textFill>
                  <w14:solidFill>
                    <w14:schemeClr w14:val="tx1"/>
                  </w14:solidFill>
                </w14:textFill>
              </w:rPr>
              <w:t>根据经验公式可知，不同路面清洁程度，不同行驶速度情况下产生的扬尘量。由此可见，在同样路面清洁情况下，车速越快，扬尘量越大；而在同样车速情况下，路面清洁度越差，则扬尘量越大。因此，限速行驶及保持路面清洁，同时适当洒水抑尘是减少汽车扬尘的有效措施。</w:t>
            </w:r>
          </w:p>
          <w:p>
            <w:pPr>
              <w:keepNext w:val="0"/>
              <w:keepLines w:val="0"/>
              <w:suppressLineNumbers w:val="0"/>
              <w:adjustRightInd w:val="0"/>
              <w:snapToGrid w:val="0"/>
              <w:spacing w:before="0" w:beforeAutospacing="0" w:after="0" w:afterAutospacing="0" w:line="360" w:lineRule="auto"/>
              <w:ind w:left="0" w:right="0" w:firstLine="482" w:firstLineChars="200"/>
              <w:rPr>
                <w:rFonts w:hint="default" w:ascii="Times New Roman" w:hAnsi="Times New Roman" w:cs="Times New Roman"/>
                <w:b/>
                <w:bCs w:val="0"/>
                <w:color w:val="000000" w:themeColor="text1"/>
                <w:sz w:val="24"/>
                <w:szCs w:val="24"/>
                <w:lang w:val="en-US" w:eastAsia="zh-CN"/>
                <w14:textFill>
                  <w14:solidFill>
                    <w14:schemeClr w14:val="tx1"/>
                  </w14:solidFill>
                </w14:textFill>
              </w:rPr>
            </w:pPr>
            <w:r>
              <w:rPr>
                <w:rFonts w:hint="default" w:ascii="Times New Roman" w:hAnsi="Times New Roman" w:cs="Times New Roman"/>
                <w:b/>
                <w:bCs w:val="0"/>
                <w:color w:val="000000" w:themeColor="text1"/>
                <w:sz w:val="24"/>
                <w:szCs w:val="24"/>
                <w14:textFill>
                  <w14:solidFill>
                    <w14:schemeClr w14:val="tx1"/>
                  </w14:solidFill>
                </w14:textFill>
              </w:rPr>
              <w:t>4.</w:t>
            </w:r>
            <w:r>
              <w:rPr>
                <w:rFonts w:hint="default" w:ascii="Times New Roman" w:hAnsi="Times New Roman" w:cs="Times New Roman"/>
                <w:b/>
                <w:bCs w:val="0"/>
                <w:color w:val="000000" w:themeColor="text1"/>
                <w:sz w:val="24"/>
                <w:szCs w:val="24"/>
                <w:lang w:val="en-US" w:eastAsia="zh-CN"/>
                <w14:textFill>
                  <w14:solidFill>
                    <w14:schemeClr w14:val="tx1"/>
                  </w14:solidFill>
                </w14:textFill>
              </w:rPr>
              <w:t>2施工期水环境影响分析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 w:val="0"/>
                <w:bCs/>
                <w:color w:val="000000" w:themeColor="text1"/>
                <w:sz w:val="24"/>
                <w:szCs w:val="24"/>
                <w:lang w:val="en-US" w:eastAsia="zh-CN"/>
                <w14:textFill>
                  <w14:solidFill>
                    <w14:schemeClr w14:val="tx1"/>
                  </w14:solidFill>
                </w14:textFill>
              </w:rPr>
            </w:pPr>
            <w:r>
              <w:rPr>
                <w:rFonts w:hint="default" w:ascii="Times New Roman" w:hAnsi="Times New Roman" w:cs="Times New Roman"/>
                <w:b w:val="0"/>
                <w:bCs/>
                <w:color w:val="000000" w:themeColor="text1"/>
                <w:sz w:val="24"/>
                <w:szCs w:val="24"/>
                <w:lang w:val="en-US" w:eastAsia="zh-CN"/>
                <w14:textFill>
                  <w14:solidFill>
                    <w14:schemeClr w14:val="tx1"/>
                  </w14:solidFill>
                </w14:textFill>
              </w:rPr>
              <w:t>本项目施工人员为项目建设区域附近居民，食宿均不在施工场内，施工废水主要为施工生产废水和工人生活废水。施工生产废水主要有施工机械养护冲洗废水以及车辆清洗废水等，主要污染物有SS、石油类，可以依托矿区内已建成沉淀池处理后回用于洒水抑尘；生活废水依托现有化粪池，定期委托周边居民清运作为农肥。通过采取上述措施后，施工期产生的污水对外环境的影响较小。</w:t>
            </w:r>
          </w:p>
          <w:p>
            <w:pPr>
              <w:keepNext w:val="0"/>
              <w:keepLines w:val="0"/>
              <w:suppressLineNumbers w:val="0"/>
              <w:adjustRightInd w:val="0"/>
              <w:snapToGrid w:val="0"/>
              <w:spacing w:before="0" w:beforeAutospacing="0" w:after="0" w:afterAutospacing="0" w:line="360" w:lineRule="auto"/>
              <w:ind w:left="0" w:right="0" w:firstLine="482" w:firstLineChars="200"/>
              <w:rPr>
                <w:rFonts w:hint="default" w:ascii="Times New Roman" w:hAnsi="Times New Roman" w:cs="Times New Roman"/>
                <w:b/>
                <w:bCs w:val="0"/>
                <w:color w:val="000000" w:themeColor="text1"/>
                <w:sz w:val="24"/>
                <w:szCs w:val="24"/>
                <w:lang w:val="en-US" w:eastAsia="zh-CN"/>
                <w14:textFill>
                  <w14:solidFill>
                    <w14:schemeClr w14:val="tx1"/>
                  </w14:solidFill>
                </w14:textFill>
              </w:rPr>
            </w:pPr>
            <w:r>
              <w:rPr>
                <w:rFonts w:hint="default" w:ascii="Times New Roman" w:hAnsi="Times New Roman" w:cs="Times New Roman"/>
                <w:b/>
                <w:bCs w:val="0"/>
                <w:color w:val="000000" w:themeColor="text1"/>
                <w:sz w:val="24"/>
                <w:szCs w:val="24"/>
                <w14:textFill>
                  <w14:solidFill>
                    <w14:schemeClr w14:val="tx1"/>
                  </w14:solidFill>
                </w14:textFill>
              </w:rPr>
              <w:t>4.</w:t>
            </w:r>
            <w:r>
              <w:rPr>
                <w:rFonts w:hint="default" w:ascii="Times New Roman" w:hAnsi="Times New Roman" w:cs="Times New Roman"/>
                <w:b/>
                <w:bCs w:val="0"/>
                <w:color w:val="000000" w:themeColor="text1"/>
                <w:sz w:val="24"/>
                <w:szCs w:val="24"/>
                <w:lang w:val="en-US" w:eastAsia="zh-CN"/>
                <w14:textFill>
                  <w14:solidFill>
                    <w14:schemeClr w14:val="tx1"/>
                  </w14:solidFill>
                </w14:textFill>
              </w:rPr>
              <w:t>3施工期声环境影响分析</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default" w:ascii="Times New Roman" w:hAnsi="Times New Roman" w:cs="Times New Roman"/>
                <w:b/>
                <w:bCs w:val="0"/>
                <w:color w:val="auto"/>
                <w:sz w:val="24"/>
                <w:szCs w:val="24"/>
                <w:lang w:val="en-US" w:eastAsia="zh-CN"/>
              </w:rPr>
            </w:pPr>
            <w:r>
              <w:rPr>
                <w:rFonts w:hint="default" w:ascii="Times New Roman" w:hAnsi="Times New Roman" w:cs="Times New Roman"/>
                <w:b w:val="0"/>
                <w:bCs/>
                <w:color w:val="000000" w:themeColor="text1"/>
                <w:sz w:val="24"/>
                <w:szCs w:val="24"/>
                <w:lang w:val="en-US" w:eastAsia="zh-CN"/>
                <w14:textFill>
                  <w14:solidFill>
                    <w14:schemeClr w14:val="tx1"/>
                  </w14:solidFill>
                </w14:textFill>
              </w:rPr>
              <w:t>本项目施工期噪声主要来源推土机、液压挖掘机等施工机械噪声以及各种卡车、自卸车运输车辆噪声，噪声源强值约在80-90dB（A）之间。施工机械噪声往往具有噪声强、阶段性、临时性、突发性和不固定性的特点，如不采取措施加以控制，往往对周围环境产生较大的影响。但是施工期影响是短暂的，一旦施工作业结束，施工噪声和振动也就随之结束</w:t>
            </w:r>
            <w:r>
              <w:rPr>
                <w:rFonts w:hint="default" w:ascii="Times New Roman" w:hAnsi="Times New Roman" w:cs="Times New Roman"/>
                <w:bCs/>
                <w:color w:val="000000" w:themeColor="text1"/>
                <w:sz w:val="24"/>
                <w:szCs w:val="24"/>
                <w:lang w:val="en-US" w:eastAsia="zh-CN"/>
                <w14:textFill>
                  <w14:solidFill>
                    <w14:schemeClr w14:val="tx1"/>
                  </w14:solidFill>
                </w14:textFill>
              </w:rPr>
              <w:t>，具有暂时性和间歇性的特点，且本次施工范围内不存在声环境保护目标，采取以</w:t>
            </w:r>
            <w:r>
              <w:rPr>
                <w:rFonts w:hint="default" w:ascii="Times New Roman" w:hAnsi="Times New Roman" w:cs="Times New Roman"/>
                <w:b w:val="0"/>
                <w:bCs/>
                <w:color w:val="000000" w:themeColor="text1"/>
                <w:sz w:val="24"/>
                <w:szCs w:val="24"/>
                <w:lang w:val="en-US" w:eastAsia="zh-CN"/>
                <w14:textFill>
                  <w14:solidFill>
                    <w14:schemeClr w14:val="tx1"/>
                  </w14:solidFill>
                </w14:textFill>
              </w:rPr>
              <w:t>上措施可有效地控制施工期</w:t>
            </w:r>
            <w:r>
              <w:rPr>
                <w:rFonts w:hint="default" w:ascii="Times New Roman" w:hAnsi="Times New Roman" w:cs="Times New Roman"/>
                <w:b w:val="0"/>
                <w:bCs/>
                <w:color w:val="auto"/>
                <w:sz w:val="24"/>
                <w:szCs w:val="24"/>
                <w:lang w:val="en-US" w:eastAsia="zh-CN"/>
              </w:rPr>
              <w:t>噪声对周围环境的影响随着施工活动的结束，影响即消失</w:t>
            </w:r>
          </w:p>
          <w:p>
            <w:pPr>
              <w:keepNext w:val="0"/>
              <w:keepLines w:val="0"/>
              <w:suppressLineNumbers w:val="0"/>
              <w:adjustRightInd w:val="0"/>
              <w:snapToGrid w:val="0"/>
              <w:spacing w:before="0" w:beforeAutospacing="0" w:after="0" w:afterAutospacing="0" w:line="360" w:lineRule="auto"/>
              <w:ind w:left="0" w:right="0" w:firstLine="482" w:firstLineChars="200"/>
              <w:rPr>
                <w:rFonts w:hint="default" w:ascii="Times New Roman" w:hAnsi="Times New Roman" w:cs="Times New Roman"/>
                <w:b/>
                <w:bCs w:val="0"/>
                <w:color w:val="auto"/>
                <w:sz w:val="24"/>
                <w:szCs w:val="24"/>
                <w:lang w:val="en-US" w:eastAsia="zh-CN"/>
              </w:rPr>
            </w:pPr>
            <w:r>
              <w:rPr>
                <w:rFonts w:hint="default" w:ascii="Times New Roman" w:hAnsi="Times New Roman" w:cs="Times New Roman"/>
                <w:b/>
                <w:bCs w:val="0"/>
                <w:color w:val="auto"/>
                <w:sz w:val="24"/>
                <w:szCs w:val="24"/>
              </w:rPr>
              <w:t>4.</w:t>
            </w:r>
            <w:r>
              <w:rPr>
                <w:rFonts w:hint="default" w:ascii="Times New Roman" w:hAnsi="Times New Roman" w:cs="Times New Roman"/>
                <w:b/>
                <w:bCs w:val="0"/>
                <w:color w:val="auto"/>
                <w:sz w:val="24"/>
                <w:szCs w:val="24"/>
                <w:lang w:val="en-US" w:eastAsia="zh-CN"/>
              </w:rPr>
              <w:t>4施工期生态环境影响分析</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default" w:ascii="Times New Roman" w:hAnsi="Times New Roman" w:cs="Times New Roman"/>
                <w:b w:val="0"/>
                <w:bCs/>
                <w:color w:val="auto"/>
                <w:sz w:val="24"/>
                <w:szCs w:val="24"/>
                <w:lang w:val="en-US" w:eastAsia="zh-CN"/>
              </w:rPr>
            </w:pPr>
            <w:r>
              <w:rPr>
                <w:rFonts w:hint="default" w:ascii="Times New Roman" w:hAnsi="Times New Roman" w:eastAsia="宋体" w:cs="Times New Roman"/>
                <w:b w:val="0"/>
                <w:bCs/>
                <w:color w:val="auto"/>
                <w:kern w:val="2"/>
                <w:sz w:val="24"/>
                <w:szCs w:val="24"/>
                <w:lang w:val="en-US" w:eastAsia="zh-CN" w:bidi="ar-SA"/>
              </w:rPr>
              <w:t>（1）</w:t>
            </w:r>
            <w:r>
              <w:rPr>
                <w:rFonts w:hint="default" w:ascii="Times New Roman" w:hAnsi="Times New Roman" w:cs="Times New Roman"/>
                <w:b w:val="0"/>
                <w:bCs/>
                <w:color w:val="auto"/>
                <w:sz w:val="24"/>
                <w:szCs w:val="24"/>
                <w:lang w:val="en-US" w:eastAsia="zh-CN"/>
              </w:rPr>
              <w:t>占地影响分析</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default" w:ascii="Times New Roman" w:hAnsi="Times New Roman" w:cs="Times New Roman"/>
                <w:b w:val="0"/>
                <w:bCs/>
                <w:color w:val="auto"/>
                <w:sz w:val="24"/>
                <w:szCs w:val="24"/>
                <w:lang w:val="en-US" w:eastAsia="zh-CN"/>
              </w:rPr>
            </w:pPr>
            <w:r>
              <w:rPr>
                <w:rFonts w:hint="default" w:ascii="Times New Roman" w:hAnsi="Times New Roman" w:cs="Times New Roman"/>
                <w:b w:val="0"/>
                <w:bCs/>
                <w:color w:val="auto"/>
                <w:sz w:val="24"/>
                <w:szCs w:val="24"/>
                <w:lang w:val="en-US" w:eastAsia="zh-CN"/>
              </w:rPr>
              <w:t>项目施工期生态影响主要为临时占地，对表层土的剥离等工程，均会占有现有土地资源，使这些土地失去原有的生物生产功能和生态服务功能，占用土地类型主要为林地、荒地。荒地主要为常见杂草和茅草，临时占用灌木林地包括马尾松、杉木、油茶、毛竹等；占用土地会使林地失去原有的涵养水源及水土保持等生态功</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default" w:ascii="Times New Roman" w:hAnsi="Times New Roman" w:cs="Times New Roman"/>
                <w:b w:val="0"/>
                <w:bCs/>
                <w:color w:val="auto"/>
                <w:sz w:val="24"/>
                <w:szCs w:val="24"/>
                <w:lang w:val="en-US" w:eastAsia="zh-CN"/>
              </w:rPr>
            </w:pPr>
            <w:r>
              <w:rPr>
                <w:rFonts w:hint="default" w:ascii="Times New Roman" w:hAnsi="Times New Roman" w:eastAsia="宋体" w:cs="Times New Roman"/>
                <w:b w:val="0"/>
                <w:bCs/>
                <w:color w:val="auto"/>
                <w:kern w:val="2"/>
                <w:sz w:val="24"/>
                <w:szCs w:val="24"/>
                <w:lang w:val="en-US" w:eastAsia="zh-CN" w:bidi="ar-SA"/>
              </w:rPr>
              <w:t>（2）</w:t>
            </w:r>
            <w:r>
              <w:rPr>
                <w:rFonts w:hint="default" w:ascii="Times New Roman" w:hAnsi="Times New Roman" w:cs="Times New Roman"/>
                <w:b w:val="0"/>
                <w:bCs/>
                <w:color w:val="auto"/>
                <w:sz w:val="24"/>
                <w:szCs w:val="24"/>
                <w:lang w:val="en-US" w:eastAsia="zh-CN"/>
              </w:rPr>
              <w:t>陆生植被影响分析</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default" w:ascii="Times New Roman" w:hAnsi="Times New Roman" w:cs="Times New Roman"/>
                <w:b w:val="0"/>
                <w:bCs/>
                <w:color w:val="auto"/>
                <w:sz w:val="24"/>
                <w:szCs w:val="24"/>
                <w:lang w:val="en-US" w:eastAsia="zh-CN"/>
              </w:rPr>
            </w:pPr>
            <w:r>
              <w:rPr>
                <w:rFonts w:hint="default" w:ascii="Times New Roman" w:hAnsi="Times New Roman" w:cs="Times New Roman"/>
                <w:b w:val="0"/>
                <w:bCs/>
                <w:color w:val="auto"/>
                <w:sz w:val="24"/>
                <w:szCs w:val="24"/>
                <w:lang w:val="en-US" w:eastAsia="zh-CN"/>
              </w:rPr>
              <w:t>项目建设扰动地表面积，造成区域地表植被破坏，减少区域陆生植被生物量。通过现场实地调查和查询有关资料，项目周边未发现重点保护植物及名木古树分布，受项目影响陆生植被均为当地常见种杂草、茅草、马尾松、杉木、油茶、毛竹等，在</w:t>
            </w:r>
            <w:r>
              <w:rPr>
                <w:rFonts w:hint="eastAsia" w:cs="Times New Roman"/>
                <w:b w:val="0"/>
                <w:bCs/>
                <w:color w:val="auto"/>
                <w:sz w:val="24"/>
                <w:szCs w:val="24"/>
                <w:lang w:val="en-US" w:eastAsia="zh-CN"/>
              </w:rPr>
              <w:t>矿区</w:t>
            </w:r>
            <w:r>
              <w:rPr>
                <w:rFonts w:hint="default" w:ascii="Times New Roman" w:hAnsi="Times New Roman" w:cs="Times New Roman"/>
                <w:b w:val="0"/>
                <w:bCs/>
                <w:color w:val="auto"/>
                <w:sz w:val="24"/>
                <w:szCs w:val="24"/>
                <w:lang w:val="en-US" w:eastAsia="zh-CN"/>
              </w:rPr>
              <w:t>周边地区均有广泛分布，不存在因局部植被损失导致该植物种群消失的可能性。项目施工结束后通过生态修复，能够使影响范围内植被短时间得到较好恢复，有效降低施工对陆生植被产生的不利影响。</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360" w:lineRule="auto"/>
              <w:ind w:left="0" w:leftChars="0" w:right="0" w:firstLine="480" w:firstLineChars="200"/>
              <w:textAlignment w:val="auto"/>
              <w:rPr>
                <w:rFonts w:hint="default" w:ascii="Times New Roman" w:hAnsi="Times New Roman" w:cs="Times New Roman"/>
                <w:b w:val="0"/>
                <w:bCs/>
                <w:color w:val="auto"/>
                <w:sz w:val="24"/>
                <w:szCs w:val="24"/>
                <w:lang w:val="en-US" w:eastAsia="zh-CN"/>
              </w:rPr>
            </w:pPr>
            <w:r>
              <w:rPr>
                <w:rFonts w:hint="default" w:ascii="Times New Roman" w:hAnsi="Times New Roman" w:eastAsia="宋体" w:cs="Times New Roman"/>
                <w:b w:val="0"/>
                <w:bCs/>
                <w:color w:val="auto"/>
                <w:kern w:val="2"/>
                <w:sz w:val="24"/>
                <w:szCs w:val="24"/>
                <w:lang w:val="en-US" w:eastAsia="zh-CN" w:bidi="ar-SA"/>
              </w:rPr>
              <w:t>（3）</w:t>
            </w:r>
            <w:r>
              <w:rPr>
                <w:rFonts w:hint="default" w:ascii="Times New Roman" w:hAnsi="Times New Roman" w:cs="Times New Roman"/>
                <w:b w:val="0"/>
                <w:bCs/>
                <w:color w:val="auto"/>
                <w:sz w:val="24"/>
                <w:szCs w:val="24"/>
                <w:lang w:val="en-US" w:eastAsia="zh-CN"/>
              </w:rPr>
              <w:t>陆生动物影响分析</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default" w:ascii="Times New Roman" w:hAnsi="Times New Roman" w:cs="Times New Roman"/>
                <w:b w:val="0"/>
                <w:bCs/>
                <w:color w:val="auto"/>
                <w:sz w:val="24"/>
                <w:szCs w:val="24"/>
                <w:lang w:val="en-US" w:eastAsia="zh-CN"/>
              </w:rPr>
            </w:pPr>
            <w:r>
              <w:rPr>
                <w:rFonts w:hint="default" w:ascii="Times New Roman" w:hAnsi="Times New Roman" w:cs="Times New Roman"/>
                <w:b w:val="0"/>
                <w:bCs/>
                <w:color w:val="auto"/>
                <w:sz w:val="24"/>
                <w:szCs w:val="24"/>
                <w:lang w:val="en-US" w:eastAsia="zh-CN"/>
              </w:rPr>
              <w:t>项目施工临时占地可能阻隔矿区周边野生动物迁移、觅食路径，同时破坏野生动物生境；施工噪声导致生态环境变化，对陆生动物产生影响，生境遭到破坏迫使向附近农田、林地迁移。通过调查，项目</w:t>
            </w:r>
            <w:r>
              <w:rPr>
                <w:rFonts w:hint="eastAsia" w:cs="Times New Roman"/>
                <w:b w:val="0"/>
                <w:bCs/>
                <w:color w:val="auto"/>
                <w:sz w:val="24"/>
                <w:szCs w:val="24"/>
                <w:lang w:val="en-US" w:eastAsia="zh-CN"/>
              </w:rPr>
              <w:t>矿区</w:t>
            </w:r>
            <w:r>
              <w:rPr>
                <w:rFonts w:hint="default" w:ascii="Times New Roman" w:hAnsi="Times New Roman" w:cs="Times New Roman"/>
                <w:b w:val="0"/>
                <w:bCs/>
                <w:color w:val="auto"/>
                <w:sz w:val="24"/>
                <w:szCs w:val="24"/>
                <w:lang w:val="en-US" w:eastAsia="zh-CN"/>
              </w:rPr>
              <w:t>区域内陆生动物资源一般，主要包括鼠类、蛇类、蛙类、鸟类等常见动物，未发现国家和地方重点保护珍稀野生动物。随着施工结束，采取恢复地表、生态补偿措施后，生态环境逐步改善，野生动物种群数量会得到恢复，对周边陆生动物影响较小。</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2" w:firstLineChars="200"/>
              <w:textAlignment w:val="auto"/>
              <w:rPr>
                <w:rFonts w:hint="default" w:ascii="Times New Roman" w:hAnsi="Times New Roman" w:eastAsia="宋体" w:cs="Times New Roman"/>
                <w:b/>
                <w:bCs w:val="0"/>
                <w:color w:val="auto"/>
                <w:sz w:val="24"/>
                <w:szCs w:val="24"/>
                <w:lang w:val="en-US" w:eastAsia="zh-CN"/>
              </w:rPr>
            </w:pPr>
            <w:r>
              <w:rPr>
                <w:rFonts w:hint="default" w:ascii="Times New Roman" w:hAnsi="Times New Roman" w:eastAsia="宋体" w:cs="Times New Roman"/>
                <w:b/>
                <w:bCs w:val="0"/>
                <w:color w:val="auto"/>
                <w:sz w:val="24"/>
                <w:szCs w:val="24"/>
                <w:lang w:val="en-US" w:eastAsia="zh-CN"/>
              </w:rPr>
              <w:t>4.5施工期固体废物环境影响分析</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default" w:ascii="Times New Roman" w:hAnsi="Times New Roman" w:cs="Times New Roman"/>
                <w:bCs/>
                <w:color w:val="000000"/>
                <w:sz w:val="24"/>
                <w:szCs w:val="24"/>
              </w:rPr>
            </w:pPr>
            <w:r>
              <w:rPr>
                <w:rFonts w:hint="default" w:ascii="Times New Roman" w:hAnsi="Times New Roman" w:eastAsia="宋体" w:cs="Times New Roman"/>
                <w:b w:val="0"/>
                <w:bCs/>
                <w:color w:val="auto"/>
                <w:sz w:val="24"/>
                <w:szCs w:val="24"/>
                <w:lang w:val="en-US" w:eastAsia="zh-CN"/>
              </w:rPr>
              <w:t>本次施工期间仅涉及表土剥离，因此产生的主要固体废物为剥离出的表土和机械设备使用过程中产生的废机油。本次建设内容主要表土堆场，因此剥离的表土直接在场内堆存；废机油可依托厂区内已建成的危废暂存间，暂存后委托有资质单位处置，本次施工期较短，产生的废油量少，危废暂存间可以满足容纳需求。因此施工期固体废物对环境影响较小。</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3698" w:hRule="atLeast"/>
          <w:jc w:val="center"/>
        </w:trPr>
        <w:tc>
          <w:tcPr>
            <w:tcW w:w="866" w:type="dxa"/>
            <w:noWrap w:val="0"/>
            <w:tcMar>
              <w:left w:w="28" w:type="dxa"/>
              <w:right w:w="28" w:type="dxa"/>
            </w:tcMar>
            <w:vAlign w:val="center"/>
          </w:tcPr>
          <w:p>
            <w:pPr>
              <w:pStyle w:val="16"/>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color w:val="000000"/>
                <w:kern w:val="2"/>
                <w:sz w:val="24"/>
                <w:szCs w:val="24"/>
              </w:rPr>
            </w:pPr>
            <w:r>
              <w:rPr>
                <w:rFonts w:hint="default" w:ascii="Times New Roman" w:hAnsi="Times New Roman" w:cs="Times New Roman"/>
                <w:bCs/>
                <w:color w:val="000000"/>
                <w:spacing w:val="10"/>
                <w:kern w:val="2"/>
                <w:sz w:val="24"/>
                <w:szCs w:val="24"/>
              </w:rPr>
              <w:t>运营期生态环境影响分析</w:t>
            </w:r>
          </w:p>
        </w:tc>
        <w:tc>
          <w:tcPr>
            <w:tcW w:w="8376" w:type="dxa"/>
            <w:noWrap w:val="0"/>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2" w:firstLineChars="200"/>
              <w:textAlignment w:val="auto"/>
              <w:rPr>
                <w:rFonts w:hint="default" w:ascii="Times New Roman" w:hAnsi="Times New Roman" w:cs="Times New Roman"/>
                <w:b/>
                <w:bCs/>
                <w:sz w:val="24"/>
                <w:szCs w:val="24"/>
                <w:lang w:val="en-US" w:eastAsia="zh-CN"/>
              </w:rPr>
            </w:pPr>
            <w:r>
              <w:rPr>
                <w:rFonts w:hint="default" w:ascii="Times New Roman" w:hAnsi="Times New Roman" w:cs="Times New Roman"/>
                <w:b/>
                <w:bCs/>
                <w:sz w:val="24"/>
                <w:szCs w:val="24"/>
                <w:lang w:val="en-US" w:eastAsia="zh-CN"/>
              </w:rPr>
              <w:t>1、废气</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本项目主要污染物为碎石及机制砂生产线加工粉尘、开采粉尘、爆破废气、装卸扬尘及运输扬尘、堆场扬尘。</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2" w:firstLineChars="200"/>
              <w:textAlignment w:val="auto"/>
              <w:rPr>
                <w:rFonts w:hint="default" w:ascii="Times New Roman" w:hAnsi="Times New Roman" w:cs="Times New Roman"/>
                <w:b/>
                <w:bCs/>
                <w:sz w:val="24"/>
                <w:szCs w:val="24"/>
                <w:lang w:val="en-US" w:eastAsia="zh-CN"/>
              </w:rPr>
            </w:pPr>
            <w:r>
              <w:rPr>
                <w:rFonts w:hint="default" w:ascii="Times New Roman" w:hAnsi="Times New Roman" w:cs="Times New Roman"/>
                <w:b/>
                <w:bCs/>
                <w:sz w:val="24"/>
                <w:szCs w:val="24"/>
                <w:lang w:val="en-US" w:eastAsia="zh-CN"/>
              </w:rPr>
              <w:t>1）开采粉尘</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2" w:firstLineChars="200"/>
              <w:textAlignment w:val="auto"/>
              <w:rPr>
                <w:rFonts w:hint="default" w:ascii="Times New Roman" w:hAnsi="Times New Roman" w:cs="Times New Roman"/>
                <w:b/>
                <w:bCs/>
                <w:sz w:val="24"/>
                <w:szCs w:val="24"/>
                <w:lang w:val="en-US" w:eastAsia="zh-CN"/>
              </w:rPr>
            </w:pPr>
            <w:r>
              <w:rPr>
                <w:rFonts w:hint="default" w:ascii="Times New Roman" w:hAnsi="Times New Roman" w:cs="Times New Roman"/>
                <w:b/>
                <w:bCs/>
                <w:sz w:val="24"/>
                <w:szCs w:val="24"/>
                <w:lang w:val="en-US" w:eastAsia="zh-CN"/>
              </w:rPr>
              <w:t>①表土剥离粉尘</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由于山体内矿石被表土所覆盖，在开采前须将其剥离，为开采工序做好准备。剥离过程中在挖掘机附近区域会有扬尘产生，该部分粉尘其影响范围与天气状况和矿山表土性质有关，一般在数米之内。因本项目矿山采取湿法工艺对表土进行剥离，即进行表土剥离时洒水抑尘，表土含水量较高，故表土剥离过程中的粉尘产生量较少，浓度较低。剥离后的表土运至</w:t>
            </w:r>
            <w:r>
              <w:rPr>
                <w:rFonts w:hint="eastAsia" w:cs="Times New Roman"/>
                <w:sz w:val="24"/>
                <w:szCs w:val="24"/>
                <w:lang w:val="en-US" w:eastAsia="zh-CN"/>
              </w:rPr>
              <w:t>新增表土堆场</w:t>
            </w:r>
            <w:r>
              <w:rPr>
                <w:rFonts w:hint="default" w:ascii="Times New Roman" w:hAnsi="Times New Roman" w:cs="Times New Roman"/>
                <w:sz w:val="24"/>
                <w:szCs w:val="24"/>
                <w:lang w:val="en-US" w:eastAsia="zh-CN"/>
              </w:rPr>
              <w:t>存放，并采取覆盖和播撒草种等防尘措施，最终用于开采区复垦。</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2" w:firstLineChars="200"/>
              <w:textAlignment w:val="auto"/>
              <w:rPr>
                <w:rFonts w:hint="default" w:ascii="Times New Roman" w:hAnsi="Times New Roman" w:cs="Times New Roman"/>
                <w:b/>
                <w:bCs/>
                <w:sz w:val="24"/>
                <w:szCs w:val="24"/>
                <w:lang w:val="en-US" w:eastAsia="zh-CN"/>
              </w:rPr>
            </w:pPr>
            <w:r>
              <w:rPr>
                <w:rFonts w:hint="default" w:ascii="Times New Roman" w:hAnsi="Times New Roman" w:cs="Times New Roman"/>
                <w:b/>
                <w:bCs/>
                <w:sz w:val="24"/>
                <w:szCs w:val="24"/>
                <w:lang w:val="en-US" w:eastAsia="zh-CN"/>
              </w:rPr>
              <w:t>②凿岩钻孔粉尘</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凿岩钻孔时，钻头撞击岩石产生颗粒物，参照《逸散性工业粉尘控制技术》（中国环境科学出版社）中相关数据，钻孔颗粒物的排放系数为0.004kg/t（矿石），项目年开采量为120万吨，则矿山钻孔过程颗粒物产生量为4.8t/a。在未设防尘措施的条件下，长时间工作的作业场所空气中含尘量可达60-800mg/m</w:t>
            </w:r>
            <w:r>
              <w:rPr>
                <w:rFonts w:hint="default" w:ascii="Times New Roman" w:hAnsi="Times New Roman" w:cs="Times New Roman"/>
                <w:sz w:val="24"/>
                <w:szCs w:val="24"/>
                <w:vertAlign w:val="superscript"/>
                <w:lang w:val="en-US" w:eastAsia="zh-CN"/>
              </w:rPr>
              <w:t>3</w:t>
            </w:r>
            <w:r>
              <w:rPr>
                <w:rFonts w:hint="default" w:ascii="Times New Roman" w:hAnsi="Times New Roman" w:cs="Times New Roman"/>
                <w:sz w:val="24"/>
                <w:szCs w:val="24"/>
                <w:lang w:val="en-US" w:eastAsia="zh-CN"/>
              </w:rPr>
              <w:t>，凿岩钻孔颗粒物影响范围一般在20m以内，因此对钻孔工人产生影响较大。本项目采用湿式凿岩钻孔作业，可以有效减少颗粒物的产生，大部分颗粒物随水流沉淀下来。根据《露天采矿湿式凿岩技术的试验与实践》（采矿技术，侯顺生，2012）一文，湿法作业时抑尘效率可达94%以上，本项目除尘效率以94%计，则凿岩钻孔颗粒物无组织排放量约为0.288t/a（0.12kg/h）。</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2" w:firstLineChars="200"/>
              <w:textAlignment w:val="auto"/>
              <w:rPr>
                <w:rFonts w:hint="default"/>
                <w:b/>
                <w:bCs/>
                <w:sz w:val="24"/>
                <w:szCs w:val="24"/>
                <w:lang w:val="en-US" w:eastAsia="zh-CN"/>
              </w:rPr>
            </w:pPr>
            <w:r>
              <w:rPr>
                <w:rFonts w:hint="default"/>
                <w:b/>
                <w:bCs/>
                <w:sz w:val="24"/>
                <w:szCs w:val="24"/>
                <w:lang w:val="en-US" w:eastAsia="zh-CN"/>
              </w:rPr>
              <w:t>③堆土场扬尘</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b/>
                <w:bCs/>
                <w:sz w:val="24"/>
                <w:szCs w:val="24"/>
                <w:lang w:val="en-US" w:eastAsia="zh-CN"/>
              </w:rPr>
            </w:pPr>
            <w:r>
              <w:rPr>
                <w:rFonts w:hint="default"/>
                <w:sz w:val="24"/>
                <w:szCs w:val="24"/>
                <w:lang w:val="en-US" w:eastAsia="zh-CN"/>
              </w:rPr>
              <w:t>表土临时堆场通过采取覆盖和播撒草种等防尘措施，堆土场粉尘产生量较少，浓度较低。爆破之后土石分离时产生的少量废土石临时堆放于矿坑堆土场。堆土场废土石通过喷淋洒水，临时撒播草籽绿化，减少粉尘排放及水土的流失。因此堆土场粉尘产生量较少，浓度较低。</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2" w:firstLineChars="200"/>
              <w:textAlignment w:val="auto"/>
              <w:rPr>
                <w:rFonts w:hint="default" w:ascii="Times New Roman" w:hAnsi="Times New Roman" w:cs="Times New Roman"/>
                <w:b/>
                <w:bCs/>
                <w:sz w:val="24"/>
                <w:szCs w:val="24"/>
                <w:lang w:val="en-US" w:eastAsia="zh-CN"/>
              </w:rPr>
            </w:pPr>
            <w:r>
              <w:rPr>
                <w:rFonts w:hint="default" w:ascii="Times New Roman" w:hAnsi="Times New Roman" w:cs="Times New Roman"/>
                <w:b/>
                <w:bCs/>
                <w:sz w:val="24"/>
                <w:szCs w:val="24"/>
                <w:lang w:val="en-US" w:eastAsia="zh-CN"/>
              </w:rPr>
              <w:fldChar w:fldCharType="begin"/>
            </w:r>
            <w:r>
              <w:rPr>
                <w:rFonts w:hint="default" w:ascii="Times New Roman" w:hAnsi="Times New Roman" w:cs="Times New Roman"/>
                <w:b/>
                <w:bCs/>
                <w:sz w:val="24"/>
                <w:szCs w:val="24"/>
                <w:lang w:val="en-US" w:eastAsia="zh-CN"/>
              </w:rPr>
              <w:instrText xml:space="preserve"> = 4 \* GB3 \* MERGEFORMAT </w:instrText>
            </w:r>
            <w:r>
              <w:rPr>
                <w:rFonts w:hint="default" w:ascii="Times New Roman" w:hAnsi="Times New Roman" w:cs="Times New Roman"/>
                <w:b/>
                <w:bCs/>
                <w:sz w:val="24"/>
                <w:szCs w:val="24"/>
                <w:lang w:val="en-US" w:eastAsia="zh-CN"/>
              </w:rPr>
              <w:fldChar w:fldCharType="separate"/>
            </w:r>
            <w:r>
              <w:rPr>
                <w:b/>
                <w:bCs/>
              </w:rPr>
              <w:t>④</w:t>
            </w:r>
            <w:r>
              <w:rPr>
                <w:rFonts w:hint="default" w:ascii="Times New Roman" w:hAnsi="Times New Roman" w:cs="Times New Roman"/>
                <w:b/>
                <w:bCs/>
                <w:sz w:val="24"/>
                <w:szCs w:val="24"/>
                <w:lang w:val="en-US" w:eastAsia="zh-CN"/>
              </w:rPr>
              <w:fldChar w:fldCharType="end"/>
            </w:r>
            <w:r>
              <w:rPr>
                <w:rFonts w:hint="eastAsia" w:cs="Times New Roman"/>
                <w:b/>
                <w:bCs/>
                <w:sz w:val="24"/>
                <w:szCs w:val="24"/>
                <w:lang w:val="en-US" w:eastAsia="zh-CN"/>
              </w:rPr>
              <w:t>成品中转堆场</w:t>
            </w:r>
            <w:r>
              <w:rPr>
                <w:rFonts w:hint="default" w:ascii="Times New Roman" w:hAnsi="Times New Roman" w:cs="Times New Roman"/>
                <w:b/>
                <w:bCs/>
                <w:sz w:val="24"/>
                <w:szCs w:val="24"/>
                <w:lang w:val="en-US" w:eastAsia="zh-CN"/>
              </w:rPr>
              <w:t>扬尘</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项目</w:t>
            </w:r>
            <w:r>
              <w:rPr>
                <w:rFonts w:hint="eastAsia" w:cs="Times New Roman"/>
                <w:sz w:val="24"/>
                <w:szCs w:val="24"/>
                <w:lang w:val="en-US" w:eastAsia="zh-CN"/>
              </w:rPr>
              <w:t>成品中转堆场</w:t>
            </w:r>
            <w:r>
              <w:rPr>
                <w:rFonts w:hint="default" w:ascii="Times New Roman" w:hAnsi="Times New Roman" w:cs="Times New Roman"/>
                <w:sz w:val="24"/>
                <w:szCs w:val="24"/>
                <w:lang w:val="en-US" w:eastAsia="zh-CN"/>
              </w:rPr>
              <w:t>在气候干燥又有风的情况下，会产生扬尘。本项目堆场面源排放量参考清华大学在霍州电厂现场试验的模式进行估算：</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jc w:val="center"/>
              <w:textAlignment w:val="auto"/>
              <w:rPr>
                <w:rFonts w:hint="default" w:ascii="Times New Roman" w:hAnsi="Times New Roman" w:cs="Times New Roman"/>
                <w:sz w:val="24"/>
                <w:szCs w:val="24"/>
                <w:lang w:val="en-US" w:eastAsia="zh-CN"/>
              </w:rPr>
            </w:pPr>
            <w:r>
              <w:drawing>
                <wp:inline distT="0" distB="0" distL="114300" distR="114300">
                  <wp:extent cx="2228850" cy="628650"/>
                  <wp:effectExtent l="0" t="0" r="0" b="0"/>
                  <wp:docPr id="109"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 name="图片 2"/>
                          <pic:cNvPicPr>
                            <a:picLocks noChangeAspect="1"/>
                          </pic:cNvPicPr>
                        </pic:nvPicPr>
                        <pic:blipFill>
                          <a:blip r:embed="rId17"/>
                          <a:stretch>
                            <a:fillRect/>
                          </a:stretch>
                        </pic:blipFill>
                        <pic:spPr>
                          <a:xfrm>
                            <a:off x="0" y="0"/>
                            <a:ext cx="2228850" cy="628650"/>
                          </a:xfrm>
                          <a:prstGeom prst="rect">
                            <a:avLst/>
                          </a:prstGeom>
                          <a:noFill/>
                          <a:ln>
                            <a:noFill/>
                          </a:ln>
                        </pic:spPr>
                      </pic:pic>
                    </a:graphicData>
                  </a:graphic>
                </wp:inline>
              </w:drawing>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式中：Q—堆场起尘强度，mg/s；</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U—风速，m/s；</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风速平均值为3.1m/s；</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S—堆场表面积，m</w:t>
            </w:r>
            <w:r>
              <w:rPr>
                <w:rFonts w:hint="default" w:ascii="Times New Roman" w:hAnsi="Times New Roman" w:cs="Times New Roman"/>
                <w:sz w:val="24"/>
                <w:szCs w:val="24"/>
                <w:vertAlign w:val="superscript"/>
                <w:lang w:val="en-US" w:eastAsia="zh-CN"/>
              </w:rPr>
              <w:t>2</w:t>
            </w:r>
            <w:r>
              <w:rPr>
                <w:rFonts w:hint="default" w:ascii="Times New Roman" w:hAnsi="Times New Roman" w:cs="Times New Roman"/>
                <w:sz w:val="24"/>
                <w:szCs w:val="24"/>
                <w:lang w:val="en-US" w:eastAsia="zh-CN"/>
              </w:rPr>
              <w:t>。（原矿堆场表面积约为</w:t>
            </w:r>
            <w:r>
              <w:rPr>
                <w:rFonts w:hint="eastAsia" w:cs="Times New Roman"/>
                <w:sz w:val="24"/>
                <w:szCs w:val="24"/>
                <w:lang w:val="en-US" w:eastAsia="zh-CN"/>
              </w:rPr>
              <w:t>4300</w:t>
            </w:r>
            <w:r>
              <w:rPr>
                <w:rFonts w:hint="default" w:ascii="Times New Roman" w:hAnsi="Times New Roman" w:cs="Times New Roman"/>
                <w:sz w:val="24"/>
                <w:szCs w:val="24"/>
                <w:lang w:val="en-US" w:eastAsia="zh-CN"/>
              </w:rPr>
              <w:t>m</w:t>
            </w:r>
            <w:r>
              <w:rPr>
                <w:rFonts w:hint="default" w:ascii="Times New Roman" w:hAnsi="Times New Roman" w:cs="Times New Roman"/>
                <w:sz w:val="24"/>
                <w:szCs w:val="24"/>
                <w:vertAlign w:val="superscript"/>
                <w:lang w:val="en-US" w:eastAsia="zh-CN"/>
              </w:rPr>
              <w:t>2</w:t>
            </w:r>
            <w:r>
              <w:rPr>
                <w:rFonts w:hint="default" w:ascii="Times New Roman" w:hAnsi="Times New Roman" w:cs="Times New Roman"/>
                <w:sz w:val="24"/>
                <w:szCs w:val="24"/>
                <w:lang w:val="en-US" w:eastAsia="zh-CN"/>
              </w:rPr>
              <w:t>）；</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W—物料含水率%，</w:t>
            </w:r>
            <w:r>
              <w:rPr>
                <w:rFonts w:hint="eastAsia" w:ascii="Times New Roman" w:hAnsi="Times New Roman" w:cs="Times New Roman"/>
                <w:sz w:val="24"/>
                <w:szCs w:val="24"/>
                <w:lang w:val="en-US" w:eastAsia="zh-CN"/>
              </w:rPr>
              <w:t>类比同类项目，</w:t>
            </w:r>
            <w:r>
              <w:rPr>
                <w:rFonts w:hint="default" w:ascii="Times New Roman" w:hAnsi="Times New Roman" w:cs="Times New Roman"/>
                <w:sz w:val="24"/>
                <w:szCs w:val="24"/>
                <w:lang w:val="en-US" w:eastAsia="zh-CN"/>
              </w:rPr>
              <w:t>产品取8</w:t>
            </w:r>
            <w:r>
              <w:rPr>
                <w:rFonts w:hint="eastAsia" w:ascii="Times New Roman" w:hAnsi="Times New Roman" w:cs="Times New Roman"/>
                <w:sz w:val="24"/>
                <w:szCs w:val="24"/>
                <w:lang w:val="en-US" w:eastAsia="zh-CN"/>
              </w:rPr>
              <w:t>%</w:t>
            </w:r>
            <w:r>
              <w:rPr>
                <w:rFonts w:hint="default" w:ascii="Times New Roman" w:hAnsi="Times New Roman" w:cs="Times New Roman"/>
                <w:sz w:val="24"/>
                <w:szCs w:val="24"/>
                <w:lang w:val="en-US" w:eastAsia="zh-CN"/>
              </w:rPr>
              <w:t>，。</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ascii="Times New Roman" w:hAnsi="Times New Roman" w:cs="Times New Roman"/>
                <w:sz w:val="24"/>
              </w:rPr>
            </w:pPr>
            <w:r>
              <w:rPr>
                <w:rFonts w:hint="eastAsia" w:ascii="Times New Roman" w:hAnsi="Times New Roman" w:cs="Times New Roman"/>
                <w:sz w:val="24"/>
                <w:szCs w:val="24"/>
                <w:lang w:val="en-US" w:eastAsia="zh-CN"/>
              </w:rPr>
              <w:t>因此计算可知，</w:t>
            </w:r>
            <w:r>
              <w:rPr>
                <w:rFonts w:hint="default" w:ascii="Times New Roman" w:hAnsi="Times New Roman" w:cs="Times New Roman"/>
                <w:sz w:val="24"/>
                <w:szCs w:val="24"/>
                <w:lang w:val="en-US" w:eastAsia="zh-CN"/>
              </w:rPr>
              <w:t>堆场粉尘平均起尘</w:t>
            </w:r>
            <w:r>
              <w:rPr>
                <w:rFonts w:hint="eastAsia" w:ascii="Times New Roman" w:hAnsi="Times New Roman" w:cs="Times New Roman"/>
                <w:sz w:val="24"/>
                <w:szCs w:val="24"/>
                <w:lang w:val="en-US" w:eastAsia="zh-CN"/>
              </w:rPr>
              <w:t>强度为6</w:t>
            </w:r>
            <w:r>
              <w:rPr>
                <w:rFonts w:hint="eastAsia" w:cs="Times New Roman"/>
                <w:sz w:val="24"/>
                <w:szCs w:val="24"/>
                <w:lang w:val="en-US" w:eastAsia="zh-CN"/>
              </w:rPr>
              <w:t>1.43</w:t>
            </w:r>
            <w:r>
              <w:rPr>
                <w:rFonts w:hint="default" w:ascii="Times New Roman" w:hAnsi="Times New Roman" w:cs="Times New Roman"/>
                <w:sz w:val="24"/>
                <w:szCs w:val="24"/>
                <w:lang w:val="en-US" w:eastAsia="zh-CN"/>
              </w:rPr>
              <w:t>mg/s。</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lang w:val="en-US" w:eastAsia="zh-CN"/>
              </w:rPr>
            </w:pPr>
            <w:r>
              <w:rPr>
                <w:rFonts w:hint="default" w:ascii="Times New Roman" w:hAnsi="Times New Roman" w:cs="Times New Roman"/>
                <w:sz w:val="24"/>
                <w:lang w:val="en-US" w:eastAsia="zh-CN"/>
              </w:rPr>
              <w:t>通过洒水降尘和覆盖防尘网后可大大降低堆场粉尘的排放量，废石堆场粉尘对周边大气环境影响较小。</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2" w:firstLineChars="200"/>
              <w:textAlignment w:val="auto"/>
              <w:rPr>
                <w:rFonts w:hint="default" w:ascii="Times New Roman" w:hAnsi="Times New Roman" w:cs="Times New Roman"/>
                <w:b/>
                <w:bCs/>
                <w:sz w:val="24"/>
                <w:szCs w:val="24"/>
                <w:lang w:val="en-US" w:eastAsia="zh-CN"/>
              </w:rPr>
            </w:pPr>
            <w:r>
              <w:rPr>
                <w:rFonts w:hint="default" w:ascii="Times New Roman" w:hAnsi="Times New Roman" w:cs="Times New Roman"/>
                <w:b/>
                <w:bCs/>
                <w:sz w:val="24"/>
                <w:szCs w:val="24"/>
                <w:lang w:val="en-US" w:eastAsia="zh-CN"/>
              </w:rPr>
              <w:t>2）爆破废气</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项目炸药的使用量约为100t/a，炸药爆炸时产生的主要有害气体为粉尘、CO、NO、NO2。根据黄忆龙《工程爆破中的灾害及其控制》一文，岩石炸药爆炸产生的CO量为5.3g/kg炸药，NOx为l4.6g/kg炸药，粉尘量为54.2g/kg炸药，因此本矿区因爆破而产生的大气污染物：CO为0.53t/a、NOx为1.46t/a，粉尘为5.42t/a。采场爆破后对爆破工作面进行洒水抑尘，根据《逸散性工业粉尘控制技术》（中国环境科学出版社）中相关数据，对粉尘的去除率可达70%，则爆破粉尘无组织排放量约为1.626t/a。</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2" w:firstLineChars="200"/>
              <w:textAlignment w:val="auto"/>
              <w:rPr>
                <w:rFonts w:hint="default" w:ascii="Times New Roman" w:hAnsi="Times New Roman" w:cs="Times New Roman"/>
                <w:b/>
                <w:bCs/>
                <w:sz w:val="24"/>
                <w:szCs w:val="24"/>
                <w:lang w:val="en-US" w:eastAsia="zh-CN"/>
              </w:rPr>
            </w:pPr>
            <w:r>
              <w:rPr>
                <w:rFonts w:hint="default" w:ascii="Times New Roman" w:hAnsi="Times New Roman" w:cs="Times New Roman"/>
                <w:b/>
                <w:bCs/>
                <w:sz w:val="24"/>
                <w:szCs w:val="24"/>
                <w:lang w:val="en-US" w:eastAsia="zh-CN"/>
              </w:rPr>
              <w:t>3）装卸粉尘</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项目汽车卸料至破碎加工生产线入料斗时会产生粉尘，起尘量采用山西环保科研所、武汉水运工程学院提出的经验公式估算，经验公式如下：</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drawing>
                <wp:inline distT="0" distB="0" distL="114300" distR="114300">
                  <wp:extent cx="2114550" cy="762000"/>
                  <wp:effectExtent l="0" t="0" r="0" b="0"/>
                  <wp:docPr id="61" name="图片 2" descr="公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图片 2" descr="公司"/>
                          <pic:cNvPicPr>
                            <a:picLocks noChangeAspect="1"/>
                          </pic:cNvPicPr>
                        </pic:nvPicPr>
                        <pic:blipFill>
                          <a:blip r:embed="rId18"/>
                          <a:stretch>
                            <a:fillRect/>
                          </a:stretch>
                        </pic:blipFill>
                        <pic:spPr>
                          <a:xfrm>
                            <a:off x="0" y="0"/>
                            <a:ext cx="2114550" cy="762000"/>
                          </a:xfrm>
                          <a:prstGeom prst="rect">
                            <a:avLst/>
                          </a:prstGeom>
                          <a:noFill/>
                          <a:ln>
                            <a:noFill/>
                          </a:ln>
                        </pic:spPr>
                      </pic:pic>
                    </a:graphicData>
                  </a:graphic>
                </wp:inline>
              </w:drawing>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式中：Q-汽车卸料起尘量，g/次；</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1200" w:firstLineChars="5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u-平均风速，m/s，取区域平均风速2.8m/s；</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1200" w:firstLineChars="5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M-汽车卸料量，t，项目每辆运输车卸量为30t。</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由上式计算可知，项目汽车卸料粉尘量为12.26g/次，每次卸料时间约为2min。</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项目于工业广场设1个卸料口，原料运输总量为120万t/a，每车运输量为30t，则卸料口总卸料次数为40000次，其年卸料时间为1333.3h。计算可知项目工业广场的原料卸料起尘量为0.49t/a（0.37kg/h）。为减少粉尘排放，本项目于卸料口采取雾化喷淋洒水抑尘措施，根据《逸散性工业粉尘控制技术》（中国环境科学出版社）中相关数据，对粉尘的去除率可达70%，则卸料粉尘排放总量为0.147t/a。</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2" w:firstLineChars="200"/>
              <w:textAlignment w:val="auto"/>
              <w:rPr>
                <w:rFonts w:hint="default" w:ascii="Times New Roman" w:hAnsi="Times New Roman" w:cs="Times New Roman"/>
                <w:b/>
                <w:bCs/>
                <w:sz w:val="24"/>
                <w:szCs w:val="24"/>
                <w:lang w:val="en-US" w:eastAsia="zh-CN"/>
              </w:rPr>
            </w:pPr>
            <w:r>
              <w:rPr>
                <w:rFonts w:hint="default" w:ascii="Times New Roman" w:hAnsi="Times New Roman" w:cs="Times New Roman"/>
                <w:b/>
                <w:bCs/>
                <w:sz w:val="24"/>
                <w:szCs w:val="24"/>
                <w:lang w:val="en-US" w:eastAsia="zh-CN"/>
              </w:rPr>
              <w:t>4）碎石生产线（破碎筛分、制砂）粉尘</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本项目碎石生产线年处理矿石量为120万t。项目厂棚采取密闭，并于起尘设备进出料口采用集气装置</w:t>
            </w:r>
            <w:r>
              <w:rPr>
                <w:rFonts w:hint="eastAsia" w:cs="Times New Roman"/>
                <w:sz w:val="24"/>
                <w:szCs w:val="24"/>
                <w:lang w:val="en-US" w:eastAsia="zh-CN"/>
              </w:rPr>
              <w:t>形成负压</w:t>
            </w:r>
            <w:r>
              <w:rPr>
                <w:rFonts w:hint="default" w:ascii="Times New Roman" w:hAnsi="Times New Roman" w:cs="Times New Roman"/>
                <w:sz w:val="24"/>
                <w:szCs w:val="24"/>
                <w:lang w:val="en-US" w:eastAsia="zh-CN"/>
              </w:rPr>
              <w:t>（捕集效率为</w:t>
            </w:r>
            <w:r>
              <w:rPr>
                <w:rFonts w:hint="eastAsia" w:cs="Times New Roman"/>
                <w:sz w:val="24"/>
                <w:szCs w:val="24"/>
                <w:lang w:val="en-US" w:eastAsia="zh-CN"/>
              </w:rPr>
              <w:t>90</w:t>
            </w:r>
            <w:r>
              <w:rPr>
                <w:rFonts w:hint="default" w:ascii="Times New Roman" w:hAnsi="Times New Roman" w:cs="Times New Roman"/>
                <w:sz w:val="24"/>
                <w:szCs w:val="24"/>
                <w:lang w:val="en-US" w:eastAsia="zh-CN"/>
              </w:rPr>
              <w:t>%）将粉尘引入脉冲式布袋除尘器（风量为10000m</w:t>
            </w:r>
            <w:r>
              <w:rPr>
                <w:rFonts w:hint="default" w:ascii="Times New Roman" w:hAnsi="Times New Roman" w:cs="Times New Roman"/>
                <w:sz w:val="24"/>
                <w:szCs w:val="24"/>
                <w:vertAlign w:val="superscript"/>
                <w:lang w:val="en-US" w:eastAsia="zh-CN"/>
              </w:rPr>
              <w:t>3</w:t>
            </w:r>
            <w:r>
              <w:rPr>
                <w:rFonts w:hint="default" w:ascii="Times New Roman" w:hAnsi="Times New Roman" w:cs="Times New Roman"/>
                <w:sz w:val="24"/>
                <w:szCs w:val="24"/>
                <w:lang w:val="en-US" w:eastAsia="zh-CN"/>
              </w:rPr>
              <w:t>/h，除尘效率可达到99%）进行处理，其中一破、二破、初筛工序引入1#脉冲布袋除尘器，处理后通过15米排气筒DA001排放，制砂、选粉、后筛引入2#脉冲布袋除尘器，处理后通过15米排气筒DA002排放。本次评价参考《逸散型工业粉尘控制技术》(中国环境科学出版社)废石破碎筛分粉尘产污系数为0.15kg/t，制砂工序粉尘产生系数为0.05kg/t-原料，本项目碎石生产线产排污情况如下表：</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Times New Roman" w:hAnsi="Times New Roman" w:cs="Times New Roman"/>
                <w:b/>
                <w:bCs/>
                <w:color w:val="auto"/>
                <w:sz w:val="21"/>
                <w:szCs w:val="21"/>
                <w:lang w:val="en-US" w:eastAsia="zh-CN"/>
              </w:rPr>
            </w:pPr>
            <w:r>
              <w:rPr>
                <w:rFonts w:hint="default" w:ascii="Times New Roman" w:hAnsi="Times New Roman" w:cs="Times New Roman"/>
                <w:b/>
                <w:bCs/>
                <w:color w:val="auto"/>
                <w:sz w:val="21"/>
                <w:szCs w:val="21"/>
                <w:lang w:val="en-US" w:eastAsia="zh-CN"/>
              </w:rPr>
              <w:t>表4-2碎石生产线产排污情况一览表</w:t>
            </w:r>
          </w:p>
          <w:tbl>
            <w:tblPr>
              <w:tblStyle w:val="22"/>
              <w:tblW w:w="800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9"/>
              <w:gridCol w:w="923"/>
              <w:gridCol w:w="1408"/>
              <w:gridCol w:w="923"/>
              <w:gridCol w:w="681"/>
              <w:gridCol w:w="934"/>
              <w:gridCol w:w="675"/>
              <w:gridCol w:w="871"/>
              <w:gridCol w:w="8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19" w:type="dxa"/>
                  <w:vAlign w:val="center"/>
                </w:tcPr>
                <w:p>
                  <w:pPr>
                    <w:keepNext w:val="0"/>
                    <w:keepLines w:val="0"/>
                    <w:suppressLineNumbers w:val="0"/>
                    <w:spacing w:before="0" w:beforeAutospacing="0" w:after="0" w:afterAutospacing="0"/>
                    <w:ind w:left="0" w:right="0"/>
                    <w:rPr>
                      <w:rFonts w:hint="default" w:ascii="Times New Roman" w:hAnsi="Times New Roman" w:cs="Times New Roman"/>
                      <w:b/>
                      <w:bCs/>
                      <w:lang w:val="en-US" w:eastAsia="zh-CN"/>
                    </w:rPr>
                  </w:pPr>
                  <w:r>
                    <w:rPr>
                      <w:rFonts w:hint="default" w:ascii="Times New Roman" w:hAnsi="Times New Roman" w:cs="Times New Roman"/>
                      <w:b/>
                      <w:bCs/>
                      <w:lang w:val="en-US" w:eastAsia="zh-CN"/>
                    </w:rPr>
                    <w:t>产污工序</w:t>
                  </w:r>
                </w:p>
              </w:tc>
              <w:tc>
                <w:tcPr>
                  <w:tcW w:w="923" w:type="dxa"/>
                  <w:vAlign w:val="center"/>
                </w:tcPr>
                <w:p>
                  <w:pPr>
                    <w:keepNext w:val="0"/>
                    <w:keepLines w:val="0"/>
                    <w:suppressLineNumbers w:val="0"/>
                    <w:spacing w:before="0" w:beforeAutospacing="0" w:after="0" w:afterAutospacing="0"/>
                    <w:ind w:left="0" w:right="0"/>
                    <w:rPr>
                      <w:rFonts w:hint="default" w:ascii="Times New Roman" w:hAnsi="Times New Roman" w:cs="Times New Roman"/>
                      <w:b/>
                      <w:bCs/>
                      <w:lang w:val="en-US" w:eastAsia="zh-CN"/>
                    </w:rPr>
                  </w:pPr>
                  <w:r>
                    <w:rPr>
                      <w:rFonts w:hint="default" w:ascii="Times New Roman" w:hAnsi="Times New Roman" w:cs="Times New Roman"/>
                      <w:b/>
                      <w:bCs/>
                      <w:lang w:val="en-US" w:eastAsia="zh-CN"/>
                    </w:rPr>
                    <w:t>原料量（t/a）</w:t>
                  </w:r>
                </w:p>
              </w:tc>
              <w:tc>
                <w:tcPr>
                  <w:tcW w:w="1408" w:type="dxa"/>
                  <w:vAlign w:val="center"/>
                </w:tcPr>
                <w:p>
                  <w:pPr>
                    <w:keepNext w:val="0"/>
                    <w:keepLines w:val="0"/>
                    <w:suppressLineNumbers w:val="0"/>
                    <w:spacing w:before="0" w:beforeAutospacing="0" w:after="0" w:afterAutospacing="0"/>
                    <w:ind w:left="0" w:right="0"/>
                    <w:rPr>
                      <w:rFonts w:hint="default" w:ascii="Times New Roman" w:hAnsi="Times New Roman" w:cs="Times New Roman"/>
                      <w:b/>
                      <w:bCs/>
                      <w:lang w:val="en-US" w:eastAsia="zh-CN"/>
                    </w:rPr>
                  </w:pPr>
                  <w:r>
                    <w:rPr>
                      <w:rFonts w:hint="default" w:ascii="Times New Roman" w:hAnsi="Times New Roman" w:cs="Times New Roman"/>
                      <w:b/>
                      <w:bCs/>
                      <w:lang w:val="en-US" w:eastAsia="zh-CN"/>
                    </w:rPr>
                    <w:t>产污系数</w:t>
                  </w:r>
                </w:p>
              </w:tc>
              <w:tc>
                <w:tcPr>
                  <w:tcW w:w="923" w:type="dxa"/>
                  <w:vAlign w:val="center"/>
                </w:tcPr>
                <w:p>
                  <w:pPr>
                    <w:keepNext w:val="0"/>
                    <w:keepLines w:val="0"/>
                    <w:suppressLineNumbers w:val="0"/>
                    <w:spacing w:before="0" w:beforeAutospacing="0" w:after="0" w:afterAutospacing="0"/>
                    <w:ind w:left="0" w:right="0"/>
                    <w:rPr>
                      <w:rFonts w:hint="default" w:ascii="Times New Roman" w:hAnsi="Times New Roman" w:cs="Times New Roman"/>
                      <w:b/>
                      <w:bCs/>
                      <w:lang w:val="en-US" w:eastAsia="zh-CN"/>
                    </w:rPr>
                  </w:pPr>
                  <w:r>
                    <w:rPr>
                      <w:rFonts w:hint="default" w:ascii="Times New Roman" w:hAnsi="Times New Roman" w:cs="Times New Roman"/>
                      <w:b/>
                      <w:bCs/>
                      <w:lang w:val="en-US" w:eastAsia="zh-CN"/>
                    </w:rPr>
                    <w:t>产生量（t/a）</w:t>
                  </w:r>
                </w:p>
              </w:tc>
              <w:tc>
                <w:tcPr>
                  <w:tcW w:w="681" w:type="dxa"/>
                  <w:vAlign w:val="center"/>
                </w:tcPr>
                <w:p>
                  <w:pPr>
                    <w:keepNext w:val="0"/>
                    <w:keepLines w:val="0"/>
                    <w:suppressLineNumbers w:val="0"/>
                    <w:spacing w:before="0" w:beforeAutospacing="0" w:after="0" w:afterAutospacing="0"/>
                    <w:ind w:left="0" w:right="0"/>
                    <w:rPr>
                      <w:rFonts w:hint="default" w:ascii="Times New Roman" w:hAnsi="Times New Roman" w:cs="Times New Roman"/>
                      <w:b/>
                      <w:bCs/>
                      <w:lang w:val="en-US" w:eastAsia="zh-CN"/>
                    </w:rPr>
                  </w:pPr>
                  <w:r>
                    <w:rPr>
                      <w:rFonts w:hint="default" w:ascii="Times New Roman" w:hAnsi="Times New Roman" w:cs="Times New Roman"/>
                      <w:b/>
                      <w:bCs/>
                      <w:lang w:val="en-US" w:eastAsia="zh-CN"/>
                    </w:rPr>
                    <w:t>收集效率</w:t>
                  </w:r>
                </w:p>
              </w:tc>
              <w:tc>
                <w:tcPr>
                  <w:tcW w:w="93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lang w:val="en-US" w:eastAsia="zh-CN"/>
                    </w:rPr>
                  </w:pPr>
                  <w:r>
                    <w:rPr>
                      <w:rFonts w:hint="default" w:ascii="Times New Roman" w:hAnsi="Times New Roman" w:cs="Times New Roman"/>
                      <w:b/>
                      <w:bCs/>
                      <w:lang w:val="en-US" w:eastAsia="zh-CN"/>
                    </w:rPr>
                    <w:t>处理</w:t>
                  </w:r>
                </w:p>
                <w:p>
                  <w:pPr>
                    <w:keepNext w:val="0"/>
                    <w:keepLines w:val="0"/>
                    <w:suppressLineNumbers w:val="0"/>
                    <w:spacing w:before="0" w:beforeAutospacing="0" w:after="0" w:afterAutospacing="0"/>
                    <w:ind w:left="0" w:right="0"/>
                    <w:jc w:val="center"/>
                    <w:rPr>
                      <w:rFonts w:hint="default" w:ascii="Times New Roman" w:hAnsi="Times New Roman" w:cs="Times New Roman"/>
                      <w:b/>
                      <w:bCs/>
                      <w:lang w:val="en-US" w:eastAsia="zh-CN"/>
                    </w:rPr>
                  </w:pPr>
                  <w:r>
                    <w:rPr>
                      <w:rFonts w:hint="default" w:ascii="Times New Roman" w:hAnsi="Times New Roman" w:cs="Times New Roman"/>
                      <w:b/>
                      <w:bCs/>
                      <w:lang w:val="en-US" w:eastAsia="zh-CN"/>
                    </w:rPr>
                    <w:t>措施</w:t>
                  </w:r>
                </w:p>
              </w:tc>
              <w:tc>
                <w:tcPr>
                  <w:tcW w:w="675" w:type="dxa"/>
                  <w:vAlign w:val="center"/>
                </w:tcPr>
                <w:p>
                  <w:pPr>
                    <w:keepNext w:val="0"/>
                    <w:keepLines w:val="0"/>
                    <w:suppressLineNumbers w:val="0"/>
                    <w:spacing w:before="0" w:beforeAutospacing="0" w:after="0" w:afterAutospacing="0"/>
                    <w:ind w:left="0" w:right="0"/>
                    <w:jc w:val="left"/>
                    <w:rPr>
                      <w:rFonts w:hint="default" w:ascii="Times New Roman" w:hAnsi="Times New Roman" w:cs="Times New Roman"/>
                      <w:b/>
                      <w:bCs/>
                      <w:lang w:val="en-US" w:eastAsia="zh-CN"/>
                    </w:rPr>
                  </w:pPr>
                  <w:r>
                    <w:rPr>
                      <w:rFonts w:hint="default" w:ascii="Times New Roman" w:hAnsi="Times New Roman" w:cs="Times New Roman"/>
                      <w:b/>
                      <w:bCs/>
                      <w:lang w:val="en-US" w:eastAsia="zh-CN"/>
                    </w:rPr>
                    <w:t>处理效率</w:t>
                  </w:r>
                </w:p>
              </w:tc>
              <w:tc>
                <w:tcPr>
                  <w:tcW w:w="871" w:type="dxa"/>
                  <w:vAlign w:val="center"/>
                </w:tcPr>
                <w:p>
                  <w:pPr>
                    <w:keepNext w:val="0"/>
                    <w:keepLines w:val="0"/>
                    <w:suppressLineNumbers w:val="0"/>
                    <w:spacing w:before="0" w:beforeAutospacing="0" w:after="0" w:afterAutospacing="0"/>
                    <w:ind w:left="0" w:right="0"/>
                    <w:rPr>
                      <w:rFonts w:hint="default" w:ascii="Times New Roman" w:hAnsi="Times New Roman" w:cs="Times New Roman"/>
                      <w:b/>
                      <w:bCs/>
                      <w:lang w:val="en-US" w:eastAsia="zh-CN"/>
                    </w:rPr>
                  </w:pPr>
                  <w:r>
                    <w:rPr>
                      <w:rFonts w:hint="default" w:ascii="Times New Roman" w:hAnsi="Times New Roman" w:cs="Times New Roman"/>
                      <w:b/>
                      <w:bCs/>
                      <w:lang w:val="en-US" w:eastAsia="zh-CN"/>
                    </w:rPr>
                    <w:t>有组织排放量（t/a）</w:t>
                  </w:r>
                </w:p>
              </w:tc>
              <w:tc>
                <w:tcPr>
                  <w:tcW w:w="871" w:type="dxa"/>
                  <w:vAlign w:val="center"/>
                </w:tcPr>
                <w:p>
                  <w:pPr>
                    <w:keepNext w:val="0"/>
                    <w:keepLines w:val="0"/>
                    <w:suppressLineNumbers w:val="0"/>
                    <w:spacing w:before="0" w:beforeAutospacing="0" w:after="0" w:afterAutospacing="0"/>
                    <w:ind w:left="0" w:right="0"/>
                    <w:rPr>
                      <w:rFonts w:hint="default" w:ascii="Times New Roman" w:hAnsi="Times New Roman" w:cs="Times New Roman"/>
                      <w:b/>
                      <w:bCs/>
                      <w:lang w:val="en-US" w:eastAsia="zh-CN"/>
                    </w:rPr>
                  </w:pPr>
                  <w:r>
                    <w:rPr>
                      <w:rFonts w:hint="default" w:ascii="Times New Roman" w:hAnsi="Times New Roman" w:cs="Times New Roman"/>
                      <w:b/>
                      <w:bCs/>
                      <w:lang w:val="en-US" w:eastAsia="zh-CN"/>
                    </w:rPr>
                    <w:t>无组织产生量（t/a）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19"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一破</w:t>
                  </w:r>
                </w:p>
              </w:tc>
              <w:tc>
                <w:tcPr>
                  <w:tcW w:w="923"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120万</w:t>
                  </w:r>
                </w:p>
              </w:tc>
              <w:tc>
                <w:tcPr>
                  <w:tcW w:w="1408" w:type="dxa"/>
                  <w:vAlign w:val="center"/>
                </w:tcPr>
                <w:p>
                  <w:pPr>
                    <w:keepNext w:val="0"/>
                    <w:keepLines w:val="0"/>
                    <w:suppressLineNumbers w:val="0"/>
                    <w:spacing w:before="0" w:beforeAutospacing="0" w:after="0" w:afterAutospacing="0"/>
                    <w:ind w:left="0" w:right="0"/>
                    <w:jc w:val="left"/>
                    <w:rPr>
                      <w:rFonts w:hint="default" w:ascii="Times New Roman" w:hAnsi="Times New Roman" w:cs="Times New Roman"/>
                      <w:lang w:val="en-US" w:eastAsia="zh-CN"/>
                    </w:rPr>
                  </w:pPr>
                  <w:r>
                    <w:rPr>
                      <w:rFonts w:hint="default" w:ascii="Times New Roman" w:hAnsi="Times New Roman" w:cs="Times New Roman"/>
                      <w:lang w:val="en-US" w:eastAsia="zh-CN"/>
                    </w:rPr>
                    <w:t>0.15kg/t-物料</w:t>
                  </w:r>
                </w:p>
              </w:tc>
              <w:tc>
                <w:tcPr>
                  <w:tcW w:w="923"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180</w:t>
                  </w:r>
                </w:p>
              </w:tc>
              <w:tc>
                <w:tcPr>
                  <w:tcW w:w="681" w:type="dxa"/>
                  <w:vMerge w:val="restart"/>
                  <w:vAlign w:val="center"/>
                </w:tcPr>
                <w:p>
                  <w:pPr>
                    <w:keepNext w:val="0"/>
                    <w:keepLines w:val="0"/>
                    <w:suppressLineNumbers w:val="0"/>
                    <w:spacing w:before="0" w:beforeAutospacing="0" w:after="0" w:afterAutospacing="0"/>
                    <w:ind w:left="0" w:right="0"/>
                    <w:jc w:val="left"/>
                    <w:rPr>
                      <w:rFonts w:hint="default" w:ascii="Times New Roman" w:hAnsi="Times New Roman" w:cs="Times New Roman"/>
                      <w:lang w:val="en-US" w:eastAsia="zh-CN"/>
                    </w:rPr>
                  </w:pPr>
                  <w:r>
                    <w:rPr>
                      <w:rFonts w:hint="eastAsia" w:cs="Times New Roman"/>
                      <w:lang w:val="en-US" w:eastAsia="zh-CN"/>
                    </w:rPr>
                    <w:t>90</w:t>
                  </w:r>
                  <w:r>
                    <w:rPr>
                      <w:rFonts w:hint="default" w:ascii="Times New Roman" w:hAnsi="Times New Roman" w:cs="Times New Roman"/>
                      <w:lang w:val="en-US" w:eastAsia="zh-CN"/>
                    </w:rPr>
                    <w:t>%</w:t>
                  </w:r>
                </w:p>
              </w:tc>
              <w:tc>
                <w:tcPr>
                  <w:tcW w:w="934" w:type="dxa"/>
                  <w:vMerge w:val="restart"/>
                  <w:vAlign w:val="center"/>
                </w:tcPr>
                <w:p>
                  <w:pPr>
                    <w:keepNext w:val="0"/>
                    <w:keepLines w:val="0"/>
                    <w:suppressLineNumbers w:val="0"/>
                    <w:spacing w:before="0" w:beforeAutospacing="0" w:after="0" w:afterAutospacing="0"/>
                    <w:ind w:left="0" w:right="0"/>
                    <w:jc w:val="left"/>
                    <w:rPr>
                      <w:rFonts w:hint="default" w:ascii="Times New Roman" w:hAnsi="Times New Roman" w:cs="Times New Roman"/>
                      <w:lang w:val="en-US" w:eastAsia="zh-CN"/>
                    </w:rPr>
                  </w:pPr>
                  <w:r>
                    <w:rPr>
                      <w:rFonts w:hint="default" w:ascii="Times New Roman" w:hAnsi="Times New Roman" w:cs="Times New Roman"/>
                      <w:lang w:val="en-US" w:eastAsia="zh-CN"/>
                    </w:rPr>
                    <w:t>1#脉冲布袋除尘器+15m排气筒DA001</w:t>
                  </w:r>
                </w:p>
              </w:tc>
              <w:tc>
                <w:tcPr>
                  <w:tcW w:w="675" w:type="dxa"/>
                  <w:vMerge w:val="restart"/>
                  <w:vAlign w:val="center"/>
                </w:tcPr>
                <w:p>
                  <w:pPr>
                    <w:keepNext w:val="0"/>
                    <w:keepLines w:val="0"/>
                    <w:suppressLineNumbers w:val="0"/>
                    <w:spacing w:before="0" w:beforeAutospacing="0" w:after="0" w:afterAutospacing="0"/>
                    <w:ind w:left="0" w:right="0"/>
                    <w:jc w:val="left"/>
                    <w:rPr>
                      <w:rFonts w:hint="default" w:ascii="Times New Roman" w:hAnsi="Times New Roman" w:cs="Times New Roman"/>
                      <w:lang w:val="en-US" w:eastAsia="zh-CN"/>
                    </w:rPr>
                  </w:pPr>
                  <w:r>
                    <w:rPr>
                      <w:rFonts w:hint="default" w:ascii="Times New Roman" w:hAnsi="Times New Roman" w:cs="Times New Roman"/>
                      <w:lang w:val="en-US" w:eastAsia="zh-CN"/>
                    </w:rPr>
                    <w:t>99%</w:t>
                  </w:r>
                </w:p>
              </w:tc>
              <w:tc>
                <w:tcPr>
                  <w:tcW w:w="87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eastAsia" w:cs="Times New Roman"/>
                      <w:lang w:val="en-US" w:eastAsia="zh-CN"/>
                    </w:rPr>
                    <w:t>0.54</w:t>
                  </w:r>
                </w:p>
              </w:tc>
              <w:tc>
                <w:tcPr>
                  <w:tcW w:w="87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eastAsia" w:cs="Times New Roman"/>
                      <w:lang w:val="en-US" w:eastAsia="zh-CN"/>
                    </w:rPr>
                    <w:t>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19"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二破</w:t>
                  </w:r>
                </w:p>
              </w:tc>
              <w:tc>
                <w:tcPr>
                  <w:tcW w:w="923"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119.98万</w:t>
                  </w:r>
                </w:p>
              </w:tc>
              <w:tc>
                <w:tcPr>
                  <w:tcW w:w="1408" w:type="dxa"/>
                  <w:vAlign w:val="center"/>
                </w:tcPr>
                <w:p>
                  <w:pPr>
                    <w:keepNext w:val="0"/>
                    <w:keepLines w:val="0"/>
                    <w:suppressLineNumbers w:val="0"/>
                    <w:spacing w:before="0" w:beforeAutospacing="0" w:after="0" w:afterAutospacing="0"/>
                    <w:ind w:left="0" w:right="0"/>
                    <w:jc w:val="left"/>
                    <w:rPr>
                      <w:rFonts w:hint="default" w:ascii="Times New Roman" w:hAnsi="Times New Roman" w:cs="Times New Roman"/>
                      <w:lang w:val="en-US" w:eastAsia="zh-CN"/>
                    </w:rPr>
                  </w:pPr>
                  <w:r>
                    <w:rPr>
                      <w:rFonts w:hint="default" w:ascii="Times New Roman" w:hAnsi="Times New Roman" w:cs="Times New Roman"/>
                      <w:lang w:val="en-US" w:eastAsia="zh-CN"/>
                    </w:rPr>
                    <w:t>0.15kg/t-物料</w:t>
                  </w:r>
                </w:p>
              </w:tc>
              <w:tc>
                <w:tcPr>
                  <w:tcW w:w="923"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179.97</w:t>
                  </w:r>
                </w:p>
              </w:tc>
              <w:tc>
                <w:tcPr>
                  <w:tcW w:w="681" w:type="dxa"/>
                  <w:vMerge w:val="continue"/>
                  <w:vAlign w:val="center"/>
                </w:tcPr>
                <w:p>
                  <w:pPr>
                    <w:keepNext w:val="0"/>
                    <w:keepLines w:val="0"/>
                    <w:suppressLineNumbers w:val="0"/>
                    <w:spacing w:before="0" w:beforeAutospacing="0" w:after="0" w:afterAutospacing="0"/>
                    <w:ind w:left="0" w:right="0"/>
                    <w:jc w:val="left"/>
                    <w:rPr>
                      <w:rFonts w:hint="default" w:ascii="Times New Roman" w:hAnsi="Times New Roman" w:cs="Times New Roman"/>
                      <w:lang w:val="en-US" w:eastAsia="zh-CN"/>
                    </w:rPr>
                  </w:pPr>
                </w:p>
              </w:tc>
              <w:tc>
                <w:tcPr>
                  <w:tcW w:w="934" w:type="dxa"/>
                  <w:vMerge w:val="continue"/>
                  <w:vAlign w:val="center"/>
                </w:tcPr>
                <w:p>
                  <w:pPr>
                    <w:keepNext w:val="0"/>
                    <w:keepLines w:val="0"/>
                    <w:suppressLineNumbers w:val="0"/>
                    <w:spacing w:before="0" w:beforeAutospacing="0" w:after="0" w:afterAutospacing="0"/>
                    <w:ind w:left="0" w:right="0"/>
                    <w:jc w:val="left"/>
                    <w:rPr>
                      <w:rFonts w:hint="default" w:ascii="Times New Roman" w:hAnsi="Times New Roman" w:cs="Times New Roman"/>
                      <w:lang w:val="en-US" w:eastAsia="zh-CN"/>
                    </w:rPr>
                  </w:pPr>
                </w:p>
              </w:tc>
              <w:tc>
                <w:tcPr>
                  <w:tcW w:w="675" w:type="dxa"/>
                  <w:vMerge w:val="continue"/>
                  <w:vAlign w:val="center"/>
                </w:tcPr>
                <w:p>
                  <w:pPr>
                    <w:keepNext w:val="0"/>
                    <w:keepLines w:val="0"/>
                    <w:suppressLineNumbers w:val="0"/>
                    <w:spacing w:before="0" w:beforeAutospacing="0" w:after="0" w:afterAutospacing="0"/>
                    <w:ind w:left="0" w:right="0"/>
                    <w:jc w:val="left"/>
                    <w:rPr>
                      <w:rFonts w:hint="default" w:ascii="Times New Roman" w:hAnsi="Times New Roman" w:cs="Times New Roman"/>
                      <w:lang w:val="en-US" w:eastAsia="zh-CN"/>
                    </w:rPr>
                  </w:pPr>
                </w:p>
              </w:tc>
              <w:tc>
                <w:tcPr>
                  <w:tcW w:w="87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eastAsia" w:cs="Times New Roman"/>
                      <w:lang w:val="en-US" w:eastAsia="zh-CN"/>
                    </w:rPr>
                    <w:t>0.54</w:t>
                  </w:r>
                </w:p>
              </w:tc>
              <w:tc>
                <w:tcPr>
                  <w:tcW w:w="87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eastAsia" w:cs="Times New Roman"/>
                      <w:lang w:val="en-US" w:eastAsia="zh-CN"/>
                    </w:rPr>
                    <w:t>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19"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初筛</w:t>
                  </w:r>
                </w:p>
              </w:tc>
              <w:tc>
                <w:tcPr>
                  <w:tcW w:w="923"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119.96</w:t>
                  </w:r>
                </w:p>
              </w:tc>
              <w:tc>
                <w:tcPr>
                  <w:tcW w:w="1408" w:type="dxa"/>
                  <w:vAlign w:val="center"/>
                </w:tcPr>
                <w:p>
                  <w:pPr>
                    <w:keepNext w:val="0"/>
                    <w:keepLines w:val="0"/>
                    <w:suppressLineNumbers w:val="0"/>
                    <w:spacing w:before="0" w:beforeAutospacing="0" w:after="0" w:afterAutospacing="0"/>
                    <w:ind w:left="0" w:right="0"/>
                    <w:jc w:val="left"/>
                    <w:rPr>
                      <w:rFonts w:hint="default" w:ascii="Times New Roman" w:hAnsi="Times New Roman" w:cs="Times New Roman"/>
                      <w:lang w:val="en-US" w:eastAsia="zh-CN"/>
                    </w:rPr>
                  </w:pPr>
                  <w:r>
                    <w:rPr>
                      <w:rFonts w:hint="default" w:ascii="Times New Roman" w:hAnsi="Times New Roman" w:cs="Times New Roman"/>
                      <w:lang w:val="en-US" w:eastAsia="zh-CN"/>
                    </w:rPr>
                    <w:t>0.15kg/t-物料</w:t>
                  </w:r>
                </w:p>
              </w:tc>
              <w:tc>
                <w:tcPr>
                  <w:tcW w:w="923"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179.95</w:t>
                  </w:r>
                </w:p>
              </w:tc>
              <w:tc>
                <w:tcPr>
                  <w:tcW w:w="681" w:type="dxa"/>
                  <w:vMerge w:val="continue"/>
                  <w:vAlign w:val="center"/>
                </w:tcPr>
                <w:p>
                  <w:pPr>
                    <w:keepNext w:val="0"/>
                    <w:keepLines w:val="0"/>
                    <w:suppressLineNumbers w:val="0"/>
                    <w:spacing w:before="0" w:beforeAutospacing="0" w:after="0" w:afterAutospacing="0"/>
                    <w:ind w:left="0" w:right="0"/>
                    <w:jc w:val="left"/>
                    <w:rPr>
                      <w:rFonts w:hint="default" w:ascii="Times New Roman" w:hAnsi="Times New Roman" w:cs="Times New Roman"/>
                      <w:lang w:val="en-US" w:eastAsia="zh-CN"/>
                    </w:rPr>
                  </w:pPr>
                </w:p>
              </w:tc>
              <w:tc>
                <w:tcPr>
                  <w:tcW w:w="934" w:type="dxa"/>
                  <w:vMerge w:val="continue"/>
                  <w:vAlign w:val="center"/>
                </w:tcPr>
                <w:p>
                  <w:pPr>
                    <w:keepNext w:val="0"/>
                    <w:keepLines w:val="0"/>
                    <w:suppressLineNumbers w:val="0"/>
                    <w:spacing w:before="0" w:beforeAutospacing="0" w:after="0" w:afterAutospacing="0"/>
                    <w:ind w:left="0" w:right="0"/>
                    <w:jc w:val="left"/>
                    <w:rPr>
                      <w:rFonts w:hint="default" w:ascii="Times New Roman" w:hAnsi="Times New Roman" w:cs="Times New Roman"/>
                      <w:lang w:val="en-US" w:eastAsia="zh-CN"/>
                    </w:rPr>
                  </w:pPr>
                </w:p>
              </w:tc>
              <w:tc>
                <w:tcPr>
                  <w:tcW w:w="675" w:type="dxa"/>
                  <w:vMerge w:val="continue"/>
                  <w:vAlign w:val="center"/>
                </w:tcPr>
                <w:p>
                  <w:pPr>
                    <w:keepNext w:val="0"/>
                    <w:keepLines w:val="0"/>
                    <w:suppressLineNumbers w:val="0"/>
                    <w:spacing w:before="0" w:beforeAutospacing="0" w:after="0" w:afterAutospacing="0"/>
                    <w:ind w:left="0" w:right="0"/>
                    <w:jc w:val="left"/>
                    <w:rPr>
                      <w:rFonts w:hint="default" w:ascii="Times New Roman" w:hAnsi="Times New Roman" w:cs="Times New Roman"/>
                      <w:lang w:val="en-US" w:eastAsia="zh-CN"/>
                    </w:rPr>
                  </w:pPr>
                </w:p>
              </w:tc>
              <w:tc>
                <w:tcPr>
                  <w:tcW w:w="87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eastAsia" w:cs="Times New Roman"/>
                      <w:lang w:val="en-US" w:eastAsia="zh-CN"/>
                    </w:rPr>
                    <w:t>0.54</w:t>
                  </w:r>
                </w:p>
              </w:tc>
              <w:tc>
                <w:tcPr>
                  <w:tcW w:w="87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eastAsia" w:cs="Times New Roman"/>
                      <w:lang w:val="en-US" w:eastAsia="zh-CN"/>
                    </w:rPr>
                    <w:t>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19"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制砂</w:t>
                  </w:r>
                </w:p>
              </w:tc>
              <w:tc>
                <w:tcPr>
                  <w:tcW w:w="923"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101.96</w:t>
                  </w:r>
                </w:p>
              </w:tc>
              <w:tc>
                <w:tcPr>
                  <w:tcW w:w="1408" w:type="dxa"/>
                  <w:vAlign w:val="center"/>
                </w:tcPr>
                <w:p>
                  <w:pPr>
                    <w:keepNext w:val="0"/>
                    <w:keepLines w:val="0"/>
                    <w:suppressLineNumbers w:val="0"/>
                    <w:spacing w:before="0" w:beforeAutospacing="0" w:after="0" w:afterAutospacing="0"/>
                    <w:ind w:left="0" w:right="0"/>
                    <w:jc w:val="left"/>
                    <w:rPr>
                      <w:rFonts w:hint="default" w:ascii="Times New Roman" w:hAnsi="Times New Roman" w:cs="Times New Roman"/>
                      <w:lang w:val="en-US" w:eastAsia="zh-CN"/>
                    </w:rPr>
                  </w:pPr>
                  <w:r>
                    <w:rPr>
                      <w:rFonts w:hint="default" w:ascii="Times New Roman" w:hAnsi="Times New Roman" w:cs="Times New Roman"/>
                      <w:lang w:val="en-US" w:eastAsia="zh-CN"/>
                    </w:rPr>
                    <w:t>0.05kg/t-物料</w:t>
                  </w:r>
                </w:p>
              </w:tc>
              <w:tc>
                <w:tcPr>
                  <w:tcW w:w="923"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50.98</w:t>
                  </w:r>
                </w:p>
              </w:tc>
              <w:tc>
                <w:tcPr>
                  <w:tcW w:w="681" w:type="dxa"/>
                  <w:vMerge w:val="continue"/>
                  <w:vAlign w:val="center"/>
                </w:tcPr>
                <w:p>
                  <w:pPr>
                    <w:keepNext w:val="0"/>
                    <w:keepLines w:val="0"/>
                    <w:suppressLineNumbers w:val="0"/>
                    <w:spacing w:before="0" w:beforeAutospacing="0" w:after="0" w:afterAutospacing="0"/>
                    <w:ind w:left="0" w:right="0"/>
                    <w:jc w:val="left"/>
                    <w:rPr>
                      <w:rFonts w:hint="default" w:ascii="Times New Roman" w:hAnsi="Times New Roman" w:cs="Times New Roman"/>
                      <w:lang w:val="en-US" w:eastAsia="zh-CN"/>
                    </w:rPr>
                  </w:pPr>
                </w:p>
              </w:tc>
              <w:tc>
                <w:tcPr>
                  <w:tcW w:w="934" w:type="dxa"/>
                  <w:vMerge w:val="restart"/>
                  <w:vAlign w:val="center"/>
                </w:tcPr>
                <w:p>
                  <w:pPr>
                    <w:keepNext w:val="0"/>
                    <w:keepLines w:val="0"/>
                    <w:suppressLineNumbers w:val="0"/>
                    <w:spacing w:before="0" w:beforeAutospacing="0" w:after="0" w:afterAutospacing="0"/>
                    <w:ind w:left="0" w:right="0"/>
                    <w:jc w:val="left"/>
                    <w:rPr>
                      <w:rFonts w:hint="default" w:ascii="Times New Roman" w:hAnsi="Times New Roman" w:cs="Times New Roman"/>
                      <w:lang w:val="en-US" w:eastAsia="zh-CN"/>
                    </w:rPr>
                  </w:pPr>
                  <w:r>
                    <w:rPr>
                      <w:rFonts w:hint="default" w:ascii="Times New Roman" w:hAnsi="Times New Roman" w:cs="Times New Roman"/>
                      <w:lang w:val="en-US" w:eastAsia="zh-CN"/>
                    </w:rPr>
                    <w:t>2#脉冲布袋除尘器+15m排气筒DA002</w:t>
                  </w:r>
                </w:p>
              </w:tc>
              <w:tc>
                <w:tcPr>
                  <w:tcW w:w="675" w:type="dxa"/>
                  <w:vMerge w:val="restart"/>
                  <w:vAlign w:val="center"/>
                </w:tcPr>
                <w:p>
                  <w:pPr>
                    <w:keepNext w:val="0"/>
                    <w:keepLines w:val="0"/>
                    <w:suppressLineNumbers w:val="0"/>
                    <w:spacing w:before="0" w:beforeAutospacing="0" w:after="0" w:afterAutospacing="0"/>
                    <w:ind w:left="0" w:right="0"/>
                    <w:jc w:val="left"/>
                    <w:rPr>
                      <w:rFonts w:hint="default" w:ascii="Times New Roman" w:hAnsi="Times New Roman" w:cs="Times New Roman"/>
                      <w:lang w:val="en-US" w:eastAsia="zh-CN"/>
                    </w:rPr>
                  </w:pPr>
                  <w:r>
                    <w:rPr>
                      <w:rFonts w:hint="default" w:ascii="Times New Roman" w:hAnsi="Times New Roman" w:cs="Times New Roman"/>
                      <w:lang w:val="en-US" w:eastAsia="zh-CN"/>
                    </w:rPr>
                    <w:t>99%</w:t>
                  </w:r>
                </w:p>
              </w:tc>
              <w:tc>
                <w:tcPr>
                  <w:tcW w:w="87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eastAsia" w:cs="Times New Roman"/>
                      <w:lang w:val="en-US" w:eastAsia="zh-CN"/>
                    </w:rPr>
                    <w:t>0.152</w:t>
                  </w:r>
                </w:p>
              </w:tc>
              <w:tc>
                <w:tcPr>
                  <w:tcW w:w="87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eastAsia" w:cs="Times New Roman"/>
                      <w:lang w:val="en-US" w:eastAsia="zh-CN"/>
                    </w:rPr>
                    <w:t>5.1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19"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选粉</w:t>
                  </w:r>
                </w:p>
              </w:tc>
              <w:tc>
                <w:tcPr>
                  <w:tcW w:w="923"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101.95</w:t>
                  </w:r>
                </w:p>
              </w:tc>
              <w:tc>
                <w:tcPr>
                  <w:tcW w:w="1408" w:type="dxa"/>
                  <w:vAlign w:val="center"/>
                </w:tcPr>
                <w:p>
                  <w:pPr>
                    <w:keepNext w:val="0"/>
                    <w:keepLines w:val="0"/>
                    <w:suppressLineNumbers w:val="0"/>
                    <w:spacing w:before="0" w:beforeAutospacing="0" w:after="0" w:afterAutospacing="0"/>
                    <w:ind w:left="0" w:right="0"/>
                    <w:jc w:val="left"/>
                    <w:rPr>
                      <w:rFonts w:hint="default" w:ascii="Times New Roman" w:hAnsi="Times New Roman" w:cs="Times New Roman"/>
                      <w:lang w:val="en-US" w:eastAsia="zh-CN"/>
                    </w:rPr>
                  </w:pPr>
                  <w:r>
                    <w:rPr>
                      <w:rFonts w:hint="default" w:ascii="Times New Roman" w:hAnsi="Times New Roman" w:cs="Times New Roman"/>
                      <w:lang w:val="en-US" w:eastAsia="zh-CN"/>
                    </w:rPr>
                    <w:t>0.15kg/t-物料</w:t>
                  </w:r>
                </w:p>
              </w:tc>
              <w:tc>
                <w:tcPr>
                  <w:tcW w:w="923"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152.93</w:t>
                  </w:r>
                </w:p>
              </w:tc>
              <w:tc>
                <w:tcPr>
                  <w:tcW w:w="681" w:type="dxa"/>
                  <w:vMerge w:val="continue"/>
                  <w:vAlign w:val="center"/>
                </w:tcPr>
                <w:p>
                  <w:pPr>
                    <w:keepNext w:val="0"/>
                    <w:keepLines w:val="0"/>
                    <w:suppressLineNumbers w:val="0"/>
                    <w:spacing w:before="0" w:beforeAutospacing="0" w:after="0" w:afterAutospacing="0"/>
                    <w:ind w:left="0" w:right="0"/>
                    <w:jc w:val="left"/>
                    <w:rPr>
                      <w:rFonts w:hint="default" w:ascii="Times New Roman" w:hAnsi="Times New Roman" w:cs="Times New Roman"/>
                      <w:lang w:val="en-US" w:eastAsia="zh-CN"/>
                    </w:rPr>
                  </w:pPr>
                </w:p>
              </w:tc>
              <w:tc>
                <w:tcPr>
                  <w:tcW w:w="934" w:type="dxa"/>
                  <w:vMerge w:val="continue"/>
                  <w:vAlign w:val="center"/>
                </w:tcPr>
                <w:p>
                  <w:pPr>
                    <w:keepNext w:val="0"/>
                    <w:keepLines w:val="0"/>
                    <w:suppressLineNumbers w:val="0"/>
                    <w:spacing w:before="0" w:beforeAutospacing="0" w:after="0" w:afterAutospacing="0"/>
                    <w:ind w:left="0" w:right="0"/>
                    <w:jc w:val="left"/>
                    <w:rPr>
                      <w:rFonts w:hint="default" w:ascii="Times New Roman" w:hAnsi="Times New Roman" w:cs="Times New Roman"/>
                      <w:lang w:val="en-US" w:eastAsia="zh-CN"/>
                    </w:rPr>
                  </w:pPr>
                </w:p>
              </w:tc>
              <w:tc>
                <w:tcPr>
                  <w:tcW w:w="675" w:type="dxa"/>
                  <w:vMerge w:val="continue"/>
                  <w:vAlign w:val="center"/>
                </w:tcPr>
                <w:p>
                  <w:pPr>
                    <w:keepNext w:val="0"/>
                    <w:keepLines w:val="0"/>
                    <w:suppressLineNumbers w:val="0"/>
                    <w:spacing w:before="0" w:beforeAutospacing="0" w:after="0" w:afterAutospacing="0"/>
                    <w:ind w:left="0" w:right="0"/>
                    <w:jc w:val="left"/>
                    <w:rPr>
                      <w:rFonts w:hint="default" w:ascii="Times New Roman" w:hAnsi="Times New Roman" w:cs="Times New Roman"/>
                      <w:lang w:val="en-US" w:eastAsia="zh-CN"/>
                    </w:rPr>
                  </w:pPr>
                </w:p>
              </w:tc>
              <w:tc>
                <w:tcPr>
                  <w:tcW w:w="87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eastAsia" w:cs="Times New Roman"/>
                      <w:lang w:val="en-US" w:eastAsia="zh-CN"/>
                    </w:rPr>
                    <w:t>0.46</w:t>
                  </w:r>
                </w:p>
              </w:tc>
              <w:tc>
                <w:tcPr>
                  <w:tcW w:w="87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eastAsia" w:cs="Times New Roman"/>
                      <w:lang w:val="en-US" w:eastAsia="zh-CN"/>
                    </w:rPr>
                    <w:t>15.3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82" w:hRule="atLeast"/>
              </w:trPr>
              <w:tc>
                <w:tcPr>
                  <w:tcW w:w="719"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后筛</w:t>
                  </w:r>
                </w:p>
              </w:tc>
              <w:tc>
                <w:tcPr>
                  <w:tcW w:w="923"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59.93</w:t>
                  </w:r>
                </w:p>
              </w:tc>
              <w:tc>
                <w:tcPr>
                  <w:tcW w:w="1408" w:type="dxa"/>
                  <w:vAlign w:val="center"/>
                </w:tcPr>
                <w:p>
                  <w:pPr>
                    <w:keepNext w:val="0"/>
                    <w:keepLines w:val="0"/>
                    <w:suppressLineNumbers w:val="0"/>
                    <w:spacing w:before="0" w:beforeAutospacing="0" w:after="0" w:afterAutospacing="0"/>
                    <w:ind w:left="0" w:right="0"/>
                    <w:jc w:val="left"/>
                    <w:rPr>
                      <w:rFonts w:hint="default" w:ascii="Times New Roman" w:hAnsi="Times New Roman" w:cs="Times New Roman"/>
                      <w:lang w:val="en-US" w:eastAsia="zh-CN"/>
                    </w:rPr>
                  </w:pPr>
                  <w:r>
                    <w:rPr>
                      <w:rFonts w:hint="default" w:ascii="Times New Roman" w:hAnsi="Times New Roman" w:cs="Times New Roman"/>
                      <w:lang w:val="en-US" w:eastAsia="zh-CN"/>
                    </w:rPr>
                    <w:t>0.15kg/t-物料</w:t>
                  </w:r>
                </w:p>
              </w:tc>
              <w:tc>
                <w:tcPr>
                  <w:tcW w:w="923"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89.90</w:t>
                  </w:r>
                </w:p>
              </w:tc>
              <w:tc>
                <w:tcPr>
                  <w:tcW w:w="681" w:type="dxa"/>
                  <w:vMerge w:val="continue"/>
                  <w:vAlign w:val="center"/>
                </w:tcPr>
                <w:p>
                  <w:pPr>
                    <w:keepNext w:val="0"/>
                    <w:keepLines w:val="0"/>
                    <w:suppressLineNumbers w:val="0"/>
                    <w:spacing w:before="0" w:beforeAutospacing="0" w:after="0" w:afterAutospacing="0"/>
                    <w:ind w:left="0" w:right="0"/>
                    <w:jc w:val="left"/>
                    <w:rPr>
                      <w:rFonts w:hint="default" w:ascii="Times New Roman" w:hAnsi="Times New Roman" w:cs="Times New Roman"/>
                      <w:lang w:val="en-US" w:eastAsia="zh-CN"/>
                    </w:rPr>
                  </w:pPr>
                </w:p>
              </w:tc>
              <w:tc>
                <w:tcPr>
                  <w:tcW w:w="934" w:type="dxa"/>
                  <w:vMerge w:val="continue"/>
                  <w:vAlign w:val="center"/>
                </w:tcPr>
                <w:p>
                  <w:pPr>
                    <w:keepNext w:val="0"/>
                    <w:keepLines w:val="0"/>
                    <w:suppressLineNumbers w:val="0"/>
                    <w:spacing w:before="0" w:beforeAutospacing="0" w:after="0" w:afterAutospacing="0"/>
                    <w:ind w:left="0" w:right="0"/>
                    <w:jc w:val="left"/>
                    <w:rPr>
                      <w:rFonts w:hint="default" w:ascii="Times New Roman" w:hAnsi="Times New Roman" w:cs="Times New Roman"/>
                      <w:lang w:val="en-US" w:eastAsia="zh-CN"/>
                    </w:rPr>
                  </w:pPr>
                </w:p>
              </w:tc>
              <w:tc>
                <w:tcPr>
                  <w:tcW w:w="675" w:type="dxa"/>
                  <w:vMerge w:val="continue"/>
                  <w:vAlign w:val="center"/>
                </w:tcPr>
                <w:p>
                  <w:pPr>
                    <w:keepNext w:val="0"/>
                    <w:keepLines w:val="0"/>
                    <w:suppressLineNumbers w:val="0"/>
                    <w:spacing w:before="0" w:beforeAutospacing="0" w:after="0" w:afterAutospacing="0"/>
                    <w:ind w:left="0" w:right="0"/>
                    <w:jc w:val="left"/>
                    <w:rPr>
                      <w:rFonts w:hint="default" w:ascii="Times New Roman" w:hAnsi="Times New Roman" w:cs="Times New Roman"/>
                      <w:lang w:val="en-US" w:eastAsia="zh-CN"/>
                    </w:rPr>
                  </w:pPr>
                </w:p>
              </w:tc>
              <w:tc>
                <w:tcPr>
                  <w:tcW w:w="87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eastAsia" w:cs="Times New Roman"/>
                      <w:lang w:val="en-US" w:eastAsia="zh-CN"/>
                    </w:rPr>
                    <w:t>0.27</w:t>
                  </w:r>
                </w:p>
              </w:tc>
              <w:tc>
                <w:tcPr>
                  <w:tcW w:w="87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eastAsia" w:cs="Times New Roman"/>
                      <w:lang w:val="en-US" w:eastAsia="zh-CN"/>
                    </w:rPr>
                    <w:t>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050" w:type="dxa"/>
                  <w:gridSpan w:val="3"/>
                  <w:vAlign w:val="center"/>
                </w:tcPr>
                <w:p>
                  <w:pPr>
                    <w:keepNext w:val="0"/>
                    <w:keepLines w:val="0"/>
                    <w:suppressLineNumbers w:val="0"/>
                    <w:spacing w:before="0" w:beforeAutospacing="0" w:after="0" w:afterAutospacing="0"/>
                    <w:ind w:left="0" w:right="0"/>
                    <w:jc w:val="left"/>
                    <w:rPr>
                      <w:rFonts w:hint="default" w:ascii="Times New Roman" w:hAnsi="Times New Roman" w:cs="Times New Roman"/>
                      <w:lang w:val="en-US" w:eastAsia="zh-CN"/>
                    </w:rPr>
                  </w:pPr>
                  <w:r>
                    <w:rPr>
                      <w:rFonts w:hint="default" w:ascii="Times New Roman" w:hAnsi="Times New Roman" w:cs="Times New Roman"/>
                      <w:lang w:val="en-US" w:eastAsia="zh-CN"/>
                    </w:rPr>
                    <w:t>合计</w:t>
                  </w:r>
                </w:p>
              </w:tc>
              <w:tc>
                <w:tcPr>
                  <w:tcW w:w="923"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833.73</w:t>
                  </w:r>
                </w:p>
              </w:tc>
              <w:tc>
                <w:tcPr>
                  <w:tcW w:w="2290" w:type="dxa"/>
                  <w:gridSpan w:val="3"/>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w:t>
                  </w:r>
                </w:p>
              </w:tc>
              <w:tc>
                <w:tcPr>
                  <w:tcW w:w="87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eastAsia" w:cs="Times New Roman"/>
                      <w:lang w:val="en-US" w:eastAsia="zh-CN"/>
                    </w:rPr>
                    <w:t>7.5</w:t>
                  </w:r>
                </w:p>
              </w:tc>
              <w:tc>
                <w:tcPr>
                  <w:tcW w:w="87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eastAsia" w:cs="Times New Roman"/>
                      <w:lang w:val="en-US" w:eastAsia="zh-CN"/>
                    </w:rPr>
                    <w:t>83.4</w:t>
                  </w:r>
                </w:p>
              </w:tc>
            </w:tr>
          </w:tbl>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由上表可知，本项目无组织粉尘产生量为</w:t>
            </w:r>
            <w:r>
              <w:rPr>
                <w:rFonts w:hint="eastAsia" w:cs="Times New Roman"/>
                <w:sz w:val="24"/>
                <w:szCs w:val="24"/>
                <w:lang w:val="en-US" w:eastAsia="zh-CN"/>
              </w:rPr>
              <w:t>8</w:t>
            </w:r>
            <w:r>
              <w:rPr>
                <w:rFonts w:hint="default" w:ascii="Times New Roman" w:hAnsi="Times New Roman" w:cs="Times New Roman"/>
                <w:sz w:val="24"/>
                <w:szCs w:val="24"/>
                <w:lang w:val="en-US" w:eastAsia="zh-CN"/>
              </w:rPr>
              <w:t>t/a，工业广场厂棚采取密闭、厂棚顶部设置环状喷头设施，对于未收集无组织粉尘采取厂房封闭及雾化喷淋抑尘等措施后，其抑尘效率可达90%以上，因此，工业广场破碎、筛分、制砂加工生产线无组织粉尘排放量为</w:t>
            </w:r>
            <w:r>
              <w:rPr>
                <w:rFonts w:hint="eastAsia" w:cs="Times New Roman"/>
                <w:sz w:val="24"/>
                <w:szCs w:val="24"/>
                <w:lang w:val="en-US" w:eastAsia="zh-CN"/>
              </w:rPr>
              <w:t>8.34</w:t>
            </w:r>
            <w:r>
              <w:rPr>
                <w:rFonts w:hint="default" w:ascii="Times New Roman" w:hAnsi="Times New Roman" w:cs="Times New Roman"/>
                <w:sz w:val="24"/>
                <w:szCs w:val="24"/>
                <w:lang w:val="en-US" w:eastAsia="zh-CN"/>
              </w:rPr>
              <w:t>t/a。</w:t>
            </w:r>
            <w:r>
              <w:rPr>
                <w:rFonts w:hint="eastAsia" w:cs="Times New Roman"/>
                <w:sz w:val="24"/>
                <w:szCs w:val="24"/>
                <w:lang w:val="en-US" w:eastAsia="zh-CN"/>
              </w:rPr>
              <w:t>有组织排放量7.5t/a，颗粒物合计排放量15.84t/a。</w:t>
            </w:r>
            <w:r>
              <w:rPr>
                <w:rFonts w:hint="default" w:ascii="Times New Roman" w:hAnsi="Times New Roman" w:cs="Times New Roman"/>
                <w:sz w:val="24"/>
                <w:szCs w:val="24"/>
                <w:lang w:val="en-US" w:eastAsia="zh-CN"/>
              </w:rPr>
              <w:t>工业广场破碎、筛分、制砂加工生产线脉冲布袋除尘器收集的粉尘总量为</w:t>
            </w:r>
            <w:r>
              <w:rPr>
                <w:rFonts w:hint="eastAsia" w:cs="Times New Roman"/>
                <w:sz w:val="24"/>
                <w:szCs w:val="24"/>
                <w:lang w:val="en-US" w:eastAsia="zh-CN"/>
              </w:rPr>
              <w:t>817.9</w:t>
            </w:r>
            <w:r>
              <w:rPr>
                <w:rFonts w:hint="default" w:ascii="Times New Roman" w:hAnsi="Times New Roman" w:cs="Times New Roman"/>
                <w:sz w:val="24"/>
                <w:szCs w:val="24"/>
                <w:lang w:val="en-US" w:eastAsia="zh-CN"/>
              </w:rPr>
              <w:t>t/a，收集后在粉尘收集罐储存。</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2" w:firstLineChars="200"/>
              <w:textAlignment w:val="auto"/>
              <w:rPr>
                <w:rFonts w:hint="default" w:ascii="Times New Roman" w:hAnsi="Times New Roman" w:cs="Times New Roman"/>
                <w:b/>
                <w:bCs/>
                <w:sz w:val="24"/>
                <w:szCs w:val="24"/>
                <w:lang w:val="en-US" w:eastAsia="zh-CN"/>
              </w:rPr>
            </w:pPr>
            <w:r>
              <w:rPr>
                <w:rFonts w:hint="default" w:ascii="Times New Roman" w:hAnsi="Times New Roman" w:cs="Times New Roman"/>
                <w:b/>
                <w:bCs/>
                <w:sz w:val="24"/>
                <w:szCs w:val="24"/>
                <w:lang w:val="en-US" w:eastAsia="zh-CN"/>
              </w:rPr>
              <w:t>5）运输扬尘</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采石场的主要运输工具是汽车，运输主要包括露天采场至工业广场，该道路主要为碎石路面；产品库出场道路为水泥路面，汽车在运输过程中不可避免会产生一定的扬尘，其产尘强度与路面种类、季节干湿以及汽车运行速度等因素有关，各矿山条件不同，起尘量差异也很大。车辆行驶产生的扬尘在完全干燥的情况下，可按如下经验公式计算：</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drawing>
                <wp:inline distT="0" distB="0" distL="114300" distR="114300">
                  <wp:extent cx="2228850" cy="466725"/>
                  <wp:effectExtent l="0" t="0" r="0" b="9525"/>
                  <wp:docPr id="62" name="图片 5" descr="GS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图片 5" descr="GS2"/>
                          <pic:cNvPicPr>
                            <a:picLocks noChangeAspect="1"/>
                          </pic:cNvPicPr>
                        </pic:nvPicPr>
                        <pic:blipFill>
                          <a:blip r:embed="rId19"/>
                          <a:stretch>
                            <a:fillRect/>
                          </a:stretch>
                        </pic:blipFill>
                        <pic:spPr>
                          <a:xfrm>
                            <a:off x="0" y="0"/>
                            <a:ext cx="2228850" cy="466725"/>
                          </a:xfrm>
                          <a:prstGeom prst="rect">
                            <a:avLst/>
                          </a:prstGeom>
                          <a:noFill/>
                          <a:ln>
                            <a:noFill/>
                          </a:ln>
                        </pic:spPr>
                      </pic:pic>
                    </a:graphicData>
                  </a:graphic>
                </wp:inline>
              </w:drawing>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式中：Q——汽车行驶时的扬尘，kg/km•辆；</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V——汽车速度，km/h，取20km/h；</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W——汽车重量，t，空车15t，载重车45t；</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P——道路表面粉尘量，kg/m</w:t>
            </w:r>
            <w:r>
              <w:rPr>
                <w:rFonts w:hint="default" w:ascii="Times New Roman" w:hAnsi="Times New Roman" w:cs="Times New Roman"/>
                <w:sz w:val="24"/>
                <w:szCs w:val="24"/>
                <w:vertAlign w:val="superscript"/>
                <w:lang w:val="en-US" w:eastAsia="zh-CN"/>
              </w:rPr>
              <w:t>2</w:t>
            </w:r>
            <w:r>
              <w:rPr>
                <w:rFonts w:hint="default" w:ascii="Times New Roman" w:hAnsi="Times New Roman" w:cs="Times New Roman"/>
                <w:sz w:val="24"/>
                <w:szCs w:val="24"/>
                <w:lang w:val="en-US" w:eastAsia="zh-CN"/>
              </w:rPr>
              <w:t>，项目运输道路硬化，建设单位对运输道路定时清扫，路表粉尘量取0.1kg/m</w:t>
            </w:r>
            <w:r>
              <w:rPr>
                <w:rFonts w:hint="default" w:ascii="Times New Roman" w:hAnsi="Times New Roman" w:cs="Times New Roman"/>
                <w:sz w:val="24"/>
                <w:szCs w:val="24"/>
                <w:vertAlign w:val="superscript"/>
                <w:lang w:val="en-US" w:eastAsia="zh-CN"/>
              </w:rPr>
              <w:t>2</w:t>
            </w:r>
            <w:r>
              <w:rPr>
                <w:rFonts w:hint="default" w:ascii="Times New Roman" w:hAnsi="Times New Roman" w:cs="Times New Roman"/>
                <w:sz w:val="24"/>
                <w:szCs w:val="24"/>
                <w:lang w:val="en-US" w:eastAsia="zh-CN"/>
              </w:rPr>
              <w:t>。</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本项目运输道路主要为开采区-加工区-厂外，工业广场经矿区道路与东侧乡道连接，道路运距平均约为600米；全年砂石运输约120万吨，每辆砂石运输车的量为30t，则每天砂石运输车要运输133.3次，则本项目平均每天发空车、重载各133.3辆次；空车重约15.0t，重车重约45.0t。以速度20km/h行驶，则每辆汽车满载行驶时的扬尘为0.247kg/km·辆，每辆汽车空车行驶时的扬尘0.097kg/km，运输扬尘产生量为19.76kg/d，5.93t/a。</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本次环评要求建设单位按照《大气污染防治法》、《大气十条》、《大气污染防治行动》中的相关要求，加强对运输过程粉尘量的控制，限制车辆在场内行驶的速度，加大对路面的清扫和洒水频率，及时对公路进行清扫，保持路面清洁，同时运输车辆进行密闭，以减少车辆运输过程中扬尘的产生。通过采取上述处理措施后，可使扬尘减少85%左右，则预计汽车运输扬尘排放量为2.96kg/d，0.89t/a。废气产生源强及环保措施情况汇总如下：</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Times New Roman" w:hAnsi="Times New Roman" w:cs="Times New Roman"/>
                <w:b/>
                <w:bCs/>
                <w:color w:val="auto"/>
                <w:sz w:val="21"/>
                <w:szCs w:val="21"/>
                <w:lang w:val="en-US" w:eastAsia="zh-CN"/>
              </w:rPr>
            </w:pPr>
            <w:r>
              <w:rPr>
                <w:rFonts w:hint="default" w:ascii="Times New Roman" w:hAnsi="Times New Roman" w:cs="Times New Roman"/>
                <w:b/>
                <w:bCs/>
                <w:color w:val="auto"/>
                <w:sz w:val="21"/>
                <w:szCs w:val="21"/>
                <w:lang w:val="en-US" w:eastAsia="zh-CN"/>
              </w:rPr>
              <w:t>表4-3废气污染源情况表</w:t>
            </w:r>
          </w:p>
          <w:tbl>
            <w:tblPr>
              <w:tblStyle w:val="22"/>
              <w:tblW w:w="814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5"/>
              <w:gridCol w:w="856"/>
              <w:gridCol w:w="794"/>
              <w:gridCol w:w="1091"/>
              <w:gridCol w:w="899"/>
              <w:gridCol w:w="880"/>
              <w:gridCol w:w="871"/>
              <w:gridCol w:w="1055"/>
              <w:gridCol w:w="6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65" w:type="dxa"/>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lang w:val="en-US" w:eastAsia="zh-CN"/>
                    </w:rPr>
                  </w:pPr>
                  <w:r>
                    <w:rPr>
                      <w:rFonts w:hint="default" w:ascii="Times New Roman" w:hAnsi="Times New Roman" w:cs="Times New Roman"/>
                      <w:b/>
                      <w:bCs/>
                      <w:lang w:val="en-US" w:eastAsia="zh-CN"/>
                    </w:rPr>
                    <w:t>产污环节</w:t>
                  </w:r>
                </w:p>
              </w:tc>
              <w:tc>
                <w:tcPr>
                  <w:tcW w:w="856" w:type="dxa"/>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lang w:val="en-US" w:eastAsia="zh-CN"/>
                    </w:rPr>
                  </w:pPr>
                  <w:r>
                    <w:rPr>
                      <w:rFonts w:hint="default" w:ascii="Times New Roman" w:hAnsi="Times New Roman" w:cs="Times New Roman"/>
                      <w:b/>
                      <w:bCs/>
                      <w:lang w:val="en-US" w:eastAsia="zh-CN"/>
                    </w:rPr>
                    <w:t>污染物</w:t>
                  </w:r>
                </w:p>
                <w:p>
                  <w:pPr>
                    <w:keepNext w:val="0"/>
                    <w:keepLines w:val="0"/>
                    <w:suppressLineNumbers w:val="0"/>
                    <w:spacing w:before="0" w:beforeAutospacing="0" w:after="0" w:afterAutospacing="0"/>
                    <w:ind w:left="0" w:right="0"/>
                    <w:jc w:val="center"/>
                    <w:rPr>
                      <w:rFonts w:hint="default" w:ascii="Times New Roman" w:hAnsi="Times New Roman" w:cs="Times New Roman"/>
                      <w:b/>
                      <w:bCs/>
                      <w:lang w:val="en-US" w:eastAsia="zh-CN"/>
                    </w:rPr>
                  </w:pPr>
                  <w:r>
                    <w:rPr>
                      <w:rFonts w:hint="default" w:ascii="Times New Roman" w:hAnsi="Times New Roman" w:cs="Times New Roman"/>
                      <w:b/>
                      <w:bCs/>
                      <w:lang w:val="en-US" w:eastAsia="zh-CN"/>
                    </w:rPr>
                    <w:t>种类</w:t>
                  </w:r>
                </w:p>
              </w:tc>
              <w:tc>
                <w:tcPr>
                  <w:tcW w:w="794" w:type="dxa"/>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lang w:val="en-US" w:eastAsia="zh-CN"/>
                    </w:rPr>
                  </w:pPr>
                  <w:r>
                    <w:rPr>
                      <w:rFonts w:hint="default" w:ascii="Times New Roman" w:hAnsi="Times New Roman" w:cs="Times New Roman"/>
                      <w:b/>
                      <w:bCs/>
                      <w:lang w:val="en-US" w:eastAsia="zh-CN"/>
                    </w:rPr>
                    <w:t>产生量</w:t>
                  </w:r>
                </w:p>
                <w:p>
                  <w:pPr>
                    <w:keepNext w:val="0"/>
                    <w:keepLines w:val="0"/>
                    <w:suppressLineNumbers w:val="0"/>
                    <w:spacing w:before="0" w:beforeAutospacing="0" w:after="0" w:afterAutospacing="0"/>
                    <w:ind w:left="0" w:right="0"/>
                    <w:jc w:val="center"/>
                    <w:rPr>
                      <w:rFonts w:hint="default" w:ascii="Times New Roman" w:hAnsi="Times New Roman" w:cs="Times New Roman"/>
                      <w:b/>
                      <w:bCs/>
                      <w:lang w:val="en-US" w:eastAsia="zh-CN"/>
                    </w:rPr>
                  </w:pPr>
                  <w:r>
                    <w:rPr>
                      <w:rFonts w:hint="default" w:ascii="Times New Roman" w:hAnsi="Times New Roman" w:cs="Times New Roman"/>
                      <w:b/>
                      <w:bCs/>
                      <w:lang w:val="en-US" w:eastAsia="zh-CN"/>
                    </w:rPr>
                    <w:t>(t/a)</w:t>
                  </w:r>
                </w:p>
              </w:tc>
              <w:tc>
                <w:tcPr>
                  <w:tcW w:w="2870" w:type="dxa"/>
                  <w:gridSpan w:val="3"/>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lang w:val="en-US" w:eastAsia="zh-CN"/>
                    </w:rPr>
                  </w:pPr>
                  <w:r>
                    <w:rPr>
                      <w:rFonts w:hint="default" w:ascii="Times New Roman" w:hAnsi="Times New Roman" w:cs="Times New Roman"/>
                      <w:b/>
                      <w:bCs/>
                      <w:lang w:val="en-US" w:eastAsia="zh-CN"/>
                    </w:rPr>
                    <w:t>治理措施</w:t>
                  </w:r>
                </w:p>
              </w:tc>
              <w:tc>
                <w:tcPr>
                  <w:tcW w:w="871" w:type="dxa"/>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lang w:val="en-US" w:eastAsia="zh-CN"/>
                    </w:rPr>
                  </w:pPr>
                  <w:r>
                    <w:rPr>
                      <w:rFonts w:hint="default" w:ascii="Times New Roman" w:hAnsi="Times New Roman" w:cs="Times New Roman"/>
                      <w:b/>
                      <w:bCs/>
                      <w:lang w:val="en-US" w:eastAsia="zh-CN"/>
                    </w:rPr>
                    <w:t>排放量</w:t>
                  </w:r>
                </w:p>
                <w:p>
                  <w:pPr>
                    <w:keepNext w:val="0"/>
                    <w:keepLines w:val="0"/>
                    <w:suppressLineNumbers w:val="0"/>
                    <w:spacing w:before="0" w:beforeAutospacing="0" w:after="0" w:afterAutospacing="0"/>
                    <w:ind w:left="0" w:right="0"/>
                    <w:jc w:val="center"/>
                    <w:rPr>
                      <w:rFonts w:hint="default" w:ascii="Times New Roman" w:hAnsi="Times New Roman" w:cs="Times New Roman"/>
                      <w:b/>
                      <w:bCs/>
                      <w:lang w:val="en-US" w:eastAsia="zh-CN"/>
                    </w:rPr>
                  </w:pPr>
                  <w:r>
                    <w:rPr>
                      <w:rFonts w:hint="default" w:ascii="Times New Roman" w:hAnsi="Times New Roman" w:cs="Times New Roman"/>
                      <w:b/>
                      <w:bCs/>
                      <w:lang w:val="en-US" w:eastAsia="zh-CN"/>
                    </w:rPr>
                    <w:t>（t/a）</w:t>
                  </w:r>
                </w:p>
              </w:tc>
              <w:tc>
                <w:tcPr>
                  <w:tcW w:w="1055" w:type="dxa"/>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lang w:val="en-US" w:eastAsia="zh-CN"/>
                    </w:rPr>
                  </w:pPr>
                  <w:r>
                    <w:rPr>
                      <w:rFonts w:hint="default" w:ascii="Times New Roman" w:hAnsi="Times New Roman" w:cs="Times New Roman"/>
                      <w:b/>
                      <w:bCs/>
                      <w:lang w:val="en-US" w:eastAsia="zh-CN"/>
                    </w:rPr>
                    <w:t>排放方式</w:t>
                  </w:r>
                </w:p>
              </w:tc>
              <w:tc>
                <w:tcPr>
                  <w:tcW w:w="636" w:type="dxa"/>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lang w:val="en-US" w:eastAsia="zh-CN"/>
                    </w:rPr>
                  </w:pPr>
                  <w:r>
                    <w:rPr>
                      <w:rFonts w:hint="default" w:ascii="Times New Roman" w:hAnsi="Times New Roman" w:cs="Times New Roman"/>
                      <w:b/>
                      <w:bCs/>
                      <w:lang w:val="en-US" w:eastAsia="zh-CN"/>
                    </w:rPr>
                    <w:t>排放去向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65"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p>
              </w:tc>
              <w:tc>
                <w:tcPr>
                  <w:tcW w:w="856"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p>
              </w:tc>
              <w:tc>
                <w:tcPr>
                  <w:tcW w:w="794"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p>
              </w:tc>
              <w:tc>
                <w:tcPr>
                  <w:tcW w:w="109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lang w:val="en-US" w:eastAsia="zh-CN"/>
                    </w:rPr>
                  </w:pPr>
                  <w:r>
                    <w:rPr>
                      <w:rFonts w:hint="default" w:ascii="Times New Roman" w:hAnsi="Times New Roman" w:cs="Times New Roman"/>
                      <w:b/>
                      <w:bCs/>
                      <w:lang w:val="en-US" w:eastAsia="zh-CN"/>
                    </w:rPr>
                    <w:t>工艺</w:t>
                  </w:r>
                </w:p>
              </w:tc>
              <w:tc>
                <w:tcPr>
                  <w:tcW w:w="899"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lang w:val="en-US" w:eastAsia="zh-CN"/>
                    </w:rPr>
                  </w:pPr>
                  <w:r>
                    <w:rPr>
                      <w:rFonts w:hint="default" w:ascii="Times New Roman" w:hAnsi="Times New Roman" w:cs="Times New Roman"/>
                      <w:b/>
                      <w:bCs/>
                      <w:lang w:val="en-US" w:eastAsia="zh-CN"/>
                    </w:rPr>
                    <w:t>效率%</w:t>
                  </w:r>
                </w:p>
              </w:tc>
              <w:tc>
                <w:tcPr>
                  <w:tcW w:w="88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lang w:val="en-US" w:eastAsia="zh-CN"/>
                    </w:rPr>
                  </w:pPr>
                  <w:r>
                    <w:rPr>
                      <w:rFonts w:hint="default" w:ascii="Times New Roman" w:hAnsi="Times New Roman" w:cs="Times New Roman"/>
                      <w:b/>
                      <w:bCs/>
                      <w:lang w:val="en-US" w:eastAsia="zh-CN"/>
                    </w:rPr>
                    <w:t>是否为</w:t>
                  </w:r>
                </w:p>
                <w:p>
                  <w:pPr>
                    <w:keepNext w:val="0"/>
                    <w:keepLines w:val="0"/>
                    <w:suppressLineNumbers w:val="0"/>
                    <w:spacing w:before="0" w:beforeAutospacing="0" w:after="0" w:afterAutospacing="0"/>
                    <w:ind w:left="0" w:right="0"/>
                    <w:jc w:val="center"/>
                    <w:rPr>
                      <w:rFonts w:hint="default" w:ascii="Times New Roman" w:hAnsi="Times New Roman" w:cs="Times New Roman"/>
                      <w:b/>
                      <w:bCs/>
                      <w:lang w:val="en-US" w:eastAsia="zh-CN"/>
                    </w:rPr>
                  </w:pPr>
                  <w:r>
                    <w:rPr>
                      <w:rFonts w:hint="default" w:ascii="Times New Roman" w:hAnsi="Times New Roman" w:cs="Times New Roman"/>
                      <w:b/>
                      <w:bCs/>
                      <w:lang w:val="en-US" w:eastAsia="zh-CN"/>
                    </w:rPr>
                    <w:t>可行技</w:t>
                  </w:r>
                </w:p>
                <w:p>
                  <w:pPr>
                    <w:keepNext w:val="0"/>
                    <w:keepLines w:val="0"/>
                    <w:suppressLineNumbers w:val="0"/>
                    <w:spacing w:before="0" w:beforeAutospacing="0" w:after="0" w:afterAutospacing="0"/>
                    <w:ind w:left="0" w:right="0"/>
                    <w:jc w:val="center"/>
                    <w:rPr>
                      <w:rFonts w:hint="default" w:ascii="Times New Roman" w:hAnsi="Times New Roman" w:cs="Times New Roman"/>
                      <w:b/>
                      <w:bCs/>
                      <w:lang w:val="en-US" w:eastAsia="zh-CN"/>
                    </w:rPr>
                  </w:pPr>
                  <w:r>
                    <w:rPr>
                      <w:rFonts w:hint="default" w:ascii="Times New Roman" w:hAnsi="Times New Roman" w:cs="Times New Roman"/>
                      <w:b/>
                      <w:bCs/>
                      <w:lang w:val="en-US" w:eastAsia="zh-CN"/>
                    </w:rPr>
                    <w:t>术</w:t>
                  </w:r>
                </w:p>
              </w:tc>
              <w:tc>
                <w:tcPr>
                  <w:tcW w:w="871"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p>
              </w:tc>
              <w:tc>
                <w:tcPr>
                  <w:tcW w:w="1055"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p>
              </w:tc>
              <w:tc>
                <w:tcPr>
                  <w:tcW w:w="636"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6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表土剥离粉尘</w:t>
                  </w:r>
                </w:p>
              </w:tc>
              <w:tc>
                <w:tcPr>
                  <w:tcW w:w="85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颗粒物</w:t>
                  </w:r>
                </w:p>
              </w:tc>
              <w:tc>
                <w:tcPr>
                  <w:tcW w:w="79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少量</w:t>
                  </w:r>
                </w:p>
              </w:tc>
              <w:tc>
                <w:tcPr>
                  <w:tcW w:w="109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湿法工艺、洒水</w:t>
                  </w:r>
                </w:p>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抑尘</w:t>
                  </w:r>
                </w:p>
              </w:tc>
              <w:tc>
                <w:tcPr>
                  <w:tcW w:w="899"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w:t>
                  </w:r>
                </w:p>
              </w:tc>
              <w:tc>
                <w:tcPr>
                  <w:tcW w:w="880" w:type="dxa"/>
                  <w:vAlign w:val="center"/>
                </w:tcPr>
                <w:p>
                  <w:pPr>
                    <w:keepNext w:val="0"/>
                    <w:keepLines w:val="0"/>
                    <w:suppressLineNumbers w:val="0"/>
                    <w:spacing w:before="0" w:beforeAutospacing="0" w:after="0" w:afterAutospacing="0"/>
                    <w:ind w:left="0" w:right="0"/>
                    <w:jc w:val="center"/>
                    <w:rPr>
                      <w:rFonts w:ascii="Times New Roman" w:hAnsi="Times New Roman" w:cs="Times New Roman"/>
                    </w:rPr>
                  </w:pPr>
                  <w:r>
                    <w:rPr>
                      <w:rFonts w:hint="default" w:ascii="Times New Roman" w:hAnsi="Times New Roman" w:cs="Times New Roman"/>
                      <w:lang w:val="en-US" w:eastAsia="zh-CN"/>
                    </w:rPr>
                    <w:t>是</w:t>
                  </w:r>
                </w:p>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p>
              </w:tc>
              <w:tc>
                <w:tcPr>
                  <w:tcW w:w="87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少量</w:t>
                  </w:r>
                </w:p>
              </w:tc>
              <w:tc>
                <w:tcPr>
                  <w:tcW w:w="105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无组织</w:t>
                  </w:r>
                </w:p>
              </w:tc>
              <w:tc>
                <w:tcPr>
                  <w:tcW w:w="63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6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凿岩钻孔粉尘</w:t>
                  </w:r>
                </w:p>
              </w:tc>
              <w:tc>
                <w:tcPr>
                  <w:tcW w:w="85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颗粒物</w:t>
                  </w:r>
                </w:p>
              </w:tc>
              <w:tc>
                <w:tcPr>
                  <w:tcW w:w="79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4.8</w:t>
                  </w:r>
                </w:p>
              </w:tc>
              <w:tc>
                <w:tcPr>
                  <w:tcW w:w="109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湿式凿岩钻孔</w:t>
                  </w:r>
                </w:p>
              </w:tc>
              <w:tc>
                <w:tcPr>
                  <w:tcW w:w="899"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94</w:t>
                  </w:r>
                </w:p>
              </w:tc>
              <w:tc>
                <w:tcPr>
                  <w:tcW w:w="88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是</w:t>
                  </w:r>
                </w:p>
              </w:tc>
              <w:tc>
                <w:tcPr>
                  <w:tcW w:w="87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0.288</w:t>
                  </w:r>
                </w:p>
              </w:tc>
              <w:tc>
                <w:tcPr>
                  <w:tcW w:w="105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无组织</w:t>
                  </w:r>
                </w:p>
              </w:tc>
              <w:tc>
                <w:tcPr>
                  <w:tcW w:w="63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6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堆土场扬尘</w:t>
                  </w:r>
                </w:p>
              </w:tc>
              <w:tc>
                <w:tcPr>
                  <w:tcW w:w="85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颗粒物</w:t>
                  </w:r>
                </w:p>
              </w:tc>
              <w:tc>
                <w:tcPr>
                  <w:tcW w:w="79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少量</w:t>
                  </w:r>
                </w:p>
              </w:tc>
              <w:tc>
                <w:tcPr>
                  <w:tcW w:w="109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洒水抑尘，临时</w:t>
                  </w:r>
                </w:p>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撒播草籽绿化</w:t>
                  </w:r>
                </w:p>
              </w:tc>
              <w:tc>
                <w:tcPr>
                  <w:tcW w:w="899" w:type="dxa"/>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w:t>
                  </w:r>
                </w:p>
              </w:tc>
              <w:tc>
                <w:tcPr>
                  <w:tcW w:w="88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是</w:t>
                  </w:r>
                </w:p>
              </w:tc>
              <w:tc>
                <w:tcPr>
                  <w:tcW w:w="87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少量</w:t>
                  </w:r>
                </w:p>
              </w:tc>
              <w:tc>
                <w:tcPr>
                  <w:tcW w:w="105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无组织</w:t>
                  </w:r>
                </w:p>
              </w:tc>
              <w:tc>
                <w:tcPr>
                  <w:tcW w:w="63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65" w:type="dxa"/>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爆破废气</w:t>
                  </w:r>
                </w:p>
              </w:tc>
              <w:tc>
                <w:tcPr>
                  <w:tcW w:w="85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CO</w:t>
                  </w:r>
                </w:p>
              </w:tc>
              <w:tc>
                <w:tcPr>
                  <w:tcW w:w="79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0.53</w:t>
                  </w:r>
                </w:p>
              </w:tc>
              <w:tc>
                <w:tcPr>
                  <w:tcW w:w="109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w:t>
                  </w:r>
                </w:p>
              </w:tc>
              <w:tc>
                <w:tcPr>
                  <w:tcW w:w="899" w:type="dxa"/>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w:t>
                  </w:r>
                </w:p>
              </w:tc>
              <w:tc>
                <w:tcPr>
                  <w:tcW w:w="88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w:t>
                  </w:r>
                </w:p>
              </w:tc>
              <w:tc>
                <w:tcPr>
                  <w:tcW w:w="87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0.53</w:t>
                  </w:r>
                </w:p>
              </w:tc>
              <w:tc>
                <w:tcPr>
                  <w:tcW w:w="105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无组织</w:t>
                  </w:r>
                </w:p>
              </w:tc>
              <w:tc>
                <w:tcPr>
                  <w:tcW w:w="63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65"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p>
              </w:tc>
              <w:tc>
                <w:tcPr>
                  <w:tcW w:w="85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NOx</w:t>
                  </w:r>
                </w:p>
              </w:tc>
              <w:tc>
                <w:tcPr>
                  <w:tcW w:w="79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1.46</w:t>
                  </w:r>
                </w:p>
              </w:tc>
              <w:tc>
                <w:tcPr>
                  <w:tcW w:w="109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w:t>
                  </w:r>
                </w:p>
              </w:tc>
              <w:tc>
                <w:tcPr>
                  <w:tcW w:w="899"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w:t>
                  </w:r>
                </w:p>
              </w:tc>
              <w:tc>
                <w:tcPr>
                  <w:tcW w:w="88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w:t>
                  </w:r>
                </w:p>
              </w:tc>
              <w:tc>
                <w:tcPr>
                  <w:tcW w:w="87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1.46</w:t>
                  </w:r>
                </w:p>
              </w:tc>
              <w:tc>
                <w:tcPr>
                  <w:tcW w:w="105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无组织</w:t>
                  </w:r>
                </w:p>
              </w:tc>
              <w:tc>
                <w:tcPr>
                  <w:tcW w:w="63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65"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p>
              </w:tc>
              <w:tc>
                <w:tcPr>
                  <w:tcW w:w="85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颗粒物</w:t>
                  </w:r>
                </w:p>
              </w:tc>
              <w:tc>
                <w:tcPr>
                  <w:tcW w:w="79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5.42</w:t>
                  </w:r>
                </w:p>
              </w:tc>
              <w:tc>
                <w:tcPr>
                  <w:tcW w:w="109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洒水抑尘</w:t>
                  </w:r>
                </w:p>
              </w:tc>
              <w:tc>
                <w:tcPr>
                  <w:tcW w:w="899" w:type="dxa"/>
                  <w:vAlign w:val="center"/>
                </w:tcPr>
                <w:p>
                  <w:pPr>
                    <w:keepNext w:val="0"/>
                    <w:keepLines w:val="0"/>
                    <w:suppressLineNumbers w:val="0"/>
                    <w:spacing w:before="0" w:beforeAutospacing="0" w:after="0" w:afterAutospacing="0"/>
                    <w:ind w:left="0" w:right="0"/>
                    <w:jc w:val="center"/>
                    <w:rPr>
                      <w:rFonts w:ascii="Times New Roman" w:hAnsi="Times New Roman" w:cs="Times New Roman"/>
                    </w:rPr>
                  </w:pPr>
                  <w:r>
                    <w:rPr>
                      <w:rFonts w:hint="default" w:ascii="Times New Roman" w:hAnsi="Times New Roman" w:cs="Times New Roman"/>
                      <w:lang w:val="en-US" w:eastAsia="zh-CN"/>
                    </w:rPr>
                    <w:t>70</w:t>
                  </w:r>
                </w:p>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p>
              </w:tc>
              <w:tc>
                <w:tcPr>
                  <w:tcW w:w="88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是</w:t>
                  </w:r>
                </w:p>
              </w:tc>
              <w:tc>
                <w:tcPr>
                  <w:tcW w:w="87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1.626</w:t>
                  </w:r>
                </w:p>
              </w:tc>
              <w:tc>
                <w:tcPr>
                  <w:tcW w:w="105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无组织</w:t>
                  </w:r>
                </w:p>
              </w:tc>
              <w:tc>
                <w:tcPr>
                  <w:tcW w:w="63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6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装卸粉尘</w:t>
                  </w:r>
                </w:p>
              </w:tc>
              <w:tc>
                <w:tcPr>
                  <w:tcW w:w="85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颗粒物</w:t>
                  </w:r>
                </w:p>
              </w:tc>
              <w:tc>
                <w:tcPr>
                  <w:tcW w:w="79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0.49</w:t>
                  </w:r>
                </w:p>
              </w:tc>
              <w:tc>
                <w:tcPr>
                  <w:tcW w:w="109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喷淋洒水抑尘</w:t>
                  </w:r>
                </w:p>
              </w:tc>
              <w:tc>
                <w:tcPr>
                  <w:tcW w:w="899" w:type="dxa"/>
                  <w:vAlign w:val="center"/>
                </w:tcPr>
                <w:p>
                  <w:pPr>
                    <w:keepNext w:val="0"/>
                    <w:keepLines w:val="0"/>
                    <w:suppressLineNumbers w:val="0"/>
                    <w:spacing w:before="0" w:beforeAutospacing="0" w:after="0" w:afterAutospacing="0"/>
                    <w:ind w:left="0" w:right="0"/>
                    <w:jc w:val="center"/>
                    <w:rPr>
                      <w:rFonts w:ascii="Times New Roman" w:hAnsi="Times New Roman" w:cs="Times New Roman"/>
                    </w:rPr>
                  </w:pPr>
                  <w:r>
                    <w:rPr>
                      <w:rFonts w:hint="default" w:ascii="Times New Roman" w:hAnsi="Times New Roman" w:cs="Times New Roman"/>
                      <w:lang w:val="en-US" w:eastAsia="zh-CN"/>
                    </w:rPr>
                    <w:t>70</w:t>
                  </w:r>
                </w:p>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p>
              </w:tc>
              <w:tc>
                <w:tcPr>
                  <w:tcW w:w="88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是</w:t>
                  </w:r>
                </w:p>
              </w:tc>
              <w:tc>
                <w:tcPr>
                  <w:tcW w:w="87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0.147</w:t>
                  </w:r>
                </w:p>
              </w:tc>
              <w:tc>
                <w:tcPr>
                  <w:tcW w:w="105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无组织</w:t>
                  </w:r>
                </w:p>
              </w:tc>
              <w:tc>
                <w:tcPr>
                  <w:tcW w:w="63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65" w:type="dxa"/>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工业广场碎石生产线（破碎</w:t>
                  </w:r>
                </w:p>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筛分、制砂）粉尘</w:t>
                  </w:r>
                </w:p>
              </w:tc>
              <w:tc>
                <w:tcPr>
                  <w:tcW w:w="85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颗粒物</w:t>
                  </w:r>
                </w:p>
              </w:tc>
              <w:tc>
                <w:tcPr>
                  <w:tcW w:w="79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792.03</w:t>
                  </w:r>
                </w:p>
              </w:tc>
              <w:tc>
                <w:tcPr>
                  <w:tcW w:w="109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引风集气装置+脉冲布袋除尘器+15m排气筒</w:t>
                  </w:r>
                </w:p>
              </w:tc>
              <w:tc>
                <w:tcPr>
                  <w:tcW w:w="899"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收集率</w:t>
                  </w:r>
                </w:p>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95%，</w:t>
                  </w:r>
                </w:p>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处理率</w:t>
                  </w:r>
                </w:p>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99%</w:t>
                  </w:r>
                </w:p>
              </w:tc>
              <w:tc>
                <w:tcPr>
                  <w:tcW w:w="88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是</w:t>
                  </w:r>
                </w:p>
              </w:tc>
              <w:tc>
                <w:tcPr>
                  <w:tcW w:w="87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7.91</w:t>
                  </w:r>
                </w:p>
              </w:tc>
              <w:tc>
                <w:tcPr>
                  <w:tcW w:w="105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有组织</w:t>
                  </w:r>
                </w:p>
              </w:tc>
              <w:tc>
                <w:tcPr>
                  <w:tcW w:w="63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65"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p>
              </w:tc>
              <w:tc>
                <w:tcPr>
                  <w:tcW w:w="85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颗粒物</w:t>
                  </w:r>
                </w:p>
              </w:tc>
              <w:tc>
                <w:tcPr>
                  <w:tcW w:w="79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41.7</w:t>
                  </w:r>
                </w:p>
              </w:tc>
              <w:tc>
                <w:tcPr>
                  <w:tcW w:w="109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封闭式厂房、喷</w:t>
                  </w:r>
                </w:p>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淋抑尘</w:t>
                  </w:r>
                </w:p>
              </w:tc>
              <w:tc>
                <w:tcPr>
                  <w:tcW w:w="899"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90%</w:t>
                  </w:r>
                </w:p>
              </w:tc>
              <w:tc>
                <w:tcPr>
                  <w:tcW w:w="88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是</w:t>
                  </w:r>
                </w:p>
              </w:tc>
              <w:tc>
                <w:tcPr>
                  <w:tcW w:w="87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4.17</w:t>
                  </w:r>
                </w:p>
              </w:tc>
              <w:tc>
                <w:tcPr>
                  <w:tcW w:w="105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无组织</w:t>
                  </w:r>
                </w:p>
              </w:tc>
              <w:tc>
                <w:tcPr>
                  <w:tcW w:w="63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6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运输扬尘</w:t>
                  </w:r>
                </w:p>
              </w:tc>
              <w:tc>
                <w:tcPr>
                  <w:tcW w:w="85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颗粒物</w:t>
                  </w:r>
                </w:p>
              </w:tc>
              <w:tc>
                <w:tcPr>
                  <w:tcW w:w="79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5.93</w:t>
                  </w:r>
                </w:p>
              </w:tc>
              <w:tc>
                <w:tcPr>
                  <w:tcW w:w="109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地面硬化、喷淋</w:t>
                  </w:r>
                </w:p>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抑尘、设置洗车台</w:t>
                  </w:r>
                </w:p>
              </w:tc>
              <w:tc>
                <w:tcPr>
                  <w:tcW w:w="899"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85%</w:t>
                  </w:r>
                </w:p>
              </w:tc>
              <w:tc>
                <w:tcPr>
                  <w:tcW w:w="88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是</w:t>
                  </w:r>
                </w:p>
              </w:tc>
              <w:tc>
                <w:tcPr>
                  <w:tcW w:w="87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0.89</w:t>
                  </w:r>
                </w:p>
              </w:tc>
              <w:tc>
                <w:tcPr>
                  <w:tcW w:w="105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无组织</w:t>
                  </w:r>
                </w:p>
              </w:tc>
              <w:tc>
                <w:tcPr>
                  <w:tcW w:w="63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hint="default" w:ascii="Times New Roman" w:hAnsi="Times New Roman" w:cs="Times New Roman"/>
                      <w:lang w:val="en-US" w:eastAsia="zh-CN"/>
                    </w:rPr>
                    <w:t>/</w:t>
                  </w:r>
                </w:p>
              </w:tc>
            </w:tr>
          </w:tbl>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根据上述分析计算可知，营运期通过采取措施，项目生产产生的粉尘得到有效收集和处理，有组织排放粉尘均可实现达标排放，无组织粉尘排放量总体较小，综合分析，项目营运期废气排放对周围空气环境影响不大。</w:t>
            </w:r>
          </w:p>
          <w:p>
            <w:pPr>
              <w:keepNext w:val="0"/>
              <w:keepLines w:val="0"/>
              <w:pageBreakBefore w:val="0"/>
              <w:widowControl w:val="0"/>
              <w:numPr>
                <w:ilvl w:val="0"/>
                <w:numId w:val="5"/>
              </w:numPr>
              <w:suppressLineNumbers w:val="0"/>
              <w:kinsoku/>
              <w:wordWrap/>
              <w:overflowPunct/>
              <w:topLinePunct w:val="0"/>
              <w:autoSpaceDE/>
              <w:autoSpaceDN/>
              <w:bidi w:val="0"/>
              <w:adjustRightInd/>
              <w:snapToGrid/>
              <w:spacing w:before="0" w:beforeAutospacing="0" w:after="0" w:afterAutospacing="0" w:line="360" w:lineRule="auto"/>
              <w:ind w:left="0" w:right="0" w:firstLine="482" w:firstLineChars="200"/>
              <w:textAlignment w:val="auto"/>
              <w:rPr>
                <w:rFonts w:hint="default" w:ascii="Times New Roman" w:hAnsi="Times New Roman" w:cs="Times New Roman"/>
                <w:b/>
                <w:bCs/>
                <w:sz w:val="24"/>
                <w:szCs w:val="24"/>
                <w:lang w:val="en-US" w:eastAsia="zh-CN"/>
              </w:rPr>
            </w:pPr>
            <w:r>
              <w:rPr>
                <w:rFonts w:hint="default" w:ascii="Times New Roman" w:hAnsi="Times New Roman" w:cs="Times New Roman"/>
                <w:b/>
                <w:bCs/>
                <w:sz w:val="24"/>
                <w:szCs w:val="24"/>
                <w:lang w:val="en-US" w:eastAsia="zh-CN"/>
              </w:rPr>
              <w:t>废水</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2" w:firstLineChars="200"/>
              <w:textAlignment w:val="auto"/>
              <w:rPr>
                <w:rFonts w:hint="default" w:ascii="Times New Roman" w:hAnsi="Times New Roman" w:cs="Times New Roman"/>
                <w:b/>
                <w:bCs/>
                <w:sz w:val="24"/>
                <w:szCs w:val="24"/>
                <w:lang w:val="en-US" w:eastAsia="zh-CN"/>
              </w:rPr>
            </w:pPr>
            <w:r>
              <w:rPr>
                <w:rFonts w:hint="default" w:ascii="Times New Roman" w:hAnsi="Times New Roman" w:cs="Times New Roman"/>
                <w:b/>
                <w:bCs/>
                <w:sz w:val="24"/>
                <w:szCs w:val="24"/>
                <w:lang w:val="en-US" w:eastAsia="zh-CN"/>
              </w:rPr>
              <w:t>（1）产生情况及处理措施</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本项目用水主要为穿孔冷却水、抑尘用水、车辆清洗用水、初期雨水及生活用水。</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2" w:firstLineChars="200"/>
              <w:textAlignment w:val="auto"/>
              <w:rPr>
                <w:rFonts w:hint="default" w:ascii="Times New Roman" w:hAnsi="Times New Roman" w:cs="Times New Roman"/>
                <w:b/>
                <w:bCs/>
                <w:sz w:val="24"/>
                <w:szCs w:val="24"/>
                <w:lang w:val="en-US" w:eastAsia="zh-CN"/>
              </w:rPr>
            </w:pPr>
            <w:r>
              <w:rPr>
                <w:rFonts w:hint="default" w:ascii="Times New Roman" w:hAnsi="Times New Roman" w:cs="Times New Roman"/>
                <w:b/>
                <w:bCs/>
                <w:sz w:val="24"/>
                <w:szCs w:val="24"/>
                <w:lang w:val="en-US" w:eastAsia="zh-CN"/>
              </w:rPr>
              <w:t>1）穿孔冷却水</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潜孔钻机在工作时钻头与岩石摩擦会产生大量热量，需进行水冷，否则钻头会因温度升高而损坏。这部分冷却水因蒸发和渗漏损失严重，难以全部回收。单台钻机耗水量为8~12L/min（本环评取10L/min）。新建后，工程穿孔年最大工作时间为1600h。由此可知，钻机耗水量为960m</w:t>
            </w:r>
            <w:r>
              <w:rPr>
                <w:rFonts w:hint="default" w:ascii="Times New Roman" w:hAnsi="Times New Roman" w:cs="Times New Roman"/>
                <w:sz w:val="24"/>
                <w:szCs w:val="24"/>
                <w:vertAlign w:val="superscript"/>
                <w:lang w:val="en-US" w:eastAsia="zh-CN"/>
              </w:rPr>
              <w:t>3</w:t>
            </w:r>
            <w:r>
              <w:rPr>
                <w:rFonts w:hint="default" w:ascii="Times New Roman" w:hAnsi="Times New Roman" w:cs="Times New Roman"/>
                <w:sz w:val="24"/>
                <w:szCs w:val="24"/>
                <w:lang w:val="en-US" w:eastAsia="zh-CN"/>
              </w:rPr>
              <w:t>/a（4.8m³/d）。废水中污染物主要有SS，采石场由于开采位置不固定，该部分废水难以回收，而且直接经石缝等渗漏、蒸发严重，实际几乎无排放量，影响极小。</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2" w:firstLineChars="200"/>
              <w:textAlignment w:val="auto"/>
              <w:rPr>
                <w:rFonts w:hint="default" w:ascii="Times New Roman" w:hAnsi="Times New Roman" w:cs="Times New Roman"/>
                <w:b/>
                <w:bCs/>
                <w:sz w:val="24"/>
                <w:szCs w:val="24"/>
                <w:lang w:val="en-US" w:eastAsia="zh-CN"/>
              </w:rPr>
            </w:pPr>
            <w:r>
              <w:rPr>
                <w:rFonts w:hint="default" w:ascii="Times New Roman" w:hAnsi="Times New Roman" w:cs="Times New Roman"/>
                <w:b/>
                <w:bCs/>
                <w:sz w:val="24"/>
                <w:szCs w:val="24"/>
                <w:lang w:val="en-US" w:eastAsia="zh-CN"/>
              </w:rPr>
              <w:t>2）抑尘用水</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项目抑尘用水主要包括爆破抑尘用水、生产线抑尘用水、场地及道路抑尘用水。</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①爆破抑尘用水：为防止爆破等工段的扬尘污染，需事先在现场洒水。同时爆破后需及时用高压水枪喷水，这部分水全部蒸发或渗漏。本项目爆破正常工况下为1天1次，爆破面洒水按每次2m</w:t>
            </w:r>
            <w:r>
              <w:rPr>
                <w:rFonts w:hint="default" w:ascii="Times New Roman" w:hAnsi="Times New Roman" w:cs="Times New Roman"/>
                <w:sz w:val="24"/>
                <w:szCs w:val="24"/>
                <w:vertAlign w:val="superscript"/>
                <w:lang w:val="en-US" w:eastAsia="zh-CN"/>
              </w:rPr>
              <w:t>3</w:t>
            </w:r>
            <w:r>
              <w:rPr>
                <w:rFonts w:hint="default" w:ascii="Times New Roman" w:hAnsi="Times New Roman" w:cs="Times New Roman"/>
                <w:sz w:val="24"/>
                <w:szCs w:val="24"/>
                <w:lang w:val="en-US" w:eastAsia="zh-CN"/>
              </w:rPr>
              <w:t>计，则项目爆破抑尘用水600m</w:t>
            </w:r>
            <w:r>
              <w:rPr>
                <w:rFonts w:hint="default" w:ascii="Times New Roman" w:hAnsi="Times New Roman" w:cs="Times New Roman"/>
                <w:sz w:val="24"/>
                <w:szCs w:val="24"/>
                <w:vertAlign w:val="superscript"/>
                <w:lang w:val="en-US" w:eastAsia="zh-CN"/>
              </w:rPr>
              <w:t>3</w:t>
            </w:r>
            <w:r>
              <w:rPr>
                <w:rFonts w:hint="default" w:ascii="Times New Roman" w:hAnsi="Times New Roman" w:cs="Times New Roman"/>
                <w:sz w:val="24"/>
                <w:szCs w:val="24"/>
                <w:lang w:val="en-US" w:eastAsia="zh-CN"/>
              </w:rPr>
              <w:t>/a。</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②生产线抑尘用水：本项目工业广场厂棚顶部均设置有喷淋设施，一破进料口喷淋用水量以0.5m</w:t>
            </w:r>
            <w:r>
              <w:rPr>
                <w:rFonts w:hint="default" w:ascii="Times New Roman" w:hAnsi="Times New Roman" w:cs="Times New Roman"/>
                <w:sz w:val="24"/>
                <w:szCs w:val="24"/>
                <w:vertAlign w:val="superscript"/>
                <w:lang w:val="en-US" w:eastAsia="zh-CN"/>
              </w:rPr>
              <w:t>3</w:t>
            </w:r>
            <w:r>
              <w:rPr>
                <w:rFonts w:hint="default" w:ascii="Times New Roman" w:hAnsi="Times New Roman" w:cs="Times New Roman"/>
                <w:sz w:val="24"/>
                <w:szCs w:val="24"/>
                <w:lang w:val="en-US" w:eastAsia="zh-CN"/>
              </w:rPr>
              <w:t>/h计；破碎机、筛分机、制砂机出料口均设置有喷雾设施，每个出料口喷雾用水量以0.2m</w:t>
            </w:r>
            <w:r>
              <w:rPr>
                <w:rFonts w:hint="default" w:ascii="Times New Roman" w:hAnsi="Times New Roman" w:cs="Times New Roman"/>
                <w:sz w:val="24"/>
                <w:szCs w:val="24"/>
                <w:vertAlign w:val="superscript"/>
                <w:lang w:val="en-US" w:eastAsia="zh-CN"/>
              </w:rPr>
              <w:t>3</w:t>
            </w:r>
            <w:r>
              <w:rPr>
                <w:rFonts w:hint="default" w:ascii="Times New Roman" w:hAnsi="Times New Roman" w:cs="Times New Roman"/>
                <w:sz w:val="24"/>
                <w:szCs w:val="24"/>
                <w:lang w:val="en-US" w:eastAsia="zh-CN"/>
              </w:rPr>
              <w:t>/h计。根据工程设备一览表，本项目破碎机共有2台、振动筛5台、制砂机2台，则喷淋和喷雾用水量约1.8m</w:t>
            </w:r>
            <w:r>
              <w:rPr>
                <w:rFonts w:hint="default" w:ascii="Times New Roman" w:hAnsi="Times New Roman" w:cs="Times New Roman"/>
                <w:sz w:val="24"/>
                <w:szCs w:val="24"/>
                <w:vertAlign w:val="superscript"/>
                <w:lang w:val="en-US" w:eastAsia="zh-CN"/>
              </w:rPr>
              <w:t>3</w:t>
            </w:r>
            <w:r>
              <w:rPr>
                <w:rFonts w:hint="default" w:ascii="Times New Roman" w:hAnsi="Times New Roman" w:cs="Times New Roman"/>
                <w:sz w:val="24"/>
                <w:szCs w:val="24"/>
                <w:lang w:val="en-US" w:eastAsia="zh-CN"/>
              </w:rPr>
              <w:t>/h。本项目年工作日为300天，每天两班工作16小时，则生产线抑尘用水量约为36.8m</w:t>
            </w:r>
            <w:r>
              <w:rPr>
                <w:rFonts w:hint="default" w:ascii="Times New Roman" w:hAnsi="Times New Roman" w:cs="Times New Roman"/>
                <w:sz w:val="24"/>
                <w:szCs w:val="24"/>
                <w:vertAlign w:val="superscript"/>
                <w:lang w:val="en-US" w:eastAsia="zh-CN"/>
              </w:rPr>
              <w:t>3</w:t>
            </w:r>
            <w:r>
              <w:rPr>
                <w:rFonts w:hint="default" w:ascii="Times New Roman" w:hAnsi="Times New Roman" w:cs="Times New Roman"/>
                <w:sz w:val="24"/>
                <w:szCs w:val="24"/>
                <w:lang w:val="en-US" w:eastAsia="zh-CN"/>
              </w:rPr>
              <w:t>/d、11040m</w:t>
            </w:r>
            <w:r>
              <w:rPr>
                <w:rFonts w:hint="default" w:ascii="Times New Roman" w:hAnsi="Times New Roman" w:cs="Times New Roman"/>
                <w:sz w:val="24"/>
                <w:szCs w:val="24"/>
                <w:vertAlign w:val="superscript"/>
                <w:lang w:val="en-US" w:eastAsia="zh-CN"/>
              </w:rPr>
              <w:t>3</w:t>
            </w:r>
            <w:r>
              <w:rPr>
                <w:rFonts w:hint="default" w:ascii="Times New Roman" w:hAnsi="Times New Roman" w:cs="Times New Roman"/>
                <w:sz w:val="24"/>
                <w:szCs w:val="24"/>
                <w:lang w:val="en-US" w:eastAsia="zh-CN"/>
              </w:rPr>
              <w:t>/a。这部分水份全部蒸发损耗。</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③运输及场地等抑尘用水：为使装卸、运输车辆保持清洁，保持路面湿度以减少扬尘，需经常在非雨天进行道路、产品场地及堆土场洒水，该部分用水量约为10m</w:t>
            </w:r>
            <w:r>
              <w:rPr>
                <w:rFonts w:hint="default" w:ascii="Times New Roman" w:hAnsi="Times New Roman" w:cs="Times New Roman"/>
                <w:sz w:val="24"/>
                <w:szCs w:val="24"/>
                <w:vertAlign w:val="superscript"/>
                <w:lang w:val="en-US" w:eastAsia="zh-CN"/>
              </w:rPr>
              <w:t>3</w:t>
            </w:r>
            <w:r>
              <w:rPr>
                <w:rFonts w:hint="default" w:ascii="Times New Roman" w:hAnsi="Times New Roman" w:cs="Times New Roman"/>
                <w:sz w:val="24"/>
                <w:szCs w:val="24"/>
                <w:lang w:val="en-US" w:eastAsia="zh-CN"/>
              </w:rPr>
              <w:t>/d，矿区雨天不洒水抑尘，洒水天数按200天计算，则运输及场地洒水抑尘用水量约为2000m</w:t>
            </w:r>
            <w:r>
              <w:rPr>
                <w:rFonts w:hint="default" w:ascii="Times New Roman" w:hAnsi="Times New Roman" w:cs="Times New Roman"/>
                <w:sz w:val="24"/>
                <w:szCs w:val="24"/>
                <w:vertAlign w:val="superscript"/>
                <w:lang w:val="en-US" w:eastAsia="zh-CN"/>
              </w:rPr>
              <w:t>3</w:t>
            </w:r>
            <w:r>
              <w:rPr>
                <w:rFonts w:hint="default" w:ascii="Times New Roman" w:hAnsi="Times New Roman" w:cs="Times New Roman"/>
                <w:sz w:val="24"/>
                <w:szCs w:val="24"/>
                <w:lang w:val="en-US" w:eastAsia="zh-CN"/>
              </w:rPr>
              <w:t>/a。这部分水全部蒸发损耗。综上，新建后，项目抑尘用水总耗水量为13640m</w:t>
            </w:r>
            <w:r>
              <w:rPr>
                <w:rFonts w:hint="default" w:ascii="Times New Roman" w:hAnsi="Times New Roman" w:cs="Times New Roman"/>
                <w:sz w:val="24"/>
                <w:szCs w:val="24"/>
                <w:vertAlign w:val="superscript"/>
                <w:lang w:val="en-US" w:eastAsia="zh-CN"/>
              </w:rPr>
              <w:t>3</w:t>
            </w:r>
            <w:r>
              <w:rPr>
                <w:rFonts w:hint="default" w:ascii="Times New Roman" w:hAnsi="Times New Roman" w:cs="Times New Roman"/>
                <w:sz w:val="24"/>
                <w:szCs w:val="24"/>
                <w:lang w:val="en-US" w:eastAsia="zh-CN"/>
              </w:rPr>
              <w:t>/a。</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2" w:firstLineChars="200"/>
              <w:textAlignment w:val="auto"/>
              <w:rPr>
                <w:rFonts w:hint="default" w:ascii="Times New Roman" w:hAnsi="Times New Roman" w:cs="Times New Roman"/>
                <w:b/>
                <w:bCs/>
                <w:sz w:val="24"/>
                <w:szCs w:val="24"/>
                <w:lang w:val="en-US" w:eastAsia="zh-CN"/>
              </w:rPr>
            </w:pPr>
            <w:r>
              <w:rPr>
                <w:rFonts w:hint="default" w:ascii="Times New Roman" w:hAnsi="Times New Roman" w:cs="Times New Roman"/>
                <w:b/>
                <w:bCs/>
                <w:sz w:val="24"/>
                <w:szCs w:val="24"/>
                <w:lang w:val="en-US" w:eastAsia="zh-CN"/>
              </w:rPr>
              <w:t>3）车辆清洗用水</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本项目平均每天出厂车辆约134台（每台运输量以30t计），车辆清洗用水量为50L/台，则每天用水量6.7m</w:t>
            </w:r>
            <w:r>
              <w:rPr>
                <w:rFonts w:hint="default" w:ascii="Times New Roman" w:hAnsi="Times New Roman" w:cs="Times New Roman"/>
                <w:sz w:val="24"/>
                <w:szCs w:val="24"/>
                <w:vertAlign w:val="superscript"/>
                <w:lang w:val="en-US" w:eastAsia="zh-CN"/>
              </w:rPr>
              <w:t>3</w:t>
            </w:r>
            <w:r>
              <w:rPr>
                <w:rFonts w:hint="default" w:ascii="Times New Roman" w:hAnsi="Times New Roman" w:cs="Times New Roman"/>
                <w:sz w:val="24"/>
                <w:szCs w:val="24"/>
                <w:lang w:val="en-US" w:eastAsia="zh-CN"/>
              </w:rPr>
              <w:t>/d，损耗20%，则需补充水量为1.34m</w:t>
            </w:r>
            <w:r>
              <w:rPr>
                <w:rFonts w:hint="default" w:ascii="Times New Roman" w:hAnsi="Times New Roman" w:cs="Times New Roman"/>
                <w:sz w:val="24"/>
                <w:szCs w:val="24"/>
                <w:vertAlign w:val="superscript"/>
                <w:lang w:val="en-US" w:eastAsia="zh-CN"/>
              </w:rPr>
              <w:t>3</w:t>
            </w:r>
            <w:r>
              <w:rPr>
                <w:rFonts w:hint="default" w:ascii="Times New Roman" w:hAnsi="Times New Roman" w:cs="Times New Roman"/>
                <w:sz w:val="24"/>
                <w:szCs w:val="24"/>
                <w:lang w:val="en-US" w:eastAsia="zh-CN"/>
              </w:rPr>
              <w:t>/d（402m</w:t>
            </w:r>
            <w:r>
              <w:rPr>
                <w:rFonts w:hint="default" w:ascii="Times New Roman" w:hAnsi="Times New Roman" w:cs="Times New Roman"/>
                <w:sz w:val="24"/>
                <w:szCs w:val="24"/>
                <w:vertAlign w:val="superscript"/>
                <w:lang w:val="en-US" w:eastAsia="zh-CN"/>
              </w:rPr>
              <w:t>3</w:t>
            </w:r>
            <w:r>
              <w:rPr>
                <w:rFonts w:hint="default" w:ascii="Times New Roman" w:hAnsi="Times New Roman" w:cs="Times New Roman"/>
                <w:sz w:val="24"/>
                <w:szCs w:val="24"/>
                <w:lang w:val="en-US" w:eastAsia="zh-CN"/>
              </w:rPr>
              <w:t>/a），车辆清洗废水产生量5.36m</w:t>
            </w:r>
            <w:r>
              <w:rPr>
                <w:rFonts w:hint="default" w:ascii="Times New Roman" w:hAnsi="Times New Roman" w:cs="Times New Roman"/>
                <w:sz w:val="24"/>
                <w:szCs w:val="24"/>
                <w:vertAlign w:val="superscript"/>
                <w:lang w:val="en-US" w:eastAsia="zh-CN"/>
              </w:rPr>
              <w:t>3</w:t>
            </w:r>
            <w:r>
              <w:rPr>
                <w:rFonts w:hint="default" w:ascii="Times New Roman" w:hAnsi="Times New Roman" w:cs="Times New Roman"/>
                <w:sz w:val="24"/>
                <w:szCs w:val="24"/>
                <w:lang w:val="en-US" w:eastAsia="zh-CN"/>
              </w:rPr>
              <w:t>/d（1608m</w:t>
            </w:r>
            <w:r>
              <w:rPr>
                <w:rFonts w:hint="default" w:ascii="Times New Roman" w:hAnsi="Times New Roman" w:cs="Times New Roman"/>
                <w:sz w:val="24"/>
                <w:szCs w:val="24"/>
                <w:vertAlign w:val="superscript"/>
                <w:lang w:val="en-US" w:eastAsia="zh-CN"/>
              </w:rPr>
              <w:t>3</w:t>
            </w:r>
            <w:r>
              <w:rPr>
                <w:rFonts w:hint="default" w:ascii="Times New Roman" w:hAnsi="Times New Roman" w:cs="Times New Roman"/>
                <w:sz w:val="24"/>
                <w:szCs w:val="24"/>
                <w:lang w:val="en-US" w:eastAsia="zh-CN"/>
              </w:rPr>
              <w:t>/a），车辆清洗废水经沉淀池沉淀处理后回用于车辆清洗，不外排。</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2" w:firstLineChars="200"/>
              <w:textAlignment w:val="auto"/>
              <w:rPr>
                <w:rFonts w:hint="default" w:ascii="Times New Roman" w:hAnsi="Times New Roman" w:cs="Times New Roman"/>
                <w:b/>
                <w:bCs/>
                <w:color w:val="auto"/>
                <w:sz w:val="24"/>
                <w:szCs w:val="24"/>
                <w:lang w:val="en-US" w:eastAsia="zh-CN"/>
              </w:rPr>
            </w:pPr>
            <w:r>
              <w:rPr>
                <w:rFonts w:hint="default" w:ascii="Times New Roman" w:hAnsi="Times New Roman" w:cs="Times New Roman"/>
                <w:b/>
                <w:bCs/>
                <w:color w:val="auto"/>
                <w:sz w:val="24"/>
                <w:szCs w:val="24"/>
                <w:lang w:val="en-US" w:eastAsia="zh-CN"/>
              </w:rPr>
              <w:t>4）初期雨水</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textAlignment w:val="auto"/>
              <w:rPr>
                <w:rFonts w:hint="default" w:ascii="Times New Roman" w:hAnsi="Times New Roman" w:cs="Times New Roman"/>
                <w:color w:val="auto"/>
                <w:sz w:val="24"/>
                <w:szCs w:val="24"/>
                <w:lang w:val="en-US" w:eastAsia="zh-CN"/>
              </w:rPr>
            </w:pPr>
            <w:r>
              <w:rPr>
                <w:rFonts w:hint="default" w:ascii="Times New Roman" w:hAnsi="Times New Roman" w:cs="Times New Roman"/>
                <w:color w:val="auto"/>
                <w:sz w:val="24"/>
                <w:szCs w:val="24"/>
                <w:lang w:val="en-US" w:eastAsia="zh-CN"/>
              </w:rPr>
              <w:t>暴雨时产生初期雨水，初期雨水中主要污染物为SS，没有重金属成分。</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textAlignment w:val="auto"/>
              <w:rPr>
                <w:rFonts w:hint="default" w:ascii="Times New Roman" w:hAnsi="Times New Roman" w:cs="Times New Roman"/>
                <w:color w:val="auto"/>
                <w:sz w:val="24"/>
                <w:szCs w:val="24"/>
                <w:lang w:val="en-US" w:eastAsia="zh-CN"/>
              </w:rPr>
            </w:pPr>
            <w:r>
              <w:rPr>
                <w:rFonts w:hint="default" w:ascii="Times New Roman" w:hAnsi="Times New Roman" w:cs="Times New Roman"/>
                <w:color w:val="auto"/>
                <w:sz w:val="24"/>
                <w:szCs w:val="24"/>
                <w:lang w:val="en-US" w:eastAsia="zh-CN"/>
              </w:rPr>
              <w:t>本项目位于永州市零陵区，根据永州市暴雨强度公式，进行计算：</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jc w:val="center"/>
              <w:textAlignment w:val="auto"/>
              <w:rPr>
                <w:rFonts w:hint="default" w:ascii="Times New Roman" w:hAnsi="Times New Roman" w:cs="Times New Roman"/>
                <w:color w:val="auto"/>
                <w:sz w:val="24"/>
                <w:szCs w:val="24"/>
                <w:lang w:val="en-US" w:eastAsia="zh-CN"/>
              </w:rPr>
            </w:pPr>
            <w:r>
              <w:rPr>
                <w:rFonts w:hint="default" w:ascii="Times New Roman" w:hAnsi="Times New Roman" w:cs="Times New Roman"/>
                <w:color w:val="auto"/>
                <w:sz w:val="24"/>
                <w:szCs w:val="24"/>
                <w:lang w:val="en-US" w:eastAsia="zh-CN"/>
              </w:rPr>
              <w:t>Q=22992.792·（1+0.77lgP）/（t+47.543）1.146</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textAlignment w:val="auto"/>
              <w:rPr>
                <w:rFonts w:hint="default" w:ascii="Times New Roman" w:hAnsi="Times New Roman" w:cs="Times New Roman"/>
                <w:color w:val="auto"/>
                <w:sz w:val="24"/>
                <w:szCs w:val="24"/>
                <w:lang w:val="en-US" w:eastAsia="zh-CN"/>
              </w:rPr>
            </w:pPr>
            <w:r>
              <w:rPr>
                <w:rFonts w:hint="default" w:ascii="Times New Roman" w:hAnsi="Times New Roman" w:cs="Times New Roman"/>
                <w:color w:val="auto"/>
                <w:sz w:val="24"/>
                <w:szCs w:val="24"/>
                <w:lang w:val="en-US" w:eastAsia="zh-CN"/>
              </w:rPr>
              <w:t>式中：Q为暴雨强度L/（s·hm</w:t>
            </w:r>
            <w:r>
              <w:rPr>
                <w:rFonts w:hint="default" w:ascii="Times New Roman" w:hAnsi="Times New Roman" w:cs="Times New Roman"/>
                <w:color w:val="auto"/>
                <w:sz w:val="24"/>
                <w:szCs w:val="24"/>
                <w:vertAlign w:val="superscript"/>
                <w:lang w:val="en-US" w:eastAsia="zh-CN"/>
              </w:rPr>
              <w:t>2</w:t>
            </w:r>
            <w:r>
              <w:rPr>
                <w:rFonts w:hint="default" w:ascii="Times New Roman" w:hAnsi="Times New Roman" w:cs="Times New Roman"/>
                <w:color w:val="auto"/>
                <w:sz w:val="24"/>
                <w:szCs w:val="24"/>
                <w:lang w:val="en-US" w:eastAsia="zh-CN"/>
              </w:rPr>
              <w:t>）；</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1200" w:firstLineChars="500"/>
              <w:textAlignment w:val="auto"/>
              <w:rPr>
                <w:rFonts w:hint="default" w:ascii="Times New Roman" w:hAnsi="Times New Roman" w:cs="Times New Roman"/>
                <w:color w:val="auto"/>
                <w:sz w:val="24"/>
                <w:szCs w:val="24"/>
                <w:lang w:val="en-US" w:eastAsia="zh-CN"/>
              </w:rPr>
            </w:pPr>
            <w:r>
              <w:rPr>
                <w:rFonts w:hint="default" w:ascii="Times New Roman" w:hAnsi="Times New Roman" w:cs="Times New Roman"/>
                <w:color w:val="auto"/>
                <w:sz w:val="24"/>
                <w:szCs w:val="24"/>
                <w:lang w:val="en-US" w:eastAsia="zh-CN"/>
              </w:rPr>
              <w:t>t为降雨历时（min），取60min；</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1200" w:firstLineChars="500"/>
              <w:textAlignment w:val="auto"/>
              <w:rPr>
                <w:rFonts w:hint="default" w:ascii="Times New Roman" w:hAnsi="Times New Roman" w:cs="Times New Roman"/>
                <w:color w:val="auto"/>
                <w:sz w:val="24"/>
                <w:szCs w:val="24"/>
                <w:lang w:val="en-US" w:eastAsia="zh-CN"/>
              </w:rPr>
            </w:pPr>
            <w:r>
              <w:rPr>
                <w:rFonts w:hint="default" w:ascii="Times New Roman" w:hAnsi="Times New Roman" w:cs="Times New Roman"/>
                <w:color w:val="auto"/>
                <w:sz w:val="24"/>
                <w:szCs w:val="24"/>
                <w:lang w:val="en-US" w:eastAsia="zh-CN"/>
              </w:rPr>
              <w:t>P为暴雨重现期（年），取1年；</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textAlignment w:val="auto"/>
              <w:rPr>
                <w:rFonts w:hint="default" w:ascii="Times New Roman" w:hAnsi="Times New Roman" w:cs="Times New Roman"/>
                <w:color w:val="auto"/>
                <w:sz w:val="24"/>
                <w:szCs w:val="24"/>
                <w:lang w:val="en-US" w:eastAsia="zh-CN"/>
              </w:rPr>
            </w:pPr>
            <w:r>
              <w:rPr>
                <w:rFonts w:hint="default" w:ascii="Times New Roman" w:hAnsi="Times New Roman" w:cs="Times New Roman"/>
                <w:color w:val="auto"/>
                <w:sz w:val="24"/>
                <w:szCs w:val="24"/>
                <w:lang w:val="en-US" w:eastAsia="zh-CN"/>
              </w:rPr>
              <w:t>则暴雨强度Q=108L/（s·hm</w:t>
            </w:r>
            <w:r>
              <w:rPr>
                <w:rFonts w:hint="default" w:ascii="Times New Roman" w:hAnsi="Times New Roman" w:cs="Times New Roman"/>
                <w:color w:val="auto"/>
                <w:sz w:val="24"/>
                <w:szCs w:val="24"/>
                <w:vertAlign w:val="superscript"/>
                <w:lang w:val="en-US" w:eastAsia="zh-CN"/>
              </w:rPr>
              <w:t>2</w:t>
            </w:r>
            <w:r>
              <w:rPr>
                <w:rFonts w:hint="default" w:ascii="Times New Roman" w:hAnsi="Times New Roman" w:cs="Times New Roman"/>
                <w:color w:val="auto"/>
                <w:sz w:val="24"/>
                <w:szCs w:val="24"/>
                <w:lang w:val="en-US" w:eastAsia="zh-CN"/>
              </w:rPr>
              <w:t>）</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textAlignment w:val="auto"/>
              <w:rPr>
                <w:rFonts w:hint="default" w:ascii="Times New Roman" w:hAnsi="Times New Roman" w:cs="Times New Roman"/>
                <w:color w:val="auto"/>
                <w:sz w:val="24"/>
                <w:szCs w:val="24"/>
                <w:lang w:val="en-US" w:eastAsia="zh-CN"/>
              </w:rPr>
            </w:pPr>
            <w:r>
              <w:rPr>
                <w:rFonts w:hint="default" w:ascii="Times New Roman" w:hAnsi="Times New Roman" w:cs="Times New Roman"/>
                <w:color w:val="auto"/>
                <w:sz w:val="24"/>
                <w:szCs w:val="24"/>
                <w:lang w:val="en-US" w:eastAsia="zh-CN"/>
              </w:rPr>
              <w:t>初期雨水最大一次产生量可根据以下初期雨水公式计算：</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jc w:val="center"/>
              <w:textAlignment w:val="auto"/>
              <w:rPr>
                <w:rFonts w:hint="default" w:ascii="Times New Roman" w:hAnsi="Times New Roman" w:cs="Times New Roman"/>
                <w:color w:val="auto"/>
                <w:sz w:val="24"/>
                <w:szCs w:val="24"/>
                <w:lang w:val="en-US" w:eastAsia="zh-CN"/>
              </w:rPr>
            </w:pPr>
            <w:r>
              <w:rPr>
                <w:rFonts w:hint="default" w:ascii="Times New Roman" w:hAnsi="Times New Roman" w:cs="Times New Roman"/>
                <w:color w:val="auto"/>
                <w:sz w:val="24"/>
                <w:szCs w:val="24"/>
                <w:lang w:val="en-US" w:eastAsia="zh-CN"/>
              </w:rPr>
              <w:t>Wi=S·Q·Ψ/1000·T</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textAlignment w:val="auto"/>
              <w:rPr>
                <w:rFonts w:hint="default" w:ascii="Times New Roman" w:hAnsi="Times New Roman" w:cs="Times New Roman"/>
                <w:color w:val="auto"/>
                <w:sz w:val="24"/>
                <w:szCs w:val="24"/>
                <w:lang w:val="en-US" w:eastAsia="zh-CN"/>
              </w:rPr>
            </w:pPr>
            <w:r>
              <w:rPr>
                <w:rFonts w:hint="default" w:ascii="Times New Roman" w:hAnsi="Times New Roman" w:cs="Times New Roman"/>
                <w:color w:val="auto"/>
                <w:sz w:val="24"/>
                <w:szCs w:val="24"/>
                <w:lang w:val="en-US" w:eastAsia="zh-CN"/>
              </w:rPr>
              <w:t>式中：Wi—初期雨水一次最大产生量（m</w:t>
            </w:r>
            <w:r>
              <w:rPr>
                <w:rFonts w:hint="default" w:ascii="Times New Roman" w:hAnsi="Times New Roman" w:cs="Times New Roman"/>
                <w:color w:val="auto"/>
                <w:sz w:val="24"/>
                <w:szCs w:val="24"/>
                <w:vertAlign w:val="superscript"/>
                <w:lang w:val="en-US" w:eastAsia="zh-CN"/>
              </w:rPr>
              <w:t>3</w:t>
            </w:r>
            <w:r>
              <w:rPr>
                <w:rFonts w:hint="default" w:ascii="Times New Roman" w:hAnsi="Times New Roman" w:cs="Times New Roman"/>
                <w:color w:val="auto"/>
                <w:sz w:val="24"/>
                <w:szCs w:val="24"/>
                <w:lang w:val="en-US" w:eastAsia="zh-CN"/>
              </w:rPr>
              <w:t>/次）；</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1200" w:firstLineChars="500"/>
              <w:textAlignment w:val="auto"/>
              <w:rPr>
                <w:rFonts w:hint="default" w:ascii="Times New Roman" w:hAnsi="Times New Roman" w:cs="Times New Roman"/>
                <w:color w:val="auto"/>
                <w:sz w:val="24"/>
                <w:szCs w:val="24"/>
                <w:lang w:val="en-US" w:eastAsia="zh-CN"/>
              </w:rPr>
            </w:pPr>
            <w:r>
              <w:rPr>
                <w:rFonts w:hint="default" w:ascii="Times New Roman" w:hAnsi="Times New Roman" w:cs="Times New Roman"/>
                <w:color w:val="auto"/>
                <w:sz w:val="24"/>
                <w:szCs w:val="24"/>
                <w:lang w:val="en-US" w:eastAsia="zh-CN"/>
              </w:rPr>
              <w:t>S—汇水面积（hm2），项目开采区占地面积18.1hm</w:t>
            </w:r>
            <w:r>
              <w:rPr>
                <w:rFonts w:hint="default" w:ascii="Times New Roman" w:hAnsi="Times New Roman" w:cs="Times New Roman"/>
                <w:color w:val="auto"/>
                <w:sz w:val="24"/>
                <w:szCs w:val="24"/>
                <w:vertAlign w:val="superscript"/>
                <w:lang w:val="en-US" w:eastAsia="zh-CN"/>
              </w:rPr>
              <w:t>2</w:t>
            </w:r>
            <w:r>
              <w:rPr>
                <w:rFonts w:hint="default" w:ascii="Times New Roman" w:hAnsi="Times New Roman" w:cs="Times New Roman"/>
                <w:color w:val="auto"/>
                <w:sz w:val="24"/>
                <w:szCs w:val="24"/>
                <w:lang w:val="en-US" w:eastAsia="zh-CN"/>
              </w:rPr>
              <w:t>，工业广场占地面积2.28hm</w:t>
            </w:r>
            <w:r>
              <w:rPr>
                <w:rFonts w:hint="default" w:ascii="Times New Roman" w:hAnsi="Times New Roman" w:cs="Times New Roman"/>
                <w:color w:val="auto"/>
                <w:sz w:val="24"/>
                <w:szCs w:val="24"/>
                <w:vertAlign w:val="superscript"/>
                <w:lang w:val="en-US" w:eastAsia="zh-CN"/>
              </w:rPr>
              <w:t>2</w:t>
            </w:r>
            <w:r>
              <w:rPr>
                <w:rFonts w:hint="default" w:ascii="Times New Roman" w:hAnsi="Times New Roman" w:cs="Times New Roman"/>
                <w:color w:val="auto"/>
                <w:sz w:val="24"/>
                <w:szCs w:val="24"/>
                <w:lang w:val="en-US" w:eastAsia="zh-CN"/>
              </w:rPr>
              <w:t>表土堆场占地面积</w:t>
            </w:r>
            <w:r>
              <w:rPr>
                <w:rFonts w:hint="eastAsia" w:cs="Times New Roman"/>
                <w:color w:val="auto"/>
                <w:sz w:val="24"/>
                <w:szCs w:val="24"/>
                <w:lang w:val="en-US" w:eastAsia="zh-CN"/>
              </w:rPr>
              <w:t>1.9972</w:t>
            </w:r>
            <w:r>
              <w:rPr>
                <w:rFonts w:hint="default" w:ascii="Times New Roman" w:hAnsi="Times New Roman" w:cs="Times New Roman"/>
                <w:color w:val="auto"/>
                <w:sz w:val="24"/>
                <w:szCs w:val="24"/>
                <w:lang w:val="en-US" w:eastAsia="zh-CN"/>
              </w:rPr>
              <w:t>hm</w:t>
            </w:r>
            <w:r>
              <w:rPr>
                <w:rFonts w:hint="default" w:ascii="Times New Roman" w:hAnsi="Times New Roman" w:cs="Times New Roman"/>
                <w:color w:val="auto"/>
                <w:sz w:val="24"/>
                <w:szCs w:val="24"/>
                <w:vertAlign w:val="superscript"/>
                <w:lang w:val="en-US" w:eastAsia="zh-CN"/>
              </w:rPr>
              <w:t>2</w:t>
            </w:r>
            <w:r>
              <w:rPr>
                <w:rFonts w:hint="default" w:ascii="Times New Roman" w:hAnsi="Times New Roman" w:cs="Times New Roman"/>
                <w:color w:val="auto"/>
                <w:sz w:val="24"/>
                <w:szCs w:val="24"/>
                <w:lang w:val="en-US" w:eastAsia="zh-CN"/>
              </w:rPr>
              <w:t>；</w:t>
            </w:r>
            <w:r>
              <w:rPr>
                <w:rFonts w:hint="eastAsia" w:cs="Times New Roman"/>
                <w:color w:val="auto"/>
                <w:sz w:val="24"/>
                <w:szCs w:val="24"/>
                <w:lang w:val="en-US" w:eastAsia="zh-CN"/>
              </w:rPr>
              <w:t>成品中转堆场</w:t>
            </w:r>
            <w:r>
              <w:rPr>
                <w:rFonts w:hint="default" w:ascii="Times New Roman" w:hAnsi="Times New Roman" w:cs="Times New Roman"/>
                <w:color w:val="auto"/>
                <w:sz w:val="24"/>
                <w:szCs w:val="24"/>
                <w:lang w:val="en-US" w:eastAsia="zh-CN"/>
              </w:rPr>
              <w:t>占地</w:t>
            </w:r>
            <w:r>
              <w:rPr>
                <w:rFonts w:hint="eastAsia" w:cs="Times New Roman"/>
                <w:color w:val="auto"/>
                <w:sz w:val="24"/>
                <w:szCs w:val="24"/>
                <w:lang w:val="en-US" w:eastAsia="zh-CN"/>
              </w:rPr>
              <w:t>0.43</w:t>
            </w:r>
            <w:r>
              <w:rPr>
                <w:rFonts w:hint="default" w:ascii="Times New Roman" w:hAnsi="Times New Roman" w:cs="Times New Roman"/>
                <w:color w:val="auto"/>
                <w:sz w:val="24"/>
                <w:szCs w:val="24"/>
                <w:lang w:val="en-US" w:eastAsia="zh-CN"/>
              </w:rPr>
              <w:t>hm</w:t>
            </w:r>
            <w:r>
              <w:rPr>
                <w:rFonts w:hint="default" w:ascii="Times New Roman" w:hAnsi="Times New Roman" w:cs="Times New Roman"/>
                <w:color w:val="auto"/>
                <w:sz w:val="24"/>
                <w:szCs w:val="24"/>
                <w:vertAlign w:val="superscript"/>
                <w:lang w:val="en-US" w:eastAsia="zh-CN"/>
              </w:rPr>
              <w:t>2</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1200" w:firstLineChars="500"/>
              <w:textAlignment w:val="auto"/>
              <w:rPr>
                <w:rFonts w:hint="default" w:ascii="Times New Roman" w:hAnsi="Times New Roman" w:cs="Times New Roman"/>
                <w:color w:val="auto"/>
                <w:sz w:val="24"/>
                <w:szCs w:val="24"/>
                <w:lang w:val="en-US" w:eastAsia="zh-CN"/>
              </w:rPr>
            </w:pPr>
            <w:r>
              <w:rPr>
                <w:rFonts w:hint="default" w:ascii="Times New Roman" w:hAnsi="Times New Roman" w:cs="Times New Roman"/>
                <w:color w:val="auto"/>
                <w:sz w:val="24"/>
                <w:szCs w:val="24"/>
                <w:lang w:val="en-US" w:eastAsia="zh-CN"/>
              </w:rPr>
              <w:t>Ψ—地表径流系数，工业广场为屋面、混凝土地面取0.9；开采区和</w:t>
            </w:r>
            <w:r>
              <w:rPr>
                <w:rFonts w:hint="eastAsia" w:cs="Times New Roman"/>
                <w:color w:val="auto"/>
                <w:sz w:val="24"/>
                <w:szCs w:val="24"/>
                <w:lang w:val="en-US" w:eastAsia="zh-CN"/>
              </w:rPr>
              <w:t>新增表土堆场</w:t>
            </w:r>
            <w:r>
              <w:rPr>
                <w:rFonts w:hint="default" w:ascii="Times New Roman" w:hAnsi="Times New Roman" w:cs="Times New Roman"/>
                <w:color w:val="auto"/>
                <w:sz w:val="24"/>
                <w:szCs w:val="24"/>
                <w:lang w:val="en-US" w:eastAsia="zh-CN"/>
              </w:rPr>
              <w:t>取0.15；</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1200" w:firstLineChars="500"/>
              <w:textAlignment w:val="auto"/>
              <w:rPr>
                <w:rFonts w:hint="default" w:ascii="Times New Roman" w:hAnsi="Times New Roman" w:cs="Times New Roman"/>
                <w:color w:val="auto"/>
                <w:sz w:val="24"/>
                <w:szCs w:val="24"/>
                <w:lang w:val="en-US" w:eastAsia="zh-CN"/>
              </w:rPr>
            </w:pPr>
            <w:r>
              <w:rPr>
                <w:rFonts w:hint="default" w:ascii="Times New Roman" w:hAnsi="Times New Roman" w:cs="Times New Roman"/>
                <w:color w:val="auto"/>
                <w:sz w:val="24"/>
                <w:szCs w:val="24"/>
                <w:lang w:val="en-US" w:eastAsia="zh-CN"/>
              </w:rPr>
              <w:t>T—初期雨水降雨时间，取15min。</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color w:val="auto"/>
                <w:sz w:val="24"/>
                <w:szCs w:val="24"/>
                <w:lang w:val="en-US" w:eastAsia="zh-CN"/>
              </w:rPr>
              <w:t>由上述公式计算可知，新建后，开采区初期雨水产生量约264m</w:t>
            </w:r>
            <w:r>
              <w:rPr>
                <w:rFonts w:hint="default" w:ascii="Times New Roman" w:hAnsi="Times New Roman" w:cs="Times New Roman"/>
                <w:color w:val="auto"/>
                <w:sz w:val="24"/>
                <w:szCs w:val="24"/>
                <w:vertAlign w:val="superscript"/>
                <w:lang w:val="en-US" w:eastAsia="zh-CN"/>
              </w:rPr>
              <w:t>3</w:t>
            </w:r>
            <w:r>
              <w:rPr>
                <w:rFonts w:hint="default" w:ascii="Times New Roman" w:hAnsi="Times New Roman" w:cs="Times New Roman"/>
                <w:color w:val="auto"/>
                <w:sz w:val="24"/>
                <w:szCs w:val="24"/>
                <w:lang w:val="en-US" w:eastAsia="zh-CN"/>
              </w:rPr>
              <w:t>/次，表土堆场初期雨水产生量约29m</w:t>
            </w:r>
            <w:r>
              <w:rPr>
                <w:rFonts w:hint="default" w:ascii="Times New Roman" w:hAnsi="Times New Roman" w:cs="Times New Roman"/>
                <w:color w:val="auto"/>
                <w:sz w:val="24"/>
                <w:szCs w:val="24"/>
                <w:vertAlign w:val="superscript"/>
                <w:lang w:val="en-US" w:eastAsia="zh-CN"/>
              </w:rPr>
              <w:t>3</w:t>
            </w:r>
            <w:r>
              <w:rPr>
                <w:rFonts w:hint="default" w:ascii="Times New Roman" w:hAnsi="Times New Roman" w:cs="Times New Roman"/>
                <w:color w:val="auto"/>
                <w:sz w:val="24"/>
                <w:szCs w:val="24"/>
                <w:lang w:val="en-US" w:eastAsia="zh-CN"/>
              </w:rPr>
              <w:t>/次，</w:t>
            </w:r>
            <w:r>
              <w:rPr>
                <w:rFonts w:hint="eastAsia" w:cs="Times New Roman"/>
                <w:color w:val="auto"/>
                <w:sz w:val="24"/>
                <w:szCs w:val="24"/>
                <w:lang w:val="en-US" w:eastAsia="zh-CN"/>
              </w:rPr>
              <w:t>成品中转堆场</w:t>
            </w:r>
            <w:r>
              <w:rPr>
                <w:rFonts w:hint="default" w:ascii="Times New Roman" w:hAnsi="Times New Roman" w:cs="Times New Roman"/>
                <w:color w:val="auto"/>
                <w:sz w:val="24"/>
                <w:szCs w:val="24"/>
                <w:lang w:val="en-US" w:eastAsia="zh-CN"/>
              </w:rPr>
              <w:t>初期雨水产生量约9.38m</w:t>
            </w:r>
            <w:r>
              <w:rPr>
                <w:rFonts w:hint="default" w:ascii="Times New Roman" w:hAnsi="Times New Roman" w:cs="Times New Roman"/>
                <w:color w:val="auto"/>
                <w:sz w:val="24"/>
                <w:szCs w:val="24"/>
                <w:vertAlign w:val="superscript"/>
                <w:lang w:val="en-US" w:eastAsia="zh-CN"/>
              </w:rPr>
              <w:t>3/</w:t>
            </w:r>
            <w:r>
              <w:rPr>
                <w:rFonts w:hint="default" w:ascii="Times New Roman" w:hAnsi="Times New Roman" w:cs="Times New Roman"/>
                <w:color w:val="auto"/>
                <w:sz w:val="24"/>
                <w:szCs w:val="24"/>
                <w:lang w:val="en-US" w:eastAsia="zh-CN"/>
              </w:rPr>
              <w:t>次，工业广场初期雨水产生量约199m</w:t>
            </w:r>
            <w:r>
              <w:rPr>
                <w:rFonts w:hint="default" w:ascii="Times New Roman" w:hAnsi="Times New Roman" w:cs="Times New Roman"/>
                <w:color w:val="auto"/>
                <w:sz w:val="24"/>
                <w:szCs w:val="24"/>
                <w:vertAlign w:val="superscript"/>
                <w:lang w:val="en-US" w:eastAsia="zh-CN"/>
              </w:rPr>
              <w:t>3</w:t>
            </w:r>
            <w:r>
              <w:rPr>
                <w:rFonts w:hint="default" w:ascii="Times New Roman" w:hAnsi="Times New Roman" w:cs="Times New Roman"/>
                <w:color w:val="auto"/>
                <w:sz w:val="24"/>
                <w:szCs w:val="24"/>
                <w:lang w:val="en-US" w:eastAsia="zh-CN"/>
              </w:rPr>
              <w:t>/次，初期雨水总量为492m</w:t>
            </w:r>
            <w:r>
              <w:rPr>
                <w:rFonts w:hint="default" w:ascii="Times New Roman" w:hAnsi="Times New Roman" w:cs="Times New Roman"/>
                <w:color w:val="auto"/>
                <w:sz w:val="24"/>
                <w:szCs w:val="24"/>
                <w:vertAlign w:val="superscript"/>
                <w:lang w:val="en-US" w:eastAsia="zh-CN"/>
              </w:rPr>
              <w:t>3</w:t>
            </w:r>
            <w:r>
              <w:rPr>
                <w:rFonts w:hint="default" w:ascii="Times New Roman" w:hAnsi="Times New Roman" w:cs="Times New Roman"/>
                <w:color w:val="auto"/>
                <w:sz w:val="24"/>
                <w:szCs w:val="24"/>
                <w:lang w:val="en-US" w:eastAsia="zh-CN"/>
              </w:rPr>
              <w:t>/次</w:t>
            </w:r>
            <w:r>
              <w:rPr>
                <w:rFonts w:hint="default" w:ascii="Times New Roman" w:hAnsi="Times New Roman" w:cs="Times New Roman"/>
                <w:sz w:val="24"/>
                <w:szCs w:val="24"/>
                <w:lang w:val="en-US" w:eastAsia="zh-CN"/>
              </w:rPr>
              <w:t>。</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初期雨水主要污染因子为SS，初期雨水经初期雨水沉淀池沉淀后可回用于洒水抑尘，不外排。项目在矿区东北侧和南侧各设置一个初期雨水沉淀池，工业广场和</w:t>
            </w:r>
            <w:r>
              <w:rPr>
                <w:rFonts w:hint="eastAsia" w:cs="Times New Roman"/>
                <w:sz w:val="24"/>
                <w:szCs w:val="24"/>
                <w:lang w:val="en-US" w:eastAsia="zh-CN"/>
              </w:rPr>
              <w:t>新增表土堆场</w:t>
            </w:r>
            <w:r>
              <w:rPr>
                <w:rFonts w:hint="default" w:ascii="Times New Roman" w:hAnsi="Times New Roman" w:cs="Times New Roman"/>
                <w:sz w:val="24"/>
                <w:szCs w:val="24"/>
                <w:lang w:val="en-US" w:eastAsia="zh-CN"/>
              </w:rPr>
              <w:t>初期雨水均收集进入矿区南侧初期雨水沉淀池。初期雨水沉淀池容积均为300m</w:t>
            </w:r>
            <w:r>
              <w:rPr>
                <w:rFonts w:hint="default" w:ascii="Times New Roman" w:hAnsi="Times New Roman" w:cs="Times New Roman"/>
                <w:sz w:val="24"/>
                <w:szCs w:val="24"/>
                <w:vertAlign w:val="superscript"/>
                <w:lang w:val="en-US" w:eastAsia="zh-CN"/>
              </w:rPr>
              <w:t>3</w:t>
            </w:r>
            <w:r>
              <w:rPr>
                <w:rFonts w:hint="default" w:ascii="Times New Roman" w:hAnsi="Times New Roman" w:cs="Times New Roman"/>
                <w:sz w:val="24"/>
                <w:szCs w:val="24"/>
                <w:lang w:val="en-US" w:eastAsia="zh-CN"/>
              </w:rPr>
              <w:t>，总容积600m</w:t>
            </w:r>
            <w:r>
              <w:rPr>
                <w:rFonts w:hint="default" w:ascii="Times New Roman" w:hAnsi="Times New Roman" w:cs="Times New Roman"/>
                <w:sz w:val="24"/>
                <w:szCs w:val="24"/>
                <w:vertAlign w:val="superscript"/>
                <w:lang w:val="en-US" w:eastAsia="zh-CN"/>
              </w:rPr>
              <w:t>3</w:t>
            </w:r>
            <w:r>
              <w:rPr>
                <w:rFonts w:hint="default" w:ascii="Times New Roman" w:hAnsi="Times New Roman" w:cs="Times New Roman"/>
                <w:sz w:val="24"/>
                <w:szCs w:val="24"/>
                <w:lang w:val="en-US" w:eastAsia="zh-CN"/>
              </w:rPr>
              <w:t>，沉淀池容积满足初期雨水收集要求，可防止初期雨水直接外排，初期雨水经沉淀处理后回用于洒水抑尘，不外排。</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2" w:firstLineChars="200"/>
              <w:textAlignment w:val="auto"/>
              <w:rPr>
                <w:rFonts w:hint="default" w:ascii="Times New Roman" w:hAnsi="Times New Roman" w:cs="Times New Roman"/>
                <w:b/>
                <w:bCs/>
                <w:sz w:val="24"/>
                <w:szCs w:val="24"/>
                <w:lang w:val="en-US" w:eastAsia="zh-CN"/>
              </w:rPr>
            </w:pPr>
            <w:r>
              <w:rPr>
                <w:rFonts w:hint="default" w:ascii="Times New Roman" w:hAnsi="Times New Roman" w:cs="Times New Roman"/>
                <w:b/>
                <w:bCs/>
                <w:sz w:val="24"/>
                <w:szCs w:val="24"/>
                <w:lang w:val="en-US" w:eastAsia="zh-CN"/>
              </w:rPr>
              <w:t>5）生活用水</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新建后，本项目总定员80人，厂区约10人在厂内食宿，生活用水定额参照湖南省地方标准《湖南省用水定额》（DB43/T388-2020），非住宿员工用水取45L/人·d，住宿员工用水取145L/人·d，则生活用水量约为4.6m</w:t>
            </w:r>
            <w:r>
              <w:rPr>
                <w:rFonts w:hint="default" w:ascii="Times New Roman" w:hAnsi="Times New Roman" w:cs="Times New Roman"/>
                <w:sz w:val="24"/>
                <w:szCs w:val="24"/>
                <w:vertAlign w:val="superscript"/>
                <w:lang w:val="en-US" w:eastAsia="zh-CN"/>
              </w:rPr>
              <w:t>3</w:t>
            </w:r>
            <w:r>
              <w:rPr>
                <w:rFonts w:hint="default" w:ascii="Times New Roman" w:hAnsi="Times New Roman" w:cs="Times New Roman"/>
                <w:sz w:val="24"/>
                <w:szCs w:val="24"/>
                <w:lang w:val="en-US" w:eastAsia="zh-CN"/>
              </w:rPr>
              <w:t>/d，1380m3/a，排放系数按0.8计，生活污水产生量约为3.68m</w:t>
            </w:r>
            <w:r>
              <w:rPr>
                <w:rFonts w:hint="default" w:ascii="Times New Roman" w:hAnsi="Times New Roman" w:cs="Times New Roman"/>
                <w:sz w:val="24"/>
                <w:szCs w:val="24"/>
                <w:vertAlign w:val="superscript"/>
                <w:lang w:val="en-US" w:eastAsia="zh-CN"/>
              </w:rPr>
              <w:t>3</w:t>
            </w:r>
            <w:r>
              <w:rPr>
                <w:rFonts w:hint="default" w:ascii="Times New Roman" w:hAnsi="Times New Roman" w:cs="Times New Roman"/>
                <w:sz w:val="24"/>
                <w:szCs w:val="24"/>
                <w:lang w:val="en-US" w:eastAsia="zh-CN"/>
              </w:rPr>
              <w:t>/d，1104m</w:t>
            </w:r>
            <w:r>
              <w:rPr>
                <w:rFonts w:hint="default" w:ascii="Times New Roman" w:hAnsi="Times New Roman" w:cs="Times New Roman"/>
                <w:sz w:val="24"/>
                <w:szCs w:val="24"/>
                <w:vertAlign w:val="superscript"/>
                <w:lang w:val="en-US" w:eastAsia="zh-CN"/>
              </w:rPr>
              <w:t>3</w:t>
            </w:r>
            <w:r>
              <w:rPr>
                <w:rFonts w:hint="default" w:ascii="Times New Roman" w:hAnsi="Times New Roman" w:cs="Times New Roman"/>
                <w:sz w:val="24"/>
                <w:szCs w:val="24"/>
                <w:lang w:val="en-US" w:eastAsia="zh-CN"/>
              </w:rPr>
              <w:t>/a。主要污染因子为COD、BOD5、SS、氨氮，浓度分别为COD：350mg/L，BOD</w:t>
            </w:r>
            <w:r>
              <w:rPr>
                <w:rFonts w:hint="default" w:ascii="Times New Roman" w:hAnsi="Times New Roman" w:cs="Times New Roman"/>
                <w:sz w:val="24"/>
                <w:szCs w:val="24"/>
                <w:vertAlign w:val="subscript"/>
                <w:lang w:val="en-US" w:eastAsia="zh-CN"/>
              </w:rPr>
              <w:t>5</w:t>
            </w:r>
            <w:r>
              <w:rPr>
                <w:rFonts w:hint="default" w:ascii="Times New Roman" w:hAnsi="Times New Roman" w:cs="Times New Roman"/>
                <w:sz w:val="24"/>
                <w:szCs w:val="24"/>
                <w:lang w:val="en-US" w:eastAsia="zh-CN"/>
              </w:rPr>
              <w:t>：250mg/L，SS：250mg/L，NH3-N：25mg/L，经化粪池处理后委托当地农民清运用作农肥，不外排</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textAlignment w:val="auto"/>
              <w:rPr>
                <w:rFonts w:hint="default" w:ascii="Times New Roman" w:hAnsi="Times New Roman" w:cs="Times New Roman"/>
                <w:sz w:val="24"/>
                <w:szCs w:val="24"/>
                <w:lang w:val="en-US" w:eastAsia="zh-CN"/>
              </w:rPr>
            </w:pPr>
            <w:r>
              <w:rPr>
                <w:rFonts w:ascii="Times New Roman" w:hAnsi="Times New Roman" w:cs="Times New Roman"/>
              </w:rPr>
              <w:drawing>
                <wp:inline distT="0" distB="0" distL="114300" distR="114300">
                  <wp:extent cx="5166360" cy="2159635"/>
                  <wp:effectExtent l="0" t="0" r="15240" b="12065"/>
                  <wp:docPr id="63"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图片 2"/>
                          <pic:cNvPicPr>
                            <a:picLocks noChangeAspect="1"/>
                          </pic:cNvPicPr>
                        </pic:nvPicPr>
                        <pic:blipFill>
                          <a:blip r:embed="rId20"/>
                          <a:stretch>
                            <a:fillRect/>
                          </a:stretch>
                        </pic:blipFill>
                        <pic:spPr>
                          <a:xfrm>
                            <a:off x="0" y="0"/>
                            <a:ext cx="5166360" cy="2159635"/>
                          </a:xfrm>
                          <a:prstGeom prst="rect">
                            <a:avLst/>
                          </a:prstGeom>
                          <a:noFill/>
                          <a:ln>
                            <a:noFill/>
                          </a:ln>
                        </pic:spPr>
                      </pic:pic>
                    </a:graphicData>
                  </a:graphic>
                </wp:inline>
              </w:drawing>
            </w:r>
            <w:r>
              <w:rPr>
                <w:rFonts w:hint="default" w:ascii="Times New Roman" w:hAnsi="Times New Roman" w:cs="Times New Roman"/>
                <w:b/>
                <w:bCs/>
                <w:sz w:val="24"/>
                <w:szCs w:val="24"/>
                <w:lang w:val="en-US" w:eastAsia="zh-CN"/>
              </w:rPr>
              <w:t>（2）水环境影响分析</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本项目用水主要为穿孔冷却水、抑尘用水、车辆清洗用水、初期雨水及生活用水。产生的穿孔冷却水、抑尘水全部蒸发损耗，车辆清洗废水回用于车辆清洗，初期雨水回用于抑尘，生活污水经化粪池处理后委托当地农民清运用作农肥，不外排。项目在严格按照本环评要求的前提下，营运期无废水外排，除后期雨水外，不会有废水排入外部地表水环境，不会对周边水环境产生明显影响。</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2" w:firstLineChars="200"/>
              <w:textAlignment w:val="auto"/>
              <w:rPr>
                <w:rFonts w:hint="default" w:ascii="Times New Roman" w:hAnsi="Times New Roman" w:cs="Times New Roman"/>
                <w:b/>
                <w:bCs/>
                <w:sz w:val="24"/>
                <w:szCs w:val="24"/>
                <w:lang w:val="en-US" w:eastAsia="zh-CN"/>
              </w:rPr>
            </w:pPr>
            <w:r>
              <w:rPr>
                <w:rFonts w:hint="default" w:ascii="Times New Roman" w:hAnsi="Times New Roman" w:cs="Times New Roman"/>
                <w:b/>
                <w:bCs/>
                <w:sz w:val="24"/>
                <w:szCs w:val="24"/>
                <w:lang w:val="en-US" w:eastAsia="zh-CN"/>
              </w:rPr>
              <w:t>3、噪声</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2" w:firstLineChars="200"/>
              <w:textAlignment w:val="auto"/>
              <w:rPr>
                <w:rFonts w:hint="default" w:ascii="Times New Roman" w:hAnsi="Times New Roman" w:cs="Times New Roman"/>
                <w:b/>
                <w:bCs/>
                <w:sz w:val="24"/>
                <w:szCs w:val="24"/>
                <w:lang w:val="en-US" w:eastAsia="zh-CN"/>
              </w:rPr>
            </w:pPr>
            <w:r>
              <w:rPr>
                <w:rFonts w:hint="default" w:ascii="Times New Roman" w:hAnsi="Times New Roman" w:cs="Times New Roman"/>
                <w:b/>
                <w:bCs/>
                <w:sz w:val="24"/>
                <w:szCs w:val="24"/>
                <w:lang w:val="en-US" w:eastAsia="zh-CN"/>
              </w:rPr>
              <w:t>（1）产生情况及处理措施</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本工程的噪声污染几乎伴随着整个采剥及加工工艺过程，其特点是排放强度大。项目主要噪声及源强见下表。</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jc w:val="center"/>
              <w:textAlignment w:val="auto"/>
              <w:rPr>
                <w:rFonts w:hint="default" w:ascii="Times New Roman" w:hAnsi="Times New Roman" w:cs="Times New Roman"/>
                <w:b/>
                <w:bCs/>
                <w:sz w:val="21"/>
                <w:szCs w:val="21"/>
                <w:lang w:val="en-US" w:eastAsia="zh-CN"/>
              </w:rPr>
            </w:pPr>
            <w:r>
              <w:rPr>
                <w:rFonts w:hint="default" w:ascii="Times New Roman" w:hAnsi="Times New Roman" w:cs="Times New Roman"/>
                <w:b/>
                <w:bCs/>
                <w:sz w:val="21"/>
                <w:szCs w:val="21"/>
                <w:lang w:val="en-US" w:eastAsia="zh-CN"/>
              </w:rPr>
              <w:t>表4-4主要噪声源统计表</w:t>
            </w:r>
          </w:p>
          <w:tbl>
            <w:tblPr>
              <w:tblStyle w:val="22"/>
              <w:tblW w:w="812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9"/>
              <w:gridCol w:w="1268"/>
              <w:gridCol w:w="1282"/>
              <w:gridCol w:w="1255"/>
              <w:gridCol w:w="804"/>
              <w:gridCol w:w="750"/>
              <w:gridCol w:w="1146"/>
              <w:gridCol w:w="9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89"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lang w:val="en-US" w:eastAsia="zh-CN"/>
                    </w:rPr>
                  </w:pPr>
                  <w:r>
                    <w:rPr>
                      <w:rFonts w:ascii="Times New Roman" w:hAnsi="Times New Roman" w:cs="Times New Roman"/>
                      <w:b/>
                      <w:bCs/>
                    </w:rPr>
                    <w:t>序号</w:t>
                  </w:r>
                </w:p>
              </w:tc>
              <w:tc>
                <w:tcPr>
                  <w:tcW w:w="1268"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lang w:val="en-US" w:eastAsia="zh-CN"/>
                    </w:rPr>
                  </w:pPr>
                  <w:r>
                    <w:rPr>
                      <w:rFonts w:ascii="Times New Roman" w:hAnsi="Times New Roman" w:cs="Times New Roman"/>
                      <w:b/>
                      <w:bCs/>
                    </w:rPr>
                    <w:t>声源</w:t>
                  </w:r>
                </w:p>
              </w:tc>
              <w:tc>
                <w:tcPr>
                  <w:tcW w:w="1282"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lang w:val="en-US" w:eastAsia="zh-CN"/>
                    </w:rPr>
                  </w:pPr>
                  <w:r>
                    <w:rPr>
                      <w:rFonts w:ascii="Times New Roman" w:hAnsi="Times New Roman" w:cs="Times New Roman"/>
                      <w:b/>
                      <w:bCs/>
                    </w:rPr>
                    <w:t>声源特点</w:t>
                  </w:r>
                </w:p>
              </w:tc>
              <w:tc>
                <w:tcPr>
                  <w:tcW w:w="125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lang w:val="en-US" w:eastAsia="zh-CN"/>
                    </w:rPr>
                  </w:pPr>
                  <w:r>
                    <w:rPr>
                      <w:rFonts w:ascii="Times New Roman" w:hAnsi="Times New Roman" w:cs="Times New Roman"/>
                      <w:b/>
                      <w:bCs/>
                    </w:rPr>
                    <w:t>声级（dB）</w:t>
                  </w:r>
                </w:p>
              </w:tc>
              <w:tc>
                <w:tcPr>
                  <w:tcW w:w="80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lang w:val="en-US" w:eastAsia="zh-CN"/>
                    </w:rPr>
                  </w:pPr>
                  <w:r>
                    <w:rPr>
                      <w:rFonts w:ascii="Times New Roman" w:hAnsi="Times New Roman" w:cs="Times New Roman"/>
                      <w:b/>
                      <w:bCs/>
                    </w:rPr>
                    <w:t>数量</w:t>
                  </w:r>
                </w:p>
              </w:tc>
              <w:tc>
                <w:tcPr>
                  <w:tcW w:w="75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lang w:val="en-US" w:eastAsia="zh-CN"/>
                    </w:rPr>
                  </w:pPr>
                  <w:r>
                    <w:rPr>
                      <w:rFonts w:ascii="Times New Roman" w:hAnsi="Times New Roman" w:cs="Times New Roman"/>
                      <w:b/>
                      <w:bCs/>
                    </w:rPr>
                    <w:t>位置</w:t>
                  </w:r>
                </w:p>
              </w:tc>
              <w:tc>
                <w:tcPr>
                  <w:tcW w:w="114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lang w:val="en-US" w:eastAsia="zh-CN"/>
                    </w:rPr>
                  </w:pPr>
                  <w:r>
                    <w:rPr>
                      <w:rFonts w:ascii="Times New Roman" w:hAnsi="Times New Roman" w:cs="Times New Roman"/>
                      <w:b/>
                      <w:bCs/>
                    </w:rPr>
                    <w:t>产生特点</w:t>
                  </w:r>
                </w:p>
              </w:tc>
              <w:tc>
                <w:tcPr>
                  <w:tcW w:w="927" w:type="dxa"/>
                  <w:vAlign w:val="center"/>
                </w:tcPr>
                <w:p>
                  <w:pPr>
                    <w:keepNext w:val="0"/>
                    <w:keepLines w:val="0"/>
                    <w:suppressLineNumbers w:val="0"/>
                    <w:spacing w:before="0" w:beforeAutospacing="0" w:after="0" w:afterAutospacing="0"/>
                    <w:ind w:left="0" w:right="0"/>
                    <w:jc w:val="center"/>
                    <w:rPr>
                      <w:rFonts w:ascii="Times New Roman" w:hAnsi="Times New Roman" w:cs="Times New Roman"/>
                      <w:b/>
                      <w:bCs/>
                    </w:rPr>
                  </w:pPr>
                  <w:r>
                    <w:rPr>
                      <w:rFonts w:ascii="Times New Roman" w:hAnsi="Times New Roman" w:cs="Times New Roman"/>
                      <w:b/>
                      <w:bCs/>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89"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1</w:t>
                  </w:r>
                </w:p>
              </w:tc>
              <w:tc>
                <w:tcPr>
                  <w:tcW w:w="1268"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潜孔钻机</w:t>
                  </w:r>
                </w:p>
              </w:tc>
              <w:tc>
                <w:tcPr>
                  <w:tcW w:w="1282"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随开采工</w:t>
                  </w:r>
                </w:p>
              </w:tc>
              <w:tc>
                <w:tcPr>
                  <w:tcW w:w="125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90</w:t>
                  </w:r>
                </w:p>
              </w:tc>
              <w:tc>
                <w:tcPr>
                  <w:tcW w:w="80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4</w:t>
                  </w:r>
                </w:p>
              </w:tc>
              <w:tc>
                <w:tcPr>
                  <w:tcW w:w="75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采区</w:t>
                  </w:r>
                </w:p>
              </w:tc>
              <w:tc>
                <w:tcPr>
                  <w:tcW w:w="114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间断性</w:t>
                  </w:r>
                </w:p>
              </w:tc>
              <w:tc>
                <w:tcPr>
                  <w:tcW w:w="927" w:type="dxa"/>
                  <w:vAlign w:val="center"/>
                </w:tcPr>
                <w:p>
                  <w:pPr>
                    <w:keepNext w:val="0"/>
                    <w:keepLines w:val="0"/>
                    <w:suppressLineNumbers w:val="0"/>
                    <w:spacing w:before="0" w:beforeAutospacing="0" w:after="0" w:afterAutospacing="0"/>
                    <w:ind w:left="0" w:right="0"/>
                    <w:jc w:val="center"/>
                    <w:rPr>
                      <w:rFonts w:ascii="Times New Roman" w:hAnsi="Times New Roman" w:cs="Times New Roman"/>
                    </w:rPr>
                  </w:pPr>
                  <w:r>
                    <w:rPr>
                      <w:rFonts w:ascii="Times New Roman" w:hAnsi="Times New Roman" w:cs="Times New Roman"/>
                    </w:rPr>
                    <w:t>设备1m处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89"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2</w:t>
                  </w:r>
                </w:p>
              </w:tc>
              <w:tc>
                <w:tcPr>
                  <w:tcW w:w="1268"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挖掘机</w:t>
                  </w:r>
                </w:p>
              </w:tc>
              <w:tc>
                <w:tcPr>
                  <w:tcW w:w="1282" w:type="dxa"/>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作面移动</w:t>
                  </w:r>
                </w:p>
              </w:tc>
              <w:tc>
                <w:tcPr>
                  <w:tcW w:w="125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90</w:t>
                  </w:r>
                </w:p>
              </w:tc>
              <w:tc>
                <w:tcPr>
                  <w:tcW w:w="80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4</w:t>
                  </w:r>
                </w:p>
              </w:tc>
              <w:tc>
                <w:tcPr>
                  <w:tcW w:w="750" w:type="dxa"/>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p>
              </w:tc>
              <w:tc>
                <w:tcPr>
                  <w:tcW w:w="114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间断性</w:t>
                  </w:r>
                </w:p>
              </w:tc>
              <w:tc>
                <w:tcPr>
                  <w:tcW w:w="927" w:type="dxa"/>
                  <w:vAlign w:val="center"/>
                </w:tcPr>
                <w:p>
                  <w:pPr>
                    <w:keepNext w:val="0"/>
                    <w:keepLines w:val="0"/>
                    <w:suppressLineNumbers w:val="0"/>
                    <w:spacing w:before="0" w:beforeAutospacing="0" w:after="0" w:afterAutospacing="0"/>
                    <w:ind w:left="0" w:right="0"/>
                    <w:jc w:val="center"/>
                    <w:rPr>
                      <w:rFonts w:ascii="Times New Roman" w:hAnsi="Times New Roman" w:cs="Times New Roman"/>
                    </w:rPr>
                  </w:pPr>
                  <w:r>
                    <w:rPr>
                      <w:rFonts w:ascii="Times New Roman" w:hAnsi="Times New Roman" w:cs="Times New Roman"/>
                    </w:rPr>
                    <w:t>设备1m处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89"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3</w:t>
                  </w:r>
                </w:p>
              </w:tc>
              <w:tc>
                <w:tcPr>
                  <w:tcW w:w="1268"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装载机</w:t>
                  </w:r>
                </w:p>
              </w:tc>
              <w:tc>
                <w:tcPr>
                  <w:tcW w:w="1282"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p>
              </w:tc>
              <w:tc>
                <w:tcPr>
                  <w:tcW w:w="125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80</w:t>
                  </w:r>
                </w:p>
              </w:tc>
              <w:tc>
                <w:tcPr>
                  <w:tcW w:w="80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3</w:t>
                  </w:r>
                </w:p>
              </w:tc>
              <w:tc>
                <w:tcPr>
                  <w:tcW w:w="750"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p>
              </w:tc>
              <w:tc>
                <w:tcPr>
                  <w:tcW w:w="114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间断性</w:t>
                  </w:r>
                </w:p>
              </w:tc>
              <w:tc>
                <w:tcPr>
                  <w:tcW w:w="927" w:type="dxa"/>
                  <w:vAlign w:val="center"/>
                </w:tcPr>
                <w:p>
                  <w:pPr>
                    <w:keepNext w:val="0"/>
                    <w:keepLines w:val="0"/>
                    <w:suppressLineNumbers w:val="0"/>
                    <w:spacing w:before="0" w:beforeAutospacing="0" w:after="0" w:afterAutospacing="0"/>
                    <w:ind w:left="0" w:right="0"/>
                    <w:jc w:val="center"/>
                    <w:rPr>
                      <w:rFonts w:ascii="Times New Roman" w:hAnsi="Times New Roman" w:cs="Times New Roman"/>
                    </w:rPr>
                  </w:pPr>
                  <w:r>
                    <w:rPr>
                      <w:rFonts w:ascii="Times New Roman" w:hAnsi="Times New Roman" w:cs="Times New Roman"/>
                    </w:rPr>
                    <w:t>设备1m处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89"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4</w:t>
                  </w:r>
                </w:p>
              </w:tc>
              <w:tc>
                <w:tcPr>
                  <w:tcW w:w="1268"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凿岩机</w:t>
                  </w:r>
                </w:p>
              </w:tc>
              <w:tc>
                <w:tcPr>
                  <w:tcW w:w="1282"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p>
              </w:tc>
              <w:tc>
                <w:tcPr>
                  <w:tcW w:w="125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90</w:t>
                  </w:r>
                </w:p>
              </w:tc>
              <w:tc>
                <w:tcPr>
                  <w:tcW w:w="80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3</w:t>
                  </w:r>
                </w:p>
              </w:tc>
              <w:tc>
                <w:tcPr>
                  <w:tcW w:w="750"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p>
              </w:tc>
              <w:tc>
                <w:tcPr>
                  <w:tcW w:w="114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间断性</w:t>
                  </w:r>
                </w:p>
              </w:tc>
              <w:tc>
                <w:tcPr>
                  <w:tcW w:w="927" w:type="dxa"/>
                  <w:vAlign w:val="center"/>
                </w:tcPr>
                <w:p>
                  <w:pPr>
                    <w:keepNext w:val="0"/>
                    <w:keepLines w:val="0"/>
                    <w:suppressLineNumbers w:val="0"/>
                    <w:spacing w:before="0" w:beforeAutospacing="0" w:after="0" w:afterAutospacing="0"/>
                    <w:ind w:left="0" w:right="0"/>
                    <w:jc w:val="center"/>
                    <w:rPr>
                      <w:rFonts w:ascii="Times New Roman" w:hAnsi="Times New Roman" w:cs="Times New Roman"/>
                    </w:rPr>
                  </w:pPr>
                  <w:r>
                    <w:rPr>
                      <w:rFonts w:ascii="Times New Roman" w:hAnsi="Times New Roman" w:cs="Times New Roman"/>
                    </w:rPr>
                    <w:t>设备1m处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89"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5</w:t>
                  </w:r>
                </w:p>
              </w:tc>
              <w:tc>
                <w:tcPr>
                  <w:tcW w:w="1268"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空压机</w:t>
                  </w:r>
                </w:p>
              </w:tc>
              <w:tc>
                <w:tcPr>
                  <w:tcW w:w="1282"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p>
              </w:tc>
              <w:tc>
                <w:tcPr>
                  <w:tcW w:w="125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90</w:t>
                  </w:r>
                </w:p>
              </w:tc>
              <w:tc>
                <w:tcPr>
                  <w:tcW w:w="80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5</w:t>
                  </w:r>
                </w:p>
              </w:tc>
              <w:tc>
                <w:tcPr>
                  <w:tcW w:w="750"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p>
              </w:tc>
              <w:tc>
                <w:tcPr>
                  <w:tcW w:w="114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间断性</w:t>
                  </w:r>
                </w:p>
              </w:tc>
              <w:tc>
                <w:tcPr>
                  <w:tcW w:w="927" w:type="dxa"/>
                  <w:vAlign w:val="center"/>
                </w:tcPr>
                <w:p>
                  <w:pPr>
                    <w:keepNext w:val="0"/>
                    <w:keepLines w:val="0"/>
                    <w:suppressLineNumbers w:val="0"/>
                    <w:spacing w:before="0" w:beforeAutospacing="0" w:after="0" w:afterAutospacing="0"/>
                    <w:ind w:left="0" w:right="0"/>
                    <w:jc w:val="center"/>
                    <w:rPr>
                      <w:rFonts w:ascii="Times New Roman" w:hAnsi="Times New Roman" w:cs="Times New Roman"/>
                    </w:rPr>
                  </w:pPr>
                  <w:r>
                    <w:rPr>
                      <w:rFonts w:ascii="Times New Roman" w:hAnsi="Times New Roman" w:cs="Times New Roman"/>
                    </w:rPr>
                    <w:t>设备1m处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89"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6</w:t>
                  </w:r>
                </w:p>
              </w:tc>
              <w:tc>
                <w:tcPr>
                  <w:tcW w:w="1268"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爆破噪声</w:t>
                  </w:r>
                </w:p>
              </w:tc>
              <w:tc>
                <w:tcPr>
                  <w:tcW w:w="1282"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p>
              </w:tc>
              <w:tc>
                <w:tcPr>
                  <w:tcW w:w="125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101</w:t>
                  </w:r>
                </w:p>
              </w:tc>
              <w:tc>
                <w:tcPr>
                  <w:tcW w:w="80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w:t>
                  </w:r>
                </w:p>
              </w:tc>
              <w:tc>
                <w:tcPr>
                  <w:tcW w:w="750"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p>
              </w:tc>
              <w:tc>
                <w:tcPr>
                  <w:tcW w:w="114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瞬时性</w:t>
                  </w:r>
                </w:p>
              </w:tc>
              <w:tc>
                <w:tcPr>
                  <w:tcW w:w="927" w:type="dxa"/>
                  <w:vAlign w:val="center"/>
                </w:tcPr>
                <w:p>
                  <w:pPr>
                    <w:keepNext w:val="0"/>
                    <w:keepLines w:val="0"/>
                    <w:suppressLineNumbers w:val="0"/>
                    <w:spacing w:before="0" w:beforeAutospacing="0" w:after="0" w:afterAutospacing="0"/>
                    <w:ind w:left="0" w:right="0"/>
                    <w:jc w:val="center"/>
                    <w:rPr>
                      <w:rFonts w:ascii="Times New Roman" w:hAnsi="Times New Roman" w:cs="Times New Roman"/>
                    </w:rPr>
                  </w:pPr>
                  <w:r>
                    <w:rPr>
                      <w:rFonts w:ascii="Times New Roman" w:hAnsi="Times New Roman" w:cs="Times New Roman"/>
                    </w:rPr>
                    <w:t>声源20m处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89"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7</w:t>
                  </w:r>
                </w:p>
              </w:tc>
              <w:tc>
                <w:tcPr>
                  <w:tcW w:w="1268"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颚式破碎机</w:t>
                  </w:r>
                </w:p>
              </w:tc>
              <w:tc>
                <w:tcPr>
                  <w:tcW w:w="1282"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固定声源</w:t>
                  </w:r>
                </w:p>
              </w:tc>
              <w:tc>
                <w:tcPr>
                  <w:tcW w:w="125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98</w:t>
                  </w:r>
                </w:p>
              </w:tc>
              <w:tc>
                <w:tcPr>
                  <w:tcW w:w="80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1</w:t>
                  </w:r>
                </w:p>
              </w:tc>
              <w:tc>
                <w:tcPr>
                  <w:tcW w:w="750" w:type="dxa"/>
                  <w:vMerge w:val="restart"/>
                  <w:vAlign w:val="center"/>
                </w:tcPr>
                <w:p>
                  <w:pPr>
                    <w:keepNext w:val="0"/>
                    <w:keepLines w:val="0"/>
                    <w:suppressLineNumbers w:val="0"/>
                    <w:spacing w:before="0" w:beforeAutospacing="0" w:after="0" w:afterAutospacing="0"/>
                    <w:ind w:left="0" w:right="0"/>
                    <w:jc w:val="center"/>
                    <w:rPr>
                      <w:rFonts w:ascii="Times New Roman" w:hAnsi="Times New Roman" w:cs="Times New Roman"/>
                    </w:rPr>
                  </w:pPr>
                </w:p>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工业广场</w:t>
                  </w:r>
                </w:p>
              </w:tc>
              <w:tc>
                <w:tcPr>
                  <w:tcW w:w="114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连续性</w:t>
                  </w:r>
                </w:p>
              </w:tc>
              <w:tc>
                <w:tcPr>
                  <w:tcW w:w="927" w:type="dxa"/>
                  <w:vAlign w:val="center"/>
                </w:tcPr>
                <w:p>
                  <w:pPr>
                    <w:keepNext w:val="0"/>
                    <w:keepLines w:val="0"/>
                    <w:suppressLineNumbers w:val="0"/>
                    <w:spacing w:before="0" w:beforeAutospacing="0" w:after="0" w:afterAutospacing="0"/>
                    <w:ind w:left="0" w:right="0"/>
                    <w:jc w:val="center"/>
                    <w:rPr>
                      <w:rFonts w:ascii="Times New Roman" w:hAnsi="Times New Roman" w:cs="Times New Roman"/>
                    </w:rPr>
                  </w:pPr>
                  <w:r>
                    <w:rPr>
                      <w:rFonts w:ascii="Times New Roman" w:hAnsi="Times New Roman" w:cs="Times New Roman"/>
                    </w:rPr>
                    <w:t>设备1m处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89" w:type="dxa"/>
                  <w:vAlign w:val="center"/>
                </w:tcPr>
                <w:p>
                  <w:pPr>
                    <w:keepNext w:val="0"/>
                    <w:keepLines w:val="0"/>
                    <w:suppressLineNumbers w:val="0"/>
                    <w:spacing w:before="0" w:beforeAutospacing="0" w:after="0" w:afterAutospacing="0"/>
                    <w:ind w:left="0" w:right="0"/>
                    <w:jc w:val="center"/>
                    <w:rPr>
                      <w:rFonts w:ascii="Times New Roman" w:hAnsi="Times New Roman" w:cs="Times New Roman"/>
                    </w:rPr>
                  </w:pPr>
                  <w:r>
                    <w:rPr>
                      <w:rFonts w:ascii="Times New Roman" w:hAnsi="Times New Roman" w:cs="Times New Roman"/>
                    </w:rPr>
                    <w:t>8</w:t>
                  </w:r>
                </w:p>
              </w:tc>
              <w:tc>
                <w:tcPr>
                  <w:tcW w:w="1268" w:type="dxa"/>
                  <w:vAlign w:val="center"/>
                </w:tcPr>
                <w:p>
                  <w:pPr>
                    <w:keepNext w:val="0"/>
                    <w:keepLines w:val="0"/>
                    <w:suppressLineNumbers w:val="0"/>
                    <w:spacing w:before="0" w:beforeAutospacing="0" w:after="0" w:afterAutospacing="0"/>
                    <w:ind w:left="0" w:right="0"/>
                    <w:jc w:val="center"/>
                    <w:rPr>
                      <w:rFonts w:ascii="Times New Roman" w:hAnsi="Times New Roman" w:cs="Times New Roman"/>
                    </w:rPr>
                  </w:pPr>
                  <w:r>
                    <w:rPr>
                      <w:rFonts w:ascii="Times New Roman" w:hAnsi="Times New Roman" w:cs="Times New Roman"/>
                    </w:rPr>
                    <w:t>强击式破碎机</w:t>
                  </w:r>
                </w:p>
              </w:tc>
              <w:tc>
                <w:tcPr>
                  <w:tcW w:w="1282" w:type="dxa"/>
                  <w:vAlign w:val="center"/>
                </w:tcPr>
                <w:p>
                  <w:pPr>
                    <w:keepNext w:val="0"/>
                    <w:keepLines w:val="0"/>
                    <w:suppressLineNumbers w:val="0"/>
                    <w:spacing w:before="0" w:beforeAutospacing="0" w:after="0" w:afterAutospacing="0"/>
                    <w:ind w:left="0" w:right="0"/>
                    <w:jc w:val="center"/>
                    <w:rPr>
                      <w:rFonts w:ascii="Times New Roman" w:hAnsi="Times New Roman" w:cs="Times New Roman"/>
                    </w:rPr>
                  </w:pPr>
                  <w:r>
                    <w:rPr>
                      <w:rFonts w:ascii="Times New Roman" w:hAnsi="Times New Roman" w:cs="Times New Roman"/>
                    </w:rPr>
                    <w:t>固定声源</w:t>
                  </w:r>
                </w:p>
              </w:tc>
              <w:tc>
                <w:tcPr>
                  <w:tcW w:w="1255" w:type="dxa"/>
                  <w:vAlign w:val="center"/>
                </w:tcPr>
                <w:p>
                  <w:pPr>
                    <w:keepNext w:val="0"/>
                    <w:keepLines w:val="0"/>
                    <w:suppressLineNumbers w:val="0"/>
                    <w:spacing w:before="0" w:beforeAutospacing="0" w:after="0" w:afterAutospacing="0"/>
                    <w:ind w:left="0" w:right="0"/>
                    <w:jc w:val="center"/>
                    <w:rPr>
                      <w:rFonts w:ascii="Times New Roman" w:hAnsi="Times New Roman" w:cs="Times New Roman"/>
                    </w:rPr>
                  </w:pPr>
                  <w:r>
                    <w:rPr>
                      <w:rFonts w:ascii="Times New Roman" w:hAnsi="Times New Roman" w:cs="Times New Roman"/>
                    </w:rPr>
                    <w:t>90</w:t>
                  </w:r>
                </w:p>
              </w:tc>
              <w:tc>
                <w:tcPr>
                  <w:tcW w:w="804" w:type="dxa"/>
                  <w:vAlign w:val="center"/>
                </w:tcPr>
                <w:p>
                  <w:pPr>
                    <w:keepNext w:val="0"/>
                    <w:keepLines w:val="0"/>
                    <w:suppressLineNumbers w:val="0"/>
                    <w:spacing w:before="0" w:beforeAutospacing="0" w:after="0" w:afterAutospacing="0"/>
                    <w:ind w:left="0" w:right="0"/>
                    <w:jc w:val="center"/>
                    <w:rPr>
                      <w:rFonts w:ascii="Times New Roman" w:hAnsi="Times New Roman" w:cs="Times New Roman"/>
                    </w:rPr>
                  </w:pPr>
                  <w:r>
                    <w:rPr>
                      <w:rFonts w:ascii="Times New Roman" w:hAnsi="Times New Roman" w:cs="Times New Roman"/>
                    </w:rPr>
                    <w:t>1</w:t>
                  </w:r>
                </w:p>
              </w:tc>
              <w:tc>
                <w:tcPr>
                  <w:tcW w:w="750"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p>
              </w:tc>
              <w:tc>
                <w:tcPr>
                  <w:tcW w:w="1146" w:type="dxa"/>
                  <w:vAlign w:val="center"/>
                </w:tcPr>
                <w:p>
                  <w:pPr>
                    <w:keepNext w:val="0"/>
                    <w:keepLines w:val="0"/>
                    <w:suppressLineNumbers w:val="0"/>
                    <w:spacing w:before="0" w:beforeAutospacing="0" w:after="0" w:afterAutospacing="0"/>
                    <w:ind w:left="0" w:right="0"/>
                    <w:jc w:val="center"/>
                    <w:rPr>
                      <w:rFonts w:ascii="Times New Roman" w:hAnsi="Times New Roman" w:cs="Times New Roman"/>
                    </w:rPr>
                  </w:pPr>
                  <w:r>
                    <w:rPr>
                      <w:rFonts w:ascii="Times New Roman" w:hAnsi="Times New Roman" w:cs="Times New Roman"/>
                    </w:rPr>
                    <w:t>连续性</w:t>
                  </w:r>
                </w:p>
              </w:tc>
              <w:tc>
                <w:tcPr>
                  <w:tcW w:w="927" w:type="dxa"/>
                  <w:vAlign w:val="center"/>
                </w:tcPr>
                <w:p>
                  <w:pPr>
                    <w:keepNext w:val="0"/>
                    <w:keepLines w:val="0"/>
                    <w:suppressLineNumbers w:val="0"/>
                    <w:spacing w:before="0" w:beforeAutospacing="0" w:after="0" w:afterAutospacing="0"/>
                    <w:ind w:left="0" w:right="0"/>
                    <w:jc w:val="center"/>
                    <w:rPr>
                      <w:rFonts w:ascii="Times New Roman" w:hAnsi="Times New Roman" w:cs="Times New Roman"/>
                    </w:rPr>
                  </w:pPr>
                  <w:r>
                    <w:rPr>
                      <w:rFonts w:ascii="Times New Roman" w:hAnsi="Times New Roman" w:cs="Times New Roman"/>
                    </w:rPr>
                    <w:t>设备1m处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89" w:type="dxa"/>
                  <w:vAlign w:val="center"/>
                </w:tcPr>
                <w:p>
                  <w:pPr>
                    <w:keepNext w:val="0"/>
                    <w:keepLines w:val="0"/>
                    <w:suppressLineNumbers w:val="0"/>
                    <w:spacing w:before="0" w:beforeAutospacing="0" w:after="0" w:afterAutospacing="0"/>
                    <w:ind w:left="0" w:right="0"/>
                    <w:jc w:val="center"/>
                    <w:rPr>
                      <w:rFonts w:ascii="Times New Roman" w:hAnsi="Times New Roman" w:cs="Times New Roman"/>
                    </w:rPr>
                  </w:pPr>
                  <w:r>
                    <w:rPr>
                      <w:rFonts w:ascii="Times New Roman" w:hAnsi="Times New Roman" w:cs="Times New Roman"/>
                    </w:rPr>
                    <w:t>9</w:t>
                  </w:r>
                </w:p>
              </w:tc>
              <w:tc>
                <w:tcPr>
                  <w:tcW w:w="1268" w:type="dxa"/>
                  <w:vAlign w:val="center"/>
                </w:tcPr>
                <w:p>
                  <w:pPr>
                    <w:keepNext w:val="0"/>
                    <w:keepLines w:val="0"/>
                    <w:suppressLineNumbers w:val="0"/>
                    <w:spacing w:before="0" w:beforeAutospacing="0" w:after="0" w:afterAutospacing="0"/>
                    <w:ind w:left="0" w:right="0"/>
                    <w:jc w:val="center"/>
                    <w:rPr>
                      <w:rFonts w:ascii="Times New Roman" w:hAnsi="Times New Roman" w:cs="Times New Roman"/>
                    </w:rPr>
                  </w:pPr>
                  <w:r>
                    <w:rPr>
                      <w:rFonts w:ascii="Times New Roman" w:hAnsi="Times New Roman" w:cs="Times New Roman"/>
                    </w:rPr>
                    <w:t>制砂机</w:t>
                  </w:r>
                </w:p>
              </w:tc>
              <w:tc>
                <w:tcPr>
                  <w:tcW w:w="1282" w:type="dxa"/>
                  <w:vAlign w:val="center"/>
                </w:tcPr>
                <w:p>
                  <w:pPr>
                    <w:keepNext w:val="0"/>
                    <w:keepLines w:val="0"/>
                    <w:suppressLineNumbers w:val="0"/>
                    <w:spacing w:before="0" w:beforeAutospacing="0" w:after="0" w:afterAutospacing="0"/>
                    <w:ind w:left="0" w:right="0"/>
                    <w:jc w:val="center"/>
                    <w:rPr>
                      <w:rFonts w:ascii="Times New Roman" w:hAnsi="Times New Roman" w:cs="Times New Roman"/>
                    </w:rPr>
                  </w:pPr>
                  <w:r>
                    <w:rPr>
                      <w:rFonts w:ascii="Times New Roman" w:hAnsi="Times New Roman" w:cs="Times New Roman"/>
                    </w:rPr>
                    <w:t>固定声源</w:t>
                  </w:r>
                </w:p>
              </w:tc>
              <w:tc>
                <w:tcPr>
                  <w:tcW w:w="1255" w:type="dxa"/>
                  <w:vAlign w:val="center"/>
                </w:tcPr>
                <w:p>
                  <w:pPr>
                    <w:keepNext w:val="0"/>
                    <w:keepLines w:val="0"/>
                    <w:suppressLineNumbers w:val="0"/>
                    <w:spacing w:before="0" w:beforeAutospacing="0" w:after="0" w:afterAutospacing="0"/>
                    <w:ind w:left="0" w:right="0"/>
                    <w:jc w:val="center"/>
                    <w:rPr>
                      <w:rFonts w:ascii="Times New Roman" w:hAnsi="Times New Roman" w:cs="Times New Roman"/>
                    </w:rPr>
                  </w:pPr>
                  <w:r>
                    <w:rPr>
                      <w:rFonts w:ascii="Times New Roman" w:hAnsi="Times New Roman" w:cs="Times New Roman"/>
                    </w:rPr>
                    <w:t>90</w:t>
                  </w:r>
                </w:p>
              </w:tc>
              <w:tc>
                <w:tcPr>
                  <w:tcW w:w="804" w:type="dxa"/>
                  <w:vAlign w:val="center"/>
                </w:tcPr>
                <w:p>
                  <w:pPr>
                    <w:keepNext w:val="0"/>
                    <w:keepLines w:val="0"/>
                    <w:suppressLineNumbers w:val="0"/>
                    <w:spacing w:before="0" w:beforeAutospacing="0" w:after="0" w:afterAutospacing="0"/>
                    <w:ind w:left="0" w:right="0"/>
                    <w:jc w:val="center"/>
                    <w:rPr>
                      <w:rFonts w:ascii="Times New Roman" w:hAnsi="Times New Roman" w:cs="Times New Roman"/>
                    </w:rPr>
                  </w:pPr>
                  <w:r>
                    <w:rPr>
                      <w:rFonts w:ascii="Times New Roman" w:hAnsi="Times New Roman" w:cs="Times New Roman"/>
                    </w:rPr>
                    <w:t>2</w:t>
                  </w:r>
                </w:p>
              </w:tc>
              <w:tc>
                <w:tcPr>
                  <w:tcW w:w="750"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p>
              </w:tc>
              <w:tc>
                <w:tcPr>
                  <w:tcW w:w="1146" w:type="dxa"/>
                  <w:vAlign w:val="center"/>
                </w:tcPr>
                <w:p>
                  <w:pPr>
                    <w:keepNext w:val="0"/>
                    <w:keepLines w:val="0"/>
                    <w:suppressLineNumbers w:val="0"/>
                    <w:spacing w:before="0" w:beforeAutospacing="0" w:after="0" w:afterAutospacing="0"/>
                    <w:ind w:left="0" w:right="0"/>
                    <w:jc w:val="center"/>
                    <w:rPr>
                      <w:rFonts w:ascii="Times New Roman" w:hAnsi="Times New Roman" w:cs="Times New Roman"/>
                    </w:rPr>
                  </w:pPr>
                  <w:r>
                    <w:rPr>
                      <w:rFonts w:ascii="Times New Roman" w:hAnsi="Times New Roman" w:cs="Times New Roman"/>
                    </w:rPr>
                    <w:t>连续性</w:t>
                  </w:r>
                </w:p>
              </w:tc>
              <w:tc>
                <w:tcPr>
                  <w:tcW w:w="927" w:type="dxa"/>
                  <w:vAlign w:val="center"/>
                </w:tcPr>
                <w:p>
                  <w:pPr>
                    <w:keepNext w:val="0"/>
                    <w:keepLines w:val="0"/>
                    <w:suppressLineNumbers w:val="0"/>
                    <w:spacing w:before="0" w:beforeAutospacing="0" w:after="0" w:afterAutospacing="0"/>
                    <w:ind w:left="0" w:right="0"/>
                    <w:jc w:val="center"/>
                    <w:rPr>
                      <w:rFonts w:ascii="Times New Roman" w:hAnsi="Times New Roman" w:cs="Times New Roman"/>
                    </w:rPr>
                  </w:pPr>
                  <w:r>
                    <w:rPr>
                      <w:rFonts w:ascii="Times New Roman" w:hAnsi="Times New Roman" w:cs="Times New Roman"/>
                    </w:rPr>
                    <w:t>设备1m处</w:t>
                  </w:r>
                </w:p>
              </w:tc>
            </w:tr>
          </w:tbl>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上述主要噪声源中，潜孔钻机、挖掘机、凿岩机、空压机和装载机以及爆破噪声随工作面移动而移动，其中潜孔钻机、挖掘机、凿岩机和装载机等设备应加强日常管理和维护，确保设备处于良好的工作状态，杜绝因设备不正常运转而产生的高噪声现象；爆破噪声通过合理设置装药量，不过量装药，适当增加最小抵抗线等管理措施来实现降低源强。运输噪声则通过控制行车速度来实现降低源强。</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破碎机、筛分机等设备均固定在厂房内，台数多，源强大，需采取安装隔声罩、连接处使用阻尼材料、厂房隔声等措施来实现噪声源强的降低。具体针对各产噪设备采取的措施及采取措施后的源强见下表。</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jc w:val="center"/>
              <w:textAlignment w:val="auto"/>
              <w:rPr>
                <w:rFonts w:hint="default" w:ascii="Times New Roman" w:hAnsi="Times New Roman" w:cs="Times New Roman"/>
                <w:b/>
                <w:bCs/>
                <w:sz w:val="21"/>
                <w:szCs w:val="21"/>
                <w:lang w:val="en-US" w:eastAsia="zh-CN"/>
              </w:rPr>
            </w:pPr>
            <w:r>
              <w:rPr>
                <w:rFonts w:hint="default" w:ascii="Times New Roman" w:hAnsi="Times New Roman" w:cs="Times New Roman"/>
                <w:b/>
                <w:bCs/>
                <w:sz w:val="21"/>
                <w:szCs w:val="21"/>
                <w:lang w:val="en-US" w:eastAsia="zh-CN"/>
              </w:rPr>
              <w:t>表4-5各产噪设备的环保措施及采取措施后的源强</w:t>
            </w:r>
          </w:p>
          <w:tbl>
            <w:tblPr>
              <w:tblStyle w:val="22"/>
              <w:tblW w:w="814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1"/>
              <w:gridCol w:w="1268"/>
              <w:gridCol w:w="1582"/>
              <w:gridCol w:w="3046"/>
              <w:gridCol w:w="16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8" w:hRule="atLeast"/>
              </w:trPr>
              <w:tc>
                <w:tcPr>
                  <w:tcW w:w="62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序号</w:t>
                  </w:r>
                </w:p>
              </w:tc>
              <w:tc>
                <w:tcPr>
                  <w:tcW w:w="1268"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声源</w:t>
                  </w:r>
                </w:p>
              </w:tc>
              <w:tc>
                <w:tcPr>
                  <w:tcW w:w="1582"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采取措施前的源强dB（A）</w:t>
                  </w:r>
                </w:p>
              </w:tc>
              <w:tc>
                <w:tcPr>
                  <w:tcW w:w="304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环保措施</w:t>
                  </w:r>
                </w:p>
              </w:tc>
              <w:tc>
                <w:tcPr>
                  <w:tcW w:w="163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采取措施后的源强dB（A）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2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1</w:t>
                  </w:r>
                </w:p>
              </w:tc>
              <w:tc>
                <w:tcPr>
                  <w:tcW w:w="1268"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潜钻孔机</w:t>
                  </w:r>
                </w:p>
              </w:tc>
              <w:tc>
                <w:tcPr>
                  <w:tcW w:w="1582"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90</w:t>
                  </w:r>
                </w:p>
              </w:tc>
              <w:tc>
                <w:tcPr>
                  <w:tcW w:w="3046" w:type="dxa"/>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设备选型，加强日常管理和维护</w:t>
                  </w:r>
                </w:p>
              </w:tc>
              <w:tc>
                <w:tcPr>
                  <w:tcW w:w="163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85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2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2</w:t>
                  </w:r>
                </w:p>
              </w:tc>
              <w:tc>
                <w:tcPr>
                  <w:tcW w:w="1268"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挖掘机</w:t>
                  </w:r>
                </w:p>
              </w:tc>
              <w:tc>
                <w:tcPr>
                  <w:tcW w:w="1582"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90</w:t>
                  </w:r>
                </w:p>
              </w:tc>
              <w:tc>
                <w:tcPr>
                  <w:tcW w:w="3046"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p>
              </w:tc>
              <w:tc>
                <w:tcPr>
                  <w:tcW w:w="163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85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2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3</w:t>
                  </w:r>
                </w:p>
              </w:tc>
              <w:tc>
                <w:tcPr>
                  <w:tcW w:w="1268"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装载机</w:t>
                  </w:r>
                </w:p>
              </w:tc>
              <w:tc>
                <w:tcPr>
                  <w:tcW w:w="1582"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80</w:t>
                  </w:r>
                </w:p>
              </w:tc>
              <w:tc>
                <w:tcPr>
                  <w:tcW w:w="3046"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p>
              </w:tc>
              <w:tc>
                <w:tcPr>
                  <w:tcW w:w="163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75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2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4</w:t>
                  </w:r>
                </w:p>
              </w:tc>
              <w:tc>
                <w:tcPr>
                  <w:tcW w:w="1268"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凿岩机</w:t>
                  </w:r>
                </w:p>
              </w:tc>
              <w:tc>
                <w:tcPr>
                  <w:tcW w:w="1582"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90</w:t>
                  </w:r>
                </w:p>
              </w:tc>
              <w:tc>
                <w:tcPr>
                  <w:tcW w:w="3046"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p>
              </w:tc>
              <w:tc>
                <w:tcPr>
                  <w:tcW w:w="163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85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2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5</w:t>
                  </w:r>
                </w:p>
              </w:tc>
              <w:tc>
                <w:tcPr>
                  <w:tcW w:w="1268"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空压机</w:t>
                  </w:r>
                </w:p>
              </w:tc>
              <w:tc>
                <w:tcPr>
                  <w:tcW w:w="1582"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90</w:t>
                  </w:r>
                </w:p>
              </w:tc>
              <w:tc>
                <w:tcPr>
                  <w:tcW w:w="3046"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p>
              </w:tc>
              <w:tc>
                <w:tcPr>
                  <w:tcW w:w="163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85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2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6</w:t>
                  </w:r>
                </w:p>
              </w:tc>
              <w:tc>
                <w:tcPr>
                  <w:tcW w:w="1268"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爆破噪声</w:t>
                  </w:r>
                </w:p>
              </w:tc>
              <w:tc>
                <w:tcPr>
                  <w:tcW w:w="1582"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101</w:t>
                  </w:r>
                </w:p>
              </w:tc>
              <w:tc>
                <w:tcPr>
                  <w:tcW w:w="304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合理设置装药量，不过量装药，适当增加最小抵抗线</w:t>
                  </w:r>
                </w:p>
              </w:tc>
              <w:tc>
                <w:tcPr>
                  <w:tcW w:w="163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96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2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7</w:t>
                  </w:r>
                </w:p>
              </w:tc>
              <w:tc>
                <w:tcPr>
                  <w:tcW w:w="1268"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颚式破碎机</w:t>
                  </w:r>
                </w:p>
              </w:tc>
              <w:tc>
                <w:tcPr>
                  <w:tcW w:w="1582"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98</w:t>
                  </w:r>
                </w:p>
              </w:tc>
              <w:tc>
                <w:tcPr>
                  <w:tcW w:w="3046" w:type="dxa"/>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安装隔声罩、连接处使用柔性材料、车间隔声</w:t>
                  </w:r>
                </w:p>
              </w:tc>
              <w:tc>
                <w:tcPr>
                  <w:tcW w:w="163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83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2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8</w:t>
                  </w:r>
                </w:p>
              </w:tc>
              <w:tc>
                <w:tcPr>
                  <w:tcW w:w="1268"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强击式破碎机</w:t>
                  </w:r>
                </w:p>
              </w:tc>
              <w:tc>
                <w:tcPr>
                  <w:tcW w:w="1582"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90</w:t>
                  </w:r>
                </w:p>
              </w:tc>
              <w:tc>
                <w:tcPr>
                  <w:tcW w:w="3046"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p>
              </w:tc>
              <w:tc>
                <w:tcPr>
                  <w:tcW w:w="163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2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9</w:t>
                  </w:r>
                </w:p>
              </w:tc>
              <w:tc>
                <w:tcPr>
                  <w:tcW w:w="1268"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制砂生产线</w:t>
                  </w:r>
                </w:p>
              </w:tc>
              <w:tc>
                <w:tcPr>
                  <w:tcW w:w="1582"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90</w:t>
                  </w:r>
                </w:p>
              </w:tc>
              <w:tc>
                <w:tcPr>
                  <w:tcW w:w="3046"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p>
              </w:tc>
              <w:tc>
                <w:tcPr>
                  <w:tcW w:w="163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21" w:type="dxa"/>
                  <w:vAlign w:val="center"/>
                </w:tcPr>
                <w:p>
                  <w:pPr>
                    <w:keepNext w:val="0"/>
                    <w:keepLines w:val="0"/>
                    <w:suppressLineNumbers w:val="0"/>
                    <w:spacing w:before="0" w:beforeAutospacing="0" w:after="0" w:afterAutospacing="0"/>
                    <w:ind w:left="0" w:right="0"/>
                    <w:jc w:val="center"/>
                    <w:rPr>
                      <w:rFonts w:ascii="Times New Roman" w:hAnsi="Times New Roman" w:cs="Times New Roman"/>
                    </w:rPr>
                  </w:pPr>
                  <w:r>
                    <w:rPr>
                      <w:rFonts w:ascii="Times New Roman" w:hAnsi="Times New Roman" w:cs="Times New Roman"/>
                    </w:rPr>
                    <w:t>10</w:t>
                  </w:r>
                </w:p>
              </w:tc>
              <w:tc>
                <w:tcPr>
                  <w:tcW w:w="1268" w:type="dxa"/>
                  <w:vAlign w:val="center"/>
                </w:tcPr>
                <w:p>
                  <w:pPr>
                    <w:keepNext w:val="0"/>
                    <w:keepLines w:val="0"/>
                    <w:suppressLineNumbers w:val="0"/>
                    <w:spacing w:before="0" w:beforeAutospacing="0" w:after="0" w:afterAutospacing="0"/>
                    <w:ind w:left="0" w:right="0"/>
                    <w:jc w:val="center"/>
                    <w:rPr>
                      <w:rFonts w:ascii="Times New Roman" w:hAnsi="Times New Roman" w:cs="Times New Roman"/>
                    </w:rPr>
                  </w:pPr>
                  <w:r>
                    <w:rPr>
                      <w:rFonts w:ascii="Times New Roman" w:hAnsi="Times New Roman" w:cs="Times New Roman"/>
                    </w:rPr>
                    <w:t>振动筛</w:t>
                  </w:r>
                </w:p>
              </w:tc>
              <w:tc>
                <w:tcPr>
                  <w:tcW w:w="1582" w:type="dxa"/>
                  <w:vAlign w:val="center"/>
                </w:tcPr>
                <w:p>
                  <w:pPr>
                    <w:keepNext w:val="0"/>
                    <w:keepLines w:val="0"/>
                    <w:suppressLineNumbers w:val="0"/>
                    <w:spacing w:before="0" w:beforeAutospacing="0" w:after="0" w:afterAutospacing="0"/>
                    <w:ind w:left="0" w:right="0"/>
                    <w:jc w:val="center"/>
                    <w:rPr>
                      <w:rFonts w:ascii="Times New Roman" w:hAnsi="Times New Roman" w:cs="Times New Roman"/>
                    </w:rPr>
                  </w:pPr>
                  <w:r>
                    <w:rPr>
                      <w:rFonts w:ascii="Times New Roman" w:hAnsi="Times New Roman" w:cs="Times New Roman"/>
                    </w:rPr>
                    <w:t>85</w:t>
                  </w:r>
                </w:p>
              </w:tc>
              <w:tc>
                <w:tcPr>
                  <w:tcW w:w="3046"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p>
              </w:tc>
              <w:tc>
                <w:tcPr>
                  <w:tcW w:w="1630" w:type="dxa"/>
                  <w:vAlign w:val="center"/>
                </w:tcPr>
                <w:p>
                  <w:pPr>
                    <w:keepNext w:val="0"/>
                    <w:keepLines w:val="0"/>
                    <w:suppressLineNumbers w:val="0"/>
                    <w:spacing w:before="0" w:beforeAutospacing="0" w:after="0" w:afterAutospacing="0"/>
                    <w:ind w:left="0" w:right="0"/>
                    <w:jc w:val="center"/>
                    <w:rPr>
                      <w:rFonts w:ascii="Times New Roman" w:hAnsi="Times New Roman" w:cs="Times New Roman"/>
                    </w:rPr>
                  </w:pPr>
                  <w:r>
                    <w:rPr>
                      <w:rFonts w:ascii="Times New Roman" w:hAnsi="Times New Roman" w:cs="Times New Roman"/>
                    </w:rPr>
                    <w:t>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21" w:type="dxa"/>
                  <w:vAlign w:val="center"/>
                </w:tcPr>
                <w:p>
                  <w:pPr>
                    <w:keepNext w:val="0"/>
                    <w:keepLines w:val="0"/>
                    <w:suppressLineNumbers w:val="0"/>
                    <w:spacing w:before="0" w:beforeAutospacing="0" w:after="0" w:afterAutospacing="0"/>
                    <w:ind w:left="0" w:right="0"/>
                    <w:jc w:val="center"/>
                    <w:rPr>
                      <w:rFonts w:ascii="Times New Roman" w:hAnsi="Times New Roman" w:cs="Times New Roman"/>
                    </w:rPr>
                  </w:pPr>
                  <w:r>
                    <w:rPr>
                      <w:rFonts w:ascii="Times New Roman" w:hAnsi="Times New Roman" w:cs="Times New Roman"/>
                    </w:rPr>
                    <w:t>11</w:t>
                  </w:r>
                </w:p>
              </w:tc>
              <w:tc>
                <w:tcPr>
                  <w:tcW w:w="1268" w:type="dxa"/>
                  <w:vAlign w:val="center"/>
                </w:tcPr>
                <w:p>
                  <w:pPr>
                    <w:keepNext w:val="0"/>
                    <w:keepLines w:val="0"/>
                    <w:suppressLineNumbers w:val="0"/>
                    <w:spacing w:before="0" w:beforeAutospacing="0" w:after="0" w:afterAutospacing="0"/>
                    <w:ind w:left="0" w:right="0"/>
                    <w:jc w:val="center"/>
                    <w:rPr>
                      <w:rFonts w:ascii="Times New Roman" w:hAnsi="Times New Roman" w:cs="Times New Roman"/>
                    </w:rPr>
                  </w:pPr>
                  <w:r>
                    <w:rPr>
                      <w:rFonts w:ascii="Times New Roman" w:hAnsi="Times New Roman" w:cs="Times New Roman"/>
                    </w:rPr>
                    <w:t>运输噪声</w:t>
                  </w:r>
                </w:p>
              </w:tc>
              <w:tc>
                <w:tcPr>
                  <w:tcW w:w="1582" w:type="dxa"/>
                  <w:vAlign w:val="center"/>
                </w:tcPr>
                <w:p>
                  <w:pPr>
                    <w:keepNext w:val="0"/>
                    <w:keepLines w:val="0"/>
                    <w:suppressLineNumbers w:val="0"/>
                    <w:spacing w:before="0" w:beforeAutospacing="0" w:after="0" w:afterAutospacing="0"/>
                    <w:ind w:left="0" w:right="0"/>
                    <w:jc w:val="center"/>
                    <w:rPr>
                      <w:rFonts w:ascii="Times New Roman" w:hAnsi="Times New Roman" w:cs="Times New Roman"/>
                    </w:rPr>
                  </w:pPr>
                  <w:r>
                    <w:rPr>
                      <w:rFonts w:ascii="Times New Roman" w:hAnsi="Times New Roman" w:cs="Times New Roman"/>
                    </w:rPr>
                    <w:t>75~85</w:t>
                  </w:r>
                </w:p>
              </w:tc>
              <w:tc>
                <w:tcPr>
                  <w:tcW w:w="304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控制车速</w:t>
                  </w:r>
                </w:p>
              </w:tc>
              <w:tc>
                <w:tcPr>
                  <w:tcW w:w="1630" w:type="dxa"/>
                  <w:vAlign w:val="center"/>
                </w:tcPr>
                <w:p>
                  <w:pPr>
                    <w:keepNext w:val="0"/>
                    <w:keepLines w:val="0"/>
                    <w:suppressLineNumbers w:val="0"/>
                    <w:spacing w:before="0" w:beforeAutospacing="0" w:after="0" w:afterAutospacing="0"/>
                    <w:ind w:left="0" w:right="0"/>
                    <w:jc w:val="center"/>
                    <w:rPr>
                      <w:rFonts w:ascii="Times New Roman" w:hAnsi="Times New Roman" w:cs="Times New Roman"/>
                    </w:rPr>
                  </w:pPr>
                  <w:r>
                    <w:rPr>
                      <w:rFonts w:ascii="Times New Roman" w:hAnsi="Times New Roman" w:cs="Times New Roman"/>
                    </w:rPr>
                    <w:t>60~70</w:t>
                  </w:r>
                </w:p>
              </w:tc>
            </w:tr>
          </w:tbl>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2" w:firstLineChars="200"/>
              <w:textAlignment w:val="auto"/>
              <w:rPr>
                <w:rFonts w:hint="default" w:ascii="Times New Roman" w:hAnsi="Times New Roman" w:cs="Times New Roman"/>
                <w:b/>
                <w:bCs/>
                <w:sz w:val="24"/>
                <w:szCs w:val="24"/>
                <w:lang w:val="en-US" w:eastAsia="zh-CN"/>
              </w:rPr>
            </w:pPr>
            <w:r>
              <w:rPr>
                <w:rFonts w:hint="default" w:ascii="Times New Roman" w:hAnsi="Times New Roman" w:cs="Times New Roman"/>
                <w:b/>
                <w:bCs/>
                <w:sz w:val="24"/>
                <w:szCs w:val="24"/>
                <w:lang w:val="en-US" w:eastAsia="zh-CN"/>
              </w:rPr>
              <w:t>（2）声环境影响分析</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1）爆破影响分析</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爆破噪声的产生与爆破的装药量、装药方式、距离等多种因素有关。根据类比调查，爆破噪声级在距爆破点20m处，爆破噪声约为101dB（A）。采石场爆破噪声为瞬时性和间歇性噪声源，声压级高，传播距离远。</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爆炸过程产生强烈的冲击噪声，由于爆破时间极短，一般仅为几秒到十几秒，因此从总体上看其影响不大。</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根据《湖南省永州市零陵区羊轱岭矿区建筑石料用石灰岩矿矿山生态保护修复方案》，矿区北西侧边界有居民房屋13户未达到300m安全距要求，即300m爆破安全警戒范围内有居民。目前，零陵区砂石矿开发利用指挥部已在落实300m爆破安全警戒范围内居民的拆迁安置工作，并承诺在本项目开采前完成拆迁安置。在对爆破安全警戒范围内的民房全部征用或拆迁外移后，周边300米内无常住居民，在此前提下，项目爆破对周边影响不大。</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①冲击波影响分析</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冲击波又叫声浪，是由浅孔爆破瞬间所产生的超压所致，冲击波是靠空气来传播的，当能量足够大时可摧毁地面设施或建筑。冲击波在传播过程中其能量、强度随距离增加逐渐衰减最后消失。其强度（超压）可按下式进行预测计算：</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20" w:firstLineChars="200"/>
              <w:jc w:val="center"/>
              <w:textAlignment w:val="auto"/>
              <w:rPr>
                <w:rFonts w:hint="default" w:ascii="Times New Roman" w:hAnsi="Times New Roman" w:cs="Times New Roman"/>
                <w:sz w:val="24"/>
                <w:szCs w:val="24"/>
                <w:lang w:val="en-US" w:eastAsia="zh-CN"/>
              </w:rPr>
            </w:pPr>
            <w:r>
              <w:rPr>
                <w:rFonts w:ascii="Times New Roman" w:hAnsi="Times New Roman" w:cs="Times New Roman"/>
                <w:position w:val="-11"/>
              </w:rPr>
              <w:drawing>
                <wp:inline distT="0" distB="0" distL="0" distR="0">
                  <wp:extent cx="1216660" cy="358775"/>
                  <wp:effectExtent l="0" t="0" r="2540" b="3175"/>
                  <wp:docPr id="64" name="IM 56"/>
                  <wp:cNvGraphicFramePr/>
                  <a:graphic xmlns:a="http://schemas.openxmlformats.org/drawingml/2006/main">
                    <a:graphicData uri="http://schemas.openxmlformats.org/drawingml/2006/picture">
                      <pic:pic xmlns:pic="http://schemas.openxmlformats.org/drawingml/2006/picture">
                        <pic:nvPicPr>
                          <pic:cNvPr id="64" name="IM 56"/>
                          <pic:cNvPicPr/>
                        </pic:nvPicPr>
                        <pic:blipFill>
                          <a:blip r:embed="rId21"/>
                          <a:stretch>
                            <a:fillRect/>
                          </a:stretch>
                        </pic:blipFill>
                        <pic:spPr>
                          <a:xfrm>
                            <a:off x="0" y="0"/>
                            <a:ext cx="1216660" cy="358775"/>
                          </a:xfrm>
                          <a:prstGeom prst="rect">
                            <a:avLst/>
                          </a:prstGeom>
                          <a:noFill/>
                          <a:ln>
                            <a:noFill/>
                          </a:ln>
                        </pic:spPr>
                      </pic:pic>
                    </a:graphicData>
                  </a:graphic>
                </wp:inline>
              </w:drawing>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式中：ΔP—空气冲击波超压，kg/cm2；Q—一次爆破的药量，kg；</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R—空气冲击波传播的距离，m；</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h—与爆破场地条件有关的参数，毫秒微差起爆的炮孔爆破，取h=1.43；</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β—空气冲击波的衰减指数，毫秒微差起爆的炮孔爆破，取β=1.55。</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冲击波的强度是由装药量决定的，因此在爆破时根据距离项目最近的敏感点确定合适的装药量。爆破前应通知附近的居民、单位，并选择影响最小的时段进行爆破，爆破时间确定后不要任意变更。为确保周围被保护建（构）筑物和人员的安全，取ΔP=0.01kg/cm2，R=200m，则计算得出一次最大的爆破药量允许量为500kg，本工程一天一次最大爆破量为333.3kg，满足保护建（构）筑物和人员的安全的要求；根据调查，项目评价范围内无珍稀动物的存在。但由于植被的破坏和冲击波的影响，生活在其中的普通鸟类、田鼠、昆虫等小动物，将会受到一定影响。为进一步减少爆炸冲击波对周围的影响，同时还应采取以下安全措施：</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a、选择合理的最小抵抗线，保护充分破碎岩石，消除夹制爆破条件，防止大量爆炸气体从顶部集中送出。</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b、确定合理的爆破参数，以促使爆炸能充分用于破碎岩石，减少形成空气冲击波的条件。</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c、保证有足够的充填长度，提高充填质量，必要时可采取分段装药反向起爆，以防止产生冲天炮。</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d、禁止采用裸露药包破碎大块岩石。</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②振动</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爆破工序的另一个危害是振动。当进行中深孔爆破时，能量主要消耗在岩石内，因此可导致地面的振动。这种地面振动自爆破中心向四周传播，当强度足够大时会破坏地面建筑，因此必须给以足够的重视。</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爆破在岩石中产生的弹性波是能量在质点之间的传播，在此过程中存在着两种速度形式：第一种是介质密度框定并受介质影响的振动速度，另一种是由振动能量激发的质点在其平衡位置处的振动速度。表示爆破振动破坏的强弱程度叫振动强度或振动烈度，而确定爆破引起的振动强度和破坏标准需要的参数通常是质点振动速度。通常，振动强度可以用质点振动速度、位移、加速度和振动频率等物理量表示。大量资料显示，质点振动速度与一次爆破的装药量大小、测点至爆源的距离、地质条件和爆破方法等因素有关。根据《爆破安全规程》（GB6722-2014）推荐的公式及系数来计算爆破的振动速度，计算公式如下：</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jc w:val="center"/>
              <w:textAlignment w:val="auto"/>
              <w:rPr>
                <w:rFonts w:ascii="Times New Roman" w:hAnsi="Times New Roman" w:cs="Times New Roman"/>
                <w:position w:val="-21"/>
              </w:rPr>
            </w:pPr>
            <w:r>
              <w:rPr>
                <w:rFonts w:ascii="Times New Roman" w:hAnsi="Times New Roman" w:cs="Times New Roman"/>
                <w:position w:val="-21"/>
              </w:rPr>
              <w:drawing>
                <wp:inline distT="0" distB="0" distL="0" distR="0">
                  <wp:extent cx="1284605" cy="677545"/>
                  <wp:effectExtent l="0" t="0" r="10795" b="8255"/>
                  <wp:docPr id="65" name="IM 58"/>
                  <wp:cNvGraphicFramePr/>
                  <a:graphic xmlns:a="http://schemas.openxmlformats.org/drawingml/2006/main">
                    <a:graphicData uri="http://schemas.openxmlformats.org/drawingml/2006/picture">
                      <pic:pic xmlns:pic="http://schemas.openxmlformats.org/drawingml/2006/picture">
                        <pic:nvPicPr>
                          <pic:cNvPr id="65" name="IM 58"/>
                          <pic:cNvPicPr/>
                        </pic:nvPicPr>
                        <pic:blipFill>
                          <a:blip r:embed="rId22"/>
                          <a:stretch>
                            <a:fillRect/>
                          </a:stretch>
                        </pic:blipFill>
                        <pic:spPr>
                          <a:xfrm>
                            <a:off x="0" y="0"/>
                            <a:ext cx="1284605" cy="677545"/>
                          </a:xfrm>
                          <a:prstGeom prst="rect">
                            <a:avLst/>
                          </a:prstGeom>
                          <a:noFill/>
                          <a:ln>
                            <a:noFill/>
                          </a:ln>
                        </pic:spPr>
                      </pic:pic>
                    </a:graphicData>
                  </a:graphic>
                </wp:inline>
              </w:drawing>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式中：V—质点振动速度，cm/s；</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1200" w:firstLineChars="5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Q—最大一段装药量，kg，单孔装药量取40kg；</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1200" w:firstLineChars="5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R—从测点到爆破中心的距离，m；</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1200" w:firstLineChars="5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K—与爆破场地条件有关系数，取100；</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1200" w:firstLineChars="5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α—与地质条件有关的系数，取1.8</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根据计算，距爆破中心不同距离处的振动速度预测结果见下表。</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jc w:val="center"/>
              <w:textAlignment w:val="auto"/>
              <w:rPr>
                <w:rFonts w:hint="default" w:ascii="Times New Roman" w:hAnsi="Times New Roman" w:cs="Times New Roman"/>
                <w:b/>
                <w:bCs/>
                <w:sz w:val="21"/>
                <w:szCs w:val="21"/>
                <w:lang w:val="en-US" w:eastAsia="zh-CN"/>
              </w:rPr>
            </w:pPr>
            <w:r>
              <w:rPr>
                <w:rFonts w:hint="default" w:ascii="Times New Roman" w:hAnsi="Times New Roman" w:cs="Times New Roman"/>
                <w:b/>
                <w:bCs/>
                <w:sz w:val="21"/>
                <w:szCs w:val="21"/>
                <w:lang w:val="en-US" w:eastAsia="zh-CN"/>
              </w:rPr>
              <w:t>表4-6各产噪设备的环保措施及采取措施后的源强</w:t>
            </w:r>
          </w:p>
          <w:tbl>
            <w:tblPr>
              <w:tblStyle w:val="22"/>
              <w:tblW w:w="814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34"/>
              <w:gridCol w:w="689"/>
              <w:gridCol w:w="689"/>
              <w:gridCol w:w="689"/>
              <w:gridCol w:w="750"/>
              <w:gridCol w:w="689"/>
              <w:gridCol w:w="830"/>
              <w:gridCol w:w="689"/>
              <w:gridCol w:w="794"/>
              <w:gridCol w:w="7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44" w:hRule="atLeast"/>
              </w:trPr>
              <w:tc>
                <w:tcPr>
                  <w:tcW w:w="1534" w:type="dxa"/>
                </w:tcPr>
                <w:p>
                  <w:pPr>
                    <w:keepNext w:val="0"/>
                    <w:keepLines w:val="0"/>
                    <w:suppressLineNumbers w:val="0"/>
                    <w:spacing w:before="0" w:beforeAutospacing="0" w:after="0" w:afterAutospacing="0"/>
                    <w:ind w:left="0" w:right="0"/>
                    <w:jc w:val="left"/>
                    <w:rPr>
                      <w:rFonts w:hint="default" w:ascii="Times New Roman" w:hAnsi="Times New Roman" w:cs="Times New Roman"/>
                      <w:lang w:val="en-US" w:eastAsia="zh-CN"/>
                    </w:rPr>
                  </w:pPr>
                  <w:r>
                    <w:rPr>
                      <w:rFonts w:ascii="Times New Roman" w:hAnsi="Times New Roman" w:cs="Times New Roman"/>
                      <w:sz w:val="21"/>
                    </w:rPr>
                    <mc:AlternateContent>
                      <mc:Choice Requires="wps">
                        <w:drawing>
                          <wp:anchor distT="0" distB="0" distL="114300" distR="114300" simplePos="0" relativeHeight="251662336" behindDoc="0" locked="0" layoutInCell="1" allowOverlap="1">
                            <wp:simplePos x="0" y="0"/>
                            <wp:positionH relativeFrom="column">
                              <wp:posOffset>361315</wp:posOffset>
                            </wp:positionH>
                            <wp:positionV relativeFrom="paragraph">
                              <wp:posOffset>86995</wp:posOffset>
                            </wp:positionV>
                            <wp:extent cx="597535" cy="278765"/>
                            <wp:effectExtent l="0" t="0" r="0" b="0"/>
                            <wp:wrapNone/>
                            <wp:docPr id="54" name="文本框 18"/>
                            <wp:cNvGraphicFramePr/>
                            <a:graphic xmlns:a="http://schemas.openxmlformats.org/drawingml/2006/main">
                              <a:graphicData uri="http://schemas.microsoft.com/office/word/2010/wordprocessingShape">
                                <wps:wsp>
                                  <wps:cNvSpPr txBox="1"/>
                                  <wps:spPr>
                                    <a:xfrm>
                                      <a:off x="1828165" y="3499485"/>
                                      <a:ext cx="597535" cy="278765"/>
                                    </a:xfrm>
                                    <a:prstGeom prst="rect">
                                      <a:avLst/>
                                    </a:prstGeom>
                                    <a:noFill/>
                                    <a:ln w="6350">
                                      <a:noFill/>
                                    </a:ln>
                                    <a:effectLst/>
                                  </wps:spPr>
                                  <wps:txbx>
                                    <w:txbxContent>
                                      <w:p>
                                        <w:pPr>
                                          <w:rPr>
                                            <w:rFonts w:hint="default" w:eastAsia="宋体"/>
                                            <w:lang w:val="en-US" w:eastAsia="zh-CN"/>
                                          </w:rPr>
                                        </w:pPr>
                                        <w:r>
                                          <w:rPr>
                                            <w:rFonts w:hint="eastAsia"/>
                                            <w:lang w:val="en-US" w:eastAsia="zh-CN"/>
                                          </w:rPr>
                                          <w:t>距离m</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文本框 18" o:spid="_x0000_s1026" o:spt="202" type="#_x0000_t202" style="position:absolute;left:0pt;margin-left:28.45pt;margin-top:6.85pt;height:21.95pt;width:47.05pt;z-index:251662336;mso-width-relative:page;mso-height-relative:page;" filled="f" stroked="f" coordsize="21600,21600" o:gfxdata="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Ewt60fYAAAACAEAAA8AAAAAAAAAAQAgAAAAIgAAAGRycy9kb3ducmV2Lnht&#10;bFBLAQIUABQAAAAIAIdO4kCiyKSJMgIAADMEAAAOAAAAAAAAAAEAIAAAACcBAABkcnMvZTJvRG9j&#10;LnhtbFBLBQYAAAAABgAGAFkBAADLBQAAAAA=&#10;">
                            <v:fill on="f" focussize="0,0"/>
                            <v:stroke on="f" weight="0.5pt"/>
                            <v:imagedata o:title=""/>
                            <o:lock v:ext="edit" aspectratio="f"/>
                            <v:textbox>
                              <w:txbxContent>
                                <w:p>
                                  <w:pPr>
                                    <w:rPr>
                                      <w:rFonts w:hint="default" w:eastAsia="宋体"/>
                                      <w:lang w:val="en-US" w:eastAsia="zh-CN"/>
                                    </w:rPr>
                                  </w:pPr>
                                  <w:r>
                                    <w:rPr>
                                      <w:rFonts w:hint="eastAsia"/>
                                      <w:lang w:val="en-US" w:eastAsia="zh-CN"/>
                                    </w:rPr>
                                    <w:t>距离m</w:t>
                                  </w:r>
                                </w:p>
                              </w:txbxContent>
                            </v:textbox>
                          </v:shape>
                        </w:pict>
                      </mc:Fallback>
                    </mc:AlternateContent>
                  </w:r>
                  <w:r>
                    <w:rPr>
                      <w:rFonts w:ascii="Times New Roman" w:hAnsi="Times New Roman" w:cs="Times New Roman"/>
                      <w:sz w:val="21"/>
                    </w:rPr>
                    <mc:AlternateContent>
                      <mc:Choice Requires="wps">
                        <w:drawing>
                          <wp:anchor distT="0" distB="0" distL="114300" distR="114300" simplePos="0" relativeHeight="251663360" behindDoc="0" locked="0" layoutInCell="1" allowOverlap="1">
                            <wp:simplePos x="0" y="0"/>
                            <wp:positionH relativeFrom="column">
                              <wp:posOffset>-131445</wp:posOffset>
                            </wp:positionH>
                            <wp:positionV relativeFrom="paragraph">
                              <wp:posOffset>375920</wp:posOffset>
                            </wp:positionV>
                            <wp:extent cx="908050" cy="494665"/>
                            <wp:effectExtent l="0" t="0" r="0" b="0"/>
                            <wp:wrapNone/>
                            <wp:docPr id="55" name="文本框 19"/>
                            <wp:cNvGraphicFramePr/>
                            <a:graphic xmlns:a="http://schemas.openxmlformats.org/drawingml/2006/main">
                              <a:graphicData uri="http://schemas.microsoft.com/office/word/2010/wordprocessingShape">
                                <wps:wsp>
                                  <wps:cNvSpPr txBox="1"/>
                                  <wps:spPr>
                                    <a:xfrm>
                                      <a:off x="1525270" y="3577590"/>
                                      <a:ext cx="908050" cy="494665"/>
                                    </a:xfrm>
                                    <a:prstGeom prst="rect">
                                      <a:avLst/>
                                    </a:prstGeom>
                                    <a:noFill/>
                                    <a:ln w="6350">
                                      <a:noFill/>
                                    </a:ln>
                                    <a:effectLst/>
                                  </wps:spPr>
                                  <wps:txbx>
                                    <w:txbxContent>
                                      <w:p>
                                        <w:pPr>
                                          <w:jc w:val="left"/>
                                        </w:pPr>
                                        <w:r>
                                          <w:rPr>
                                            <w:spacing w:val="7"/>
                                            <w:sz w:val="20"/>
                                            <w:szCs w:val="20"/>
                                          </w:rPr>
                                          <w:t>振动速度</w:t>
                                        </w:r>
                                        <w:r>
                                          <w:rPr>
                                            <w:rFonts w:ascii="Times New Roman" w:hAnsi="Times New Roman" w:eastAsia="Times New Roman" w:cs="Times New Roman"/>
                                            <w:sz w:val="20"/>
                                            <w:szCs w:val="20"/>
                                          </w:rPr>
                                          <w:t>cm</w:t>
                                        </w:r>
                                        <w:r>
                                          <w:rPr>
                                            <w:rFonts w:ascii="Times New Roman" w:hAnsi="Times New Roman" w:eastAsia="Times New Roman" w:cs="Times New Roman"/>
                                            <w:spacing w:val="3"/>
                                            <w:sz w:val="20"/>
                                            <w:szCs w:val="20"/>
                                          </w:rPr>
                                          <w:t>/s</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文本框 19" o:spid="_x0000_s1026" o:spt="202" type="#_x0000_t202" style="position:absolute;left:0pt;margin-left:-10.35pt;margin-top:29.6pt;height:38.95pt;width:71.5pt;z-index:251663360;mso-width-relative:page;mso-height-relative:page;" filled="f" stroked="f" coordsize="21600,21600" o:gfxdata="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9D9Z+tsAAAAKAQAADwAAAAAAAAABACAAAAAiAAAAZHJzL2Rvd25yZXYueG1s&#10;UEsBAhQAFAAAAAgAh07iQOfPgTIuAgAAMwQAAA4AAAAAAAAAAQAgAAAAKgEAAGRycy9lMm9Eb2Mu&#10;eG1sUEsFBgAAAAAGAAYAWQEAAMoFAAAAAA==&#10;">
                            <v:fill on="f" focussize="0,0"/>
                            <v:stroke on="f" weight="0.5pt"/>
                            <v:imagedata o:title=""/>
                            <o:lock v:ext="edit" aspectratio="f"/>
                            <v:textbox>
                              <w:txbxContent>
                                <w:p>
                                  <w:pPr>
                                    <w:jc w:val="left"/>
                                  </w:pPr>
                                  <w:r>
                                    <w:rPr>
                                      <w:spacing w:val="7"/>
                                      <w:sz w:val="20"/>
                                      <w:szCs w:val="20"/>
                                    </w:rPr>
                                    <w:t>振动速度</w:t>
                                  </w:r>
                                  <w:r>
                                    <w:rPr>
                                      <w:rFonts w:ascii="Times New Roman" w:hAnsi="Times New Roman" w:eastAsia="Times New Roman" w:cs="Times New Roman"/>
                                      <w:sz w:val="20"/>
                                      <w:szCs w:val="20"/>
                                    </w:rPr>
                                    <w:t>cm</w:t>
                                  </w:r>
                                  <w:r>
                                    <w:rPr>
                                      <w:rFonts w:ascii="Times New Roman" w:hAnsi="Times New Roman" w:eastAsia="Times New Roman" w:cs="Times New Roman"/>
                                      <w:spacing w:val="3"/>
                                      <w:sz w:val="20"/>
                                      <w:szCs w:val="20"/>
                                    </w:rPr>
                                    <w:t>/s</w:t>
                                  </w:r>
                                </w:p>
                              </w:txbxContent>
                            </v:textbox>
                          </v:shape>
                        </w:pict>
                      </mc:Fallback>
                    </mc:AlternateContent>
                  </w:r>
                  <w:r>
                    <w:rPr>
                      <w:rFonts w:ascii="Times New Roman" w:hAnsi="Times New Roman" w:cs="Times New Roman"/>
                    </w:rPr>
                    <w:drawing>
                      <wp:anchor distT="0" distB="0" distL="0" distR="0" simplePos="0" relativeHeight="251661312" behindDoc="1" locked="0" layoutInCell="1" allowOverlap="1">
                        <wp:simplePos x="0" y="0"/>
                        <wp:positionH relativeFrom="column">
                          <wp:posOffset>-56515</wp:posOffset>
                        </wp:positionH>
                        <wp:positionV relativeFrom="paragraph">
                          <wp:posOffset>28575</wp:posOffset>
                        </wp:positionV>
                        <wp:extent cx="1022350" cy="694690"/>
                        <wp:effectExtent l="0" t="0" r="6350" b="10160"/>
                        <wp:wrapNone/>
                        <wp:docPr id="53" name="IM 60"/>
                        <wp:cNvGraphicFramePr/>
                        <a:graphic xmlns:a="http://schemas.openxmlformats.org/drawingml/2006/main">
                          <a:graphicData uri="http://schemas.openxmlformats.org/drawingml/2006/picture">
                            <pic:pic xmlns:pic="http://schemas.openxmlformats.org/drawingml/2006/picture">
                              <pic:nvPicPr>
                                <pic:cNvPr id="53" name="IM 60"/>
                                <pic:cNvPicPr/>
                              </pic:nvPicPr>
                              <pic:blipFill>
                                <a:blip r:embed="rId23"/>
                                <a:stretch>
                                  <a:fillRect/>
                                </a:stretch>
                              </pic:blipFill>
                              <pic:spPr>
                                <a:xfrm>
                                  <a:off x="0" y="0"/>
                                  <a:ext cx="1022350" cy="694690"/>
                                </a:xfrm>
                                <a:prstGeom prst="rect">
                                  <a:avLst/>
                                </a:prstGeom>
                                <a:noFill/>
                                <a:ln>
                                  <a:noFill/>
                                </a:ln>
                              </pic:spPr>
                            </pic:pic>
                          </a:graphicData>
                        </a:graphic>
                      </wp:anchor>
                    </w:drawing>
                  </w:r>
                </w:p>
              </w:tc>
              <w:tc>
                <w:tcPr>
                  <w:tcW w:w="689"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100</w:t>
                  </w:r>
                </w:p>
              </w:tc>
              <w:tc>
                <w:tcPr>
                  <w:tcW w:w="689"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110</w:t>
                  </w:r>
                </w:p>
              </w:tc>
              <w:tc>
                <w:tcPr>
                  <w:tcW w:w="689"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200</w:t>
                  </w:r>
                </w:p>
              </w:tc>
              <w:tc>
                <w:tcPr>
                  <w:tcW w:w="75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300</w:t>
                  </w:r>
                </w:p>
              </w:tc>
              <w:tc>
                <w:tcPr>
                  <w:tcW w:w="689"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400</w:t>
                  </w:r>
                </w:p>
              </w:tc>
              <w:tc>
                <w:tcPr>
                  <w:tcW w:w="83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500</w:t>
                  </w:r>
                </w:p>
              </w:tc>
              <w:tc>
                <w:tcPr>
                  <w:tcW w:w="689"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600</w:t>
                  </w:r>
                </w:p>
              </w:tc>
              <w:tc>
                <w:tcPr>
                  <w:tcW w:w="79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700</w:t>
                  </w:r>
                </w:p>
              </w:tc>
              <w:tc>
                <w:tcPr>
                  <w:tcW w:w="79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800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34" w:type="dxa"/>
                </w:tcPr>
                <w:p>
                  <w:pPr>
                    <w:keepNext w:val="0"/>
                    <w:keepLines w:val="0"/>
                    <w:suppressLineNumbers w:val="0"/>
                    <w:spacing w:before="0" w:beforeAutospacing="0" w:after="0" w:afterAutospacing="0"/>
                    <w:ind w:left="0" w:right="0"/>
                    <w:jc w:val="left"/>
                    <w:rPr>
                      <w:rFonts w:hint="default" w:ascii="Times New Roman" w:hAnsi="Times New Roman" w:cs="Times New Roman"/>
                      <w:lang w:val="en-US" w:eastAsia="zh-CN"/>
                    </w:rPr>
                  </w:pPr>
                  <w:r>
                    <w:rPr>
                      <w:rFonts w:hint="default" w:ascii="Times New Roman" w:hAnsi="Times New Roman" w:cs="Times New Roman"/>
                      <w:lang w:val="en-US" w:eastAsia="zh-CN"/>
                    </w:rPr>
                    <w:t>装药量40kg</w:t>
                  </w:r>
                </w:p>
              </w:tc>
              <w:tc>
                <w:tcPr>
                  <w:tcW w:w="689" w:type="dxa"/>
                  <w:vAlign w:val="top"/>
                </w:tcPr>
                <w:p>
                  <w:pPr>
                    <w:keepNext w:val="0"/>
                    <w:keepLines w:val="0"/>
                    <w:suppressLineNumbers w:val="0"/>
                    <w:spacing w:before="0" w:beforeAutospacing="0" w:after="0" w:afterAutospacing="0"/>
                    <w:ind w:left="0" w:right="0"/>
                    <w:jc w:val="left"/>
                    <w:rPr>
                      <w:rFonts w:hint="default" w:ascii="Times New Roman" w:hAnsi="Times New Roman" w:cs="Times New Roman"/>
                      <w:lang w:val="en-US" w:eastAsia="zh-CN"/>
                    </w:rPr>
                  </w:pPr>
                  <w:r>
                    <w:rPr>
                      <w:rFonts w:ascii="Times New Roman" w:hAnsi="Times New Roman" w:cs="Times New Roman"/>
                    </w:rPr>
                    <w:t>0.230</w:t>
                  </w:r>
                </w:p>
              </w:tc>
              <w:tc>
                <w:tcPr>
                  <w:tcW w:w="689" w:type="dxa"/>
                  <w:vAlign w:val="top"/>
                </w:tcPr>
                <w:p>
                  <w:pPr>
                    <w:keepNext w:val="0"/>
                    <w:keepLines w:val="0"/>
                    <w:suppressLineNumbers w:val="0"/>
                    <w:spacing w:before="0" w:beforeAutospacing="0" w:after="0" w:afterAutospacing="0"/>
                    <w:ind w:left="0" w:right="0"/>
                    <w:jc w:val="left"/>
                    <w:rPr>
                      <w:rFonts w:hint="default" w:ascii="Times New Roman" w:hAnsi="Times New Roman" w:cs="Times New Roman"/>
                      <w:lang w:val="en-US" w:eastAsia="zh-CN"/>
                    </w:rPr>
                  </w:pPr>
                  <w:r>
                    <w:rPr>
                      <w:rFonts w:ascii="Times New Roman" w:hAnsi="Times New Roman" w:cs="Times New Roman"/>
                    </w:rPr>
                    <w:t>0.194</w:t>
                  </w:r>
                </w:p>
              </w:tc>
              <w:tc>
                <w:tcPr>
                  <w:tcW w:w="689" w:type="dxa"/>
                  <w:vAlign w:val="top"/>
                </w:tcPr>
                <w:p>
                  <w:pPr>
                    <w:keepNext w:val="0"/>
                    <w:keepLines w:val="0"/>
                    <w:suppressLineNumbers w:val="0"/>
                    <w:spacing w:before="0" w:beforeAutospacing="0" w:after="0" w:afterAutospacing="0"/>
                    <w:ind w:left="0" w:right="0"/>
                    <w:jc w:val="left"/>
                    <w:rPr>
                      <w:rFonts w:hint="default" w:ascii="Times New Roman" w:hAnsi="Times New Roman" w:cs="Times New Roman"/>
                      <w:lang w:val="en-US" w:eastAsia="zh-CN"/>
                    </w:rPr>
                  </w:pPr>
                  <w:r>
                    <w:rPr>
                      <w:rFonts w:ascii="Times New Roman" w:hAnsi="Times New Roman" w:cs="Times New Roman"/>
                    </w:rPr>
                    <w:t>0.066</w:t>
                  </w:r>
                </w:p>
              </w:tc>
              <w:tc>
                <w:tcPr>
                  <w:tcW w:w="750" w:type="dxa"/>
                  <w:vAlign w:val="top"/>
                </w:tcPr>
                <w:p>
                  <w:pPr>
                    <w:keepNext w:val="0"/>
                    <w:keepLines w:val="0"/>
                    <w:suppressLineNumbers w:val="0"/>
                    <w:spacing w:before="0" w:beforeAutospacing="0" w:after="0" w:afterAutospacing="0"/>
                    <w:ind w:left="0" w:right="0"/>
                    <w:jc w:val="left"/>
                    <w:rPr>
                      <w:rFonts w:hint="default" w:ascii="Times New Roman" w:hAnsi="Times New Roman" w:cs="Times New Roman"/>
                      <w:lang w:val="en-US" w:eastAsia="zh-CN"/>
                    </w:rPr>
                  </w:pPr>
                  <w:r>
                    <w:rPr>
                      <w:rFonts w:ascii="Times New Roman" w:hAnsi="Times New Roman" w:cs="Times New Roman"/>
                    </w:rPr>
                    <w:t>0.032</w:t>
                  </w:r>
                </w:p>
              </w:tc>
              <w:tc>
                <w:tcPr>
                  <w:tcW w:w="689" w:type="dxa"/>
                  <w:vAlign w:val="top"/>
                </w:tcPr>
                <w:p>
                  <w:pPr>
                    <w:keepNext w:val="0"/>
                    <w:keepLines w:val="0"/>
                    <w:suppressLineNumbers w:val="0"/>
                    <w:spacing w:before="0" w:beforeAutospacing="0" w:after="0" w:afterAutospacing="0"/>
                    <w:ind w:left="0" w:right="0"/>
                    <w:jc w:val="left"/>
                    <w:rPr>
                      <w:rFonts w:hint="default" w:ascii="Times New Roman" w:hAnsi="Times New Roman" w:cs="Times New Roman"/>
                      <w:lang w:val="en-US" w:eastAsia="zh-CN"/>
                    </w:rPr>
                  </w:pPr>
                  <w:r>
                    <w:rPr>
                      <w:rFonts w:ascii="Times New Roman" w:hAnsi="Times New Roman" w:cs="Times New Roman"/>
                    </w:rPr>
                    <w:t>0.019</w:t>
                  </w:r>
                </w:p>
              </w:tc>
              <w:tc>
                <w:tcPr>
                  <w:tcW w:w="830" w:type="dxa"/>
                  <w:vAlign w:val="top"/>
                </w:tcPr>
                <w:p>
                  <w:pPr>
                    <w:keepNext w:val="0"/>
                    <w:keepLines w:val="0"/>
                    <w:suppressLineNumbers w:val="0"/>
                    <w:spacing w:before="0" w:beforeAutospacing="0" w:after="0" w:afterAutospacing="0"/>
                    <w:ind w:left="0" w:right="0"/>
                    <w:jc w:val="left"/>
                    <w:rPr>
                      <w:rFonts w:hint="default" w:ascii="Times New Roman" w:hAnsi="Times New Roman" w:cs="Times New Roman"/>
                      <w:lang w:val="en-US" w:eastAsia="zh-CN"/>
                    </w:rPr>
                  </w:pPr>
                  <w:r>
                    <w:rPr>
                      <w:rFonts w:ascii="Times New Roman" w:hAnsi="Times New Roman" w:cs="Times New Roman"/>
                    </w:rPr>
                    <w:t>0.013</w:t>
                  </w:r>
                </w:p>
              </w:tc>
              <w:tc>
                <w:tcPr>
                  <w:tcW w:w="689" w:type="dxa"/>
                  <w:vAlign w:val="top"/>
                </w:tcPr>
                <w:p>
                  <w:pPr>
                    <w:keepNext w:val="0"/>
                    <w:keepLines w:val="0"/>
                    <w:suppressLineNumbers w:val="0"/>
                    <w:spacing w:before="0" w:beforeAutospacing="0" w:after="0" w:afterAutospacing="0"/>
                    <w:ind w:left="0" w:right="0"/>
                    <w:jc w:val="left"/>
                    <w:rPr>
                      <w:rFonts w:hint="default" w:ascii="Times New Roman" w:hAnsi="Times New Roman" w:cs="Times New Roman"/>
                      <w:lang w:val="en-US" w:eastAsia="zh-CN"/>
                    </w:rPr>
                  </w:pPr>
                  <w:r>
                    <w:rPr>
                      <w:rFonts w:ascii="Times New Roman" w:hAnsi="Times New Roman" w:cs="Times New Roman"/>
                    </w:rPr>
                    <w:t>0.009</w:t>
                  </w:r>
                </w:p>
              </w:tc>
              <w:tc>
                <w:tcPr>
                  <w:tcW w:w="794" w:type="dxa"/>
                  <w:vAlign w:val="top"/>
                </w:tcPr>
                <w:p>
                  <w:pPr>
                    <w:keepNext w:val="0"/>
                    <w:keepLines w:val="0"/>
                    <w:suppressLineNumbers w:val="0"/>
                    <w:spacing w:before="0" w:beforeAutospacing="0" w:after="0" w:afterAutospacing="0"/>
                    <w:ind w:left="0" w:right="0"/>
                    <w:jc w:val="left"/>
                    <w:rPr>
                      <w:rFonts w:hint="default" w:ascii="Times New Roman" w:hAnsi="Times New Roman" w:cs="Times New Roman"/>
                      <w:lang w:val="en-US" w:eastAsia="zh-CN"/>
                    </w:rPr>
                  </w:pPr>
                  <w:r>
                    <w:rPr>
                      <w:rFonts w:ascii="Times New Roman" w:hAnsi="Times New Roman" w:cs="Times New Roman"/>
                    </w:rPr>
                    <w:t>0.007</w:t>
                  </w:r>
                </w:p>
              </w:tc>
              <w:tc>
                <w:tcPr>
                  <w:tcW w:w="794" w:type="dxa"/>
                  <w:vAlign w:val="top"/>
                </w:tcPr>
                <w:p>
                  <w:pPr>
                    <w:keepNext w:val="0"/>
                    <w:keepLines w:val="0"/>
                    <w:suppressLineNumbers w:val="0"/>
                    <w:spacing w:before="0" w:beforeAutospacing="0" w:after="0" w:afterAutospacing="0"/>
                    <w:ind w:left="0" w:right="0"/>
                    <w:jc w:val="left"/>
                    <w:rPr>
                      <w:rFonts w:hint="default" w:ascii="Times New Roman" w:hAnsi="Times New Roman" w:cs="Times New Roman"/>
                      <w:lang w:val="en-US" w:eastAsia="zh-CN"/>
                    </w:rPr>
                  </w:pPr>
                  <w:r>
                    <w:rPr>
                      <w:rFonts w:ascii="Times New Roman" w:hAnsi="Times New Roman" w:cs="Times New Roman"/>
                    </w:rPr>
                    <w:t>0.066</w:t>
                  </w:r>
                </w:p>
              </w:tc>
            </w:tr>
          </w:tbl>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爆破振动的影响主要是对人和建筑物的影响，其中爆破振动对人的影响见表4-8，对建筑物的影响见下表。</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jc w:val="center"/>
              <w:textAlignment w:val="auto"/>
              <w:rPr>
                <w:rFonts w:hint="default" w:ascii="Times New Roman" w:hAnsi="Times New Roman" w:cs="Times New Roman"/>
                <w:b/>
                <w:bCs/>
                <w:sz w:val="21"/>
                <w:szCs w:val="21"/>
                <w:lang w:val="en-US" w:eastAsia="zh-CN"/>
              </w:rPr>
            </w:pPr>
            <w:r>
              <w:rPr>
                <w:rFonts w:hint="default" w:ascii="Times New Roman" w:hAnsi="Times New Roman" w:cs="Times New Roman"/>
                <w:b/>
                <w:bCs/>
                <w:sz w:val="21"/>
                <w:szCs w:val="21"/>
                <w:lang w:val="en-US" w:eastAsia="zh-CN"/>
              </w:rPr>
              <w:t>表4-7爆破振动速度对人的作用</w:t>
            </w:r>
          </w:p>
          <w:tbl>
            <w:tblPr>
              <w:tblStyle w:val="22"/>
              <w:tblW w:w="814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15"/>
              <w:gridCol w:w="2716"/>
              <w:gridCol w:w="27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71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序号</w:t>
                  </w:r>
                </w:p>
              </w:tc>
              <w:tc>
                <w:tcPr>
                  <w:tcW w:w="271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振动速度（cm/s）</w:t>
                  </w:r>
                </w:p>
              </w:tc>
              <w:tc>
                <w:tcPr>
                  <w:tcW w:w="271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振动对人的作用特征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71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1</w:t>
                  </w:r>
                </w:p>
              </w:tc>
              <w:tc>
                <w:tcPr>
                  <w:tcW w:w="271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0.016</w:t>
                  </w:r>
                </w:p>
              </w:tc>
              <w:tc>
                <w:tcPr>
                  <w:tcW w:w="271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无感觉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71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2</w:t>
                  </w:r>
                </w:p>
              </w:tc>
              <w:tc>
                <w:tcPr>
                  <w:tcW w:w="271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0.016~0.21</w:t>
                  </w:r>
                </w:p>
              </w:tc>
              <w:tc>
                <w:tcPr>
                  <w:tcW w:w="271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轻微感觉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71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3</w:t>
                  </w:r>
                </w:p>
              </w:tc>
              <w:tc>
                <w:tcPr>
                  <w:tcW w:w="271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0.21~0.64</w:t>
                  </w:r>
                </w:p>
              </w:tc>
              <w:tc>
                <w:tcPr>
                  <w:tcW w:w="271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较大的感觉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71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4</w:t>
                  </w:r>
                </w:p>
              </w:tc>
              <w:tc>
                <w:tcPr>
                  <w:tcW w:w="271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1.6</w:t>
                  </w:r>
                </w:p>
              </w:tc>
              <w:tc>
                <w:tcPr>
                  <w:tcW w:w="271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有害的长期谐振动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71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5</w:t>
                  </w:r>
                </w:p>
              </w:tc>
              <w:tc>
                <w:tcPr>
                  <w:tcW w:w="271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1.6</w:t>
                  </w:r>
                </w:p>
              </w:tc>
              <w:tc>
                <w:tcPr>
                  <w:tcW w:w="271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容许的爆破振动</w:t>
                  </w:r>
                </w:p>
              </w:tc>
            </w:tr>
          </w:tbl>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jc w:val="center"/>
              <w:textAlignment w:val="auto"/>
              <w:rPr>
                <w:rFonts w:hint="default" w:ascii="Times New Roman" w:hAnsi="Times New Roman" w:cs="Times New Roman"/>
                <w:b/>
                <w:bCs/>
                <w:sz w:val="21"/>
                <w:szCs w:val="21"/>
                <w:lang w:val="en-US" w:eastAsia="zh-CN"/>
              </w:rPr>
            </w:pPr>
            <w:r>
              <w:rPr>
                <w:rFonts w:hint="default" w:ascii="Times New Roman" w:hAnsi="Times New Roman" w:cs="Times New Roman"/>
                <w:b/>
                <w:bCs/>
                <w:sz w:val="21"/>
                <w:szCs w:val="21"/>
                <w:lang w:val="en-US" w:eastAsia="zh-CN"/>
              </w:rPr>
              <w:t>表4-8爆破振动速度对建筑物的作用</w:t>
            </w:r>
          </w:p>
          <w:tbl>
            <w:tblPr>
              <w:tblStyle w:val="22"/>
              <w:tblW w:w="814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15"/>
              <w:gridCol w:w="2716"/>
              <w:gridCol w:w="27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71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序号</w:t>
                  </w:r>
                </w:p>
              </w:tc>
              <w:tc>
                <w:tcPr>
                  <w:tcW w:w="271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振动速度（cm/s）</w:t>
                  </w:r>
                </w:p>
              </w:tc>
              <w:tc>
                <w:tcPr>
                  <w:tcW w:w="271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振动对人的作用特征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71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1</w:t>
                  </w:r>
                </w:p>
              </w:tc>
              <w:tc>
                <w:tcPr>
                  <w:tcW w:w="271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0.016</w:t>
                  </w:r>
                </w:p>
              </w:tc>
              <w:tc>
                <w:tcPr>
                  <w:tcW w:w="271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无感觉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71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2</w:t>
                  </w:r>
                </w:p>
              </w:tc>
              <w:tc>
                <w:tcPr>
                  <w:tcW w:w="271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0.016~0.21</w:t>
                  </w:r>
                </w:p>
              </w:tc>
              <w:tc>
                <w:tcPr>
                  <w:tcW w:w="271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轻微感觉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71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3</w:t>
                  </w:r>
                </w:p>
              </w:tc>
              <w:tc>
                <w:tcPr>
                  <w:tcW w:w="271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0.21~0.64</w:t>
                  </w:r>
                </w:p>
              </w:tc>
              <w:tc>
                <w:tcPr>
                  <w:tcW w:w="271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较大的感觉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71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4</w:t>
                  </w:r>
                </w:p>
              </w:tc>
              <w:tc>
                <w:tcPr>
                  <w:tcW w:w="271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1.6</w:t>
                  </w:r>
                </w:p>
              </w:tc>
              <w:tc>
                <w:tcPr>
                  <w:tcW w:w="271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有害的长期谐振动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71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5</w:t>
                  </w:r>
                </w:p>
              </w:tc>
              <w:tc>
                <w:tcPr>
                  <w:tcW w:w="271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1.6</w:t>
                  </w:r>
                </w:p>
              </w:tc>
              <w:tc>
                <w:tcPr>
                  <w:tcW w:w="2716"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容许的爆破振动</w:t>
                  </w:r>
                </w:p>
              </w:tc>
            </w:tr>
          </w:tbl>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由预测结果可知，项目进行爆破时，当单孔装药量为40kg时，300m处居民对爆破振动有轻微感觉，周边居民受爆破振动的影响较小，项目在进行爆破作业时，应严格控制装药量。对照表4-9可知，周边300m外居民建筑物基本不会受到爆破振动的影响。在对爆破安全警戒范围300m内的民房全部征用或拆迁外移后，周边300米内无常住居民，在此前提下，项目爆破对周边影响不大。</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2" w:firstLineChars="200"/>
              <w:jc w:val="left"/>
              <w:textAlignment w:val="auto"/>
              <w:rPr>
                <w:rFonts w:hint="default" w:ascii="Times New Roman" w:hAnsi="Times New Roman" w:cs="Times New Roman"/>
                <w:b/>
                <w:bCs/>
                <w:sz w:val="24"/>
                <w:szCs w:val="24"/>
                <w:lang w:val="en-US" w:eastAsia="zh-CN"/>
              </w:rPr>
            </w:pPr>
            <w:r>
              <w:rPr>
                <w:rFonts w:hint="default" w:ascii="Times New Roman" w:hAnsi="Times New Roman" w:cs="Times New Roman"/>
                <w:b/>
                <w:bCs/>
                <w:sz w:val="24"/>
                <w:szCs w:val="24"/>
                <w:lang w:val="en-US" w:eastAsia="zh-CN"/>
              </w:rPr>
              <w:t>2）工业广场设备噪声影响分析</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本项目拟设置1个工业广场，因此，本环评就1个工业广场厂界及最近居民点噪声进行预测与分析。</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为确保项目运营期噪声不对周边环境造成影响，本次环评要求：</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①加强维护和维修工作；</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②加强厂区绿化，种植高大树木隔声降噪；</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③对破碎机、振动筛等设备进行基础减振措施，设备定期检修。</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本次噪声评价以新建后总体噪声源进行预测。本项目采用点源噪声距离衰减公式预测营运期环境噪声的影响。</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噪声从声源传播到受声点，受传播距离，空气吸收，阻挡物的反射与屏障等因素的影响而产生衰减。用A声级进行预测时，其预测模式如下：</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jc w:val="center"/>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LA（r）＝LA（r0）－（Ader＋Abar＋Aatam＋Aexc）</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本次评价采用下列公式计算距离施工机械不同距离处的噪声值。</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jc w:val="center"/>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LA（r）＝LA（r0）－Ader＝LA（r0）－20lg（r/r0）</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多个机械同时作业的总等效连续A声级计算公式为：</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jc w:val="center"/>
              <w:textAlignment w:val="auto"/>
              <w:rPr>
                <w:rFonts w:hint="default" w:ascii="Times New Roman" w:hAnsi="Times New Roman" w:cs="Times New Roman"/>
                <w:sz w:val="24"/>
                <w:szCs w:val="24"/>
                <w:lang w:val="en-US" w:eastAsia="zh-CN"/>
              </w:rPr>
            </w:pPr>
            <w:r>
              <w:rPr>
                <w:rFonts w:ascii="Times New Roman" w:hAnsi="Times New Roman" w:cs="Times New Roman"/>
                <w:position w:val="-12"/>
              </w:rPr>
              <w:drawing>
                <wp:inline distT="0" distB="0" distL="0" distR="0">
                  <wp:extent cx="1562100" cy="367665"/>
                  <wp:effectExtent l="0" t="0" r="0" b="13335"/>
                  <wp:docPr id="66" name="IM 62"/>
                  <wp:cNvGraphicFramePr/>
                  <a:graphic xmlns:a="http://schemas.openxmlformats.org/drawingml/2006/main">
                    <a:graphicData uri="http://schemas.openxmlformats.org/drawingml/2006/picture">
                      <pic:pic xmlns:pic="http://schemas.openxmlformats.org/drawingml/2006/picture">
                        <pic:nvPicPr>
                          <pic:cNvPr id="66" name="IM 62"/>
                          <pic:cNvPicPr/>
                        </pic:nvPicPr>
                        <pic:blipFill>
                          <a:blip r:embed="rId24"/>
                          <a:stretch>
                            <a:fillRect/>
                          </a:stretch>
                        </pic:blipFill>
                        <pic:spPr>
                          <a:xfrm>
                            <a:off x="0" y="0"/>
                            <a:ext cx="1562100" cy="367665"/>
                          </a:xfrm>
                          <a:prstGeom prst="rect">
                            <a:avLst/>
                          </a:prstGeom>
                          <a:noFill/>
                          <a:ln>
                            <a:noFill/>
                          </a:ln>
                        </pic:spPr>
                      </pic:pic>
                    </a:graphicData>
                  </a:graphic>
                </wp:inline>
              </w:drawing>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在预测某敏感点的噪声值时，首先利用上式计算声源在该处的总等效连续A声级，然后叠加该处的背景值，具体计算公式如下：</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jc w:val="center"/>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Lpt=10lg（100.1L1+100.1L2）</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根据噪声源强及预计降噪治理后的噪声源强，预测工业场地厂界噪声结果如下：</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jc w:val="center"/>
              <w:textAlignment w:val="auto"/>
              <w:rPr>
                <w:rFonts w:hint="default" w:ascii="Times New Roman" w:hAnsi="Times New Roman" w:cs="Times New Roman"/>
                <w:b/>
                <w:bCs/>
                <w:sz w:val="21"/>
                <w:szCs w:val="21"/>
                <w:lang w:val="en-US" w:eastAsia="zh-CN"/>
              </w:rPr>
            </w:pPr>
            <w:r>
              <w:rPr>
                <w:rFonts w:hint="default" w:ascii="Times New Roman" w:hAnsi="Times New Roman" w:cs="Times New Roman"/>
                <w:b/>
                <w:bCs/>
                <w:sz w:val="21"/>
                <w:szCs w:val="21"/>
                <w:lang w:val="en-US" w:eastAsia="zh-CN"/>
              </w:rPr>
              <w:t>表4-9项目营运期工业场地厂界噪声贡献值及达标情况</w:t>
            </w:r>
          </w:p>
          <w:tbl>
            <w:tblPr>
              <w:tblStyle w:val="22"/>
              <w:tblW w:w="814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63"/>
              <w:gridCol w:w="1164"/>
              <w:gridCol w:w="1164"/>
              <w:gridCol w:w="1164"/>
              <w:gridCol w:w="1164"/>
              <w:gridCol w:w="1164"/>
              <w:gridCol w:w="11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63"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p>
              </w:tc>
              <w:tc>
                <w:tcPr>
                  <w:tcW w:w="116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场界</w:t>
                  </w:r>
                </w:p>
              </w:tc>
              <w:tc>
                <w:tcPr>
                  <w:tcW w:w="116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时段</w:t>
                  </w:r>
                </w:p>
              </w:tc>
              <w:tc>
                <w:tcPr>
                  <w:tcW w:w="116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声源离厂界距离</w:t>
                  </w:r>
                </w:p>
              </w:tc>
              <w:tc>
                <w:tcPr>
                  <w:tcW w:w="116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贡献值[dB（A）]</w:t>
                  </w:r>
                </w:p>
              </w:tc>
              <w:tc>
                <w:tcPr>
                  <w:tcW w:w="116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标准值[dB（A）]</w:t>
                  </w:r>
                </w:p>
              </w:tc>
              <w:tc>
                <w:tcPr>
                  <w:tcW w:w="116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达标情况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63" w:type="dxa"/>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工业广场</w:t>
                  </w:r>
                </w:p>
              </w:tc>
              <w:tc>
                <w:tcPr>
                  <w:tcW w:w="116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东</w:t>
                  </w:r>
                </w:p>
              </w:tc>
              <w:tc>
                <w:tcPr>
                  <w:tcW w:w="116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昼间</w:t>
                  </w:r>
                </w:p>
              </w:tc>
              <w:tc>
                <w:tcPr>
                  <w:tcW w:w="116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10</w:t>
                  </w:r>
                </w:p>
              </w:tc>
              <w:tc>
                <w:tcPr>
                  <w:tcW w:w="116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56.33</w:t>
                  </w:r>
                </w:p>
              </w:tc>
              <w:tc>
                <w:tcPr>
                  <w:tcW w:w="1164" w:type="dxa"/>
                  <w:vMerge w:val="restart"/>
                  <w:vAlign w:val="center"/>
                </w:tcPr>
                <w:p>
                  <w:pPr>
                    <w:keepNext w:val="0"/>
                    <w:keepLines w:val="0"/>
                    <w:suppressLineNumbers w:val="0"/>
                    <w:spacing w:before="0" w:beforeAutospacing="0" w:after="0" w:afterAutospacing="0"/>
                    <w:ind w:left="0" w:right="0"/>
                    <w:jc w:val="center"/>
                    <w:rPr>
                      <w:rFonts w:ascii="Times New Roman" w:hAnsi="Times New Roman" w:cs="Times New Roman"/>
                    </w:rPr>
                  </w:pPr>
                  <w:r>
                    <w:rPr>
                      <w:rFonts w:ascii="Times New Roman" w:hAnsi="Times New Roman" w:cs="Times New Roman"/>
                    </w:rPr>
                    <w:t>2类标准：昼</w:t>
                  </w:r>
                </w:p>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间60</w:t>
                  </w:r>
                </w:p>
              </w:tc>
              <w:tc>
                <w:tcPr>
                  <w:tcW w:w="116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63"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p>
              </w:tc>
              <w:tc>
                <w:tcPr>
                  <w:tcW w:w="116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南</w:t>
                  </w:r>
                </w:p>
              </w:tc>
              <w:tc>
                <w:tcPr>
                  <w:tcW w:w="116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昼间</w:t>
                  </w:r>
                </w:p>
              </w:tc>
              <w:tc>
                <w:tcPr>
                  <w:tcW w:w="116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50</w:t>
                  </w:r>
                </w:p>
              </w:tc>
              <w:tc>
                <w:tcPr>
                  <w:tcW w:w="116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42.35</w:t>
                  </w:r>
                </w:p>
              </w:tc>
              <w:tc>
                <w:tcPr>
                  <w:tcW w:w="1164"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p>
              </w:tc>
              <w:tc>
                <w:tcPr>
                  <w:tcW w:w="116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63"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p>
              </w:tc>
              <w:tc>
                <w:tcPr>
                  <w:tcW w:w="116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西</w:t>
                  </w:r>
                </w:p>
              </w:tc>
              <w:tc>
                <w:tcPr>
                  <w:tcW w:w="116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昼间</w:t>
                  </w:r>
                </w:p>
              </w:tc>
              <w:tc>
                <w:tcPr>
                  <w:tcW w:w="116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8</w:t>
                  </w:r>
                </w:p>
              </w:tc>
              <w:tc>
                <w:tcPr>
                  <w:tcW w:w="116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58.27</w:t>
                  </w:r>
                </w:p>
              </w:tc>
              <w:tc>
                <w:tcPr>
                  <w:tcW w:w="1164"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p>
              </w:tc>
              <w:tc>
                <w:tcPr>
                  <w:tcW w:w="116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63"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p>
              </w:tc>
              <w:tc>
                <w:tcPr>
                  <w:tcW w:w="116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北</w:t>
                  </w:r>
                </w:p>
              </w:tc>
              <w:tc>
                <w:tcPr>
                  <w:tcW w:w="116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昼间</w:t>
                  </w:r>
                </w:p>
              </w:tc>
              <w:tc>
                <w:tcPr>
                  <w:tcW w:w="116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30</w:t>
                  </w:r>
                </w:p>
              </w:tc>
              <w:tc>
                <w:tcPr>
                  <w:tcW w:w="116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46.79</w:t>
                  </w:r>
                </w:p>
              </w:tc>
              <w:tc>
                <w:tcPr>
                  <w:tcW w:w="1164"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p>
              </w:tc>
              <w:tc>
                <w:tcPr>
                  <w:tcW w:w="116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达标</w:t>
                  </w:r>
                </w:p>
              </w:tc>
            </w:tr>
          </w:tbl>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在采取上述措施后，通过预测可知，项目营运期设备噪声对周边环境敏感保护目标影响小，东场界、南场界、西场界、北场界昼间噪声贡献值满足《工业企业厂界环境噪声排放标准》（GB12348-2008）2类（昼间≤60dB（A））标准。</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2" w:firstLineChars="200"/>
              <w:jc w:val="left"/>
              <w:textAlignment w:val="auto"/>
              <w:rPr>
                <w:rFonts w:hint="default" w:ascii="Times New Roman" w:hAnsi="Times New Roman" w:cs="Times New Roman"/>
                <w:b/>
                <w:bCs/>
                <w:sz w:val="24"/>
                <w:szCs w:val="24"/>
                <w:lang w:val="en-US" w:eastAsia="zh-CN"/>
              </w:rPr>
            </w:pPr>
            <w:r>
              <w:rPr>
                <w:rFonts w:hint="default" w:ascii="Times New Roman" w:hAnsi="Times New Roman" w:cs="Times New Roman"/>
                <w:b/>
                <w:bCs/>
                <w:sz w:val="24"/>
                <w:szCs w:val="24"/>
                <w:lang w:val="en-US" w:eastAsia="zh-CN"/>
              </w:rPr>
              <w:t>4、固体废物</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本项目生产固废主要产生在采剥过程，其特点是数量大，无毒无害。主要类型为表层植被、开采表土等。此外还有布袋除尘系统收集的粉尘、沉淀池沉渣、废泥渣、生活垃圾、废机油等。</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2" w:firstLineChars="200"/>
              <w:jc w:val="left"/>
              <w:textAlignment w:val="auto"/>
              <w:rPr>
                <w:rFonts w:hint="default" w:ascii="Times New Roman" w:hAnsi="Times New Roman" w:cs="Times New Roman"/>
                <w:b/>
                <w:bCs/>
                <w:sz w:val="24"/>
                <w:szCs w:val="24"/>
                <w:lang w:val="en-US" w:eastAsia="zh-CN"/>
              </w:rPr>
            </w:pPr>
            <w:r>
              <w:rPr>
                <w:rFonts w:hint="default" w:ascii="Times New Roman" w:hAnsi="Times New Roman" w:cs="Times New Roman"/>
                <w:b/>
                <w:bCs/>
                <w:sz w:val="24"/>
                <w:szCs w:val="24"/>
                <w:lang w:val="en-US" w:eastAsia="zh-CN"/>
              </w:rPr>
              <w:t>1）剥离表土</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在矿山开采过程中需把覆盖于岩石表面的含腐殖质表土进行分采，运往</w:t>
            </w:r>
            <w:r>
              <w:rPr>
                <w:rFonts w:hint="eastAsia" w:cs="Times New Roman"/>
                <w:sz w:val="24"/>
                <w:szCs w:val="24"/>
                <w:lang w:val="en-US" w:eastAsia="zh-CN"/>
              </w:rPr>
              <w:t>新增表土堆场</w:t>
            </w:r>
            <w:r>
              <w:rPr>
                <w:rFonts w:hint="default" w:ascii="Times New Roman" w:hAnsi="Times New Roman" w:cs="Times New Roman"/>
                <w:sz w:val="24"/>
                <w:szCs w:val="24"/>
                <w:lang w:val="en-US" w:eastAsia="zh-CN"/>
              </w:rPr>
              <w:t>堆放，用于矿山的生态环境恢复治理。根据矿山实际调查，综合开采技术条件考虑，</w:t>
            </w:r>
            <w:r>
              <w:rPr>
                <w:rFonts w:hint="eastAsia" w:cs="Times New Roman"/>
                <w:sz w:val="24"/>
                <w:szCs w:val="24"/>
                <w:lang w:val="en-US" w:eastAsia="zh-CN"/>
              </w:rPr>
              <w:t>新增表土堆场</w:t>
            </w:r>
            <w:r>
              <w:rPr>
                <w:rFonts w:hint="default" w:ascii="Times New Roman" w:hAnsi="Times New Roman" w:cs="Times New Roman"/>
                <w:sz w:val="24"/>
                <w:szCs w:val="24"/>
                <w:lang w:val="en-US" w:eastAsia="zh-CN"/>
              </w:rPr>
              <w:t>设计在工业广场区西侧。项目矿区地表土层平均厚度0.5m左右，采前剥离，剥离表土总量约9万m</w:t>
            </w:r>
            <w:r>
              <w:rPr>
                <w:rFonts w:hint="default" w:ascii="Times New Roman" w:hAnsi="Times New Roman" w:cs="Times New Roman"/>
                <w:sz w:val="24"/>
                <w:szCs w:val="24"/>
                <w:vertAlign w:val="superscript"/>
                <w:lang w:val="en-US" w:eastAsia="zh-CN"/>
              </w:rPr>
              <w:t>3</w:t>
            </w:r>
            <w:r>
              <w:rPr>
                <w:rFonts w:hint="default" w:ascii="Times New Roman" w:hAnsi="Times New Roman" w:cs="Times New Roman"/>
                <w:sz w:val="24"/>
                <w:szCs w:val="24"/>
                <w:lang w:val="en-US" w:eastAsia="zh-CN"/>
              </w:rPr>
              <w:t>。项目设</w:t>
            </w:r>
            <w:r>
              <w:rPr>
                <w:rFonts w:hint="eastAsia" w:cs="Times New Roman"/>
                <w:sz w:val="24"/>
                <w:szCs w:val="24"/>
                <w:lang w:val="en-US" w:eastAsia="zh-CN"/>
              </w:rPr>
              <w:t>新增表土堆场</w:t>
            </w:r>
            <w:r>
              <w:rPr>
                <w:rFonts w:hint="default" w:ascii="Times New Roman" w:hAnsi="Times New Roman" w:cs="Times New Roman"/>
                <w:sz w:val="24"/>
                <w:szCs w:val="24"/>
                <w:lang w:val="en-US" w:eastAsia="zh-CN"/>
              </w:rPr>
              <w:t>，位于工业广场西侧低洼空地，拟设</w:t>
            </w:r>
            <w:r>
              <w:rPr>
                <w:rFonts w:hint="eastAsia" w:cs="Times New Roman"/>
                <w:sz w:val="24"/>
                <w:szCs w:val="24"/>
                <w:lang w:val="en-US" w:eastAsia="zh-CN"/>
              </w:rPr>
              <w:t>新增表土堆场</w:t>
            </w:r>
            <w:r>
              <w:rPr>
                <w:rFonts w:hint="default" w:ascii="Times New Roman" w:hAnsi="Times New Roman" w:cs="Times New Roman"/>
                <w:sz w:val="24"/>
                <w:szCs w:val="24"/>
                <w:lang w:val="en-US" w:eastAsia="zh-CN"/>
              </w:rPr>
              <w:t>总面积约20000m</w:t>
            </w:r>
            <w:r>
              <w:rPr>
                <w:rFonts w:hint="default" w:ascii="Times New Roman" w:hAnsi="Times New Roman" w:cs="Times New Roman"/>
                <w:sz w:val="24"/>
                <w:szCs w:val="24"/>
                <w:vertAlign w:val="superscript"/>
                <w:lang w:val="en-US" w:eastAsia="zh-CN"/>
              </w:rPr>
              <w:t>2</w:t>
            </w:r>
            <w:r>
              <w:rPr>
                <w:rFonts w:hint="default" w:ascii="Times New Roman" w:hAnsi="Times New Roman" w:cs="Times New Roman"/>
                <w:sz w:val="24"/>
                <w:szCs w:val="24"/>
                <w:lang w:val="en-US" w:eastAsia="zh-CN"/>
              </w:rPr>
              <w:t>，满足表土堆存需求，堆土高度不超过5米。</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2" w:firstLineChars="200"/>
              <w:jc w:val="left"/>
              <w:textAlignment w:val="auto"/>
              <w:rPr>
                <w:rFonts w:hint="default" w:ascii="Times New Roman" w:hAnsi="Times New Roman" w:cs="Times New Roman"/>
                <w:b/>
                <w:bCs/>
                <w:sz w:val="24"/>
                <w:szCs w:val="24"/>
                <w:lang w:val="en-US" w:eastAsia="zh-CN"/>
              </w:rPr>
            </w:pPr>
            <w:r>
              <w:rPr>
                <w:rFonts w:hint="default" w:ascii="Times New Roman" w:hAnsi="Times New Roman" w:cs="Times New Roman"/>
                <w:b/>
                <w:bCs/>
                <w:sz w:val="24"/>
                <w:szCs w:val="24"/>
                <w:lang w:val="en-US" w:eastAsia="zh-CN"/>
              </w:rPr>
              <w:t>2）开采剥离废土石</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根据《开发利用方案》：在石料开采过程中，矿山需剥离夹石层52.6万m³,年均剥离量为5.06万m³/a。方案推荐设置坑内排土场。矿区范围北东侧已基本接近最低开采标高145m，矿山开采时可将开采工作面由北东往南推进，剥离的夹石即可堆存在北东侧露采坑内，后用于矿山中部采空区回填。矿山前期开采过程中采用边开采边治理方案，后期剥土主要用于回填采坑用作土地复垦用。</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2" w:firstLineChars="200"/>
              <w:jc w:val="left"/>
              <w:textAlignment w:val="auto"/>
              <w:rPr>
                <w:rFonts w:hint="default" w:ascii="Times New Roman" w:hAnsi="Times New Roman" w:cs="Times New Roman"/>
                <w:b/>
                <w:bCs/>
                <w:sz w:val="24"/>
                <w:szCs w:val="24"/>
                <w:lang w:val="en-US" w:eastAsia="zh-CN"/>
              </w:rPr>
            </w:pPr>
            <w:r>
              <w:rPr>
                <w:rFonts w:hint="default" w:ascii="Times New Roman" w:hAnsi="Times New Roman" w:cs="Times New Roman"/>
                <w:b/>
                <w:bCs/>
                <w:sz w:val="24"/>
                <w:szCs w:val="24"/>
                <w:lang w:val="en-US" w:eastAsia="zh-CN"/>
              </w:rPr>
              <w:t>3）除尘器收集的粉尘</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根据工程分析，本项目布袋收集粉尘量共约为</w:t>
            </w:r>
            <w:r>
              <w:rPr>
                <w:rFonts w:hint="eastAsia" w:cs="Times New Roman"/>
                <w:sz w:val="24"/>
                <w:szCs w:val="24"/>
                <w:lang w:val="en-US" w:eastAsia="zh-CN"/>
              </w:rPr>
              <w:t>817.9</w:t>
            </w:r>
            <w:r>
              <w:rPr>
                <w:rFonts w:hint="default" w:ascii="Times New Roman" w:hAnsi="Times New Roman" w:cs="Times New Roman"/>
                <w:sz w:val="24"/>
                <w:szCs w:val="24"/>
                <w:lang w:val="en-US" w:eastAsia="zh-CN"/>
              </w:rPr>
              <w:t>t/a，均为石粉，经收集后作为石粉产品外售。</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2" w:firstLineChars="200"/>
              <w:jc w:val="left"/>
              <w:textAlignment w:val="auto"/>
              <w:rPr>
                <w:rFonts w:hint="default" w:ascii="Times New Roman" w:hAnsi="Times New Roman" w:cs="Times New Roman"/>
                <w:b/>
                <w:bCs/>
                <w:sz w:val="24"/>
                <w:szCs w:val="24"/>
                <w:lang w:val="en-US" w:eastAsia="zh-CN"/>
              </w:rPr>
            </w:pPr>
            <w:r>
              <w:rPr>
                <w:rFonts w:hint="default" w:ascii="Times New Roman" w:hAnsi="Times New Roman" w:cs="Times New Roman"/>
                <w:b/>
                <w:bCs/>
                <w:sz w:val="24"/>
                <w:szCs w:val="24"/>
                <w:lang w:val="en-US" w:eastAsia="zh-CN"/>
              </w:rPr>
              <w:t>4）沉淀池沉渣</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车辆清洗废水与开采区、工业广场、堆土场初期雨水分别收集后经各沉淀池处理会产生一定量的沉渣，该部分沉渣中主要组分为泥土、碎石等，属一般固废，产生的沉渣总量约50t/a，经定期清理后送堆土场堆存，与剥离废土石一起作为矿区回填复垦使用。</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2" w:firstLineChars="200"/>
              <w:jc w:val="left"/>
              <w:textAlignment w:val="auto"/>
              <w:rPr>
                <w:rFonts w:hint="default" w:ascii="Times New Roman" w:hAnsi="Times New Roman" w:cs="Times New Roman"/>
                <w:b/>
                <w:bCs/>
                <w:sz w:val="24"/>
                <w:szCs w:val="24"/>
                <w:lang w:val="en-US" w:eastAsia="zh-CN"/>
              </w:rPr>
            </w:pPr>
            <w:r>
              <w:rPr>
                <w:rFonts w:hint="default" w:ascii="Times New Roman" w:hAnsi="Times New Roman" w:cs="Times New Roman"/>
                <w:b/>
                <w:bCs/>
                <w:sz w:val="24"/>
                <w:szCs w:val="24"/>
                <w:lang w:val="en-US" w:eastAsia="zh-CN"/>
              </w:rPr>
              <w:t>5）生活垃圾</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本项目生活垃圾产生系数按每人每天0.5kg计，则职工生活垃圾产生量为40kg/d（12t/a），经垃圾桶收集后，交由当地环卫部门统一处置。</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2" w:firstLineChars="200"/>
              <w:jc w:val="left"/>
              <w:textAlignment w:val="auto"/>
              <w:rPr>
                <w:rFonts w:hint="default" w:ascii="Times New Roman" w:hAnsi="Times New Roman" w:cs="Times New Roman"/>
                <w:b/>
                <w:bCs/>
                <w:sz w:val="24"/>
                <w:szCs w:val="24"/>
                <w:lang w:val="en-US" w:eastAsia="zh-CN"/>
              </w:rPr>
            </w:pPr>
            <w:r>
              <w:rPr>
                <w:rFonts w:hint="default" w:ascii="Times New Roman" w:hAnsi="Times New Roman" w:cs="Times New Roman"/>
                <w:b/>
                <w:bCs/>
                <w:sz w:val="24"/>
                <w:szCs w:val="24"/>
                <w:lang w:val="en-US" w:eastAsia="zh-CN"/>
              </w:rPr>
              <w:t>6）废机油</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项目机械设备使用过程中会产生废机油，根据《国家危险废物名录》（2021年版），废机油属于HW08废矿物油与含矿物油废物类别，危废代码为900-214-08。根据同类项目实际生产经验，新建后废机油产生量约为1t/a，经危废暂存间暂存后委托有资质单位处置。</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jc w:val="center"/>
              <w:textAlignment w:val="auto"/>
              <w:rPr>
                <w:rFonts w:hint="default" w:ascii="Times New Roman" w:hAnsi="Times New Roman" w:cs="Times New Roman"/>
                <w:sz w:val="24"/>
                <w:szCs w:val="24"/>
                <w:lang w:val="en-US" w:eastAsia="zh-CN"/>
              </w:rPr>
            </w:pPr>
            <w:r>
              <w:rPr>
                <w:rFonts w:ascii="Times New Roman" w:hAnsi="Times New Roman" w:cs="Times New Roman"/>
                <w:b/>
                <w:bCs/>
                <w:spacing w:val="5"/>
                <w:sz w:val="20"/>
                <w:szCs w:val="20"/>
              </w:rPr>
              <w:t>表</w:t>
            </w:r>
            <w:r>
              <w:rPr>
                <w:rFonts w:ascii="Times New Roman" w:hAnsi="Times New Roman" w:eastAsia="Times New Roman" w:cs="Times New Roman"/>
                <w:b/>
                <w:bCs/>
                <w:spacing w:val="5"/>
                <w:sz w:val="20"/>
                <w:szCs w:val="20"/>
              </w:rPr>
              <w:t>4-1</w:t>
            </w:r>
            <w:r>
              <w:rPr>
                <w:rFonts w:hint="default" w:ascii="Times New Roman" w:hAnsi="Times New Roman" w:eastAsia="宋体" w:cs="Times New Roman"/>
                <w:b/>
                <w:bCs/>
                <w:spacing w:val="5"/>
                <w:sz w:val="20"/>
                <w:szCs w:val="20"/>
                <w:lang w:val="en-US" w:eastAsia="zh-CN"/>
              </w:rPr>
              <w:t>0</w:t>
            </w:r>
            <w:r>
              <w:rPr>
                <w:rFonts w:ascii="Times New Roman" w:hAnsi="Times New Roman" w:cs="Times New Roman"/>
                <w:b/>
                <w:bCs/>
                <w:spacing w:val="5"/>
                <w:sz w:val="20"/>
                <w:szCs w:val="20"/>
              </w:rPr>
              <w:t>危险废物汇总表</w:t>
            </w:r>
          </w:p>
          <w:tbl>
            <w:tblPr>
              <w:tblStyle w:val="22"/>
              <w:tblW w:w="814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6"/>
              <w:gridCol w:w="734"/>
              <w:gridCol w:w="776"/>
              <w:gridCol w:w="737"/>
              <w:gridCol w:w="735"/>
              <w:gridCol w:w="735"/>
              <w:gridCol w:w="735"/>
              <w:gridCol w:w="735"/>
              <w:gridCol w:w="681"/>
              <w:gridCol w:w="555"/>
              <w:gridCol w:w="9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6" w:type="dxa"/>
                  <w:textDirection w:val="tbRlV"/>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default" w:ascii="Times New Roman" w:hAnsi="Times New Roman" w:cs="Times New Roman"/>
                      <w:b/>
                      <w:bCs/>
                      <w:lang w:val="en-US" w:eastAsia="zh-CN"/>
                    </w:rPr>
                  </w:pPr>
                  <w:r>
                    <w:rPr>
                      <w:rFonts w:ascii="Times New Roman" w:hAnsi="Times New Roman" w:cs="Times New Roman"/>
                      <w:b/>
                      <w:bCs/>
                    </w:rPr>
                    <w:t>序号</w:t>
                  </w:r>
                </w:p>
              </w:tc>
              <w:tc>
                <w:tcPr>
                  <w:tcW w:w="734"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default" w:ascii="Times New Roman" w:hAnsi="Times New Roman" w:cs="Times New Roman"/>
                      <w:b/>
                      <w:bCs/>
                      <w:lang w:val="en-US" w:eastAsia="zh-CN"/>
                    </w:rPr>
                  </w:pPr>
                  <w:r>
                    <w:rPr>
                      <w:rFonts w:ascii="Times New Roman" w:hAnsi="Times New Roman" w:cs="Times New Roman"/>
                      <w:b/>
                      <w:bCs/>
                    </w:rPr>
                    <w:t>危险废物名称</w:t>
                  </w:r>
                </w:p>
              </w:tc>
              <w:tc>
                <w:tcPr>
                  <w:tcW w:w="776"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default" w:ascii="Times New Roman" w:hAnsi="Times New Roman" w:cs="Times New Roman"/>
                      <w:b/>
                      <w:bCs/>
                      <w:lang w:val="en-US" w:eastAsia="zh-CN"/>
                    </w:rPr>
                  </w:pPr>
                  <w:r>
                    <w:rPr>
                      <w:rFonts w:ascii="Times New Roman" w:hAnsi="Times New Roman" w:cs="Times New Roman"/>
                      <w:b/>
                      <w:bCs/>
                    </w:rPr>
                    <w:t>危险废物类别</w:t>
                  </w:r>
                </w:p>
              </w:tc>
              <w:tc>
                <w:tcPr>
                  <w:tcW w:w="737"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ascii="Times New Roman" w:hAnsi="Times New Roman" w:cs="Times New Roman"/>
                      <w:b/>
                      <w:bCs/>
                    </w:rPr>
                  </w:pPr>
                  <w:r>
                    <w:rPr>
                      <w:rFonts w:ascii="Times New Roman" w:hAnsi="Times New Roman" w:cs="Times New Roman"/>
                      <w:b/>
                      <w:bCs/>
                    </w:rPr>
                    <w:t>产生量</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default" w:ascii="Times New Roman" w:hAnsi="Times New Roman" w:cs="Times New Roman"/>
                      <w:b/>
                      <w:bCs/>
                      <w:lang w:val="en-US" w:eastAsia="zh-CN"/>
                    </w:rPr>
                  </w:pPr>
                  <w:r>
                    <w:rPr>
                      <w:rFonts w:ascii="Times New Roman" w:hAnsi="Times New Roman" w:cs="Times New Roman"/>
                      <w:b/>
                      <w:bCs/>
                    </w:rPr>
                    <w:t>(t/a)</w:t>
                  </w:r>
                </w:p>
              </w:tc>
              <w:tc>
                <w:tcPr>
                  <w:tcW w:w="735"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ascii="Times New Roman" w:hAnsi="Times New Roman" w:cs="Times New Roman"/>
                      <w:b/>
                      <w:bCs/>
                    </w:rPr>
                  </w:pPr>
                  <w:r>
                    <w:rPr>
                      <w:rFonts w:ascii="Times New Roman" w:hAnsi="Times New Roman" w:cs="Times New Roman"/>
                      <w:b/>
                      <w:bCs/>
                    </w:rPr>
                    <w:t>产生工</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ascii="Times New Roman" w:hAnsi="Times New Roman" w:cs="Times New Roman"/>
                      <w:b/>
                      <w:bCs/>
                    </w:rPr>
                  </w:pPr>
                  <w:r>
                    <w:rPr>
                      <w:rFonts w:ascii="Times New Roman" w:hAnsi="Times New Roman" w:cs="Times New Roman"/>
                      <w:b/>
                      <w:bCs/>
                    </w:rPr>
                    <w:t>序及装</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default" w:ascii="Times New Roman" w:hAnsi="Times New Roman" w:cs="Times New Roman"/>
                      <w:b/>
                      <w:bCs/>
                      <w:lang w:val="en-US" w:eastAsia="zh-CN"/>
                    </w:rPr>
                  </w:pPr>
                  <w:r>
                    <w:rPr>
                      <w:rFonts w:ascii="Times New Roman" w:hAnsi="Times New Roman" w:cs="Times New Roman"/>
                      <w:b/>
                      <w:bCs/>
                    </w:rPr>
                    <w:t>置</w:t>
                  </w:r>
                </w:p>
              </w:tc>
              <w:tc>
                <w:tcPr>
                  <w:tcW w:w="735"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default" w:ascii="Times New Roman" w:hAnsi="Times New Roman" w:cs="Times New Roman"/>
                      <w:b/>
                      <w:bCs/>
                      <w:lang w:val="en-US" w:eastAsia="zh-CN"/>
                    </w:rPr>
                  </w:pPr>
                  <w:r>
                    <w:rPr>
                      <w:rFonts w:ascii="Times New Roman" w:hAnsi="Times New Roman" w:cs="Times New Roman"/>
                      <w:b/>
                      <w:bCs/>
                    </w:rPr>
                    <w:t>形态</w:t>
                  </w:r>
                </w:p>
              </w:tc>
              <w:tc>
                <w:tcPr>
                  <w:tcW w:w="735"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default" w:ascii="Times New Roman" w:hAnsi="Times New Roman" w:cs="Times New Roman"/>
                      <w:b/>
                      <w:bCs/>
                      <w:lang w:val="en-US" w:eastAsia="zh-CN"/>
                    </w:rPr>
                  </w:pPr>
                  <w:r>
                    <w:rPr>
                      <w:rFonts w:ascii="Times New Roman" w:hAnsi="Times New Roman" w:cs="Times New Roman"/>
                      <w:b/>
                      <w:bCs/>
                    </w:rPr>
                    <w:t>主要成分</w:t>
                  </w:r>
                </w:p>
              </w:tc>
              <w:tc>
                <w:tcPr>
                  <w:tcW w:w="735"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default" w:ascii="Times New Roman" w:hAnsi="Times New Roman" w:cs="Times New Roman"/>
                      <w:b/>
                      <w:bCs/>
                      <w:lang w:val="en-US" w:eastAsia="zh-CN"/>
                    </w:rPr>
                  </w:pPr>
                  <w:r>
                    <w:rPr>
                      <w:rFonts w:ascii="Times New Roman" w:hAnsi="Times New Roman" w:cs="Times New Roman"/>
                      <w:b/>
                      <w:bCs/>
                    </w:rPr>
                    <w:t>有害成分</w:t>
                  </w:r>
                </w:p>
              </w:tc>
              <w:tc>
                <w:tcPr>
                  <w:tcW w:w="681" w:type="dxa"/>
                  <w:textDirection w:val="tbRlV"/>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default" w:ascii="Times New Roman" w:hAnsi="Times New Roman" w:cs="Times New Roman"/>
                      <w:b/>
                      <w:bCs/>
                      <w:lang w:val="en-US" w:eastAsia="zh-CN"/>
                    </w:rPr>
                  </w:pPr>
                  <w:r>
                    <w:rPr>
                      <w:rFonts w:ascii="Times New Roman" w:hAnsi="Times New Roman" w:cs="Times New Roman"/>
                      <w:b/>
                      <w:bCs/>
                    </w:rPr>
                    <w:t>产废周期</w:t>
                  </w:r>
                </w:p>
              </w:tc>
              <w:tc>
                <w:tcPr>
                  <w:tcW w:w="555" w:type="dxa"/>
                  <w:textDirection w:val="tbRlV"/>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default" w:ascii="Times New Roman" w:hAnsi="Times New Roman" w:cs="Times New Roman"/>
                      <w:b/>
                      <w:bCs/>
                      <w:lang w:val="en-US" w:eastAsia="zh-CN"/>
                    </w:rPr>
                  </w:pPr>
                  <w:r>
                    <w:rPr>
                      <w:rFonts w:ascii="Times New Roman" w:hAnsi="Times New Roman" w:cs="Times New Roman"/>
                      <w:b/>
                      <w:bCs/>
                    </w:rPr>
                    <w:t>危险特性</w:t>
                  </w:r>
                </w:p>
              </w:tc>
              <w:tc>
                <w:tcPr>
                  <w:tcW w:w="988"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default" w:ascii="Times New Roman" w:hAnsi="Times New Roman" w:cs="Times New Roman"/>
                      <w:b/>
                      <w:bCs/>
                      <w:lang w:val="en-US" w:eastAsia="zh-CN"/>
                    </w:rPr>
                  </w:pPr>
                  <w:r>
                    <w:rPr>
                      <w:rFonts w:ascii="Times New Roman" w:hAnsi="Times New Roman" w:cs="Times New Roman"/>
                      <w:b/>
                      <w:bCs/>
                    </w:rPr>
                    <w:t>污染防治措施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6"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default" w:ascii="Times New Roman" w:hAnsi="Times New Roman" w:cs="Times New Roman"/>
                      <w:lang w:val="en-US" w:eastAsia="zh-CN"/>
                    </w:rPr>
                  </w:pPr>
                  <w:r>
                    <w:rPr>
                      <w:rFonts w:ascii="Times New Roman" w:hAnsi="Times New Roman" w:cs="Times New Roman"/>
                    </w:rPr>
                    <w:t>1</w:t>
                  </w:r>
                </w:p>
              </w:tc>
              <w:tc>
                <w:tcPr>
                  <w:tcW w:w="734"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default" w:ascii="Times New Roman" w:hAnsi="Times New Roman" w:cs="Times New Roman"/>
                      <w:lang w:val="en-US" w:eastAsia="zh-CN"/>
                    </w:rPr>
                  </w:pPr>
                  <w:r>
                    <w:rPr>
                      <w:rFonts w:ascii="Times New Roman" w:hAnsi="Times New Roman" w:cs="Times New Roman"/>
                    </w:rPr>
                    <w:t>废机油</w:t>
                  </w:r>
                </w:p>
              </w:tc>
              <w:tc>
                <w:tcPr>
                  <w:tcW w:w="776"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default" w:ascii="Times New Roman" w:hAnsi="Times New Roman" w:cs="Times New Roman"/>
                      <w:lang w:val="en-US" w:eastAsia="zh-CN"/>
                    </w:rPr>
                  </w:pPr>
                  <w:r>
                    <w:rPr>
                      <w:rFonts w:ascii="Times New Roman" w:hAnsi="Times New Roman" w:cs="Times New Roman"/>
                    </w:rPr>
                    <w:t>HW08</w:t>
                  </w:r>
                </w:p>
              </w:tc>
              <w:tc>
                <w:tcPr>
                  <w:tcW w:w="737"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default" w:ascii="Times New Roman" w:hAnsi="Times New Roman" w:cs="Times New Roman"/>
                      <w:lang w:val="en-US" w:eastAsia="zh-CN"/>
                    </w:rPr>
                  </w:pPr>
                  <w:r>
                    <w:rPr>
                      <w:rFonts w:ascii="Times New Roman" w:hAnsi="Times New Roman" w:cs="Times New Roman"/>
                    </w:rPr>
                    <w:t>1</w:t>
                  </w:r>
                </w:p>
              </w:tc>
              <w:tc>
                <w:tcPr>
                  <w:tcW w:w="735"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default" w:ascii="Times New Roman" w:hAnsi="Times New Roman" w:cs="Times New Roman"/>
                      <w:lang w:val="en-US" w:eastAsia="zh-CN"/>
                    </w:rPr>
                  </w:pPr>
                  <w:r>
                    <w:rPr>
                      <w:rFonts w:ascii="Times New Roman" w:hAnsi="Times New Roman" w:cs="Times New Roman"/>
                    </w:rPr>
                    <w:t>设备检修</w:t>
                  </w:r>
                </w:p>
              </w:tc>
              <w:tc>
                <w:tcPr>
                  <w:tcW w:w="735"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default" w:ascii="Times New Roman" w:hAnsi="Times New Roman" w:cs="Times New Roman"/>
                      <w:lang w:val="en-US" w:eastAsia="zh-CN"/>
                    </w:rPr>
                  </w:pPr>
                  <w:r>
                    <w:rPr>
                      <w:rFonts w:ascii="Times New Roman" w:hAnsi="Times New Roman" w:cs="Times New Roman"/>
                    </w:rPr>
                    <w:t>液态</w:t>
                  </w:r>
                </w:p>
              </w:tc>
              <w:tc>
                <w:tcPr>
                  <w:tcW w:w="735"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default" w:ascii="Times New Roman" w:hAnsi="Times New Roman" w:cs="Times New Roman"/>
                      <w:lang w:val="en-US" w:eastAsia="zh-CN"/>
                    </w:rPr>
                  </w:pPr>
                  <w:r>
                    <w:rPr>
                      <w:rFonts w:ascii="Times New Roman" w:hAnsi="Times New Roman" w:cs="Times New Roman"/>
                    </w:rPr>
                    <w:t>润滑油</w:t>
                  </w:r>
                </w:p>
              </w:tc>
              <w:tc>
                <w:tcPr>
                  <w:tcW w:w="735"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default" w:ascii="Times New Roman" w:hAnsi="Times New Roman" w:cs="Times New Roman"/>
                      <w:lang w:val="en-US" w:eastAsia="zh-CN"/>
                    </w:rPr>
                  </w:pPr>
                  <w:r>
                    <w:rPr>
                      <w:rFonts w:ascii="Times New Roman" w:hAnsi="Times New Roman" w:cs="Times New Roman"/>
                    </w:rPr>
                    <w:t>润滑油</w:t>
                  </w:r>
                </w:p>
              </w:tc>
              <w:tc>
                <w:tcPr>
                  <w:tcW w:w="681"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default" w:ascii="Times New Roman" w:hAnsi="Times New Roman" w:cs="Times New Roman"/>
                      <w:lang w:val="en-US" w:eastAsia="zh-CN"/>
                    </w:rPr>
                  </w:pPr>
                  <w:r>
                    <w:rPr>
                      <w:rFonts w:ascii="Times New Roman" w:hAnsi="Times New Roman" w:cs="Times New Roman"/>
                    </w:rPr>
                    <w:t>90d</w:t>
                  </w:r>
                </w:p>
              </w:tc>
              <w:tc>
                <w:tcPr>
                  <w:tcW w:w="555"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default" w:ascii="Times New Roman" w:hAnsi="Times New Roman" w:cs="Times New Roman"/>
                      <w:lang w:val="en-US" w:eastAsia="zh-CN"/>
                    </w:rPr>
                  </w:pPr>
                  <w:r>
                    <w:rPr>
                      <w:rFonts w:ascii="Times New Roman" w:hAnsi="Times New Roman" w:cs="Times New Roman"/>
                    </w:rPr>
                    <w:t>T，I</w:t>
                  </w:r>
                </w:p>
              </w:tc>
              <w:tc>
                <w:tcPr>
                  <w:tcW w:w="988"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ascii="Times New Roman" w:hAnsi="Times New Roman" w:cs="Times New Roman"/>
                    </w:rPr>
                  </w:pPr>
                  <w:r>
                    <w:rPr>
                      <w:rFonts w:ascii="Times New Roman" w:hAnsi="Times New Roman" w:cs="Times New Roman"/>
                    </w:rPr>
                    <w:t>危废暂存间存</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ascii="Times New Roman" w:hAnsi="Times New Roman" w:cs="Times New Roman"/>
                    </w:rPr>
                  </w:pPr>
                  <w:r>
                    <w:rPr>
                      <w:rFonts w:ascii="Times New Roman" w:hAnsi="Times New Roman" w:cs="Times New Roman"/>
                    </w:rPr>
                    <w:t>放，(防风、防</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ascii="Times New Roman" w:hAnsi="Times New Roman" w:cs="Times New Roman"/>
                    </w:rPr>
                  </w:pPr>
                  <w:r>
                    <w:rPr>
                      <w:rFonts w:ascii="Times New Roman" w:hAnsi="Times New Roman" w:cs="Times New Roman"/>
                    </w:rPr>
                    <w:t>雨、防晒、防</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ascii="Times New Roman" w:hAnsi="Times New Roman" w:cs="Times New Roman"/>
                    </w:rPr>
                  </w:pPr>
                  <w:r>
                    <w:rPr>
                      <w:rFonts w:ascii="Times New Roman" w:hAnsi="Times New Roman" w:cs="Times New Roman"/>
                    </w:rPr>
                    <w:t>渗漏)，定期委</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ascii="Times New Roman" w:hAnsi="Times New Roman" w:cs="Times New Roman"/>
                    </w:rPr>
                  </w:pPr>
                  <w:r>
                    <w:rPr>
                      <w:rFonts w:ascii="Times New Roman" w:hAnsi="Times New Roman" w:cs="Times New Roman"/>
                    </w:rPr>
                    <w:t>托有资质单位</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default" w:ascii="Times New Roman" w:hAnsi="Times New Roman" w:cs="Times New Roman"/>
                      <w:lang w:val="en-US" w:eastAsia="zh-CN"/>
                    </w:rPr>
                  </w:pPr>
                  <w:r>
                    <w:rPr>
                      <w:rFonts w:ascii="Times New Roman" w:hAnsi="Times New Roman" w:cs="Times New Roman"/>
                    </w:rPr>
                    <w:t>处理</w:t>
                  </w:r>
                </w:p>
              </w:tc>
            </w:tr>
          </w:tbl>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jc w:val="center"/>
              <w:textAlignment w:val="auto"/>
              <w:rPr>
                <w:rFonts w:hint="default" w:ascii="Times New Roman" w:hAnsi="Times New Roman" w:cs="Times New Roman"/>
                <w:b/>
                <w:bCs/>
                <w:sz w:val="21"/>
                <w:szCs w:val="21"/>
                <w:lang w:val="en-US" w:eastAsia="zh-CN"/>
              </w:rPr>
            </w:pPr>
            <w:r>
              <w:rPr>
                <w:rFonts w:hint="default" w:ascii="Times New Roman" w:hAnsi="Times New Roman" w:cs="Times New Roman"/>
                <w:b/>
                <w:bCs/>
                <w:sz w:val="21"/>
                <w:szCs w:val="21"/>
                <w:lang w:val="en-US" w:eastAsia="zh-CN"/>
              </w:rPr>
              <w:t>表4-11固废产生及处置措施表</w:t>
            </w:r>
          </w:p>
          <w:tbl>
            <w:tblPr>
              <w:tblStyle w:val="22"/>
              <w:tblW w:w="806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54"/>
              <w:gridCol w:w="1292"/>
              <w:gridCol w:w="1627"/>
              <w:gridCol w:w="36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54" w:type="dxa"/>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cs="Times New Roman"/>
                      <w:lang w:val="en-US" w:eastAsia="zh-CN"/>
                    </w:rPr>
                  </w:pPr>
                  <w:r>
                    <w:rPr>
                      <w:rFonts w:ascii="Times New Roman" w:hAnsi="Times New Roman" w:cs="Times New Roman"/>
                    </w:rPr>
                    <w:t>固废名称</w:t>
                  </w:r>
                </w:p>
              </w:tc>
              <w:tc>
                <w:tcPr>
                  <w:tcW w:w="1292" w:type="dxa"/>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cs="Times New Roman"/>
                      <w:lang w:val="en-US" w:eastAsia="zh-CN"/>
                    </w:rPr>
                  </w:pPr>
                  <w:r>
                    <w:rPr>
                      <w:rFonts w:ascii="Times New Roman" w:hAnsi="Times New Roman" w:cs="Times New Roman"/>
                    </w:rPr>
                    <w:t>类别</w:t>
                  </w:r>
                </w:p>
              </w:tc>
              <w:tc>
                <w:tcPr>
                  <w:tcW w:w="1627" w:type="dxa"/>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cs="Times New Roman"/>
                      <w:lang w:val="en-US" w:eastAsia="zh-CN"/>
                    </w:rPr>
                  </w:pPr>
                  <w:r>
                    <w:rPr>
                      <w:rFonts w:ascii="Times New Roman" w:hAnsi="Times New Roman" w:cs="Times New Roman"/>
                    </w:rPr>
                    <w:t>产生量</w:t>
                  </w:r>
                </w:p>
              </w:tc>
              <w:tc>
                <w:tcPr>
                  <w:tcW w:w="3696" w:type="dxa"/>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cs="Times New Roman"/>
                      <w:lang w:val="en-US" w:eastAsia="zh-CN"/>
                    </w:rPr>
                  </w:pPr>
                  <w:r>
                    <w:rPr>
                      <w:rFonts w:ascii="Times New Roman" w:hAnsi="Times New Roman" w:cs="Times New Roman"/>
                    </w:rPr>
                    <w:t>处置措施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54" w:type="dxa"/>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cs="Times New Roman"/>
                      <w:lang w:val="en-US" w:eastAsia="zh-CN"/>
                    </w:rPr>
                  </w:pPr>
                  <w:r>
                    <w:rPr>
                      <w:rFonts w:ascii="Times New Roman" w:hAnsi="Times New Roman" w:cs="Times New Roman"/>
                    </w:rPr>
                    <w:t>剥离表土</w:t>
                  </w:r>
                </w:p>
              </w:tc>
              <w:tc>
                <w:tcPr>
                  <w:tcW w:w="1292" w:type="dxa"/>
                  <w:vMerge w:val="restart"/>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cs="Times New Roman"/>
                      <w:lang w:val="en-US" w:eastAsia="zh-CN"/>
                    </w:rPr>
                  </w:pPr>
                  <w:r>
                    <w:rPr>
                      <w:rFonts w:ascii="Times New Roman" w:hAnsi="Times New Roman" w:cs="Times New Roman"/>
                    </w:rPr>
                    <w:t>一般固废</w:t>
                  </w:r>
                </w:p>
              </w:tc>
              <w:tc>
                <w:tcPr>
                  <w:tcW w:w="1627" w:type="dxa"/>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cs="Times New Roman"/>
                      <w:lang w:val="en-US" w:eastAsia="zh-CN"/>
                    </w:rPr>
                  </w:pPr>
                  <w:r>
                    <w:rPr>
                      <w:rFonts w:ascii="Times New Roman" w:hAnsi="Times New Roman" w:cs="Times New Roman"/>
                    </w:rPr>
                    <w:t>总量约9万m3</w:t>
                  </w:r>
                </w:p>
              </w:tc>
              <w:tc>
                <w:tcPr>
                  <w:tcW w:w="3696" w:type="dxa"/>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lang w:val="en-US" w:eastAsia="zh-CN"/>
                    </w:rPr>
                  </w:pPr>
                  <w:r>
                    <w:rPr>
                      <w:rFonts w:hint="eastAsia" w:cs="Times New Roman"/>
                      <w:lang w:val="en-US" w:eastAsia="zh-CN"/>
                    </w:rPr>
                    <w:t>新增表土堆场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54" w:type="dxa"/>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cs="Times New Roman"/>
                      <w:lang w:val="en-US" w:eastAsia="zh-CN"/>
                    </w:rPr>
                  </w:pPr>
                  <w:r>
                    <w:rPr>
                      <w:rFonts w:ascii="Times New Roman" w:hAnsi="Times New Roman" w:cs="Times New Roman"/>
                    </w:rPr>
                    <w:t>开采剥离废土石</w:t>
                  </w:r>
                </w:p>
              </w:tc>
              <w:tc>
                <w:tcPr>
                  <w:tcW w:w="1292" w:type="dxa"/>
                  <w:vMerge w:val="continue"/>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cs="Times New Roman"/>
                      <w:lang w:val="en-US" w:eastAsia="zh-CN"/>
                    </w:rPr>
                  </w:pPr>
                </w:p>
              </w:tc>
              <w:tc>
                <w:tcPr>
                  <w:tcW w:w="1627" w:type="dxa"/>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cs="Times New Roman"/>
                      <w:lang w:val="en-US" w:eastAsia="zh-CN"/>
                    </w:rPr>
                  </w:pPr>
                  <w:r>
                    <w:rPr>
                      <w:rFonts w:ascii="Times New Roman" w:hAnsi="Times New Roman" w:cs="Times New Roman"/>
                    </w:rPr>
                    <w:t>总量52.6万m3</w:t>
                  </w:r>
                </w:p>
              </w:tc>
              <w:tc>
                <w:tcPr>
                  <w:tcW w:w="3696" w:type="dxa"/>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cs="Times New Roman"/>
                      <w:lang w:val="en-US" w:eastAsia="zh-CN"/>
                    </w:rPr>
                  </w:pPr>
                  <w:r>
                    <w:rPr>
                      <w:rFonts w:ascii="Times New Roman" w:hAnsi="Times New Roman" w:cs="Times New Roman"/>
                    </w:rPr>
                    <w:t>堆存于矿山的</w:t>
                  </w:r>
                  <w:r>
                    <w:rPr>
                      <w:rFonts w:hint="eastAsia" w:cs="Times New Roman"/>
                      <w:lang w:val="en-US" w:eastAsia="zh-CN"/>
                    </w:rPr>
                    <w:t>排</w:t>
                  </w:r>
                  <w:r>
                    <w:rPr>
                      <w:rFonts w:ascii="Times New Roman" w:hAnsi="Times New Roman" w:cs="Times New Roman"/>
                    </w:rPr>
                    <w:t>土场内（露采坑内），作为矿区回填复垦使用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54" w:type="dxa"/>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cs="Times New Roman"/>
                      <w:lang w:val="en-US" w:eastAsia="zh-CN"/>
                    </w:rPr>
                  </w:pPr>
                  <w:r>
                    <w:rPr>
                      <w:rFonts w:ascii="Times New Roman" w:hAnsi="Times New Roman" w:cs="Times New Roman"/>
                    </w:rPr>
                    <w:t>沉淀池池渣</w:t>
                  </w:r>
                </w:p>
              </w:tc>
              <w:tc>
                <w:tcPr>
                  <w:tcW w:w="1292" w:type="dxa"/>
                  <w:vMerge w:val="continue"/>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cs="Times New Roman"/>
                      <w:lang w:val="en-US" w:eastAsia="zh-CN"/>
                    </w:rPr>
                  </w:pPr>
                </w:p>
              </w:tc>
              <w:tc>
                <w:tcPr>
                  <w:tcW w:w="1627" w:type="dxa"/>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cs="Times New Roman"/>
                      <w:lang w:val="en-US" w:eastAsia="zh-CN"/>
                    </w:rPr>
                  </w:pPr>
                  <w:r>
                    <w:rPr>
                      <w:rFonts w:ascii="Times New Roman" w:hAnsi="Times New Roman" w:cs="Times New Roman"/>
                    </w:rPr>
                    <w:t>50t/a</w:t>
                  </w:r>
                </w:p>
              </w:tc>
              <w:tc>
                <w:tcPr>
                  <w:tcW w:w="3696" w:type="dxa"/>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cs="Times New Roman"/>
                      <w:lang w:val="en-US" w:eastAsia="zh-CN"/>
                    </w:rPr>
                  </w:pPr>
                  <w:r>
                    <w:rPr>
                      <w:rFonts w:ascii="Times New Roman" w:hAnsi="Times New Roman" w:cs="Times New Roman"/>
                    </w:rPr>
                    <w:t>经定期清理后送堆土场堆存，与剥离表土一起作为矿区回填复垦使用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54" w:type="dxa"/>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cs="Times New Roman"/>
                      <w:lang w:val="en-US" w:eastAsia="zh-CN"/>
                    </w:rPr>
                  </w:pPr>
                  <w:r>
                    <w:rPr>
                      <w:rFonts w:ascii="Times New Roman" w:hAnsi="Times New Roman" w:cs="Times New Roman"/>
                    </w:rPr>
                    <w:t>除尘器收集的粉尘</w:t>
                  </w:r>
                </w:p>
              </w:tc>
              <w:tc>
                <w:tcPr>
                  <w:tcW w:w="1292" w:type="dxa"/>
                  <w:vMerge w:val="continue"/>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cs="Times New Roman"/>
                      <w:lang w:val="en-US" w:eastAsia="zh-CN"/>
                    </w:rPr>
                  </w:pPr>
                </w:p>
              </w:tc>
              <w:tc>
                <w:tcPr>
                  <w:tcW w:w="1627" w:type="dxa"/>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cs="Times New Roman"/>
                      <w:lang w:val="en-US" w:eastAsia="zh-CN"/>
                    </w:rPr>
                  </w:pPr>
                  <w:r>
                    <w:rPr>
                      <w:rFonts w:hint="eastAsia" w:cs="Times New Roman"/>
                      <w:lang w:eastAsia="zh-CN"/>
                    </w:rPr>
                    <w:t>817.9</w:t>
                  </w:r>
                  <w:r>
                    <w:rPr>
                      <w:rFonts w:ascii="Times New Roman" w:hAnsi="Times New Roman" w:cs="Times New Roman"/>
                    </w:rPr>
                    <w:t>t/a</w:t>
                  </w:r>
                </w:p>
              </w:tc>
              <w:tc>
                <w:tcPr>
                  <w:tcW w:w="3696" w:type="dxa"/>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cs="Times New Roman"/>
                      <w:lang w:val="en-US" w:eastAsia="zh-CN"/>
                    </w:rPr>
                  </w:pPr>
                  <w:r>
                    <w:rPr>
                      <w:rFonts w:ascii="Times New Roman" w:hAnsi="Times New Roman" w:cs="Times New Roman"/>
                    </w:rPr>
                    <w:t>收集后作为石粉外售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54" w:type="dxa"/>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cs="Times New Roman"/>
                      <w:lang w:val="en-US" w:eastAsia="zh-CN"/>
                    </w:rPr>
                  </w:pPr>
                  <w:r>
                    <w:rPr>
                      <w:rFonts w:ascii="Times New Roman" w:hAnsi="Times New Roman" w:cs="Times New Roman"/>
                    </w:rPr>
                    <w:t>废机油</w:t>
                  </w:r>
                </w:p>
              </w:tc>
              <w:tc>
                <w:tcPr>
                  <w:tcW w:w="1292" w:type="dxa"/>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cs="Times New Roman"/>
                      <w:lang w:val="en-US" w:eastAsia="zh-CN"/>
                    </w:rPr>
                  </w:pPr>
                  <w:r>
                    <w:rPr>
                      <w:rFonts w:ascii="Times New Roman" w:hAnsi="Times New Roman" w:cs="Times New Roman"/>
                    </w:rPr>
                    <w:t>危险废物</w:t>
                  </w:r>
                </w:p>
              </w:tc>
              <w:tc>
                <w:tcPr>
                  <w:tcW w:w="1627" w:type="dxa"/>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cs="Times New Roman"/>
                      <w:lang w:val="en-US" w:eastAsia="zh-CN"/>
                    </w:rPr>
                  </w:pPr>
                  <w:r>
                    <w:rPr>
                      <w:rFonts w:ascii="Times New Roman" w:hAnsi="Times New Roman" w:cs="Times New Roman"/>
                    </w:rPr>
                    <w:t>1t/a</w:t>
                  </w:r>
                </w:p>
              </w:tc>
              <w:tc>
                <w:tcPr>
                  <w:tcW w:w="3696" w:type="dxa"/>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cs="Times New Roman"/>
                      <w:lang w:val="en-US" w:eastAsia="zh-CN"/>
                    </w:rPr>
                  </w:pPr>
                  <w:r>
                    <w:rPr>
                      <w:rFonts w:ascii="Times New Roman" w:hAnsi="Times New Roman" w:cs="Times New Roman"/>
                    </w:rPr>
                    <w:t>暂存于危废暂存间，定期委托有资质的单位处置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54" w:type="dxa"/>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cs="Times New Roman"/>
                      <w:lang w:val="en-US" w:eastAsia="zh-CN"/>
                    </w:rPr>
                  </w:pPr>
                  <w:r>
                    <w:rPr>
                      <w:rFonts w:ascii="Times New Roman" w:hAnsi="Times New Roman" w:cs="Times New Roman"/>
                    </w:rPr>
                    <w:t>生活垃圾</w:t>
                  </w:r>
                </w:p>
              </w:tc>
              <w:tc>
                <w:tcPr>
                  <w:tcW w:w="1292" w:type="dxa"/>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cs="Times New Roman"/>
                      <w:lang w:val="en-US" w:eastAsia="zh-CN"/>
                    </w:rPr>
                  </w:pPr>
                  <w:r>
                    <w:rPr>
                      <w:rFonts w:ascii="Times New Roman" w:hAnsi="Times New Roman" w:cs="Times New Roman"/>
                    </w:rPr>
                    <w:t>一般固废</w:t>
                  </w:r>
                </w:p>
              </w:tc>
              <w:tc>
                <w:tcPr>
                  <w:tcW w:w="1627" w:type="dxa"/>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cs="Times New Roman"/>
                      <w:lang w:val="en-US" w:eastAsia="zh-CN"/>
                    </w:rPr>
                  </w:pPr>
                  <w:r>
                    <w:rPr>
                      <w:rFonts w:ascii="Times New Roman" w:hAnsi="Times New Roman" w:cs="Times New Roman"/>
                    </w:rPr>
                    <w:t>12t/a</w:t>
                  </w:r>
                </w:p>
              </w:tc>
              <w:tc>
                <w:tcPr>
                  <w:tcW w:w="3696" w:type="dxa"/>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cs="Times New Roman"/>
                      <w:lang w:val="en-US" w:eastAsia="zh-CN"/>
                    </w:rPr>
                  </w:pPr>
                  <w:r>
                    <w:rPr>
                      <w:rFonts w:ascii="Times New Roman" w:hAnsi="Times New Roman" w:cs="Times New Roman"/>
                    </w:rPr>
                    <w:t>垃圾桶暂存，委托环卫部门统一处置</w:t>
                  </w:r>
                </w:p>
              </w:tc>
            </w:tr>
          </w:tbl>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处置措施：项目针对产生的固体废物的特点，本着“资源化”、“减量化”和“无害化”原则，实行不同的处置方式，在减少外排环境数量的基础上，力求实现环境效益、经济效益和社会效益的统一。具体分析如下：</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A、一般工业固体废物贮存、处置及管理要求：</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一般工业固废暂存间必须严格按照《一般工业固体废物贮存和填埋污染控制标准》（GB18599-2020）的要求建设：一般工业固废应当分类存放；应按GB15562.2设置环境保护图形标志；贮存设置需防风、防雨、防晒、防渗漏；禁止危险废物和生活垃圾混入；建立档案制度，将一般工业固废的种类和数量等内容详细记录在案，长期保存，供随时查阅等。</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B、危险废物贮存、转运及管理要求：</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①废机油等采用防腐防渗漏的器具桶装后，暂存于危险暂存间，定期委托有资质的单位进行处置。</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②项目工业广场内设置一间6m</w:t>
            </w:r>
            <w:r>
              <w:rPr>
                <w:rFonts w:hint="default" w:ascii="Times New Roman" w:hAnsi="Times New Roman" w:cs="Times New Roman"/>
                <w:sz w:val="24"/>
                <w:szCs w:val="24"/>
                <w:vertAlign w:val="superscript"/>
                <w:lang w:val="en-US" w:eastAsia="zh-CN"/>
              </w:rPr>
              <w:t>2</w:t>
            </w:r>
            <w:r>
              <w:rPr>
                <w:rFonts w:hint="default" w:ascii="Times New Roman" w:hAnsi="Times New Roman" w:cs="Times New Roman"/>
                <w:sz w:val="24"/>
                <w:szCs w:val="24"/>
                <w:lang w:val="en-US" w:eastAsia="zh-CN"/>
              </w:rPr>
              <w:t>危废暂存间，危废暂存间必须严格按照《危险废物贮存污染控制标准》（GBl8597-20</w:t>
            </w:r>
            <w:r>
              <w:rPr>
                <w:rFonts w:hint="eastAsia" w:ascii="Times New Roman" w:hAnsi="Times New Roman" w:cs="Times New Roman"/>
                <w:sz w:val="24"/>
                <w:szCs w:val="24"/>
                <w:lang w:val="en-US" w:eastAsia="zh-CN"/>
              </w:rPr>
              <w:t>23</w:t>
            </w:r>
            <w:r>
              <w:rPr>
                <w:rFonts w:hint="default" w:ascii="Times New Roman" w:hAnsi="Times New Roman" w:cs="Times New Roman"/>
                <w:sz w:val="24"/>
                <w:szCs w:val="24"/>
                <w:lang w:val="en-US" w:eastAsia="zh-CN"/>
              </w:rPr>
              <w:t>）的要求进行建设：危险废物应当分类存放；危险废物贮存容器、存放区应贴上醒目的废弃物分类专用标签；废物贮存设施需防风、防雨、防晒、防渗漏，建筑材料必须与危险废物相容；堆放时防风、防雨、防晒，防止临时存放过程中的二次污染；储存设施周边设围堰。</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③在危险废物转移过程中严格执行《危险废物转移管理办法》，做好每次外运处置时的运输登记，认真填写危险废物转移联单。</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④建设单位做好危险废物产生情况的记录，记录上须注明危险废物的名称、来源、数量、特性和包装容器的类别、入库日期、存放库位、废物出库日期接收单位名称。</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⑤定期对所贮存的危险废物包装容器及贮存设施进行检查，发现破损，应及时采取措施清理更换。</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⑥危险废物贮存设施内清理出来的泄漏物，一律按危险废物进行管理和处理。综上所述，本项目固体废物处理处置符合国家《固体废物污染环境防治法》规定的原则，符合《生活垃圾填埋场污染控制标准》(GB16889-2008)、《一般工业固体废物贮存和填埋污染控制标准》（GB18599-2020）和《危险废物贮存污染控制标准》（GB18597-2023）规定，采取上述措施后，本项目固体废物可得到妥善的处理，对周围环境造成的影响很小。</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2" w:firstLineChars="200"/>
              <w:jc w:val="left"/>
              <w:textAlignment w:val="auto"/>
              <w:rPr>
                <w:rFonts w:hint="default" w:ascii="Times New Roman" w:hAnsi="Times New Roman" w:cs="Times New Roman"/>
                <w:b/>
                <w:bCs/>
                <w:sz w:val="24"/>
                <w:szCs w:val="24"/>
                <w:lang w:val="en-US" w:eastAsia="zh-CN"/>
              </w:rPr>
            </w:pPr>
            <w:r>
              <w:rPr>
                <w:rFonts w:hint="default" w:ascii="Times New Roman" w:hAnsi="Times New Roman" w:cs="Times New Roman"/>
                <w:b/>
                <w:bCs/>
                <w:sz w:val="24"/>
                <w:szCs w:val="24"/>
                <w:lang w:val="en-US" w:eastAsia="zh-CN"/>
              </w:rPr>
              <w:t>5、生态环境</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生态环境影响评价是对人类开发建设活动可能导致的生态环境影响进行分析与预测，并提出减少影响或改善生态环境的策略和措施。矿山开发对自然生态系统的影响包括直接影响和间接影响，其中直接影响包括占地引起的植被砍伐和分隔生态环境；间接影响包括边界效应（林地边缘日照增加、风力加大、干燥度增加等）、水土流失和动植物种减少等。</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本矿区地处低山丘陵区，矿区内植被较发育，多为林木。矿区大部分的植被基本完好。矿区未剥离山体地表为表土覆盖，植被发育一般，主要为次生林、灌木，以竹、松树、杉树为主。区域内未发现受国家保护的珍贵野生动植物，周边无受保护建筑物和生态区，生态环境条件较好。</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矿山建设及矿石开采过程中大量土石方爆破开挖、矿石加工、运输等均会对该区域生态环境产生一定影响，项目拟建地不属于生物多样性保护区域或生态敏感区域，在对开采区采取复垦回填措施后项目对生态环境影响较小。</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2" w:firstLineChars="200"/>
              <w:jc w:val="left"/>
              <w:textAlignment w:val="auto"/>
              <w:rPr>
                <w:rFonts w:hint="default" w:ascii="Times New Roman" w:hAnsi="Times New Roman" w:cs="Times New Roman"/>
                <w:b/>
                <w:bCs/>
                <w:sz w:val="24"/>
                <w:szCs w:val="24"/>
                <w:lang w:val="en-US" w:eastAsia="zh-CN"/>
              </w:rPr>
            </w:pPr>
            <w:r>
              <w:rPr>
                <w:rFonts w:hint="default" w:ascii="Times New Roman" w:hAnsi="Times New Roman" w:cs="Times New Roman"/>
                <w:b/>
                <w:bCs/>
                <w:sz w:val="24"/>
                <w:szCs w:val="24"/>
                <w:lang w:val="en-US" w:eastAsia="zh-CN"/>
              </w:rPr>
              <w:t>（1）动植物影响分析</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植被：矿区原有植物资源主要为次生林、灌木，由于石料的开采，会使矿区部分树木被砍伐，破坏了一定面积的植被和地貌景观，造成地表裸露，采完之后如不采取有效措施加以恢复，将造成严重的土地沙化和水土流失以及塌陷和地表裂缝等后果，严重者在雨后会导致泥石流和山洪暴发。</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开采区的植被如果遭到破坏，其后果将是很严重的，由于开采区土质一般不是十分肥沃，植物生长较缓慢，土层较浅，所以植物一旦破坏，将带来数年甚至数十年不能恢复的后果，而且植被、森林砍伐到一定程度，就会从一定程度上改变原有的生态，导致大量物种消失。</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本项目矿区面积小，地表岩石裸露，植被较少，且植物多为普通种，容易恢复。厂址周围无自然保护区、无风景名胜、无珍稀动、植物。因此项目运行期间，只要加强管理，将采矿生产活动控制在现有的占地范围内，对采空区及时进行绿化，运营期满后进行合理可行的复垦工作，那么植物损失量也将大部分的得到恢复和弥补，对生态环境的影响是相对较小的。</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项目不占用公益林，项目所处的地理位置不敏感。不涉及自然保护区、风景名胜区和基本农田保护区。</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植被的保护：严格控制项目用地范围，避免超出用地红线范围，破坏周边植被；加强矿区及工业场地除尘抑尘措施，减少无组织粉尘排放，避免大量粉尘排放对周边植被造成破坏。</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动物：评价区内兽类动物有野兔、黄鼠、红白鼠等，主要分布于有林区；爬行类动物主要有蛇类等；两栖类主要为蛙类；鸟类主要有麻雀、喜鹊、画眉等。影响区域内动物分布很少，多是一些常见种，无国家或地方保护动物。项目开采不直接破坏动物的生存环境，但生产噪声、震动可能影响其生存环境，但是影响程度处于可接受的范围内，项目的建设对整个区域生态系统的功能和稳定性不会产生大的影响，也不会引起某一物种的消失。</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2" w:firstLineChars="200"/>
              <w:jc w:val="left"/>
              <w:textAlignment w:val="auto"/>
              <w:rPr>
                <w:rFonts w:hint="default" w:ascii="Times New Roman" w:hAnsi="Times New Roman" w:cs="Times New Roman"/>
                <w:b/>
                <w:bCs/>
                <w:sz w:val="24"/>
                <w:szCs w:val="24"/>
                <w:lang w:val="en-US" w:eastAsia="zh-CN"/>
              </w:rPr>
            </w:pPr>
            <w:r>
              <w:rPr>
                <w:rFonts w:hint="default" w:ascii="Times New Roman" w:hAnsi="Times New Roman" w:cs="Times New Roman"/>
                <w:b/>
                <w:bCs/>
                <w:sz w:val="24"/>
                <w:szCs w:val="24"/>
                <w:lang w:val="en-US" w:eastAsia="zh-CN"/>
              </w:rPr>
              <w:t>（2）土地利用影响分析</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矿山开采及基础设施建设占用土地，对原地形地貌、植被产生了破坏。项目矿区占地面积</w:t>
            </w:r>
            <w:r>
              <w:rPr>
                <w:rFonts w:hint="eastAsia" w:cs="Times New Roman"/>
                <w:sz w:val="24"/>
                <w:szCs w:val="24"/>
                <w:lang w:val="en-US" w:eastAsia="zh-CN"/>
              </w:rPr>
              <w:t>229371</w:t>
            </w:r>
            <w:r>
              <w:rPr>
                <w:rFonts w:hint="default" w:ascii="Times New Roman" w:hAnsi="Times New Roman" w:cs="Times New Roman"/>
                <w:sz w:val="24"/>
                <w:szCs w:val="24"/>
                <w:lang w:val="en-US" w:eastAsia="zh-CN"/>
              </w:rPr>
              <w:t>m</w:t>
            </w:r>
            <w:r>
              <w:rPr>
                <w:rFonts w:hint="default" w:ascii="Times New Roman" w:hAnsi="Times New Roman" w:cs="Times New Roman"/>
                <w:sz w:val="24"/>
                <w:szCs w:val="24"/>
                <w:vertAlign w:val="superscript"/>
                <w:lang w:val="en-US" w:eastAsia="zh-CN"/>
              </w:rPr>
              <w:t>2</w:t>
            </w:r>
            <w:r>
              <w:rPr>
                <w:rFonts w:hint="default" w:ascii="Times New Roman" w:hAnsi="Times New Roman" w:cs="Times New Roman"/>
                <w:sz w:val="24"/>
                <w:szCs w:val="24"/>
                <w:lang w:val="en-US" w:eastAsia="zh-CN"/>
              </w:rPr>
              <w:t>，对土地的主要损毁方式为压占及挖损，涉及土地类型主要为乔木林地，不涉及基本农田和公益林。项目用地主要包括沉淀池、截排水沟、露天采场、工业场地、</w:t>
            </w:r>
            <w:r>
              <w:rPr>
                <w:rFonts w:hint="eastAsia" w:cs="Times New Roman"/>
                <w:sz w:val="24"/>
                <w:szCs w:val="24"/>
                <w:lang w:val="en-US" w:eastAsia="zh-CN"/>
              </w:rPr>
              <w:t>表土堆场、成品中转堆场、</w:t>
            </w:r>
            <w:r>
              <w:rPr>
                <w:rFonts w:hint="default" w:ascii="Times New Roman" w:hAnsi="Times New Roman" w:cs="Times New Roman"/>
                <w:sz w:val="24"/>
                <w:szCs w:val="24"/>
                <w:lang w:val="en-US" w:eastAsia="zh-CN"/>
              </w:rPr>
              <w:t>内部运输道路等。</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待矿山服务期满，将对开采范围内的土地进行生态恢复，一般2～3年（对于草地）或3～4年（对于灌丛林地）内基本上可恢复原有的土地利用功能。</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生产期对局部地区土地利用类型产生一定影响，随着土地整治相关措施的实施，这种影响会不断弱化，对土地利用整体影响较轻。</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2" w:firstLineChars="200"/>
              <w:jc w:val="left"/>
              <w:textAlignment w:val="auto"/>
              <w:rPr>
                <w:rFonts w:hint="default" w:ascii="Times New Roman" w:hAnsi="Times New Roman" w:cs="Times New Roman"/>
                <w:b/>
                <w:bCs/>
                <w:sz w:val="24"/>
                <w:szCs w:val="24"/>
                <w:lang w:val="en-US" w:eastAsia="zh-CN"/>
              </w:rPr>
            </w:pPr>
            <w:r>
              <w:rPr>
                <w:rFonts w:hint="default" w:ascii="Times New Roman" w:hAnsi="Times New Roman" w:cs="Times New Roman"/>
                <w:b/>
                <w:bCs/>
                <w:sz w:val="24"/>
                <w:szCs w:val="24"/>
                <w:lang w:val="en-US" w:eastAsia="zh-CN"/>
              </w:rPr>
              <w:t>（3）生态系统完整性影响分析</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项目对生态系统的影响主要是工程前期活动引发的环境问题，如采矿开挖及配套工程建设的基础开挖、道路建设等。项目尽量征用闲置地、山地，尽可能少占林地和耕地，进山公路和矿区道路利用现有道路，最大限度的减少对山体植被的破坏，维持现有景观的完整性。采取边开采边复垦的方式进行生态恢复和治理，植被可得到自然恢复或人工恢复。</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生态系统的完整性不仅表现在群落结构和功能的完整性，还表现在大区域斑块之间的连通性。项目生态系统的连通性主要体现在以下几个方面：</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1）项目地处山区，开发较少，生态系统自身的连通性较好，各种植物之间间距不大，没有出现较大的裂痕，有利于物种间的接触和优势互补，不会出现大的落差，物种间也不会产生较大差异。这对整个生态系统向良性发展是有利的。</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2）在开采、修路后，由于树木的砍伐和土方的开挖，会在一定程度上破坏土壤、生态系统间的联系，连通性变差。生态系统一旦被破坏，就很难依靠别的生态系统的补给恢复，因此只有在开采时同步进行生态恢复和治理，才能使连通性得到较好的改善，生态环境才能朝着良性方向发展。</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3）项目地处永州市零陵区石山脚街道和梳子铺乡，区域植被覆盖率高，各斑块间连通性较好。项目在开发过程中采取边开采、边复垦的方式进行矿山生态保护和恢复，对已采区及时复垦绿化，因此项目对区域生态系统及景观的破坏较小。</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2" w:firstLineChars="200"/>
              <w:jc w:val="left"/>
              <w:textAlignment w:val="auto"/>
              <w:rPr>
                <w:rFonts w:hint="default" w:ascii="Times New Roman" w:hAnsi="Times New Roman" w:cs="Times New Roman"/>
                <w:b/>
                <w:bCs/>
                <w:sz w:val="24"/>
                <w:szCs w:val="24"/>
                <w:lang w:val="en-US" w:eastAsia="zh-CN"/>
              </w:rPr>
            </w:pPr>
            <w:r>
              <w:rPr>
                <w:rFonts w:hint="default" w:ascii="Times New Roman" w:hAnsi="Times New Roman" w:cs="Times New Roman"/>
                <w:b/>
                <w:bCs/>
                <w:sz w:val="24"/>
                <w:szCs w:val="24"/>
                <w:lang w:val="en-US" w:eastAsia="zh-CN"/>
              </w:rPr>
              <w:t>（4）水土流失影响分析</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本项目的水土流失主要集中在开采期。矿山剥离表土和矿石的采掘将破坏地表结构，随着开采深度的加大，将破坏矿山天然稳定的褶皱、岩层性质，部分地质条件差、稳定性差的裸露边坡如遇暴雨天气，可能产生坍塌、滑坡等严重水土流失危害，影响矿山的正常开采；另外，矿山开采易产生水土流失。</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项目矿石开采将破坏地表原有的植被和地表土壤结构，使土壤结构松散，抗侵蚀能力减弱，有可能造成新的水土流失。因此，在项目建设过程中，如不采取有效的水土保持措施，将进一步引起新的水土流失，影响安全。</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2" w:firstLineChars="200"/>
              <w:jc w:val="left"/>
              <w:textAlignment w:val="auto"/>
              <w:rPr>
                <w:rFonts w:hint="default" w:ascii="Times New Roman" w:hAnsi="Times New Roman" w:cs="Times New Roman"/>
                <w:b/>
                <w:bCs/>
                <w:sz w:val="24"/>
                <w:szCs w:val="24"/>
                <w:lang w:val="en-US" w:eastAsia="zh-CN"/>
              </w:rPr>
            </w:pPr>
            <w:r>
              <w:rPr>
                <w:rFonts w:hint="default" w:ascii="Times New Roman" w:hAnsi="Times New Roman" w:cs="Times New Roman"/>
                <w:b/>
                <w:bCs/>
                <w:sz w:val="24"/>
                <w:szCs w:val="24"/>
                <w:lang w:val="en-US" w:eastAsia="zh-CN"/>
              </w:rPr>
              <w:t>（5）景观影响分析</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项目矿区的开采将会使原地貌以及植被遭受破坏，项目建设占地将会使原有的自然景观类型发生变化，与矿区周边景观形成不协调性。运行期露天采矿对植被破坏会随着采场工作面的推进而逐步增大，届时矿区采场会出现一定面积的“光秃”现象。开采活动还会改变矿体赋存山体的地形地貌，形成一定面积采空区，另外雨季时由于雨水冲刷开采工作面会造成污流和泥泞，影响人的视觉感观。</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2" w:firstLineChars="200"/>
              <w:jc w:val="left"/>
              <w:textAlignment w:val="auto"/>
              <w:rPr>
                <w:rFonts w:hint="default" w:ascii="Times New Roman" w:hAnsi="Times New Roman" w:cs="Times New Roman"/>
                <w:b/>
                <w:bCs/>
                <w:sz w:val="24"/>
                <w:szCs w:val="24"/>
                <w:lang w:val="en-US" w:eastAsia="zh-CN"/>
              </w:rPr>
            </w:pPr>
            <w:r>
              <w:rPr>
                <w:rFonts w:hint="default" w:ascii="Times New Roman" w:hAnsi="Times New Roman" w:cs="Times New Roman"/>
                <w:b/>
                <w:bCs/>
                <w:sz w:val="24"/>
                <w:szCs w:val="24"/>
                <w:lang w:val="en-US" w:eastAsia="zh-CN"/>
              </w:rPr>
              <w:t>（6）生态价值损失</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生态系统对人类生存和发展的物质基础支撑作用主要体现于直接的生产价值。项目建设将直接导致所在区域植被破坏和生物消失，各类具有经济价值的生产力和生物资源也随之消失，同时，项目建设也可能使得周边生态系统简化，物质循环受阻，系统稳定性降低，造成资源损失和生物生产力降低。生态系统除直接的生产价值外，更多的是提供间接的环境服务功能。主要有植物的光合作用调节碳氧平衡、涵养水资源，通过水分涵养和调蓄作用缓解极端水情，消洪补枯涸防旱抗旱，通过植被保持土壤，防治土壤侵蚀，通过树木阻挡防风和植被固土固沙，起到防止土地沙化的作用；通过空间阻挡、蒸腾水分、改善下垫面，改善小气候，增加降雨量；通过植物吸尘、滞尘、吸收分解污染物和释放氧气、杀菌物质，以净化空气和水体等；生态系统是很多生物生存的基础，对维持生物多样性至关重要。项目建设中矿山开发、植被清除等均可能对上述生态系统环境服务价值产生一定的不利影响。</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本矿山工程作业过程中需积极主动的采取生态保护措施，矿山开采前应有完善的开采利用方案，开采期间应尽可能合理布局矿区设施，减少不必要的土地占用，做好水土流失及山体滑坡等生态及地质灾害防护措施；妥善处理开采过程中产生的各类污染物，防止对周边生态环境产生不良影响，在开采期和闭坑后积极对矿区进行复垦。矿区已委托湖南省有色地质勘查研究院编制了《永州市零陵区羊轱岭矿区建筑石料用灰岩矿矿山生态保护修复方案》，该方案中明确提出了复垦方案，本次环评要求建设单位在开采期和闭坑后严格落实复垦方案，降低项目对周边生态环境的影响。</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通过上述分析，项目拟建地不属于生物多样性保护区域或生态敏感区域，工程影响范围不大，通过采取相应生态防治措施，项目建设对生物群落影响相对较小，生物量、物种多样性减少轻微，绿地数量略有减少，可能导致一定程度的分布不均，连通性变差，但区域环境总体理化性质变化不大，项目所在地周围生态环境相对稳定，因此，项目建设对生态环境影响不大。</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2" w:firstLineChars="200"/>
              <w:jc w:val="left"/>
              <w:textAlignment w:val="auto"/>
              <w:rPr>
                <w:rFonts w:hint="default" w:ascii="Times New Roman" w:hAnsi="Times New Roman" w:cs="Times New Roman"/>
                <w:b/>
                <w:bCs/>
                <w:sz w:val="24"/>
                <w:szCs w:val="24"/>
                <w:lang w:val="en-US" w:eastAsia="zh-CN"/>
              </w:rPr>
            </w:pPr>
            <w:r>
              <w:rPr>
                <w:rFonts w:hint="default" w:ascii="Times New Roman" w:hAnsi="Times New Roman" w:cs="Times New Roman"/>
                <w:b/>
                <w:bCs/>
                <w:sz w:val="24"/>
                <w:szCs w:val="24"/>
                <w:lang w:val="en-US" w:eastAsia="zh-CN"/>
              </w:rPr>
              <w:t>6、水土流失影响分析</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项目开采会破坏开采区的地貌植被，对该区域生态环境造成破坏，项目可能造成的水土流失危害主要为：加剧水土流失，降低水土保持功能；造成局部滑坡、崩塌，影响安全和附近地表水体水质。</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露天采石场水土流失的主要特点和危害主要为破坏面积大、流失程度大、恢复难度大。本次评价建议企业开展以下水土流失保护措施以降低对环境的影响：</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①做好水土流失预防工作，尽量减小开采过程中造成的人为水土流失，并要防止对工程征地范围以外水土资源的破坏。</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②工程开挖土石方在工程中全部加以利用，土石方挖填、搬运等施工中采用拦挡措施，以减少土壤侵蚀强度，减少对建设地块四周及道路两侧地表的损坏。</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③</w:t>
            </w:r>
            <w:r>
              <w:rPr>
                <w:rFonts w:hint="eastAsia" w:cs="Times New Roman"/>
                <w:sz w:val="24"/>
                <w:szCs w:val="24"/>
                <w:lang w:val="en-US" w:eastAsia="zh-CN"/>
              </w:rPr>
              <w:t>新增表土堆场</w:t>
            </w:r>
            <w:r>
              <w:rPr>
                <w:rFonts w:hint="default" w:ascii="Times New Roman" w:hAnsi="Times New Roman" w:cs="Times New Roman"/>
                <w:sz w:val="24"/>
                <w:szCs w:val="24"/>
                <w:lang w:val="en-US" w:eastAsia="zh-CN"/>
              </w:rPr>
              <w:t>布置在考虑安全可行的基础上，尽量减少占地，严禁占用基本农田，减少破坏现有水土保持设施，同时做好防护工作，土方利用后进行场地平整。</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④生产运营期，开采矿石不滚坡，矿区排水携带的泥砂全部经过沉淀处理，矿区各处开挖裸露面除被建筑物占用外，全部恢复植被或复垦，减少水土流失，不遗留滑坡、崩塌、泥石流等隐患。</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⑤做到水土流失治理与景观保护相互统一，通过绿化美化建设，使环境质量得到改善，并要避免水土流失对其他单位和个人造成危害。</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⑥对开挖裸露面、</w:t>
            </w:r>
            <w:r>
              <w:rPr>
                <w:rFonts w:hint="eastAsia" w:cs="Times New Roman"/>
                <w:sz w:val="24"/>
                <w:szCs w:val="24"/>
                <w:lang w:val="en-US" w:eastAsia="zh-CN"/>
              </w:rPr>
              <w:t>新增表土堆场</w:t>
            </w:r>
            <w:r>
              <w:rPr>
                <w:rFonts w:hint="default" w:ascii="Times New Roman" w:hAnsi="Times New Roman" w:cs="Times New Roman"/>
                <w:sz w:val="24"/>
                <w:szCs w:val="24"/>
                <w:lang w:val="en-US" w:eastAsia="zh-CN"/>
              </w:rPr>
              <w:t>、排水出口处附近等重点监测地段进行水土保持监测，监测内容主要包括水土流失影响因子、水土流失量、水土流失灾害和水土保持设施情况。水土保持设施必须与主体工程同时设计、同时施工、同时投产使用。</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⑦建设方应设置水泥砌的挡土墙和截水沟。矿山表土、底土和岩石等应分类堆存和利用，分类管理和充分利用，对适于植物生长的地层物质均应进行保护性堆存和利用，可优先用作废弃地复垦时的土壤重构用土。</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2" w:firstLineChars="200"/>
              <w:jc w:val="left"/>
              <w:textAlignment w:val="auto"/>
              <w:rPr>
                <w:rFonts w:hint="default" w:ascii="Times New Roman" w:hAnsi="Times New Roman" w:cs="Times New Roman"/>
                <w:b/>
                <w:bCs/>
                <w:sz w:val="24"/>
                <w:szCs w:val="24"/>
                <w:lang w:val="en-US" w:eastAsia="zh-CN"/>
              </w:rPr>
            </w:pPr>
            <w:r>
              <w:rPr>
                <w:rFonts w:hint="default" w:ascii="Times New Roman" w:hAnsi="Times New Roman" w:cs="Times New Roman"/>
                <w:b/>
                <w:bCs/>
                <w:sz w:val="24"/>
                <w:szCs w:val="24"/>
                <w:lang w:val="en-US" w:eastAsia="zh-CN"/>
              </w:rPr>
              <w:t>7、运输过程环境影响分析</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项目产品的运输过程中，采用自卸汽车运输，且低速行驶，运输车辆加盖帆布，对运输道路沿线进行适当的洒水降尘并安排专人清扫道路。只要以上措施到位，不会给道路增加明显的扬尘污染。</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本项目运输车辆均为大型车辆，噪声源强在70～85dB(A)，但大部分道路路面为水泥路面，车辆运输均为昼间行驶，道路两侧一般种植有行道树，同时经采取低速行驶、禁鸣等措施后，车辆运输过程中所产生的噪声对周边居民影响较小。</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2" w:firstLineChars="200"/>
              <w:jc w:val="left"/>
              <w:textAlignment w:val="auto"/>
              <w:rPr>
                <w:rFonts w:hint="default" w:ascii="Times New Roman" w:hAnsi="Times New Roman" w:cs="Times New Roman"/>
                <w:b/>
                <w:bCs/>
                <w:sz w:val="24"/>
                <w:szCs w:val="24"/>
                <w:lang w:val="en-US" w:eastAsia="zh-CN"/>
              </w:rPr>
            </w:pPr>
            <w:r>
              <w:rPr>
                <w:rFonts w:hint="default" w:ascii="Times New Roman" w:hAnsi="Times New Roman" w:cs="Times New Roman"/>
                <w:b/>
                <w:bCs/>
                <w:sz w:val="24"/>
                <w:szCs w:val="24"/>
                <w:lang w:val="en-US" w:eastAsia="zh-CN"/>
              </w:rPr>
              <w:t>8、地下水环境影响分析</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根据《湖南省永州市零陵区羊轱岭矿区建筑石料用石灰岩矿资源开发利用方案》（中国建筑材料工业地质勘查中心湖南总队，2020年7月）：该矿为露天开采，且位于当地最低侵蚀基准面以上，地表无常年性水体，无地下水抽排；剥采区暂未发现规模溶洞，分析可知，采场开采加工对地下水影响很小。</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若开采过程发生溶洞，本环评要求建设单位委托专业人员编制溶洞处理方案，采取围、堵等相应措施防止地下水等污染。</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2" w:firstLineChars="200"/>
              <w:jc w:val="left"/>
              <w:textAlignment w:val="auto"/>
              <w:rPr>
                <w:rFonts w:hint="default" w:ascii="Times New Roman" w:hAnsi="Times New Roman" w:cs="Times New Roman"/>
                <w:b/>
                <w:bCs/>
                <w:sz w:val="24"/>
                <w:szCs w:val="24"/>
                <w:lang w:val="en-US" w:eastAsia="zh-CN"/>
              </w:rPr>
            </w:pPr>
            <w:r>
              <w:rPr>
                <w:rFonts w:hint="default" w:ascii="Times New Roman" w:hAnsi="Times New Roman" w:cs="Times New Roman"/>
                <w:b/>
                <w:bCs/>
                <w:sz w:val="24"/>
                <w:szCs w:val="24"/>
                <w:lang w:val="en-US" w:eastAsia="zh-CN"/>
              </w:rPr>
              <w:t>9、退役期生态影响分析</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矿山在衰竭后期至退役期的时段内，与初采期和盛采期相比对自然环境诸要素的影响趋于减缓，随着资源的枯竭，与矿山开发有关的矿产开采的各产污设备也将完成其服务功能，因此这些产污环节也将减弱或消失，如设备噪声、环境空气污染物等，区域环境质量有所好转。</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本建设项目属矿山采区，如有土石堆未加设挡护墙，在一些高危边坡区，可能会有小型泻溜和滑坡发生。有挡护墙的土石堆，也存在着经不住特大暴雨、山洪冲击而形成大规模滑坡的潜在危险。土石堆不但破坏了植被、生态景观，而且存在着泻溜、滑坡，并构成发生大规模滑坡、滑坡灾害的危险。</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矿山服务期满后，工业场地及各类设施将拆除，开采期产生的粉尘、噪声、废水等污染将随之消除，但矿山退役后会造成大片的矿区废弃地，主要包括剥离表土、开采的岩石碎块等堆积而成的废石堆积地、矿体采完后留下的采空区形成的采矿废弃地、开采出的矿石产生的宕渣堆积形成的宕渣废弃地以及采矿作业面、机械设施、矿区辅助建筑物和道路交通等先占用后废弃的土地等等。</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通过生态治理和复垦措施后，矿山退役期在短时间内虽会造成一定的影响，但当植被生长茂盛后，不良影响可以彻底消除，从而最大程度降低矿山开采造成的岩石裸露、危岩陡坡、植被破坏、水土流失等生态影响。</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在矿山退役后，矿山开发场所景观与自然景观不相协调，应对其平整，恢复植被以减轻对自然景观的影响。</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2" w:firstLineChars="200"/>
              <w:jc w:val="left"/>
              <w:textAlignment w:val="auto"/>
              <w:rPr>
                <w:rFonts w:hint="default" w:ascii="Times New Roman" w:hAnsi="Times New Roman" w:cs="Times New Roman"/>
                <w:b/>
                <w:bCs/>
                <w:sz w:val="24"/>
                <w:szCs w:val="24"/>
                <w:lang w:val="en-US" w:eastAsia="zh-CN"/>
              </w:rPr>
            </w:pPr>
            <w:r>
              <w:rPr>
                <w:rFonts w:hint="default" w:ascii="Times New Roman" w:hAnsi="Times New Roman" w:cs="Times New Roman"/>
                <w:b/>
                <w:bCs/>
                <w:sz w:val="24"/>
                <w:szCs w:val="24"/>
                <w:lang w:val="en-US" w:eastAsia="zh-CN"/>
              </w:rPr>
              <w:t>10、环境风险评价</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按照《建设项目环境风险评价技术导则》（HJ169-2018）的要求，环境风险评价应以突发性事故导致的危险物质环境急性损害防控为目标，对建设项目的环境风险进行分析、预测和评估，提出环境风险预防、控制、减缓措施，明确环境风险监控及应急建议要求，为建设项目环境风险防控提供科学依据。</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2" w:firstLineChars="200"/>
              <w:jc w:val="left"/>
              <w:textAlignment w:val="auto"/>
              <w:rPr>
                <w:rFonts w:hint="default" w:ascii="Times New Roman" w:hAnsi="Times New Roman" w:cs="Times New Roman"/>
                <w:b/>
                <w:bCs/>
                <w:sz w:val="24"/>
                <w:szCs w:val="24"/>
                <w:lang w:val="en-US" w:eastAsia="zh-CN"/>
              </w:rPr>
            </w:pPr>
            <w:r>
              <w:rPr>
                <w:rFonts w:hint="default" w:ascii="Times New Roman" w:hAnsi="Times New Roman" w:cs="Times New Roman"/>
                <w:b/>
                <w:bCs/>
                <w:sz w:val="24"/>
                <w:szCs w:val="24"/>
                <w:lang w:val="en-US" w:eastAsia="zh-CN"/>
              </w:rPr>
              <w:t>（1）风险物质调查</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项目生产过程不涉及危险化学品，不设炸药库。根据《建设项目环境风险评价技术导则》（HJ169-2018）附录B，本项目辅助材料危险废物废机油，属于突发环境风险物质。</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jc w:val="center"/>
              <w:textAlignment w:val="auto"/>
              <w:rPr>
                <w:rFonts w:hint="default" w:ascii="Times New Roman" w:hAnsi="Times New Roman" w:cs="Times New Roman"/>
                <w:sz w:val="24"/>
                <w:szCs w:val="24"/>
                <w:lang w:val="en-US" w:eastAsia="zh-CN"/>
              </w:rPr>
            </w:pPr>
            <w:r>
              <w:rPr>
                <w:rFonts w:ascii="Times New Roman" w:hAnsi="Times New Roman" w:cs="Times New Roman"/>
                <w:b/>
                <w:bCs/>
                <w:spacing w:val="6"/>
                <w:sz w:val="20"/>
                <w:szCs w:val="20"/>
              </w:rPr>
              <w:t>表</w:t>
            </w:r>
            <w:r>
              <w:rPr>
                <w:rFonts w:ascii="Times New Roman" w:hAnsi="Times New Roman" w:eastAsia="Times New Roman" w:cs="Times New Roman"/>
                <w:b/>
                <w:bCs/>
                <w:spacing w:val="6"/>
                <w:sz w:val="20"/>
                <w:szCs w:val="20"/>
              </w:rPr>
              <w:t>4-1</w:t>
            </w:r>
            <w:r>
              <w:rPr>
                <w:rFonts w:hint="default" w:ascii="Times New Roman" w:hAnsi="Times New Roman" w:eastAsia="宋体" w:cs="Times New Roman"/>
                <w:b/>
                <w:bCs/>
                <w:spacing w:val="6"/>
                <w:sz w:val="20"/>
                <w:szCs w:val="20"/>
                <w:lang w:val="en-US" w:eastAsia="zh-CN"/>
              </w:rPr>
              <w:t>2</w:t>
            </w:r>
            <w:r>
              <w:rPr>
                <w:rFonts w:ascii="Times New Roman" w:hAnsi="Times New Roman" w:cs="Times New Roman"/>
                <w:b/>
                <w:bCs/>
                <w:spacing w:val="6"/>
                <w:sz w:val="20"/>
                <w:szCs w:val="20"/>
              </w:rPr>
              <w:t>项目实施后主要有毒有害物质一览表</w:t>
            </w:r>
          </w:p>
          <w:tbl>
            <w:tblPr>
              <w:tblStyle w:val="22"/>
              <w:tblW w:w="814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57"/>
              <w:gridCol w:w="1358"/>
              <w:gridCol w:w="1358"/>
              <w:gridCol w:w="1358"/>
              <w:gridCol w:w="1358"/>
              <w:gridCol w:w="13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57"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名称</w:t>
                  </w:r>
                </w:p>
              </w:tc>
              <w:tc>
                <w:tcPr>
                  <w:tcW w:w="1358"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危险性</w:t>
                  </w:r>
                </w:p>
              </w:tc>
              <w:tc>
                <w:tcPr>
                  <w:tcW w:w="1358"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最大储存量</w:t>
                  </w:r>
                </w:p>
              </w:tc>
              <w:tc>
                <w:tcPr>
                  <w:tcW w:w="1358"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年使用量</w:t>
                  </w:r>
                </w:p>
              </w:tc>
              <w:tc>
                <w:tcPr>
                  <w:tcW w:w="1358"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临界量</w:t>
                  </w:r>
                </w:p>
              </w:tc>
              <w:tc>
                <w:tcPr>
                  <w:tcW w:w="1358"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Q</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57"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废机油</w:t>
                  </w:r>
                </w:p>
              </w:tc>
              <w:tc>
                <w:tcPr>
                  <w:tcW w:w="1358"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易燃、危害水环境</w:t>
                  </w:r>
                </w:p>
              </w:tc>
              <w:tc>
                <w:tcPr>
                  <w:tcW w:w="1358"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1t</w:t>
                  </w:r>
                </w:p>
              </w:tc>
              <w:tc>
                <w:tcPr>
                  <w:tcW w:w="1358"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w:t>
                  </w:r>
                </w:p>
              </w:tc>
              <w:tc>
                <w:tcPr>
                  <w:tcW w:w="1358"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50t</w:t>
                  </w:r>
                </w:p>
              </w:tc>
              <w:tc>
                <w:tcPr>
                  <w:tcW w:w="1358"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0.02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57"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合计</w:t>
                  </w:r>
                </w:p>
              </w:tc>
              <w:tc>
                <w:tcPr>
                  <w:tcW w:w="5432" w:type="dxa"/>
                  <w:gridSpan w:val="4"/>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w:t>
                  </w:r>
                </w:p>
              </w:tc>
              <w:tc>
                <w:tcPr>
                  <w:tcW w:w="1358"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0.04</w:t>
                  </w:r>
                </w:p>
              </w:tc>
            </w:tr>
          </w:tbl>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2" w:firstLineChars="200"/>
              <w:jc w:val="left"/>
              <w:textAlignment w:val="auto"/>
              <w:rPr>
                <w:rFonts w:hint="default" w:ascii="Times New Roman" w:hAnsi="Times New Roman" w:cs="Times New Roman"/>
                <w:b/>
                <w:bCs/>
                <w:sz w:val="24"/>
                <w:szCs w:val="24"/>
                <w:lang w:val="en-US" w:eastAsia="zh-CN"/>
              </w:rPr>
            </w:pPr>
            <w:r>
              <w:rPr>
                <w:rFonts w:hint="default" w:ascii="Times New Roman" w:hAnsi="Times New Roman" w:cs="Times New Roman"/>
                <w:b/>
                <w:bCs/>
                <w:sz w:val="24"/>
                <w:szCs w:val="24"/>
                <w:lang w:val="en-US" w:eastAsia="zh-CN"/>
              </w:rPr>
              <w:t>（2）生产过程风险识别</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根据工程分析可知，项目生产过程中风险主要为开采过程中由于爆破不当等原因可能导致的山体滑坡、边坡岩体滑移和崩落、坍塌等地质灾害和暴雨天气等自然因素可能导致的临时废土石堆场滑坡、坍塌；火灾事故等。</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2" w:firstLineChars="200"/>
              <w:jc w:val="left"/>
              <w:textAlignment w:val="auto"/>
              <w:rPr>
                <w:rFonts w:hint="default" w:ascii="Times New Roman" w:hAnsi="Times New Roman" w:cs="Times New Roman"/>
                <w:b/>
                <w:bCs/>
                <w:sz w:val="24"/>
                <w:szCs w:val="24"/>
                <w:lang w:val="en-US" w:eastAsia="zh-CN"/>
              </w:rPr>
            </w:pPr>
            <w:r>
              <w:rPr>
                <w:rFonts w:hint="default" w:ascii="Times New Roman" w:hAnsi="Times New Roman" w:cs="Times New Roman"/>
                <w:b/>
                <w:bCs/>
                <w:sz w:val="24"/>
                <w:szCs w:val="24"/>
                <w:lang w:val="en-US" w:eastAsia="zh-CN"/>
              </w:rPr>
              <w:t>（3）环境风险潜势划分</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当只涉及一种危险物质时，计算该物质的总量与其临界量比值，即为Q；</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center"/>
              <w:textAlignment w:val="auto"/>
              <w:rPr>
                <w:rFonts w:ascii="Times New Roman" w:hAnsi="Times New Roman" w:cs="Times New Roman"/>
                <w:position w:val="-16"/>
              </w:rPr>
            </w:pPr>
            <w:r>
              <w:rPr>
                <w:rFonts w:hint="default" w:ascii="Times New Roman" w:hAnsi="Times New Roman" w:cs="Times New Roman"/>
                <w:sz w:val="24"/>
                <w:szCs w:val="24"/>
                <w:lang w:val="en-US" w:eastAsia="zh-CN"/>
              </w:rPr>
              <w:t>当存在多种危险物质时，则按式（C.1）计算物质总量与其临界量比值（Q）</w:t>
            </w:r>
            <w:r>
              <w:rPr>
                <w:rFonts w:ascii="Times New Roman" w:hAnsi="Times New Roman" w:cs="Times New Roman"/>
                <w:position w:val="-16"/>
              </w:rPr>
              <w:drawing>
                <wp:inline distT="0" distB="0" distL="0" distR="0">
                  <wp:extent cx="3472815" cy="514985"/>
                  <wp:effectExtent l="0" t="0" r="13335" b="18415"/>
                  <wp:docPr id="67" name="IM 64"/>
                  <wp:cNvGraphicFramePr/>
                  <a:graphic xmlns:a="http://schemas.openxmlformats.org/drawingml/2006/main">
                    <a:graphicData uri="http://schemas.openxmlformats.org/drawingml/2006/picture">
                      <pic:pic xmlns:pic="http://schemas.openxmlformats.org/drawingml/2006/picture">
                        <pic:nvPicPr>
                          <pic:cNvPr id="67" name="IM 64"/>
                          <pic:cNvPicPr/>
                        </pic:nvPicPr>
                        <pic:blipFill>
                          <a:blip r:embed="rId25"/>
                          <a:stretch>
                            <a:fillRect/>
                          </a:stretch>
                        </pic:blipFill>
                        <pic:spPr>
                          <a:xfrm>
                            <a:off x="0" y="0"/>
                            <a:ext cx="3472815" cy="514985"/>
                          </a:xfrm>
                          <a:prstGeom prst="rect">
                            <a:avLst/>
                          </a:prstGeom>
                          <a:noFill/>
                          <a:ln>
                            <a:noFill/>
                          </a:ln>
                        </pic:spPr>
                      </pic:pic>
                    </a:graphicData>
                  </a:graphic>
                </wp:inline>
              </w:drawing>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式中：q1，q2，...，qn——每种危险物质的最大存在总量，t；</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Q1，Q2，...，Qn——每种危险物质的临界量，t。</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当Q＜1时，该项目环境风险潜势为Ⅰ。</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当Q≥1时，将Q值划分为：（1）1≤Q＜10；（2）10≤Q＜100；（3）Q≥100。</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本项目危险物质储存量与临界量比值Q为0.04，&lt;1.0，故本项目环境风险潜势为Ⅰ级。因此根据HJ169-2018中4.3风险评价等级划分，本次风险评价工作等级为简单分析。</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2" w:firstLineChars="200"/>
              <w:jc w:val="left"/>
              <w:textAlignment w:val="auto"/>
              <w:rPr>
                <w:rFonts w:hint="default" w:ascii="Times New Roman" w:hAnsi="Times New Roman" w:cs="Times New Roman"/>
                <w:b/>
                <w:bCs/>
                <w:sz w:val="24"/>
                <w:szCs w:val="24"/>
                <w:lang w:val="en-US" w:eastAsia="zh-CN"/>
              </w:rPr>
            </w:pPr>
            <w:r>
              <w:rPr>
                <w:rFonts w:hint="default" w:ascii="Times New Roman" w:hAnsi="Times New Roman" w:cs="Times New Roman"/>
                <w:b/>
                <w:bCs/>
                <w:sz w:val="24"/>
                <w:szCs w:val="24"/>
                <w:lang w:val="en-US" w:eastAsia="zh-CN"/>
              </w:rPr>
              <w:t>（4）环境风险分析</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根据类比调查，本项目发生可能性较大的环境风险事故有：①在开采过程中由于爆破不当等原因可能导致的山体滑坡、边坡岩体滑移和崩落、坍塌等地质灾害；②暴雨天气等自然因素可能导致的临时废土石堆场滑坡、坍塌等；③火灾事故；④</w:t>
            </w:r>
            <w:r>
              <w:rPr>
                <w:rFonts w:hint="eastAsia" w:cs="Times New Roman"/>
                <w:sz w:val="24"/>
                <w:szCs w:val="24"/>
                <w:lang w:val="en-US" w:eastAsia="zh-CN"/>
              </w:rPr>
              <w:t>废机油</w:t>
            </w:r>
            <w:r>
              <w:rPr>
                <w:rFonts w:hint="default" w:ascii="Times New Roman" w:hAnsi="Times New Roman" w:cs="Times New Roman"/>
                <w:sz w:val="24"/>
                <w:szCs w:val="24"/>
                <w:lang w:val="en-US" w:eastAsia="zh-CN"/>
              </w:rPr>
              <w:t>泄漏风险等。</w:t>
            </w:r>
            <w:r>
              <w:rPr>
                <w:rFonts w:hint="default" w:ascii="Times New Roman" w:hAnsi="Times New Roman" w:cs="Times New Roman"/>
                <w:sz w:val="24"/>
                <w:szCs w:val="24"/>
                <w:lang w:val="en-US" w:eastAsia="zh-CN"/>
              </w:rPr>
              <w:fldChar w:fldCharType="begin"/>
            </w:r>
            <w:r>
              <w:rPr>
                <w:rFonts w:hint="default" w:ascii="Times New Roman" w:hAnsi="Times New Roman" w:cs="Times New Roman"/>
                <w:sz w:val="24"/>
                <w:szCs w:val="24"/>
                <w:lang w:val="en-US" w:eastAsia="zh-CN"/>
              </w:rPr>
              <w:instrText xml:space="preserve"> = 5 \* GB3 \* MERGEFORMAT </w:instrText>
            </w:r>
            <w:r>
              <w:rPr>
                <w:rFonts w:hint="default" w:ascii="Times New Roman" w:hAnsi="Times New Roman" w:cs="Times New Roman"/>
                <w:sz w:val="24"/>
                <w:szCs w:val="24"/>
                <w:lang w:val="en-US" w:eastAsia="zh-CN"/>
              </w:rPr>
              <w:fldChar w:fldCharType="separate"/>
            </w:r>
            <w:r>
              <w:t>⑤</w:t>
            </w:r>
            <w:r>
              <w:rPr>
                <w:rFonts w:hint="default" w:ascii="Times New Roman" w:hAnsi="Times New Roman" w:cs="Times New Roman"/>
                <w:sz w:val="24"/>
                <w:szCs w:val="24"/>
                <w:lang w:val="en-US" w:eastAsia="zh-CN"/>
              </w:rPr>
              <w:fldChar w:fldCharType="end"/>
            </w:r>
            <w:r>
              <w:rPr>
                <w:rFonts w:hint="eastAsia" w:cs="Times New Roman"/>
                <w:sz w:val="24"/>
                <w:szCs w:val="24"/>
                <w:lang w:val="en-US" w:eastAsia="zh-CN"/>
              </w:rPr>
              <w:t>废气处理设施事故排放</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leftChars="0" w:right="0" w:firstLine="482" w:firstLineChars="200"/>
              <w:jc w:val="left"/>
              <w:textAlignment w:val="auto"/>
              <w:rPr>
                <w:rFonts w:hint="default" w:ascii="Times New Roman" w:hAnsi="Times New Roman" w:cs="Times New Roman"/>
                <w:b/>
                <w:bCs/>
                <w:sz w:val="24"/>
                <w:szCs w:val="24"/>
                <w:lang w:val="en-US" w:eastAsia="zh-CN"/>
              </w:rPr>
            </w:pPr>
            <w:r>
              <w:rPr>
                <w:rFonts w:hint="default" w:ascii="Times New Roman" w:hAnsi="Times New Roman" w:eastAsia="宋体" w:cs="Times New Roman"/>
                <w:b/>
                <w:bCs/>
                <w:kern w:val="2"/>
                <w:sz w:val="24"/>
                <w:szCs w:val="24"/>
                <w:lang w:val="en-US" w:eastAsia="zh-CN" w:bidi="ar-SA"/>
              </w:rPr>
              <w:t>（</w:t>
            </w:r>
            <w:r>
              <w:rPr>
                <w:rFonts w:hint="default" w:ascii="Times New Roman" w:hAnsi="Times New Roman" w:cs="Times New Roman"/>
                <w:b/>
                <w:bCs/>
                <w:kern w:val="2"/>
                <w:sz w:val="24"/>
                <w:szCs w:val="24"/>
                <w:lang w:val="en-US" w:eastAsia="zh-CN" w:bidi="ar-SA"/>
              </w:rPr>
              <w:t>5</w:t>
            </w:r>
            <w:r>
              <w:rPr>
                <w:rFonts w:hint="default" w:ascii="Times New Roman" w:hAnsi="Times New Roman" w:eastAsia="宋体" w:cs="Times New Roman"/>
                <w:b/>
                <w:bCs/>
                <w:kern w:val="2"/>
                <w:sz w:val="24"/>
                <w:szCs w:val="24"/>
                <w:lang w:val="en-US" w:eastAsia="zh-CN" w:bidi="ar-SA"/>
              </w:rPr>
              <w:t>）</w:t>
            </w:r>
            <w:r>
              <w:rPr>
                <w:rFonts w:hint="default" w:ascii="Times New Roman" w:hAnsi="Times New Roman" w:cs="Times New Roman"/>
                <w:b/>
                <w:bCs/>
                <w:sz w:val="24"/>
                <w:szCs w:val="24"/>
                <w:lang w:val="en-US" w:eastAsia="zh-CN"/>
              </w:rPr>
              <w:t>环境风险防范措施</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采石场地质灾害防治原则是将矿山生产活动局限于开采区范围以内，对采区以外区域严加保护，减小扰动和破坏地质环境，避免触发地质灾害，力求把矿山地质灾害损失降到最低程度。</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2" w:firstLineChars="200"/>
              <w:jc w:val="left"/>
              <w:textAlignment w:val="auto"/>
              <w:rPr>
                <w:rFonts w:hint="default" w:ascii="Times New Roman" w:hAnsi="Times New Roman" w:cs="Times New Roman"/>
                <w:b/>
                <w:bCs/>
                <w:sz w:val="24"/>
                <w:szCs w:val="24"/>
                <w:lang w:val="en-US" w:eastAsia="zh-CN"/>
              </w:rPr>
            </w:pPr>
            <w:r>
              <w:rPr>
                <w:rFonts w:hint="eastAsia" w:cs="Times New Roman"/>
                <w:b/>
                <w:bCs/>
                <w:sz w:val="24"/>
                <w:szCs w:val="24"/>
                <w:lang w:val="en-US" w:eastAsia="zh-CN"/>
              </w:rPr>
              <w:t>A</w:t>
            </w:r>
            <w:r>
              <w:rPr>
                <w:rFonts w:hint="default" w:ascii="Times New Roman" w:hAnsi="Times New Roman" w:cs="Times New Roman"/>
                <w:b/>
                <w:bCs/>
                <w:sz w:val="24"/>
                <w:szCs w:val="24"/>
                <w:lang w:val="en-US" w:eastAsia="zh-CN"/>
              </w:rPr>
              <w:t>地质灾害防治措施：</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①“采剥并举，剥离先行”，自上而下、分台阶开采。</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②按设计确定的台阶安全坡面角开采，不超挖坡底。</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③采场不稳定区段在台风、暴雨后加强检查，发现异常情况立即组织处理。</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台阶采掘结束后，及时清理平台上的疏松岩土和坡面上的浮土，并组织矿山有关部门进行验收。</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④定期进行边坡安全稳定性检查（雨季应加强），发现坍塌或滑落征兆时，应立即停止采剥作业，撤出作业人员和设备，查明原因，确认安全后方可开展作业。</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⑤露天采场各作业水平上、下台阶之间的超前距离，严格按照设计规定执行，不从下部不分台阶掏采，采剥面不形成伞檐、空洞等。</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⑥坍塌事故易发生地带及时采取措施进行处理，主要有：断层破碎带附近；岩层内倾于采场，且设计边坡角大于岩层倾角；有多组节理、裂隙空间组合结构面内倾于采场；有较大软弱结构面切割边坡，构成不稳定的滑坡体的边坡。</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⑦临近最终边坡作业时，控制爆破减震，按设计规定的宽度预留安全平台、运输平台，保持台阶的安全坡面角，不应超挖。</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⑧发现滑坡现象，应根据各地段边坡地质构造，岩层结构及其稳定性和滑坡的特点，采取削坡减载、设挡土（碴）墙、封闭坡面、砌体护坡、打抗滑桩、植被等方法进行滑坡防治。</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⑨发现山体塌方，宜采取缓坡减载、砌体加固等办法。使用边坡监测技术对边坡稳定性进行动态监测，以便发现边坡移动和坍塌隐患，及时进行防治和撤离现场人员、设备。</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⑩沿采区周界及台阶内侧，设置适当断面的截洪沟道，以消除泥石流和洪涝灾害。</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2" w:firstLineChars="200"/>
              <w:jc w:val="left"/>
              <w:textAlignment w:val="auto"/>
              <w:rPr>
                <w:rFonts w:hint="default" w:ascii="Times New Roman" w:hAnsi="Times New Roman" w:cs="Times New Roman"/>
                <w:b/>
                <w:bCs/>
                <w:color w:val="auto"/>
                <w:sz w:val="24"/>
                <w:szCs w:val="24"/>
                <w:lang w:val="en-US" w:eastAsia="zh-CN"/>
              </w:rPr>
            </w:pPr>
            <w:r>
              <w:rPr>
                <w:rFonts w:hint="eastAsia" w:cs="Times New Roman"/>
                <w:b/>
                <w:bCs/>
                <w:color w:val="auto"/>
                <w:sz w:val="24"/>
                <w:szCs w:val="24"/>
                <w:lang w:val="en-US" w:eastAsia="zh-CN"/>
              </w:rPr>
              <w:t>B</w:t>
            </w:r>
            <w:r>
              <w:rPr>
                <w:rFonts w:hint="default" w:ascii="Times New Roman" w:hAnsi="Times New Roman" w:cs="Times New Roman"/>
                <w:b/>
                <w:bCs/>
                <w:color w:val="auto"/>
                <w:sz w:val="24"/>
                <w:szCs w:val="24"/>
                <w:lang w:val="en-US" w:eastAsia="zh-CN"/>
              </w:rPr>
              <w:t>废土石堆场滑落和崩塌及防范措施：</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在废土石堆场上游修建浆砌石截水沟，截排水沟采用梯形断面；在废土石堆场下方砌块石水泥砂浆挡土墙，在挡土墙底部水平方向每隔5m位置设置直径100mm的泄水孔，泄水孔采用土工布包裹好，并用碎石覆盖以形成防滤层，防止泥土堵塞泄水孔。项目废土石堆场挡土设施安全，截排水系统完善，发生滑坡和塌方的概率较小。</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2" w:firstLineChars="200"/>
              <w:jc w:val="left"/>
              <w:textAlignment w:val="auto"/>
              <w:rPr>
                <w:rFonts w:hint="default" w:ascii="Times New Roman" w:hAnsi="Times New Roman" w:cs="Times New Roman"/>
                <w:b/>
                <w:bCs/>
                <w:sz w:val="24"/>
                <w:szCs w:val="24"/>
                <w:lang w:val="en-US" w:eastAsia="zh-CN"/>
              </w:rPr>
            </w:pPr>
            <w:r>
              <w:rPr>
                <w:rFonts w:hint="eastAsia" w:cs="Times New Roman"/>
                <w:b/>
                <w:bCs/>
                <w:sz w:val="24"/>
                <w:szCs w:val="24"/>
                <w:lang w:val="en-US" w:eastAsia="zh-CN"/>
              </w:rPr>
              <w:t>C</w:t>
            </w:r>
            <w:r>
              <w:rPr>
                <w:rFonts w:hint="eastAsia" w:ascii="Times New Roman" w:hAnsi="Times New Roman" w:cs="Times New Roman"/>
                <w:b/>
                <w:bCs/>
                <w:sz w:val="24"/>
                <w:szCs w:val="24"/>
                <w:lang w:val="en-US" w:eastAsia="zh-CN"/>
              </w:rPr>
              <w:t>表土</w:t>
            </w:r>
            <w:r>
              <w:rPr>
                <w:rFonts w:hint="default" w:ascii="Times New Roman" w:hAnsi="Times New Roman" w:cs="Times New Roman"/>
                <w:b/>
                <w:bCs/>
                <w:sz w:val="24"/>
                <w:szCs w:val="24"/>
                <w:lang w:val="en-US" w:eastAsia="zh-CN"/>
              </w:rPr>
              <w:t>堆场防范措施：</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首先应对</w:t>
            </w:r>
            <w:r>
              <w:rPr>
                <w:rFonts w:hint="eastAsia" w:ascii="Times New Roman" w:hAnsi="Times New Roman" w:cs="Times New Roman"/>
                <w:sz w:val="24"/>
                <w:szCs w:val="24"/>
                <w:lang w:val="en-US" w:eastAsia="zh-CN"/>
              </w:rPr>
              <w:t>表土</w:t>
            </w:r>
            <w:r>
              <w:rPr>
                <w:rFonts w:hint="default" w:ascii="Times New Roman" w:hAnsi="Times New Roman" w:cs="Times New Roman"/>
                <w:sz w:val="24"/>
                <w:szCs w:val="24"/>
                <w:lang w:val="en-US" w:eastAsia="zh-CN"/>
              </w:rPr>
              <w:t>堆场可能产生的泥石流的成因进行研究并提出合理的防治措施。产生泥石流的主要因素是水，主要防范措施是“上截下挡”。</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生产过程中，应设置专门的管理部门，加强各项设施的日常管理和维护工作，发现问题及时解决，不留隐患。施工过程中应有监理单位进行质量监控。</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闭矿后应严格按照项目生态恢复方案和水土保持方案对废土石堆场进行生态恢复。</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2" w:firstLineChars="200"/>
              <w:jc w:val="left"/>
              <w:textAlignment w:val="auto"/>
              <w:rPr>
                <w:rFonts w:hint="default" w:ascii="Times New Roman" w:hAnsi="Times New Roman" w:cs="Times New Roman"/>
                <w:b/>
                <w:bCs/>
                <w:sz w:val="24"/>
                <w:szCs w:val="24"/>
                <w:lang w:val="en-US" w:eastAsia="zh-CN"/>
              </w:rPr>
            </w:pPr>
            <w:r>
              <w:rPr>
                <w:rFonts w:hint="eastAsia" w:cs="Times New Roman"/>
                <w:b/>
                <w:bCs/>
                <w:sz w:val="24"/>
                <w:szCs w:val="24"/>
                <w:lang w:val="en-US" w:eastAsia="zh-CN"/>
              </w:rPr>
              <w:t>D</w:t>
            </w:r>
            <w:r>
              <w:rPr>
                <w:rFonts w:hint="default" w:ascii="Times New Roman" w:hAnsi="Times New Roman" w:cs="Times New Roman"/>
                <w:b/>
                <w:bCs/>
                <w:sz w:val="24"/>
                <w:szCs w:val="24"/>
                <w:lang w:val="en-US" w:eastAsia="zh-CN"/>
              </w:rPr>
              <w:t>危险废物泄漏防范措施</w:t>
            </w:r>
            <w:r>
              <w:rPr>
                <w:rFonts w:hint="eastAsia" w:cs="Times New Roman"/>
                <w:b/>
                <w:bCs/>
                <w:sz w:val="24"/>
                <w:szCs w:val="24"/>
                <w:lang w:val="en-US" w:eastAsia="zh-CN"/>
              </w:rPr>
              <w:t>：</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①危废间进行“三防”措施；</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②危废容器底部设置托盘；</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③设置围堰，确保发生泄漏情况不会蔓延至厂区范围；</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④指派专员进行定期巡查，设置危险废物管理制度。</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2" w:firstLineChars="200"/>
              <w:jc w:val="left"/>
              <w:textAlignment w:val="auto"/>
              <w:rPr>
                <w:rFonts w:hint="eastAsia" w:cs="Times New Roman"/>
                <w:b/>
                <w:bCs/>
                <w:sz w:val="24"/>
                <w:szCs w:val="24"/>
                <w:lang w:val="en-US" w:eastAsia="zh-CN"/>
              </w:rPr>
            </w:pPr>
            <w:r>
              <w:rPr>
                <w:rFonts w:hint="eastAsia" w:cs="Times New Roman"/>
                <w:b/>
                <w:bCs/>
                <w:sz w:val="24"/>
                <w:szCs w:val="24"/>
                <w:lang w:val="en-US" w:eastAsia="zh-CN"/>
              </w:rPr>
              <w:t>E废气处理设施</w:t>
            </w:r>
            <w:r>
              <w:rPr>
                <w:rFonts w:hint="default" w:ascii="Times New Roman" w:hAnsi="Times New Roman" w:cs="Times New Roman"/>
                <w:b/>
                <w:bCs/>
                <w:sz w:val="24"/>
                <w:szCs w:val="24"/>
                <w:lang w:val="en-US" w:eastAsia="zh-CN"/>
              </w:rPr>
              <w:t>事故排放风险</w:t>
            </w:r>
            <w:r>
              <w:rPr>
                <w:rFonts w:hint="eastAsia" w:cs="Times New Roman"/>
                <w:b/>
                <w:bCs/>
                <w:sz w:val="24"/>
                <w:szCs w:val="24"/>
                <w:lang w:val="en-US" w:eastAsia="zh-CN"/>
              </w:rPr>
              <w:t>防范措施</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若发生除尘器事故故障情况，则会导致高浓度颗粒物外排。本次环评要求，如若发生除尘器事故情况，建设单位应第一时间停止生产，工作人员应将事故情况第一时间告知厂区责任人，查明除尘器事故原因，并安排相关人员进行紧急维修。同时应对厂区下风向进行应急监测，通知周边居民进行应急管理。待故障解除后除尘器能正常运行方可重新生产。建设单位应加强对环保设施的监管，定期检修，确保相应环保设施能够长期稳定运行，避免此类事故的发生。</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（6）环境风险应急措施</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生产中无论预防工作如何周密，风险事故总是难以根本杜绝，制定风险事故应急预案的目的是要迅速而有效地将事故损失减至最小。根据上述环境风险事故分析，制定相应的应急预案和制定演练计划，每年进行一次综合演练和相应的单项应急演练，安排专门部门负责编制演练计划。演练内容包括：模拟事故、报警、启动预案、治安保卫、物资供应、抢险抢修、伤员救护、后勤宣传报道、社区联络通知、外部救援联络通知、向政府部门报告等内容。本项目应采取的应急预案的主要内容见下表。</w:t>
            </w:r>
          </w:p>
          <w:p>
            <w:pPr>
              <w:pStyle w:val="59"/>
              <w:keepNext w:val="0"/>
              <w:keepLines w:val="0"/>
              <w:suppressLineNumbers w:val="0"/>
              <w:spacing w:before="29" w:beforeAutospacing="0" w:after="0" w:afterAutospacing="0" w:line="222" w:lineRule="auto"/>
              <w:ind w:left="0" w:right="0"/>
              <w:jc w:val="center"/>
              <w:rPr>
                <w:rFonts w:hint="default"/>
                <w:sz w:val="24"/>
                <w:szCs w:val="24"/>
                <w:lang w:val="en-US" w:eastAsia="zh-CN"/>
              </w:rPr>
            </w:pPr>
            <w:r>
              <w:rPr>
                <w:b/>
                <w:bCs/>
                <w:spacing w:val="4"/>
                <w:sz w:val="20"/>
                <w:szCs w:val="20"/>
              </w:rPr>
              <w:t>表</w:t>
            </w:r>
            <w:r>
              <w:rPr>
                <w:rFonts w:ascii="Times New Roman" w:hAnsi="Times New Roman" w:eastAsia="Times New Roman" w:cs="Times New Roman"/>
                <w:b/>
                <w:bCs/>
                <w:spacing w:val="4"/>
                <w:sz w:val="20"/>
                <w:szCs w:val="20"/>
              </w:rPr>
              <w:t>4-1</w:t>
            </w:r>
            <w:r>
              <w:rPr>
                <w:rFonts w:hint="default" w:ascii="Times New Roman" w:hAnsi="Times New Roman" w:eastAsia="宋体" w:cs="Times New Roman"/>
                <w:b/>
                <w:bCs/>
                <w:spacing w:val="4"/>
                <w:sz w:val="20"/>
                <w:szCs w:val="20"/>
                <w:lang w:val="en-US" w:eastAsia="zh-CN"/>
              </w:rPr>
              <w:t>3</w:t>
            </w:r>
            <w:r>
              <w:rPr>
                <w:b/>
                <w:bCs/>
                <w:spacing w:val="4"/>
                <w:sz w:val="20"/>
                <w:szCs w:val="20"/>
              </w:rPr>
              <w:t>应急预案内容</w:t>
            </w:r>
          </w:p>
          <w:tbl>
            <w:tblPr>
              <w:tblStyle w:val="22"/>
              <w:tblW w:w="814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5"/>
              <w:gridCol w:w="2932"/>
              <w:gridCol w:w="44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1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lang w:val="en-US" w:eastAsia="zh-CN"/>
                    </w:rPr>
                  </w:pPr>
                  <w:r>
                    <w:rPr>
                      <w:rFonts w:ascii="Times New Roman" w:hAnsi="Times New Roman" w:cs="Times New Roman"/>
                      <w:b/>
                      <w:bCs/>
                    </w:rPr>
                    <w:t>序号</w:t>
                  </w:r>
                </w:p>
              </w:tc>
              <w:tc>
                <w:tcPr>
                  <w:tcW w:w="2932"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lang w:val="en-US" w:eastAsia="zh-CN"/>
                    </w:rPr>
                  </w:pPr>
                  <w:r>
                    <w:rPr>
                      <w:rFonts w:ascii="Times New Roman" w:hAnsi="Times New Roman" w:cs="Times New Roman"/>
                      <w:b/>
                      <w:bCs/>
                    </w:rPr>
                    <w:t>项目</w:t>
                  </w:r>
                </w:p>
              </w:tc>
              <w:tc>
                <w:tcPr>
                  <w:tcW w:w="440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lang w:val="en-US" w:eastAsia="zh-CN"/>
                    </w:rPr>
                  </w:pPr>
                  <w:r>
                    <w:rPr>
                      <w:rFonts w:ascii="Times New Roman" w:hAnsi="Times New Roman" w:cs="Times New Roman"/>
                      <w:b/>
                      <w:bCs/>
                    </w:rPr>
                    <w:t>内容及要求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1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1</w:t>
                  </w:r>
                </w:p>
              </w:tc>
              <w:tc>
                <w:tcPr>
                  <w:tcW w:w="2932"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应急计划区</w:t>
                  </w:r>
                </w:p>
              </w:tc>
              <w:tc>
                <w:tcPr>
                  <w:tcW w:w="440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危险目标：开采区、废土石堆场、危险固废暂存间、环境保护目标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1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2</w:t>
                  </w:r>
                </w:p>
              </w:tc>
              <w:tc>
                <w:tcPr>
                  <w:tcW w:w="2932"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应急组织机构、人员</w:t>
                  </w:r>
                </w:p>
              </w:tc>
              <w:tc>
                <w:tcPr>
                  <w:tcW w:w="440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工厂、地区应急组织机构、人员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1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3</w:t>
                  </w:r>
                </w:p>
              </w:tc>
              <w:tc>
                <w:tcPr>
                  <w:tcW w:w="2932"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预案分级响应条件</w:t>
                  </w:r>
                </w:p>
              </w:tc>
              <w:tc>
                <w:tcPr>
                  <w:tcW w:w="440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规定预案的级别及分级响应程序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1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4</w:t>
                  </w:r>
                </w:p>
              </w:tc>
              <w:tc>
                <w:tcPr>
                  <w:tcW w:w="2932"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应急救援保障</w:t>
                  </w:r>
                </w:p>
              </w:tc>
              <w:tc>
                <w:tcPr>
                  <w:tcW w:w="440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应急设施，设备与器材等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1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5</w:t>
                  </w:r>
                </w:p>
              </w:tc>
              <w:tc>
                <w:tcPr>
                  <w:tcW w:w="2932"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报警、通讯联络方式</w:t>
                  </w:r>
                </w:p>
              </w:tc>
              <w:tc>
                <w:tcPr>
                  <w:tcW w:w="440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规定应急状态下的报警通讯方式、通知方式和交通保障、管制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1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6</w:t>
                  </w:r>
                </w:p>
              </w:tc>
              <w:tc>
                <w:tcPr>
                  <w:tcW w:w="2932"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应急环境监测、抢险、救援及控制措施</w:t>
                  </w:r>
                </w:p>
              </w:tc>
              <w:tc>
                <w:tcPr>
                  <w:tcW w:w="440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由专业队伍负责对事故现场进行侦察监测，对事故性质、参数与后果进行评估，为指挥部门提供决策依据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1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7</w:t>
                  </w:r>
                </w:p>
              </w:tc>
              <w:tc>
                <w:tcPr>
                  <w:tcW w:w="2932"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应急检测、防护措施、清除泄漏措施和器材</w:t>
                  </w:r>
                </w:p>
              </w:tc>
              <w:tc>
                <w:tcPr>
                  <w:tcW w:w="440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事故现场、邻近区域、控制防火区域，控制和清除污染措施及相应设备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15" w:type="dxa"/>
                  <w:vAlign w:val="center"/>
                </w:tcPr>
                <w:p>
                  <w:pPr>
                    <w:keepNext w:val="0"/>
                    <w:keepLines w:val="0"/>
                    <w:suppressLineNumbers w:val="0"/>
                    <w:spacing w:before="0" w:beforeAutospacing="0" w:after="0" w:afterAutospacing="0"/>
                    <w:ind w:left="0" w:right="0"/>
                    <w:jc w:val="center"/>
                    <w:rPr>
                      <w:rFonts w:ascii="Times New Roman" w:hAnsi="Times New Roman" w:cs="Times New Roman"/>
                    </w:rPr>
                  </w:pPr>
                </w:p>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8</w:t>
                  </w:r>
                </w:p>
              </w:tc>
              <w:tc>
                <w:tcPr>
                  <w:tcW w:w="2932" w:type="dxa"/>
                  <w:vAlign w:val="center"/>
                </w:tcPr>
                <w:p>
                  <w:pPr>
                    <w:keepNext w:val="0"/>
                    <w:keepLines w:val="0"/>
                    <w:suppressLineNumbers w:val="0"/>
                    <w:spacing w:before="0" w:beforeAutospacing="0" w:after="0" w:afterAutospacing="0"/>
                    <w:ind w:left="0" w:right="0"/>
                    <w:jc w:val="center"/>
                    <w:rPr>
                      <w:rFonts w:ascii="Times New Roman" w:hAnsi="Times New Roman" w:cs="Times New Roman"/>
                    </w:rPr>
                  </w:pPr>
                  <w:r>
                    <w:rPr>
                      <w:rFonts w:ascii="Times New Roman" w:hAnsi="Times New Roman" w:cs="Times New Roman"/>
                    </w:rPr>
                    <w:t>人员紧急撤离、疏散，应急剂量控制、撤离组</w:t>
                  </w:r>
                </w:p>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织计划</w:t>
                  </w:r>
                </w:p>
              </w:tc>
              <w:tc>
                <w:tcPr>
                  <w:tcW w:w="440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事故现场、工厂邻近区、受事故影响的区域人员及公众对毒物应急剂量控制规定，撤离组织计划及救护，医疗救护与公众健康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1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9</w:t>
                  </w:r>
                </w:p>
              </w:tc>
              <w:tc>
                <w:tcPr>
                  <w:tcW w:w="2932"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事故应急救援关闭程序与恢复措施</w:t>
                  </w:r>
                </w:p>
              </w:tc>
              <w:tc>
                <w:tcPr>
                  <w:tcW w:w="440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规定应急状态终止程序故现场善后处理，恢复措施邻近区域解除事故警戒及善后恢复措施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1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10</w:t>
                  </w:r>
                </w:p>
              </w:tc>
              <w:tc>
                <w:tcPr>
                  <w:tcW w:w="2932"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应急培训计划</w:t>
                  </w:r>
                </w:p>
              </w:tc>
              <w:tc>
                <w:tcPr>
                  <w:tcW w:w="440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应急计划制定后，平时安排人员培训与演练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1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11</w:t>
                  </w:r>
                </w:p>
              </w:tc>
              <w:tc>
                <w:tcPr>
                  <w:tcW w:w="2932"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公众教育和信息</w:t>
                  </w:r>
                </w:p>
              </w:tc>
              <w:tc>
                <w:tcPr>
                  <w:tcW w:w="440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lang w:val="en-US" w:eastAsia="zh-CN"/>
                    </w:rPr>
                  </w:pPr>
                  <w:r>
                    <w:rPr>
                      <w:rFonts w:ascii="Times New Roman" w:hAnsi="Times New Roman" w:cs="Times New Roman"/>
                    </w:rPr>
                    <w:t>对工厂邻近地区开展公众教育、培训和发布有关信息</w:t>
                  </w:r>
                </w:p>
              </w:tc>
            </w:tr>
          </w:tbl>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sz w:val="24"/>
                <w:szCs w:val="24"/>
                <w:lang w:val="en-US" w:eastAsia="zh-CN"/>
              </w:rPr>
            </w:pPr>
            <w:r>
              <w:rPr>
                <w:rFonts w:hint="eastAsia" w:cs="Times New Roman"/>
                <w:sz w:val="24"/>
                <w:szCs w:val="24"/>
                <w:lang w:val="en-US" w:eastAsia="zh-CN"/>
              </w:rPr>
              <w:t>（7）</w:t>
            </w:r>
            <w:r>
              <w:rPr>
                <w:rFonts w:hint="default" w:ascii="Times New Roman" w:hAnsi="Times New Roman" w:cs="Times New Roman"/>
                <w:sz w:val="24"/>
                <w:szCs w:val="24"/>
                <w:lang w:val="en-US" w:eastAsia="zh-CN"/>
              </w:rPr>
              <w:t>风险评价结论</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Times New Roman" w:hAnsi="Times New Roman" w:cs="Times New Roman"/>
                <w:bCs/>
                <w:color w:val="000000"/>
                <w:sz w:val="24"/>
                <w:szCs w:val="24"/>
              </w:rPr>
            </w:pPr>
            <w:r>
              <w:rPr>
                <w:rFonts w:hint="default" w:ascii="Times New Roman" w:hAnsi="Times New Roman" w:cs="Times New Roman"/>
                <w:sz w:val="24"/>
                <w:szCs w:val="24"/>
                <w:lang w:val="en-US" w:eastAsia="zh-CN"/>
              </w:rPr>
              <w:t>经以上分析可知，本项目运营期的环境风险在采取相应防范措施的基础上可将风险事故造成的危害降至最低，从环境风险角度分析，本项目实施可行。</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3763" w:hRule="atLeast"/>
          <w:jc w:val="center"/>
        </w:trPr>
        <w:tc>
          <w:tcPr>
            <w:tcW w:w="866" w:type="dxa"/>
            <w:noWrap w:val="0"/>
            <w:vAlign w:val="center"/>
          </w:tcPr>
          <w:p>
            <w:pPr>
              <w:pStyle w:val="16"/>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color w:val="000000"/>
                <w:kern w:val="2"/>
                <w:sz w:val="24"/>
                <w:szCs w:val="24"/>
              </w:rPr>
            </w:pPr>
            <w:r>
              <w:rPr>
                <w:rFonts w:hint="default" w:ascii="Times New Roman" w:hAnsi="Times New Roman" w:cs="Times New Roman"/>
                <w:bCs/>
                <w:color w:val="000000"/>
                <w:kern w:val="2"/>
                <w:sz w:val="24"/>
                <w:szCs w:val="24"/>
              </w:rPr>
              <w:t>选址选线环境合理性分析</w:t>
            </w:r>
          </w:p>
        </w:tc>
        <w:tc>
          <w:tcPr>
            <w:tcW w:w="8376" w:type="dxa"/>
            <w:noWrap w:val="0"/>
            <w:vAlign w:val="top"/>
          </w:tcPr>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eastAsia="宋体" w:cs="Times New Roman"/>
                <w:color w:val="000000"/>
                <w:kern w:val="0"/>
                <w:sz w:val="24"/>
                <w:szCs w:val="24"/>
                <w:vertAlign w:val="baseline"/>
                <w:lang w:val="en-US" w:eastAsia="zh-CN" w:bidi="ar-SA"/>
              </w:rPr>
            </w:pPr>
            <w:r>
              <w:rPr>
                <w:rFonts w:hint="default" w:ascii="Times New Roman" w:hAnsi="Times New Roman" w:eastAsia="宋体" w:cs="Times New Roman"/>
                <w:color w:val="000000"/>
                <w:kern w:val="0"/>
                <w:sz w:val="24"/>
                <w:szCs w:val="24"/>
                <w:vertAlign w:val="baseline"/>
                <w:lang w:val="en-US" w:eastAsia="zh-CN" w:bidi="ar-SA"/>
              </w:rPr>
              <w:t>按照相关法律规定，禁止在依法划定的饮用水水源保护区、自然保护区（核心区、缓冲区）、风景名胜区、森林公园、重要湖泊周边、文物古迹所在地等区域内采矿；禁止在铁路、国道、省道两侧的直观可视范围内建设采石、采砂生产企业。根据《永州市零陵区普通建筑材料用砂石土矿开采专项规划（2019～2025年）》，零陵区石山脚街道羊轱岭建筑石料用灰岩矿属于拟设采矿权矿区。经查询，采矿权范围未落入城乡建设和国家重大工程建设规划区，与自然保护区、风景名胜区、禁止开发区边界等无重叠，无基本农田和生态保护红线；周边1公里内无铁路、高速公路、军事设施、重要水利设施，拟设采矿权边界外300m以内无国道、省道、县道通过，不在铁路、国道、省道两侧的直观可视范围内；项目不涉及集中式饮用水源保护区、森林公园、重要湖泊、文物古迹等。故本项选址可行。</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bCs/>
                <w:color w:val="000000"/>
                <w:sz w:val="24"/>
                <w:szCs w:val="24"/>
              </w:rPr>
            </w:pPr>
            <w:r>
              <w:rPr>
                <w:sz w:val="24"/>
                <w:szCs w:val="24"/>
                <w:lang w:val="en-US" w:eastAsia="zh-CN"/>
              </w:rPr>
              <w:t>堆料场临时用地选址综合原则为安全、可行、生态、经济。选择一</w:t>
            </w:r>
            <w:r>
              <w:rPr>
                <w:rFonts w:hint="eastAsia"/>
                <w:sz w:val="24"/>
                <w:szCs w:val="24"/>
                <w:lang w:val="en-US" w:eastAsia="zh-CN"/>
              </w:rPr>
              <w:t>处合理的堆料场要综合考虑各种因素，优化各种方案，达到选址最佳的目的。根据《永州市零陵区羊牯岭矿山年开采量120 万吨石灰岩建设项目堆料场临时用地土地复垦方案》，该地块未占用耕地、永久基本农田和生态保护红线等高价值土地，地势平坦，地质条件稳定，适合做堆料场，临时用地紧挨主体工程，且有良好的运输条件，地块周边均没有大量房屋和人流，安全性高，能避免施工带 来的其他影响；该选址得到了当地群众以及各部门的支持。因此，堆料场选址是合理的。</w:t>
            </w:r>
          </w:p>
        </w:tc>
      </w:tr>
    </w:tbl>
    <w:p>
      <w:pPr>
        <w:pStyle w:val="16"/>
        <w:jc w:val="center"/>
        <w:rPr>
          <w:rFonts w:hint="default" w:ascii="Times New Roman" w:hAnsi="Times New Roman" w:eastAsia="黑体" w:cs="Times New Roman"/>
          <w:snapToGrid w:val="0"/>
          <w:color w:val="000000"/>
          <w:sz w:val="36"/>
          <w:szCs w:val="36"/>
        </w:rPr>
        <w:sectPr>
          <w:pgSz w:w="11906" w:h="16838"/>
          <w:pgMar w:top="1440" w:right="1800" w:bottom="1440" w:left="1800" w:header="851" w:footer="1077" w:gutter="0"/>
          <w:pgBorders>
            <w:top w:val="none" w:sz="0" w:space="0"/>
            <w:left w:val="none" w:sz="0" w:space="0"/>
            <w:bottom w:val="none" w:sz="0" w:space="0"/>
            <w:right w:val="none" w:sz="0" w:space="0"/>
          </w:pgBorders>
          <w:pgNumType w:fmt="decimal"/>
          <w:cols w:space="720" w:num="1"/>
          <w:docGrid w:linePitch="312" w:charSpace="0"/>
        </w:sectPr>
      </w:pPr>
    </w:p>
    <w:p>
      <w:pPr>
        <w:bidi w:val="0"/>
        <w:rPr>
          <w:rFonts w:hint="default" w:ascii="Times New Roman" w:hAnsi="Times New Roman" w:cs="Times New Roman"/>
          <w:color w:val="000000"/>
        </w:rPr>
      </w:pPr>
    </w:p>
    <w:p>
      <w:pPr>
        <w:pStyle w:val="16"/>
        <w:jc w:val="center"/>
        <w:outlineLvl w:val="0"/>
        <w:rPr>
          <w:rFonts w:hint="default" w:ascii="Times New Roman" w:hAnsi="Times New Roman" w:eastAsia="黑体" w:cs="Times New Roman"/>
          <w:snapToGrid w:val="0"/>
          <w:color w:val="000000"/>
          <w:sz w:val="30"/>
          <w:szCs w:val="30"/>
        </w:rPr>
      </w:pPr>
      <w:bookmarkStart w:id="26" w:name="_Toc23842"/>
      <w:bookmarkStart w:id="27" w:name="_Toc27764"/>
      <w:bookmarkStart w:id="28" w:name="_Toc20008"/>
      <w:bookmarkStart w:id="29" w:name="_Toc15072"/>
      <w:bookmarkStart w:id="30" w:name="_Toc24607"/>
      <w:bookmarkStart w:id="31" w:name="_Toc16223"/>
      <w:r>
        <w:rPr>
          <w:rFonts w:hint="default" w:ascii="Times New Roman" w:hAnsi="Times New Roman" w:eastAsia="黑体" w:cs="Times New Roman"/>
          <w:snapToGrid w:val="0"/>
          <w:color w:val="000000"/>
          <w:sz w:val="30"/>
          <w:szCs w:val="30"/>
        </w:rPr>
        <w:t>五、主要生态环境保护措施</w:t>
      </w:r>
      <w:bookmarkEnd w:id="26"/>
      <w:bookmarkEnd w:id="27"/>
      <w:bookmarkEnd w:id="28"/>
      <w:bookmarkEnd w:id="29"/>
      <w:bookmarkEnd w:id="30"/>
      <w:bookmarkEnd w:id="31"/>
    </w:p>
    <w:tbl>
      <w:tblPr>
        <w:tblStyle w:val="21"/>
        <w:tblW w:w="9489" w:type="dxa"/>
        <w:jc w:val="center"/>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456"/>
        <w:gridCol w:w="9033"/>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3782" w:hRule="atLeast"/>
          <w:jc w:val="center"/>
        </w:trPr>
        <w:tc>
          <w:tcPr>
            <w:tcW w:w="456" w:type="dxa"/>
            <w:noWrap w:val="0"/>
            <w:tcMar>
              <w:left w:w="28" w:type="dxa"/>
              <w:right w:w="28" w:type="dxa"/>
            </w:tcMar>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color w:val="000000"/>
                <w:sz w:val="24"/>
                <w:szCs w:val="24"/>
              </w:rPr>
            </w:pPr>
            <w:r>
              <w:rPr>
                <w:rFonts w:hint="default" w:ascii="Times New Roman" w:hAnsi="Times New Roman" w:cs="Times New Roman"/>
                <w:bCs/>
                <w:color w:val="000000"/>
                <w:spacing w:val="10"/>
                <w:sz w:val="24"/>
                <w:szCs w:val="24"/>
              </w:rPr>
              <w:t>施工期生态环境保护措施</w:t>
            </w:r>
          </w:p>
        </w:tc>
        <w:tc>
          <w:tcPr>
            <w:tcW w:w="9033" w:type="dxa"/>
            <w:noWrap w:val="0"/>
            <w:vAlign w:val="top"/>
          </w:tcPr>
          <w:p>
            <w:pPr>
              <w:keepNext w:val="0"/>
              <w:keepLines w:val="0"/>
              <w:suppressLineNumbers w:val="0"/>
              <w:adjustRightInd w:val="0"/>
              <w:snapToGrid w:val="0"/>
              <w:spacing w:before="0" w:beforeAutospacing="0" w:after="0" w:afterAutospacing="0" w:line="360" w:lineRule="auto"/>
              <w:ind w:left="0" w:right="0" w:firstLine="482" w:firstLineChars="200"/>
              <w:rPr>
                <w:rFonts w:hint="default" w:ascii="Times New Roman" w:hAnsi="Times New Roman" w:cs="Times New Roman"/>
                <w:b/>
                <w:bCs w:val="0"/>
                <w:color w:val="auto"/>
                <w:sz w:val="24"/>
                <w:szCs w:val="24"/>
                <w:lang w:val="en-US" w:eastAsia="zh-CN"/>
              </w:rPr>
            </w:pPr>
            <w:r>
              <w:rPr>
                <w:rFonts w:hint="default" w:ascii="Times New Roman" w:hAnsi="Times New Roman" w:cs="Times New Roman"/>
                <w:b/>
                <w:bCs w:val="0"/>
                <w:color w:val="auto"/>
                <w:sz w:val="24"/>
                <w:szCs w:val="24"/>
                <w:lang w:val="en-US" w:eastAsia="zh-CN"/>
              </w:rPr>
              <w:t>1、废气</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①建设单位应将建筑施工扬尘治理纳入日常工程监督管理范畴，将建筑施工扬尘治理内容写入监理规划、细则及监理日志中，加强现场环境监理和管理。施工场内设置专职保洁员。</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②在厂棚施工场地设置100%封闭硬质围挡，高度为2.5m以上的围栏防止扬尘污染周围环境；在施工边界工地建筑结构脚手架外侧设置有效抑尘的密目防尘网（不低于2000目/100平方厘米）或防尘布，进出道路做到100%硬化。</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③加强弃土管理，同时应将产生的建筑垃圾和土石方立即清运，并采用100%密闭运输方式，施工区与非施工区用围挡隔离，作业面适当喷水，使其保持一定湿度，以减小扬尘对周边敏感区的影响。</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④土料、砂砾料等多尘物料运输过程中应堆放整齐，采用封闭车辆运输，保证物料不遗撒，并适当加湿，尽量降低运输过程中起尘量。</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⑤严禁在施工场地设置混凝土和砂浆搅合站。</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⑥对施工生产区要采取遮盖、拦挡等措施，防治扬尘污染，堆料场区选址应位于居民点下风向，堆放时采取防风防雨措施。</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⑧工地厂棚场界应设置高度2.5米以上的围挡，施工现场应封闭施工。遇到四级或四级以上大风天气，应停止土方作业，同时作业区覆以防尘网。对于场区内裸露地面，应覆以防尘网或者防尘布，同时在大风时段，增加洒水次数。</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⑨在施工期间，应根据不同空气污染指数范围和大气、高温、干燥、晴天、</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雨天等各种不同气象条件，明确保洁制度，场地内施工区应采用人力洒水或水枪洒水，当空气污染指数大于100或4级以上大风干燥天气时禁止土方作业和人工干扫；在空气污染指数80~100时应每隔4h保洁一次，洒水与清扫交替使用。当空气污染指数低于50时，可以在保持清洁的前提下适度降低保洁强度。</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⑩施工现场大门出入口处必须设置车辆冲洗设施和污水沉淀池，对驶出施工</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现场的机动车辆做到100%冲洗干净后方可上路行驶，严禁施工现场内的泥土和污水污染沿线道路。</w:t>
            </w:r>
          </w:p>
          <w:p>
            <w:pPr>
              <w:keepNext w:val="0"/>
              <w:keepLines w:val="0"/>
              <w:suppressLineNumbers w:val="0"/>
              <w:adjustRightInd w:val="0"/>
              <w:snapToGrid w:val="0"/>
              <w:spacing w:before="0" w:beforeAutospacing="0" w:after="0" w:afterAutospacing="0" w:line="360" w:lineRule="auto"/>
              <w:ind w:left="0" w:right="0" w:firstLine="482" w:firstLineChars="200"/>
              <w:rPr>
                <w:rFonts w:hint="default" w:ascii="Times New Roman" w:hAnsi="Times New Roman" w:cs="Times New Roman"/>
                <w:b/>
                <w:bCs w:val="0"/>
                <w:color w:val="auto"/>
                <w:sz w:val="24"/>
                <w:szCs w:val="24"/>
                <w:lang w:val="en-US" w:eastAsia="zh-CN"/>
              </w:rPr>
            </w:pPr>
            <w:r>
              <w:rPr>
                <w:rFonts w:hint="default" w:ascii="Times New Roman" w:hAnsi="Times New Roman" w:cs="Times New Roman"/>
                <w:b/>
                <w:bCs w:val="0"/>
                <w:color w:val="auto"/>
                <w:sz w:val="24"/>
                <w:szCs w:val="24"/>
                <w:lang w:val="en-US" w:eastAsia="zh-CN"/>
              </w:rPr>
              <w:t>2、废水</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施工期工人的生活污水经周边居民旱厕处理后，用于农肥，项目禁止乱排。建筑施工废水及雨季暴雨径流经沉淀池处理后回用于洒水抑尘，施工过程中产生的施工机械养护冲洗废水以及车辆清洗废水经沉淀池处理后，将处理后的废水用于施工过程和场地洒水等，以减少污水排放量，节约水资源。</w:t>
            </w:r>
          </w:p>
          <w:p>
            <w:pPr>
              <w:keepNext w:val="0"/>
              <w:keepLines w:val="0"/>
              <w:suppressLineNumbers w:val="0"/>
              <w:adjustRightInd w:val="0"/>
              <w:snapToGrid w:val="0"/>
              <w:spacing w:before="0" w:beforeAutospacing="0" w:after="0" w:afterAutospacing="0" w:line="360" w:lineRule="auto"/>
              <w:ind w:left="0" w:right="0" w:firstLine="482" w:firstLineChars="200"/>
              <w:rPr>
                <w:rFonts w:hint="default" w:ascii="Times New Roman" w:hAnsi="Times New Roman" w:cs="Times New Roman"/>
                <w:b/>
                <w:bCs w:val="0"/>
                <w:color w:val="auto"/>
                <w:sz w:val="24"/>
                <w:szCs w:val="24"/>
                <w:lang w:val="en-US" w:eastAsia="zh-CN"/>
              </w:rPr>
            </w:pPr>
            <w:r>
              <w:rPr>
                <w:rFonts w:hint="default" w:ascii="Times New Roman" w:hAnsi="Times New Roman" w:cs="Times New Roman"/>
                <w:b/>
                <w:bCs w:val="0"/>
                <w:color w:val="auto"/>
                <w:sz w:val="24"/>
                <w:szCs w:val="24"/>
                <w:lang w:val="en-US" w:eastAsia="zh-CN"/>
              </w:rPr>
              <w:t>3、噪声</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 w:val="0"/>
                <w:bCs/>
                <w:color w:val="auto"/>
                <w:sz w:val="24"/>
                <w:szCs w:val="24"/>
                <w:lang w:val="en-US" w:eastAsia="zh-CN"/>
              </w:rPr>
            </w:pPr>
            <w:r>
              <w:rPr>
                <w:rFonts w:hint="default" w:ascii="Times New Roman" w:hAnsi="Times New Roman" w:cs="Times New Roman"/>
                <w:b w:val="0"/>
                <w:bCs/>
                <w:color w:val="auto"/>
                <w:sz w:val="24"/>
                <w:szCs w:val="24"/>
                <w:lang w:val="en-US" w:eastAsia="zh-CN"/>
              </w:rPr>
              <w:t>①施工应安排在昼间6：00~12：00、14：00~22：00期间进行，中午及夜间休息时间禁止施工；若由于工程需要，确实要进行夜间连续施工的，必须取得相应主管部门的批准，并应通过媒体或者现场公告等方式告知施工区域附近的居民，同时搞好施工组织，将大噪声施工活动放在昼间进行、避免在夜间进行大噪声施工，施工应确保上述边界夜间声级不超出《建筑施工场界噪声限值》</w:t>
            </w:r>
          </w:p>
          <w:p>
            <w:pPr>
              <w:keepNext w:val="0"/>
              <w:keepLines w:val="0"/>
              <w:suppressLineNumbers w:val="0"/>
              <w:adjustRightInd w:val="0"/>
              <w:snapToGrid w:val="0"/>
              <w:spacing w:before="0" w:beforeAutospacing="0" w:after="0" w:afterAutospacing="0" w:line="360" w:lineRule="auto"/>
              <w:ind w:left="0" w:right="0"/>
              <w:rPr>
                <w:rFonts w:hint="default" w:ascii="Times New Roman" w:hAnsi="Times New Roman" w:cs="Times New Roman"/>
                <w:b w:val="0"/>
                <w:bCs/>
                <w:color w:val="auto"/>
                <w:sz w:val="24"/>
                <w:szCs w:val="24"/>
                <w:lang w:val="en-US" w:eastAsia="zh-CN"/>
              </w:rPr>
            </w:pPr>
            <w:r>
              <w:rPr>
                <w:rFonts w:hint="default" w:ascii="Times New Roman" w:hAnsi="Times New Roman" w:cs="Times New Roman"/>
                <w:b w:val="0"/>
                <w:bCs/>
                <w:color w:val="auto"/>
                <w:sz w:val="24"/>
                <w:szCs w:val="24"/>
                <w:lang w:val="en-US" w:eastAsia="zh-CN"/>
              </w:rPr>
              <w:t>（GB12523-2011）的限值要求，即夜间≤55dB(A)。</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 w:val="0"/>
                <w:bCs/>
                <w:color w:val="auto"/>
                <w:sz w:val="24"/>
                <w:szCs w:val="24"/>
                <w:lang w:val="en-US" w:eastAsia="zh-CN"/>
              </w:rPr>
            </w:pPr>
            <w:r>
              <w:rPr>
                <w:rFonts w:hint="default" w:ascii="Times New Roman" w:hAnsi="Times New Roman" w:cs="Times New Roman"/>
                <w:b w:val="0"/>
                <w:bCs/>
                <w:color w:val="auto"/>
                <w:sz w:val="24"/>
                <w:szCs w:val="24"/>
                <w:lang w:val="en-US" w:eastAsia="zh-CN"/>
              </w:rPr>
              <w:t>②制订合理的施工计划，尽可能避免高噪声设备同时施工。高噪声施工时间尽量安排在昼间进行，除抢险等特殊情况外，严禁夜间进行高噪声施工作业。</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 w:val="0"/>
                <w:bCs/>
                <w:color w:val="auto"/>
                <w:sz w:val="24"/>
                <w:szCs w:val="24"/>
                <w:lang w:val="en-US" w:eastAsia="zh-CN"/>
              </w:rPr>
            </w:pPr>
            <w:r>
              <w:rPr>
                <w:rFonts w:hint="default" w:ascii="Times New Roman" w:hAnsi="Times New Roman" w:cs="Times New Roman"/>
                <w:b w:val="0"/>
                <w:bCs/>
                <w:color w:val="auto"/>
                <w:sz w:val="24"/>
                <w:szCs w:val="24"/>
                <w:lang w:val="en-US" w:eastAsia="zh-CN"/>
              </w:rPr>
              <w:t>③合理布局高噪声设备，空压机、电锯、备用发电机等可移动的高噪声设备放置在远离环境敏感点一侧，避免在同一地点安排大量动力机械设备，以免局部声级过高。</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 w:val="0"/>
                <w:bCs/>
                <w:color w:val="auto"/>
                <w:sz w:val="24"/>
                <w:szCs w:val="24"/>
                <w:lang w:val="en-US" w:eastAsia="zh-CN"/>
              </w:rPr>
            </w:pPr>
            <w:r>
              <w:rPr>
                <w:rFonts w:hint="default" w:ascii="Times New Roman" w:hAnsi="Times New Roman" w:cs="Times New Roman"/>
                <w:b w:val="0"/>
                <w:bCs/>
                <w:color w:val="auto"/>
                <w:sz w:val="24"/>
                <w:szCs w:val="24"/>
                <w:lang w:val="en-US" w:eastAsia="zh-CN"/>
              </w:rPr>
              <w:t>④施工单位应尽量选用低噪声或带有隔音、消音的机械设备，如以液压机械代替燃油机械，并加强对设备的维护保养。</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 w:val="0"/>
                <w:bCs/>
                <w:color w:val="auto"/>
                <w:sz w:val="24"/>
                <w:szCs w:val="24"/>
                <w:lang w:val="en-US" w:eastAsia="zh-CN"/>
              </w:rPr>
            </w:pPr>
            <w:r>
              <w:rPr>
                <w:rFonts w:hint="default" w:ascii="Times New Roman" w:hAnsi="Times New Roman" w:cs="Times New Roman"/>
                <w:b w:val="0"/>
                <w:bCs/>
                <w:color w:val="auto"/>
                <w:sz w:val="24"/>
                <w:szCs w:val="24"/>
                <w:lang w:val="en-US" w:eastAsia="zh-CN"/>
              </w:rPr>
              <w:t>⑤降低人为噪声，按规定操作机械设备，模板、支架拆卸吊装过程中，遵守作业规定，减少碰撞噪音。尽量少用哨子等指挥作业，而代以现代化设备，如用无线对讲机等。</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 w:val="0"/>
                <w:bCs/>
                <w:color w:val="auto"/>
                <w:sz w:val="24"/>
                <w:szCs w:val="24"/>
                <w:lang w:val="en-US" w:eastAsia="zh-CN"/>
              </w:rPr>
            </w:pPr>
            <w:r>
              <w:rPr>
                <w:rFonts w:hint="default" w:ascii="Times New Roman" w:hAnsi="Times New Roman" w:cs="Times New Roman"/>
                <w:b w:val="0"/>
                <w:bCs/>
                <w:color w:val="auto"/>
                <w:sz w:val="24"/>
                <w:szCs w:val="24"/>
                <w:lang w:val="en-US" w:eastAsia="zh-CN"/>
              </w:rPr>
              <w:t>⑥对位置相对固定的高噪声机械设备，尽量在工棚内操作，不能进入棚内的，可采取围挡之类的单面隔声板。对各施工环节中噪声较为突出且又难以对声源进行降噪的设备装置，应采取临时围障措施，围障最好敷以吸声材料，以此达到降噪效果。</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 w:val="0"/>
                <w:bCs/>
                <w:color w:val="auto"/>
                <w:sz w:val="24"/>
                <w:szCs w:val="24"/>
                <w:lang w:val="en-US" w:eastAsia="zh-CN"/>
              </w:rPr>
            </w:pPr>
            <w:r>
              <w:rPr>
                <w:rFonts w:hint="default" w:ascii="Times New Roman" w:hAnsi="Times New Roman" w:cs="Times New Roman"/>
                <w:b w:val="0"/>
                <w:bCs/>
                <w:color w:val="auto"/>
                <w:sz w:val="24"/>
                <w:szCs w:val="24"/>
                <w:lang w:val="en-US" w:eastAsia="zh-CN"/>
              </w:rPr>
              <w:t>⑦加强运输车辆的管理，按规定组织车辆运输，合理规定运输通道。施工场地内道路应尽量保持平坦，减少由于道路不平而引起的车辆颠簸噪声。</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 w:val="0"/>
                <w:bCs/>
                <w:color w:val="auto"/>
                <w:sz w:val="24"/>
                <w:szCs w:val="24"/>
                <w:lang w:val="en-US" w:eastAsia="zh-CN"/>
              </w:rPr>
            </w:pPr>
            <w:r>
              <w:rPr>
                <w:rFonts w:hint="default" w:ascii="Times New Roman" w:hAnsi="Times New Roman" w:cs="Times New Roman"/>
                <w:b w:val="0"/>
                <w:bCs/>
                <w:color w:val="auto"/>
                <w:sz w:val="24"/>
                <w:szCs w:val="24"/>
                <w:lang w:val="en-US" w:eastAsia="zh-CN"/>
              </w:rPr>
              <w:t>⑧全封闭式施工，建设管理部门加强对施工场地的噪声管理，施工企业也应对施工噪声进行自律，文明施工，避免因施工噪声产生纠纷。</w:t>
            </w:r>
          </w:p>
          <w:p>
            <w:pPr>
              <w:keepNext w:val="0"/>
              <w:keepLines w:val="0"/>
              <w:suppressLineNumbers w:val="0"/>
              <w:adjustRightInd w:val="0"/>
              <w:snapToGrid w:val="0"/>
              <w:spacing w:before="0" w:beforeAutospacing="0" w:after="0" w:afterAutospacing="0" w:line="360" w:lineRule="auto"/>
              <w:ind w:left="0" w:right="0" w:firstLine="482" w:firstLineChars="200"/>
              <w:rPr>
                <w:rFonts w:hint="default" w:ascii="Times New Roman" w:hAnsi="Times New Roman" w:cs="Times New Roman"/>
                <w:b/>
                <w:bCs w:val="0"/>
                <w:color w:val="auto"/>
                <w:sz w:val="24"/>
                <w:szCs w:val="24"/>
                <w:lang w:val="en-US" w:eastAsia="zh-CN"/>
              </w:rPr>
            </w:pPr>
            <w:r>
              <w:rPr>
                <w:rFonts w:hint="default" w:ascii="Times New Roman" w:hAnsi="Times New Roman" w:cs="Times New Roman"/>
                <w:b/>
                <w:bCs w:val="0"/>
                <w:color w:val="auto"/>
                <w:sz w:val="24"/>
                <w:szCs w:val="24"/>
                <w:lang w:val="en-US" w:eastAsia="zh-CN"/>
              </w:rPr>
              <w:t>4、固体废物</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Calibri" w:hAnsi="Calibri" w:cs="Times New Roman"/>
                <w:color w:val="auto"/>
                <w:sz w:val="24"/>
                <w:szCs w:val="24"/>
                <w:lang w:val="en-US" w:eastAsia="zh-CN"/>
              </w:rPr>
            </w:pPr>
            <w:r>
              <w:rPr>
                <w:rFonts w:hint="default" w:ascii="Times New Roman" w:hAnsi="Times New Roman" w:cs="Times New Roman"/>
                <w:b w:val="0"/>
                <w:bCs/>
                <w:color w:val="auto"/>
                <w:sz w:val="24"/>
                <w:szCs w:val="24"/>
                <w:lang w:val="en-US" w:eastAsia="zh-CN"/>
              </w:rPr>
              <w:t>项目施工期产生少量土石方和碎石，</w:t>
            </w:r>
            <w:r>
              <w:rPr>
                <w:rFonts w:hint="eastAsia" w:ascii="Calibri" w:hAnsi="Calibri" w:cs="Times New Roman"/>
                <w:b w:val="0"/>
                <w:bCs/>
                <w:color w:val="auto"/>
                <w:sz w:val="24"/>
                <w:szCs w:val="24"/>
                <w:lang w:val="en-US" w:eastAsia="zh-CN"/>
              </w:rPr>
              <w:t>可直接堆存在本次新增的表土堆场，用于后期矿山生态恢复。</w:t>
            </w:r>
          </w:p>
          <w:p>
            <w:pPr>
              <w:keepNext w:val="0"/>
              <w:keepLines w:val="0"/>
              <w:suppressLineNumbers w:val="0"/>
              <w:adjustRightInd w:val="0"/>
              <w:snapToGrid w:val="0"/>
              <w:spacing w:before="0" w:beforeAutospacing="0" w:after="0" w:afterAutospacing="0" w:line="360" w:lineRule="auto"/>
              <w:ind w:left="0" w:right="0" w:firstLine="482" w:firstLineChars="200"/>
              <w:rPr>
                <w:rFonts w:hint="default" w:ascii="Times New Roman" w:hAnsi="Times New Roman" w:cs="Times New Roman"/>
                <w:b/>
                <w:bCs w:val="0"/>
                <w:color w:val="auto"/>
                <w:sz w:val="24"/>
                <w:szCs w:val="24"/>
                <w:lang w:val="en-US" w:eastAsia="zh-CN"/>
              </w:rPr>
            </w:pPr>
            <w:r>
              <w:rPr>
                <w:rFonts w:hint="eastAsia" w:ascii="Times New Roman" w:hAnsi="Times New Roman" w:cs="Times New Roman"/>
                <w:b/>
                <w:bCs w:val="0"/>
                <w:color w:val="auto"/>
                <w:sz w:val="24"/>
                <w:szCs w:val="24"/>
                <w:lang w:val="en-US" w:eastAsia="zh-CN"/>
              </w:rPr>
              <w:t>5</w:t>
            </w:r>
            <w:r>
              <w:rPr>
                <w:rFonts w:hint="default" w:ascii="Times New Roman" w:hAnsi="Times New Roman" w:cs="Times New Roman"/>
                <w:b/>
                <w:bCs w:val="0"/>
                <w:color w:val="auto"/>
                <w:sz w:val="24"/>
                <w:szCs w:val="24"/>
                <w:lang w:val="en-US" w:eastAsia="zh-CN"/>
              </w:rPr>
              <w:t>.</w:t>
            </w:r>
            <w:r>
              <w:rPr>
                <w:rFonts w:hint="eastAsia" w:ascii="Times New Roman" w:hAnsi="Times New Roman" w:cs="Times New Roman"/>
                <w:b/>
                <w:bCs w:val="0"/>
                <w:color w:val="auto"/>
                <w:sz w:val="24"/>
                <w:szCs w:val="24"/>
                <w:lang w:val="en-US" w:eastAsia="zh-CN"/>
              </w:rPr>
              <w:t>生态</w:t>
            </w:r>
            <w:r>
              <w:rPr>
                <w:rFonts w:hint="eastAsia" w:cs="Times New Roman"/>
                <w:b/>
                <w:bCs w:val="0"/>
                <w:color w:val="auto"/>
                <w:sz w:val="24"/>
                <w:szCs w:val="24"/>
                <w:lang w:val="en-US" w:eastAsia="zh-CN"/>
              </w:rPr>
              <w:t>环境</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Calibri" w:hAnsi="Calibri" w:cs="Times New Roman"/>
                <w:sz w:val="24"/>
                <w:szCs w:val="24"/>
                <w:lang w:val="en-US" w:eastAsia="zh-CN"/>
              </w:rPr>
            </w:pPr>
            <w:r>
              <w:rPr>
                <w:rFonts w:hint="eastAsia" w:ascii="Calibri" w:hAnsi="Calibri" w:cs="Times New Roman"/>
                <w:sz w:val="24"/>
                <w:szCs w:val="24"/>
                <w:lang w:val="en-US" w:eastAsia="zh-CN"/>
              </w:rPr>
              <w:t>根据调查，评价区植被类型和结构较为简单，无其他需特殊保护的植被类型分布，工程直接影响的植物种类大部分为广泛分布的常见物种。项目区域内的动物分布种类为一般常见的种类。为了更好的保护评价区域内的动植物，项目需要采取的具体的生态保护措施如下：</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Calibri" w:hAnsi="Calibri" w:cs="Times New Roman"/>
                <w:sz w:val="24"/>
                <w:szCs w:val="24"/>
                <w:lang w:val="en-US" w:eastAsia="zh-CN"/>
              </w:rPr>
            </w:pPr>
            <w:r>
              <w:rPr>
                <w:rFonts w:hint="eastAsia" w:ascii="Calibri" w:hAnsi="Calibri" w:cs="Times New Roman"/>
                <w:sz w:val="24"/>
                <w:szCs w:val="24"/>
                <w:lang w:val="en-US" w:eastAsia="zh-CN"/>
              </w:rPr>
              <w:t>1）开采区的生态保护措施</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Calibri" w:hAnsi="Calibri" w:cs="Times New Roman"/>
                <w:sz w:val="24"/>
                <w:szCs w:val="24"/>
                <w:lang w:val="en-US" w:eastAsia="zh-CN"/>
              </w:rPr>
            </w:pPr>
            <w:r>
              <w:rPr>
                <w:rFonts w:hint="eastAsia" w:ascii="Calibri" w:hAnsi="Calibri" w:cs="Times New Roman"/>
                <w:sz w:val="24"/>
                <w:szCs w:val="24"/>
                <w:lang w:val="en-US" w:eastAsia="zh-CN"/>
              </w:rPr>
              <w:t>不得随意破坏开采设计范围外的植被，开采过程中对废气粉尘进行洒水降尘，降低粉尘对周边植被的影响；初期雨水等进行沉淀处理后回用于洒水降尘，</w:t>
            </w:r>
            <w:r>
              <w:rPr>
                <w:rFonts w:hint="eastAsia" w:ascii="Calibri" w:hAnsi="Calibri" w:cs="Times New Roman"/>
                <w:sz w:val="24"/>
                <w:szCs w:val="24"/>
                <w:lang w:val="en-US" w:eastAsia="zh-CN"/>
              </w:rPr>
              <w:tab/>
            </w:r>
            <w:r>
              <w:rPr>
                <w:rFonts w:hint="eastAsia" w:ascii="Calibri" w:hAnsi="Calibri" w:cs="Times New Roman"/>
                <w:sz w:val="24"/>
                <w:szCs w:val="24"/>
                <w:lang w:val="en-US" w:eastAsia="zh-CN"/>
              </w:rPr>
              <w:t>不外排，减轻废水对植被的影响。</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Calibri" w:hAnsi="Calibri" w:cs="Times New Roman"/>
                <w:sz w:val="24"/>
                <w:szCs w:val="24"/>
                <w:lang w:val="en-US" w:eastAsia="zh-CN"/>
              </w:rPr>
            </w:pPr>
            <w:r>
              <w:rPr>
                <w:rFonts w:hint="eastAsia" w:ascii="Calibri" w:hAnsi="Calibri" w:cs="Times New Roman"/>
                <w:sz w:val="24"/>
                <w:szCs w:val="24"/>
                <w:lang w:val="en-US" w:eastAsia="zh-CN"/>
              </w:rPr>
              <w:t>在开采区周边设置截排水沟。</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Calibri" w:hAnsi="Calibri" w:cs="Times New Roman"/>
                <w:sz w:val="24"/>
                <w:szCs w:val="24"/>
                <w:lang w:val="en-US" w:eastAsia="zh-CN"/>
              </w:rPr>
            </w:pPr>
            <w:r>
              <w:rPr>
                <w:rFonts w:hint="eastAsia" w:ascii="Calibri" w:hAnsi="Calibri" w:cs="Times New Roman"/>
                <w:sz w:val="24"/>
                <w:szCs w:val="24"/>
                <w:lang w:val="en-US" w:eastAsia="zh-CN"/>
              </w:rPr>
              <w:t>新增表土堆场堆存剥离表土，保证后期回填和复垦用土。</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Calibri" w:hAnsi="Calibri" w:cs="Times New Roman"/>
                <w:sz w:val="24"/>
                <w:szCs w:val="24"/>
                <w:lang w:val="en-US" w:eastAsia="zh-CN"/>
              </w:rPr>
            </w:pPr>
            <w:r>
              <w:rPr>
                <w:rFonts w:hint="eastAsia" w:ascii="Calibri" w:hAnsi="Calibri" w:cs="Times New Roman"/>
                <w:sz w:val="24"/>
                <w:szCs w:val="24"/>
                <w:lang w:val="en-US" w:eastAsia="zh-CN"/>
              </w:rPr>
              <w:t>2）工业矿区的生态保护措施</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Calibri" w:hAnsi="Calibri" w:cs="Times New Roman"/>
                <w:sz w:val="24"/>
                <w:szCs w:val="24"/>
                <w:lang w:val="en-US" w:eastAsia="zh-CN"/>
              </w:rPr>
            </w:pPr>
            <w:r>
              <w:rPr>
                <w:rFonts w:hint="eastAsia" w:ascii="Calibri" w:hAnsi="Calibri" w:cs="Times New Roman"/>
                <w:sz w:val="24"/>
                <w:szCs w:val="24"/>
                <w:lang w:val="en-US" w:eastAsia="zh-CN"/>
              </w:rPr>
              <w:t>主要措施为排水、护坡、绿化等：</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Calibri" w:hAnsi="Calibri" w:cs="Times New Roman"/>
                <w:sz w:val="24"/>
                <w:szCs w:val="24"/>
                <w:lang w:val="en-US" w:eastAsia="zh-CN"/>
              </w:rPr>
            </w:pPr>
            <w:r>
              <w:rPr>
                <w:rFonts w:hint="eastAsia" w:ascii="Calibri" w:hAnsi="Calibri" w:cs="Times New Roman"/>
                <w:sz w:val="24"/>
                <w:szCs w:val="24"/>
                <w:lang w:val="en-US" w:eastAsia="zh-CN"/>
              </w:rPr>
              <w:t>工业场地内设置完善的防排水系统。</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Calibri" w:hAnsi="Calibri" w:cs="Times New Roman"/>
                <w:sz w:val="24"/>
                <w:szCs w:val="24"/>
                <w:lang w:val="en-US" w:eastAsia="zh-CN"/>
              </w:rPr>
            </w:pPr>
            <w:r>
              <w:rPr>
                <w:rFonts w:hint="eastAsia" w:ascii="Calibri" w:hAnsi="Calibri" w:cs="Times New Roman"/>
                <w:sz w:val="24"/>
                <w:szCs w:val="24"/>
                <w:lang w:val="en-US" w:eastAsia="zh-CN"/>
              </w:rPr>
              <w:t>工业场地周围空地地面硬化或植树、种草绿化，以减少水土流失。地面高噪声设备做好降噪措施，减缓噪声对野生动物的影响。</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Calibri" w:hAnsi="Calibri" w:cs="Times New Roman"/>
                <w:sz w:val="24"/>
                <w:szCs w:val="24"/>
                <w:lang w:val="en-US" w:eastAsia="zh-CN"/>
              </w:rPr>
            </w:pPr>
            <w:r>
              <w:rPr>
                <w:rFonts w:hint="eastAsia" w:ascii="Calibri" w:hAnsi="Calibri" w:cs="Times New Roman"/>
                <w:sz w:val="24"/>
                <w:szCs w:val="24"/>
                <w:lang w:val="en-US" w:eastAsia="zh-CN"/>
              </w:rPr>
              <w:t>工业场地内设置的原矿堆场、产品堆存区等做好防尘措施，防止粉尘对植被产生影响。</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Calibri" w:hAnsi="Calibri" w:cs="Times New Roman"/>
                <w:sz w:val="24"/>
                <w:szCs w:val="24"/>
                <w:lang w:val="en-US" w:eastAsia="zh-CN"/>
              </w:rPr>
            </w:pPr>
            <w:r>
              <w:rPr>
                <w:rFonts w:hint="eastAsia" w:ascii="Calibri" w:hAnsi="Calibri" w:cs="Times New Roman"/>
                <w:sz w:val="24"/>
                <w:szCs w:val="24"/>
                <w:lang w:val="en-US" w:eastAsia="zh-CN"/>
              </w:rPr>
              <w:t>新增表土堆场周围设置截水沟、拦渣坝，防止表土被雨水冲刷，同时定时进行洒水降尘，减少粉尘的产生。项目开采过程中及时对采空区进行回填，减少剥离土长时间停留在堆土场内，规范化管理堆土场后，对周边生态环境影响不大。</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Calibri" w:hAnsi="Calibri" w:cs="Times New Roman"/>
                <w:sz w:val="24"/>
                <w:szCs w:val="24"/>
                <w:lang w:val="en-US" w:eastAsia="zh-CN"/>
              </w:rPr>
            </w:pPr>
            <w:r>
              <w:rPr>
                <w:rFonts w:hint="eastAsia" w:ascii="Calibri" w:hAnsi="Calibri" w:cs="Times New Roman"/>
                <w:sz w:val="24"/>
                <w:szCs w:val="24"/>
                <w:lang w:val="en-US" w:eastAsia="zh-CN"/>
              </w:rPr>
              <w:t>3）水土流失保护措施</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Calibri" w:hAnsi="Calibri" w:cs="Times New Roman"/>
                <w:sz w:val="24"/>
                <w:szCs w:val="24"/>
                <w:lang w:val="en-US" w:eastAsia="zh-CN"/>
              </w:rPr>
            </w:pPr>
            <w:r>
              <w:rPr>
                <w:rFonts w:hint="eastAsia" w:ascii="Calibri" w:hAnsi="Calibri" w:cs="Times New Roman"/>
                <w:sz w:val="24"/>
                <w:szCs w:val="24"/>
                <w:lang w:val="en-US" w:eastAsia="zh-CN"/>
              </w:rPr>
              <w:t>A、在开采境界周边汇水区域应开挖排（引）水沟，防止地表水侵蚀边坡，</w:t>
            </w:r>
            <w:r>
              <w:rPr>
                <w:rFonts w:hint="eastAsia" w:ascii="Calibri" w:hAnsi="Calibri" w:cs="Times New Roman"/>
                <w:sz w:val="24"/>
                <w:szCs w:val="24"/>
                <w:lang w:val="en-US" w:eastAsia="zh-CN"/>
              </w:rPr>
              <w:tab/>
            </w:r>
            <w:r>
              <w:rPr>
                <w:rFonts w:hint="eastAsia" w:ascii="Calibri" w:hAnsi="Calibri" w:cs="Times New Roman"/>
                <w:sz w:val="24"/>
                <w:szCs w:val="24"/>
                <w:lang w:val="en-US" w:eastAsia="zh-CN"/>
              </w:rPr>
              <w:t>破坏边坡的稳定。采场边坡上部如有积水地段，应开沟将其引出，防止水侵蚀边坡软弱层，导致滑坡。</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Calibri" w:hAnsi="Calibri" w:cs="Times New Roman"/>
                <w:sz w:val="24"/>
                <w:szCs w:val="24"/>
                <w:lang w:val="en-US" w:eastAsia="zh-CN"/>
              </w:rPr>
            </w:pPr>
            <w:r>
              <w:rPr>
                <w:rFonts w:hint="eastAsia" w:ascii="Calibri" w:hAnsi="Calibri" w:cs="Times New Roman"/>
                <w:sz w:val="24"/>
                <w:szCs w:val="24"/>
                <w:lang w:val="en-US" w:eastAsia="zh-CN"/>
              </w:rPr>
              <w:t>B、雨季或暴雨时段停止作业，如遇大雨降临，应提前将设备转移至高处，人员撤离采场，同时采用抽水机等措施加强排水。</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Calibri" w:hAnsi="Calibri" w:cs="Times New Roman"/>
                <w:sz w:val="24"/>
                <w:szCs w:val="24"/>
                <w:lang w:val="en-US" w:eastAsia="zh-CN"/>
              </w:rPr>
            </w:pPr>
            <w:r>
              <w:rPr>
                <w:rFonts w:hint="eastAsia" w:ascii="Calibri" w:hAnsi="Calibri" w:cs="Times New Roman"/>
                <w:sz w:val="24"/>
                <w:szCs w:val="24"/>
                <w:lang w:val="en-US" w:eastAsia="zh-CN"/>
              </w:rPr>
              <w:t>C、矿山在凹陷开采时应及时修建排水沟，采坑边建设水泵房对汇入采坑内的积水通过抽排至排水沟引导入沉淀池后统一进行排放，避免采坑内积水。</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Calibri" w:hAnsi="Calibri" w:cs="Times New Roman"/>
                <w:sz w:val="24"/>
                <w:szCs w:val="24"/>
                <w:lang w:val="en-US" w:eastAsia="zh-CN"/>
              </w:rPr>
            </w:pPr>
            <w:r>
              <w:rPr>
                <w:rFonts w:hint="eastAsia" w:ascii="Calibri" w:hAnsi="Calibri" w:cs="Times New Roman"/>
                <w:sz w:val="24"/>
                <w:szCs w:val="24"/>
                <w:lang w:val="en-US" w:eastAsia="zh-CN"/>
              </w:rPr>
              <w:t>D、对修筑的截、排水沟应定期清理，保持截、排水沟的排水畅通。</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Calibri" w:hAnsi="Calibri" w:cs="Times New Roman"/>
                <w:sz w:val="24"/>
                <w:szCs w:val="24"/>
                <w:lang w:val="en-US" w:eastAsia="zh-CN"/>
              </w:rPr>
            </w:pPr>
            <w:r>
              <w:rPr>
                <w:rFonts w:hint="eastAsia" w:ascii="Calibri" w:hAnsi="Calibri" w:cs="Times New Roman"/>
                <w:sz w:val="24"/>
                <w:szCs w:val="24"/>
                <w:lang w:val="en-US" w:eastAsia="zh-CN"/>
              </w:rPr>
              <w:t>E、新增表土堆场周围修建挡土墙，做好截排水等工程防护措施。新增表土堆场坡面采用种植植物和覆盖进行稳定化处理，减少扬尘土，同时防止出现水土流失和滑坡现象。</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eastAsia="宋体" w:cs="Times New Roman"/>
                <w:color w:val="FF0000"/>
                <w:sz w:val="24"/>
                <w:szCs w:val="24"/>
                <w:lang w:val="en-US" w:eastAsia="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3678" w:hRule="atLeast"/>
          <w:jc w:val="center"/>
        </w:trPr>
        <w:tc>
          <w:tcPr>
            <w:tcW w:w="456" w:type="dxa"/>
            <w:noWrap w:val="0"/>
            <w:tcMar>
              <w:left w:w="28" w:type="dxa"/>
              <w:right w:w="28" w:type="dxa"/>
            </w:tcMar>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color w:val="000000"/>
                <w:spacing w:val="10"/>
                <w:sz w:val="24"/>
                <w:szCs w:val="24"/>
              </w:rPr>
            </w:pPr>
            <w:r>
              <w:rPr>
                <w:rFonts w:hint="default" w:ascii="Times New Roman" w:hAnsi="Times New Roman" w:cs="Times New Roman"/>
                <w:bCs/>
                <w:color w:val="000000"/>
                <w:spacing w:val="10"/>
                <w:sz w:val="24"/>
                <w:szCs w:val="24"/>
              </w:rPr>
              <w:t>运营期生态环境保护措施</w:t>
            </w:r>
          </w:p>
        </w:tc>
        <w:tc>
          <w:tcPr>
            <w:tcW w:w="9033" w:type="dxa"/>
            <w:noWrap w:val="0"/>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2" w:firstLineChars="200"/>
              <w:textAlignment w:val="auto"/>
              <w:rPr>
                <w:rFonts w:hint="default" w:ascii="Calibri" w:hAnsi="Calibri" w:cs="Times New Roman"/>
                <w:b/>
                <w:bCs/>
                <w:sz w:val="24"/>
                <w:szCs w:val="24"/>
              </w:rPr>
            </w:pPr>
            <w:r>
              <w:rPr>
                <w:rFonts w:hint="default" w:ascii="Calibri" w:hAnsi="Calibri" w:cs="Times New Roman"/>
                <w:b/>
                <w:bCs/>
                <w:sz w:val="24"/>
                <w:szCs w:val="24"/>
              </w:rPr>
              <w:t>1、环境空气</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Calibri" w:hAnsi="Calibri" w:cs="Times New Roman"/>
                <w:sz w:val="24"/>
                <w:szCs w:val="24"/>
              </w:rPr>
            </w:pPr>
            <w:r>
              <w:rPr>
                <w:rFonts w:hint="default" w:ascii="Calibri" w:hAnsi="Calibri" w:cs="Times New Roman"/>
                <w:sz w:val="24"/>
                <w:szCs w:val="24"/>
              </w:rPr>
              <w:t>营运期废气污染源及环保措施如下表所示：</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Calibri" w:hAnsi="Calibri" w:cs="Times New Roman"/>
                <w:sz w:val="24"/>
                <w:szCs w:val="24"/>
              </w:rPr>
            </w:pPr>
            <w:r>
              <w:rPr>
                <w:rFonts w:hint="default" w:ascii="Calibri" w:hAnsi="Calibri" w:cs="Times New Roman"/>
                <w:sz w:val="24"/>
                <w:szCs w:val="24"/>
              </w:rPr>
              <w:t>项目营运期废气主要为粉尘和爆破废气，主要来源于凿岩钻孔、铲装、运输、加工场破碎筛分以及堆土场等。</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Calibri" w:hAnsi="Calibri" w:cs="Times New Roman"/>
                <w:sz w:val="24"/>
                <w:szCs w:val="24"/>
              </w:rPr>
            </w:pPr>
            <w:r>
              <w:rPr>
                <w:rFonts w:hint="eastAsia" w:ascii="Calibri" w:hAnsi="Calibri" w:cs="Times New Roman"/>
                <w:sz w:val="24"/>
                <w:szCs w:val="24"/>
                <w:lang w:eastAsia="zh-CN"/>
              </w:rPr>
              <w:t>（</w:t>
            </w:r>
            <w:r>
              <w:rPr>
                <w:rFonts w:hint="eastAsia" w:ascii="Calibri" w:hAnsi="Calibri" w:cs="Times New Roman"/>
                <w:sz w:val="24"/>
                <w:szCs w:val="24"/>
                <w:lang w:val="en-US" w:eastAsia="zh-CN"/>
              </w:rPr>
              <w:t>1</w:t>
            </w:r>
            <w:r>
              <w:rPr>
                <w:rFonts w:hint="eastAsia" w:ascii="Calibri" w:hAnsi="Calibri" w:cs="Times New Roman"/>
                <w:sz w:val="24"/>
                <w:szCs w:val="24"/>
                <w:lang w:eastAsia="zh-CN"/>
              </w:rPr>
              <w:t>）</w:t>
            </w:r>
            <w:r>
              <w:rPr>
                <w:rFonts w:hint="default" w:ascii="Calibri" w:hAnsi="Calibri" w:cs="Times New Roman"/>
                <w:sz w:val="24"/>
                <w:szCs w:val="24"/>
              </w:rPr>
              <w:t>爆破废气</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Calibri" w:hAnsi="Calibri" w:cs="Times New Roman"/>
                <w:sz w:val="24"/>
                <w:szCs w:val="24"/>
              </w:rPr>
            </w:pPr>
            <w:r>
              <w:rPr>
                <w:rFonts w:hint="default" w:ascii="Calibri" w:hAnsi="Calibri" w:cs="Times New Roman"/>
                <w:sz w:val="24"/>
                <w:szCs w:val="24"/>
              </w:rPr>
              <w:t>为减少爆破粉尘对周边环境的影响，项目矿山开采爆破采用炮泥填充炮孔，</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default" w:ascii="Calibri" w:hAnsi="Calibri" w:cs="Times New Roman"/>
                <w:sz w:val="24"/>
                <w:szCs w:val="24"/>
              </w:rPr>
            </w:pPr>
            <w:r>
              <w:rPr>
                <w:rFonts w:hint="default" w:ascii="Calibri" w:hAnsi="Calibri" w:cs="Times New Roman"/>
                <w:sz w:val="24"/>
                <w:szCs w:val="24"/>
              </w:rPr>
              <w:t>爆破前、爆破后对爆破现场采取及时洒水、不间断向各工作面喷淋等降尘措施，</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default" w:ascii="Calibri" w:hAnsi="Calibri" w:cs="Times New Roman"/>
                <w:sz w:val="24"/>
                <w:szCs w:val="24"/>
              </w:rPr>
            </w:pPr>
            <w:r>
              <w:rPr>
                <w:rFonts w:hint="default" w:ascii="Calibri" w:hAnsi="Calibri" w:cs="Times New Roman"/>
                <w:sz w:val="24"/>
                <w:szCs w:val="24"/>
              </w:rPr>
              <w:t>可大大降低了爆破粉尘的影响范围。</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Calibri" w:hAnsi="Calibri" w:cs="Times New Roman"/>
                <w:sz w:val="24"/>
                <w:szCs w:val="24"/>
              </w:rPr>
            </w:pPr>
            <w:r>
              <w:rPr>
                <w:rFonts w:hint="default" w:ascii="Calibri" w:hAnsi="Calibri" w:cs="Times New Roman"/>
                <w:sz w:val="24"/>
                <w:szCs w:val="24"/>
              </w:rPr>
              <w:t>（2）凿岩打孔过程粉尘</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Calibri" w:hAnsi="Calibri" w:cs="Times New Roman"/>
                <w:sz w:val="24"/>
                <w:szCs w:val="24"/>
              </w:rPr>
            </w:pPr>
            <w:r>
              <w:rPr>
                <w:rFonts w:hint="default" w:ascii="Calibri" w:hAnsi="Calibri" w:cs="Times New Roman"/>
                <w:sz w:val="24"/>
                <w:szCs w:val="24"/>
              </w:rPr>
              <w:t>项目矿山开采凿岩打孔过程采用湿式凿岩钻孔方法，同时配置湿式除尘系统不间断向各工作面喷淋抑尘，可大大降低了粉尘的产生浓度和影响范围。</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Calibri" w:hAnsi="Calibri" w:cs="Times New Roman"/>
                <w:sz w:val="24"/>
                <w:szCs w:val="24"/>
              </w:rPr>
            </w:pPr>
            <w:r>
              <w:rPr>
                <w:rFonts w:hint="default" w:ascii="Calibri" w:hAnsi="Calibri" w:cs="Times New Roman"/>
                <w:sz w:val="24"/>
                <w:szCs w:val="24"/>
              </w:rPr>
              <w:t>（3）矿石铲装粉尘</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Calibri" w:hAnsi="Calibri" w:cs="Times New Roman"/>
                <w:sz w:val="24"/>
                <w:szCs w:val="24"/>
              </w:rPr>
            </w:pPr>
            <w:r>
              <w:rPr>
                <w:rFonts w:hint="default" w:ascii="Calibri" w:hAnsi="Calibri" w:cs="Times New Roman"/>
                <w:sz w:val="24"/>
                <w:szCs w:val="24"/>
              </w:rPr>
              <w:t>项目采取洒水增加湿度，并配备喷淋系统对作业区进行喷雾的方式减少粉尘的产生。矿石开采后需采用装载机装车运输至加工区后续加工，装载机装车时将产生粉尘。项目矿区在各工作面采取加强洒水喷淋，铲装过程勤于洒水抑尘等措施降低铲装粉尘的排放量。</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Calibri" w:hAnsi="Calibri" w:cs="Times New Roman"/>
                <w:sz w:val="24"/>
                <w:szCs w:val="24"/>
              </w:rPr>
            </w:pPr>
            <w:r>
              <w:rPr>
                <w:rFonts w:hint="default" w:ascii="Calibri" w:hAnsi="Calibri" w:cs="Times New Roman"/>
                <w:sz w:val="24"/>
                <w:szCs w:val="24"/>
              </w:rPr>
              <w:t>（4）运输扬尘</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Calibri" w:hAnsi="Calibri" w:cs="Times New Roman"/>
                <w:sz w:val="24"/>
                <w:szCs w:val="24"/>
              </w:rPr>
            </w:pPr>
            <w:r>
              <w:rPr>
                <w:rFonts w:hint="default" w:ascii="Calibri" w:hAnsi="Calibri" w:cs="Times New Roman"/>
                <w:sz w:val="24"/>
                <w:szCs w:val="24"/>
              </w:rPr>
              <w:t>项目矿区内转运矿山采用自卸式载重汽车运输，运输过程产生运输扬尘。项目你采取矿区道路水泥硬化，定期洒水，长期保持道路的湿度，并不间断清扫保洁，在矿体表面洒水等措施降低运输扬尘的产生。</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Calibri" w:hAnsi="Calibri" w:cs="Times New Roman"/>
                <w:sz w:val="24"/>
                <w:szCs w:val="24"/>
              </w:rPr>
            </w:pPr>
            <w:r>
              <w:rPr>
                <w:rFonts w:hint="default" w:ascii="Calibri" w:hAnsi="Calibri" w:cs="Times New Roman"/>
                <w:sz w:val="24"/>
                <w:szCs w:val="24"/>
              </w:rPr>
              <w:t>（5）破碎、筛分、物料传输粉尘</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Calibri" w:hAnsi="Calibri" w:cs="Times New Roman"/>
                <w:sz w:val="24"/>
                <w:szCs w:val="24"/>
              </w:rPr>
            </w:pPr>
            <w:r>
              <w:rPr>
                <w:rFonts w:hint="default" w:ascii="Calibri" w:hAnsi="Calibri" w:cs="Times New Roman"/>
                <w:sz w:val="24"/>
                <w:szCs w:val="24"/>
              </w:rPr>
              <w:t>项目生产过程中需对较大块状的矿石进行一次破碎、二次破碎、筛分、矿石传输等工序，最后得到粒径较小的建筑用石料产品，过程产生破碎、筛分、物料输送粉尘。项目皮带运输均采用全封闭处理，且均设置在全封闭加工厂房内，不受外环境风力起尘影响；项目破碎机和筛分机均置于密闭厂房内，采用负压装置集气罩收尘，通过</w:t>
            </w:r>
            <w:r>
              <w:rPr>
                <w:rFonts w:hint="eastAsia" w:ascii="Calibri" w:hAnsi="Calibri" w:cs="Times New Roman"/>
                <w:sz w:val="24"/>
                <w:szCs w:val="24"/>
                <w:lang w:val="en-US" w:eastAsia="zh-CN"/>
              </w:rPr>
              <w:t>1#</w:t>
            </w:r>
            <w:r>
              <w:rPr>
                <w:rFonts w:hint="default" w:ascii="Calibri" w:hAnsi="Calibri" w:cs="Times New Roman"/>
                <w:sz w:val="24"/>
                <w:szCs w:val="24"/>
              </w:rPr>
              <w:t>脉冲式布袋除尘器进行粉尘收集处理后由高15m的排气筒</w:t>
            </w:r>
            <w:r>
              <w:rPr>
                <w:rFonts w:hint="eastAsia" w:ascii="Calibri" w:hAnsi="Calibri" w:cs="Times New Roman"/>
                <w:sz w:val="24"/>
                <w:szCs w:val="24"/>
                <w:lang w:val="en-US" w:eastAsia="zh-CN"/>
              </w:rPr>
              <w:t>DA001</w:t>
            </w:r>
            <w:r>
              <w:rPr>
                <w:rFonts w:hint="default" w:ascii="Calibri" w:hAnsi="Calibri" w:cs="Times New Roman"/>
                <w:sz w:val="24"/>
                <w:szCs w:val="24"/>
              </w:rPr>
              <w:t>排放。同时，在进料口、破碎机和筛分机出料口分别安装雾化喷淋头，减少粉尘产生。</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Calibri" w:hAnsi="Calibri" w:cs="Times New Roman"/>
                <w:sz w:val="24"/>
                <w:szCs w:val="24"/>
              </w:rPr>
            </w:pPr>
            <w:r>
              <w:rPr>
                <w:rFonts w:hint="default" w:ascii="Calibri" w:hAnsi="Calibri" w:cs="Times New Roman"/>
                <w:sz w:val="24"/>
                <w:szCs w:val="24"/>
              </w:rPr>
              <w:t>（6）制砂粉尘</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Calibri" w:hAnsi="Calibri" w:cs="Times New Roman"/>
                <w:sz w:val="24"/>
                <w:szCs w:val="24"/>
              </w:rPr>
            </w:pPr>
            <w:r>
              <w:rPr>
                <w:rFonts w:hint="default" w:ascii="Calibri" w:hAnsi="Calibri" w:cs="Times New Roman"/>
                <w:sz w:val="24"/>
                <w:szCs w:val="24"/>
              </w:rPr>
              <w:t>制砂生产线布置在封闭钢结构厂房内，厂房地面全部进行硬化，进料口安装洒水喷淋装置，制砂机和振动筛、皮带输送机进出口均布设雾化喷淋设施，制砂机和振动筛置于密闭区内，采用负压装置集气罩收尘，通过</w:t>
            </w:r>
            <w:r>
              <w:rPr>
                <w:rFonts w:hint="eastAsia" w:ascii="Calibri" w:hAnsi="Calibri" w:cs="Times New Roman"/>
                <w:sz w:val="24"/>
                <w:szCs w:val="24"/>
                <w:lang w:val="en-US" w:eastAsia="zh-CN"/>
              </w:rPr>
              <w:t>2#脉冲</w:t>
            </w:r>
            <w:r>
              <w:rPr>
                <w:rFonts w:hint="default" w:ascii="Calibri" w:hAnsi="Calibri" w:cs="Times New Roman"/>
                <w:sz w:val="24"/>
                <w:szCs w:val="24"/>
              </w:rPr>
              <w:t>布袋除尘器处理后由高15m的排气筒</w:t>
            </w:r>
            <w:r>
              <w:rPr>
                <w:rFonts w:hint="eastAsia" w:ascii="Calibri" w:hAnsi="Calibri" w:cs="Times New Roman"/>
                <w:sz w:val="24"/>
                <w:szCs w:val="24"/>
                <w:lang w:val="en-US" w:eastAsia="zh-CN"/>
              </w:rPr>
              <w:t>DA002</w:t>
            </w:r>
            <w:r>
              <w:rPr>
                <w:rFonts w:hint="default" w:ascii="Calibri" w:hAnsi="Calibri" w:cs="Times New Roman"/>
                <w:sz w:val="24"/>
                <w:szCs w:val="24"/>
              </w:rPr>
              <w:t>排放。</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Calibri" w:hAnsi="Calibri" w:cs="Times New Roman"/>
                <w:sz w:val="24"/>
                <w:szCs w:val="24"/>
              </w:rPr>
            </w:pPr>
            <w:r>
              <w:rPr>
                <w:rFonts w:hint="default" w:ascii="Calibri" w:hAnsi="Calibri" w:cs="Times New Roman"/>
                <w:sz w:val="24"/>
                <w:szCs w:val="24"/>
              </w:rPr>
              <w:t>（7）堆放扬尘矿石堆场采取封闭式厂房配置，经过破碎、筛分达到规格后的产品均贮存于成品筒仓内，成品采用筒仓贮存方式，减少扬尘产生。在厂房顶部设置喷淋装置，物料装车后及时用篷布遮盖等措施减少</w:t>
            </w:r>
            <w:r>
              <w:rPr>
                <w:rFonts w:hint="eastAsia" w:ascii="Calibri" w:hAnsi="Calibri" w:cs="Times New Roman"/>
                <w:sz w:val="24"/>
                <w:szCs w:val="24"/>
                <w:lang w:eastAsia="zh-CN"/>
              </w:rPr>
              <w:t>成品中转堆场</w:t>
            </w:r>
            <w:r>
              <w:rPr>
                <w:rFonts w:hint="default" w:ascii="Calibri" w:hAnsi="Calibri" w:cs="Times New Roman"/>
                <w:sz w:val="24"/>
                <w:szCs w:val="24"/>
              </w:rPr>
              <w:t>粉尘逸出量。</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Calibri" w:hAnsi="Calibri" w:cs="Times New Roman"/>
                <w:sz w:val="24"/>
                <w:szCs w:val="24"/>
              </w:rPr>
            </w:pPr>
            <w:r>
              <w:rPr>
                <w:rFonts w:hint="default" w:ascii="Calibri" w:hAnsi="Calibri" w:cs="Times New Roman"/>
                <w:sz w:val="24"/>
                <w:szCs w:val="24"/>
              </w:rPr>
              <w:t>（8）堆土场风蚀扬尘</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Calibri" w:hAnsi="Calibri" w:cs="Times New Roman"/>
                <w:sz w:val="24"/>
                <w:szCs w:val="24"/>
              </w:rPr>
            </w:pPr>
            <w:r>
              <w:rPr>
                <w:rFonts w:hint="default" w:ascii="Calibri" w:hAnsi="Calibri" w:cs="Times New Roman"/>
                <w:sz w:val="24"/>
                <w:szCs w:val="24"/>
              </w:rPr>
              <w:t>堆土场用于储存剥离的废石及表土，在堆放过程中由于风力和动力的作用堆土场将产生风力扬尘。项目拟对堆土场采取及时覆盖、表土区及时播撒草种等方式，稳固表层浮土，减少堆土场的扬尘量。废气防治措施可行性分析：本项目废气污染治理设施为布袋除尘器和雾化喷淋系统，为污染防治可行技术指南中的可行技术。</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2" w:firstLineChars="200"/>
              <w:textAlignment w:val="auto"/>
              <w:rPr>
                <w:rFonts w:hint="default" w:ascii="Calibri" w:hAnsi="Calibri" w:cs="Times New Roman"/>
                <w:b/>
                <w:bCs/>
                <w:sz w:val="24"/>
                <w:szCs w:val="24"/>
              </w:rPr>
            </w:pPr>
            <w:r>
              <w:rPr>
                <w:rFonts w:hint="default" w:ascii="Calibri" w:hAnsi="Calibri" w:cs="Times New Roman"/>
                <w:b/>
                <w:bCs/>
                <w:sz w:val="24"/>
                <w:szCs w:val="24"/>
              </w:rPr>
              <w:t>2、地表水</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Calibri" w:hAnsi="Calibri" w:cs="Times New Roman"/>
                <w:sz w:val="24"/>
                <w:szCs w:val="24"/>
              </w:rPr>
            </w:pPr>
            <w:r>
              <w:rPr>
                <w:rFonts w:hint="default" w:ascii="Calibri" w:hAnsi="Calibri" w:cs="Times New Roman"/>
                <w:sz w:val="24"/>
                <w:szCs w:val="24"/>
              </w:rPr>
              <w:t>本项目用水主要为穿孔冷却水、抑尘用水、车辆清洗用水、初期雨水及生活用水。主要废水为车辆清洗水、初期雨水以及生活污水。</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Calibri" w:hAnsi="Calibri" w:cs="Times New Roman"/>
                <w:sz w:val="24"/>
                <w:szCs w:val="24"/>
              </w:rPr>
            </w:pPr>
            <w:r>
              <w:rPr>
                <w:rFonts w:hint="default" w:ascii="Calibri" w:hAnsi="Calibri" w:cs="Times New Roman"/>
                <w:sz w:val="24"/>
                <w:szCs w:val="24"/>
              </w:rPr>
              <w:t>车辆清洗废水经沉淀池沉淀处理后回用于车辆清洗，不外排。工业广场初期雨水经工业广场初期雨水沉淀池沉淀后回用于洒水抑尘，不外排。开采区初期雨水经开采区初期雨水沉淀池沉淀后回用于洒水抑尘，不外排。生活污水经化粪池处理后委托当地农民清运用作农肥，不外排。项目各类废水经处理后全部回用或综合利用，不外排，对外环境影响不大。</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2" w:firstLineChars="200"/>
              <w:textAlignment w:val="auto"/>
              <w:rPr>
                <w:rFonts w:hint="default" w:ascii="Calibri" w:hAnsi="Calibri" w:cs="Times New Roman"/>
                <w:b/>
                <w:bCs/>
                <w:sz w:val="24"/>
                <w:szCs w:val="24"/>
              </w:rPr>
            </w:pPr>
            <w:r>
              <w:rPr>
                <w:rFonts w:hint="default" w:ascii="Calibri" w:hAnsi="Calibri" w:cs="Times New Roman"/>
                <w:b/>
                <w:bCs/>
                <w:sz w:val="24"/>
                <w:szCs w:val="24"/>
              </w:rPr>
              <w:t>3、噪声</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Calibri" w:hAnsi="Calibri" w:eastAsia="宋体" w:cs="Times New Roman"/>
                <w:sz w:val="24"/>
                <w:szCs w:val="24"/>
                <w:lang w:val="en-US" w:eastAsia="zh-CN"/>
              </w:rPr>
            </w:pPr>
            <w:r>
              <w:rPr>
                <w:rFonts w:hint="default" w:ascii="Calibri" w:hAnsi="Calibri" w:cs="Times New Roman"/>
                <w:sz w:val="24"/>
                <w:szCs w:val="24"/>
              </w:rPr>
              <w:t>营运期噪声主要包括设备噪声和爆破噪声。主要噪声源及采取的防治措施</w:t>
            </w:r>
            <w:r>
              <w:rPr>
                <w:rFonts w:hint="eastAsia" w:ascii="Calibri" w:hAnsi="Calibri" w:cs="Times New Roman"/>
                <w:sz w:val="24"/>
                <w:szCs w:val="24"/>
                <w:lang w:val="en-US" w:eastAsia="zh-CN"/>
              </w:rPr>
              <w:t>生产设备需安装隔声罩、连接处使用柔性材料、车间隔声并加强车间管理；爆破噪声合理设置装药量，不过量装药，适当增加最小抵抗线，夜间禁止爆破。</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2" w:firstLineChars="200"/>
              <w:textAlignment w:val="auto"/>
              <w:rPr>
                <w:rFonts w:hint="default" w:ascii="Calibri" w:hAnsi="Calibri" w:cs="Times New Roman"/>
                <w:b/>
                <w:bCs/>
                <w:sz w:val="24"/>
                <w:szCs w:val="24"/>
              </w:rPr>
            </w:pPr>
            <w:r>
              <w:rPr>
                <w:rFonts w:hint="default" w:ascii="Calibri" w:hAnsi="Calibri" w:cs="Times New Roman"/>
                <w:b/>
                <w:bCs/>
                <w:sz w:val="24"/>
                <w:szCs w:val="24"/>
              </w:rPr>
              <w:t>4、固体废物</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Calibri" w:hAnsi="Calibri" w:cs="Times New Roman"/>
                <w:sz w:val="24"/>
                <w:szCs w:val="24"/>
              </w:rPr>
            </w:pPr>
            <w:r>
              <w:rPr>
                <w:rFonts w:hint="default" w:ascii="Calibri" w:hAnsi="Calibri" w:cs="Times New Roman"/>
                <w:sz w:val="24"/>
                <w:szCs w:val="24"/>
              </w:rPr>
              <w:t>本项目生产固废主要产生在采剥过程，其特点是数量大，无毒无害。主要类型为表层植被、开采表土等。此外还有布袋除尘系统收集的粉尘、沉淀池沉渣、废泥渣、生活垃圾、废机油等。固体废物处置措施如下表所示：</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Calibri" w:hAnsi="Calibri" w:eastAsia="宋体" w:cs="Times New Roman"/>
                <w:b/>
                <w:bCs/>
                <w:sz w:val="21"/>
                <w:szCs w:val="21"/>
                <w:lang w:val="en-US" w:eastAsia="zh-CN"/>
              </w:rPr>
            </w:pPr>
            <w:r>
              <w:rPr>
                <w:rFonts w:hint="eastAsia" w:ascii="Calibri" w:hAnsi="Calibri" w:cs="Times New Roman"/>
                <w:b/>
                <w:bCs/>
                <w:sz w:val="21"/>
                <w:szCs w:val="21"/>
                <w:lang w:val="en-US" w:eastAsia="zh-CN"/>
              </w:rPr>
              <w:t xml:space="preserve">表5-1 </w:t>
            </w:r>
            <w:r>
              <w:rPr>
                <w:rFonts w:hint="default" w:ascii="Calibri" w:hAnsi="Calibri" w:cs="Times New Roman"/>
                <w:b/>
                <w:bCs/>
                <w:sz w:val="21"/>
                <w:szCs w:val="21"/>
              </w:rPr>
              <w:t>固体废物处置措施</w:t>
            </w:r>
            <w:r>
              <w:rPr>
                <w:rFonts w:hint="eastAsia" w:ascii="Calibri" w:hAnsi="Calibri" w:cs="Times New Roman"/>
                <w:b/>
                <w:bCs/>
                <w:sz w:val="21"/>
                <w:szCs w:val="21"/>
                <w:lang w:val="en-US" w:eastAsia="zh-CN"/>
              </w:rPr>
              <w:t>表</w:t>
            </w:r>
          </w:p>
          <w:tbl>
            <w:tblPr>
              <w:tblStyle w:val="22"/>
              <w:tblW w:w="947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58"/>
              <w:gridCol w:w="3159"/>
              <w:gridCol w:w="31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3158" w:type="dxa"/>
                  <w:vAlign w:val="center"/>
                </w:tcPr>
                <w:p>
                  <w:pPr>
                    <w:keepNext w:val="0"/>
                    <w:keepLines w:val="0"/>
                    <w:suppressLineNumbers w:val="0"/>
                    <w:spacing w:before="0" w:beforeAutospacing="0" w:after="0" w:afterAutospacing="0"/>
                    <w:ind w:left="0" w:right="0"/>
                    <w:jc w:val="center"/>
                    <w:rPr>
                      <w:rFonts w:hint="default"/>
                      <w:b/>
                      <w:bCs/>
                    </w:rPr>
                  </w:pPr>
                  <w:r>
                    <w:rPr>
                      <w:rFonts w:hint="default"/>
                      <w:b/>
                      <w:bCs/>
                    </w:rPr>
                    <w:t>固废名称</w:t>
                  </w:r>
                </w:p>
              </w:tc>
              <w:tc>
                <w:tcPr>
                  <w:tcW w:w="3159" w:type="dxa"/>
                  <w:vAlign w:val="center"/>
                </w:tcPr>
                <w:p>
                  <w:pPr>
                    <w:keepNext w:val="0"/>
                    <w:keepLines w:val="0"/>
                    <w:suppressLineNumbers w:val="0"/>
                    <w:spacing w:before="0" w:beforeAutospacing="0" w:after="0" w:afterAutospacing="0"/>
                    <w:ind w:left="0" w:right="0"/>
                    <w:jc w:val="center"/>
                    <w:rPr>
                      <w:rFonts w:hint="default"/>
                      <w:b/>
                      <w:bCs/>
                    </w:rPr>
                  </w:pPr>
                  <w:r>
                    <w:rPr>
                      <w:rFonts w:hint="default"/>
                      <w:b/>
                      <w:bCs/>
                    </w:rPr>
                    <w:t>类别</w:t>
                  </w:r>
                </w:p>
              </w:tc>
              <w:tc>
                <w:tcPr>
                  <w:tcW w:w="3159" w:type="dxa"/>
                  <w:vAlign w:val="center"/>
                </w:tcPr>
                <w:p>
                  <w:pPr>
                    <w:keepNext w:val="0"/>
                    <w:keepLines w:val="0"/>
                    <w:suppressLineNumbers w:val="0"/>
                    <w:spacing w:before="0" w:beforeAutospacing="0" w:after="0" w:afterAutospacing="0"/>
                    <w:ind w:left="0" w:right="0"/>
                    <w:jc w:val="center"/>
                    <w:rPr>
                      <w:rFonts w:hint="default"/>
                      <w:b/>
                      <w:bCs/>
                    </w:rPr>
                  </w:pPr>
                  <w:r>
                    <w:rPr>
                      <w:rFonts w:hint="default"/>
                      <w:b/>
                      <w:bCs/>
                    </w:rPr>
                    <w:t>处置措施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158" w:type="dxa"/>
                  <w:vAlign w:val="center"/>
                </w:tcPr>
                <w:p>
                  <w:pPr>
                    <w:keepNext w:val="0"/>
                    <w:keepLines w:val="0"/>
                    <w:suppressLineNumbers w:val="0"/>
                    <w:spacing w:before="0" w:beforeAutospacing="0" w:after="0" w:afterAutospacing="0"/>
                    <w:ind w:left="0" w:right="0"/>
                    <w:jc w:val="center"/>
                    <w:rPr>
                      <w:rFonts w:hint="default"/>
                      <w:lang w:val="en-US" w:eastAsia="zh-CN"/>
                    </w:rPr>
                  </w:pPr>
                  <w:r>
                    <w:rPr>
                      <w:rFonts w:hint="eastAsia"/>
                      <w:lang w:val="en-US" w:eastAsia="zh-CN"/>
                    </w:rPr>
                    <w:t>剥离表土</w:t>
                  </w:r>
                </w:p>
              </w:tc>
              <w:tc>
                <w:tcPr>
                  <w:tcW w:w="3159" w:type="dxa"/>
                  <w:vMerge w:val="restart"/>
                  <w:vAlign w:val="center"/>
                </w:tcPr>
                <w:p>
                  <w:pPr>
                    <w:keepNext w:val="0"/>
                    <w:keepLines w:val="0"/>
                    <w:suppressLineNumbers w:val="0"/>
                    <w:spacing w:before="0" w:beforeAutospacing="0" w:after="0" w:afterAutospacing="0"/>
                    <w:ind w:left="0" w:right="0"/>
                    <w:jc w:val="center"/>
                    <w:rPr>
                      <w:rFonts w:hint="default" w:eastAsia="宋体"/>
                      <w:lang w:val="en-US" w:eastAsia="zh-CN"/>
                    </w:rPr>
                  </w:pPr>
                  <w:r>
                    <w:rPr>
                      <w:rFonts w:hint="eastAsia"/>
                      <w:lang w:val="en-US" w:eastAsia="zh-CN"/>
                    </w:rPr>
                    <w:t>一般固体废物</w:t>
                  </w:r>
                </w:p>
              </w:tc>
              <w:tc>
                <w:tcPr>
                  <w:tcW w:w="3159" w:type="dxa"/>
                  <w:vAlign w:val="center"/>
                </w:tcPr>
                <w:p>
                  <w:pPr>
                    <w:keepNext w:val="0"/>
                    <w:keepLines w:val="0"/>
                    <w:suppressLineNumbers w:val="0"/>
                    <w:spacing w:before="0" w:beforeAutospacing="0" w:after="0" w:afterAutospacing="0" w:line="240" w:lineRule="auto"/>
                    <w:ind w:left="0" w:leftChars="0" w:right="0" w:rightChars="0"/>
                    <w:jc w:val="center"/>
                    <w:rPr>
                      <w:rFonts w:hint="default"/>
                    </w:rPr>
                  </w:pPr>
                  <w:r>
                    <w:rPr>
                      <w:rFonts w:hint="eastAsia" w:cs="Times New Roman"/>
                      <w:lang w:val="en-US" w:eastAsia="zh-CN"/>
                    </w:rPr>
                    <w:t>新增表土堆场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158" w:type="dxa"/>
                  <w:vAlign w:val="center"/>
                </w:tcPr>
                <w:p>
                  <w:pPr>
                    <w:keepNext w:val="0"/>
                    <w:keepLines w:val="0"/>
                    <w:suppressLineNumbers w:val="0"/>
                    <w:spacing w:before="0" w:beforeAutospacing="0" w:after="0" w:afterAutospacing="0"/>
                    <w:ind w:left="0" w:right="0"/>
                    <w:jc w:val="center"/>
                    <w:rPr>
                      <w:rFonts w:hint="default"/>
                    </w:rPr>
                  </w:pPr>
                  <w:r>
                    <w:rPr>
                      <w:rFonts w:hint="default"/>
                    </w:rPr>
                    <w:t>开采剥离废</w:t>
                  </w:r>
                </w:p>
                <w:p>
                  <w:pPr>
                    <w:keepNext w:val="0"/>
                    <w:keepLines w:val="0"/>
                    <w:suppressLineNumbers w:val="0"/>
                    <w:spacing w:before="0" w:beforeAutospacing="0" w:after="0" w:afterAutospacing="0"/>
                    <w:ind w:left="0" w:right="0"/>
                    <w:jc w:val="center"/>
                    <w:rPr>
                      <w:rFonts w:hint="default"/>
                    </w:rPr>
                  </w:pPr>
                  <w:r>
                    <w:rPr>
                      <w:rFonts w:hint="default"/>
                    </w:rPr>
                    <w:t>土石</w:t>
                  </w:r>
                </w:p>
              </w:tc>
              <w:tc>
                <w:tcPr>
                  <w:tcW w:w="3159" w:type="dxa"/>
                  <w:vMerge w:val="continue"/>
                  <w:vAlign w:val="center"/>
                </w:tcPr>
                <w:p>
                  <w:pPr>
                    <w:keepNext w:val="0"/>
                    <w:keepLines w:val="0"/>
                    <w:suppressLineNumbers w:val="0"/>
                    <w:spacing w:before="0" w:beforeAutospacing="0" w:after="0" w:afterAutospacing="0"/>
                    <w:ind w:left="0" w:right="0"/>
                    <w:jc w:val="center"/>
                    <w:rPr>
                      <w:rFonts w:hint="default"/>
                    </w:rPr>
                  </w:pPr>
                </w:p>
              </w:tc>
              <w:tc>
                <w:tcPr>
                  <w:tcW w:w="3159" w:type="dxa"/>
                  <w:vAlign w:val="center"/>
                </w:tcPr>
                <w:p>
                  <w:pPr>
                    <w:keepNext w:val="0"/>
                    <w:keepLines w:val="0"/>
                    <w:suppressLineNumbers w:val="0"/>
                    <w:spacing w:before="0" w:beforeAutospacing="0" w:after="0" w:afterAutospacing="0" w:line="240" w:lineRule="auto"/>
                    <w:ind w:left="0" w:leftChars="0" w:right="0" w:rightChars="0"/>
                    <w:jc w:val="center"/>
                    <w:rPr>
                      <w:rFonts w:hint="default"/>
                    </w:rPr>
                  </w:pPr>
                  <w:r>
                    <w:rPr>
                      <w:rFonts w:ascii="Times New Roman" w:hAnsi="Times New Roman" w:cs="Times New Roman"/>
                    </w:rPr>
                    <w:t>堆存于矿山的堆土场内（露采坑内），作为矿区回填复垦使用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158" w:type="dxa"/>
                  <w:vAlign w:val="center"/>
                </w:tcPr>
                <w:p>
                  <w:pPr>
                    <w:keepNext w:val="0"/>
                    <w:keepLines w:val="0"/>
                    <w:suppressLineNumbers w:val="0"/>
                    <w:spacing w:before="0" w:beforeAutospacing="0" w:after="0" w:afterAutospacing="0"/>
                    <w:ind w:left="0" w:right="0"/>
                    <w:jc w:val="center"/>
                    <w:rPr>
                      <w:rFonts w:hint="default"/>
                    </w:rPr>
                  </w:pPr>
                  <w:r>
                    <w:rPr>
                      <w:rFonts w:hint="default"/>
                    </w:rPr>
                    <w:t>沉淀池沉渣</w:t>
                  </w:r>
                </w:p>
              </w:tc>
              <w:tc>
                <w:tcPr>
                  <w:tcW w:w="3159" w:type="dxa"/>
                  <w:vMerge w:val="continue"/>
                  <w:vAlign w:val="center"/>
                </w:tcPr>
                <w:p>
                  <w:pPr>
                    <w:keepNext w:val="0"/>
                    <w:keepLines w:val="0"/>
                    <w:suppressLineNumbers w:val="0"/>
                    <w:spacing w:before="0" w:beforeAutospacing="0" w:after="0" w:afterAutospacing="0"/>
                    <w:ind w:left="0" w:right="0"/>
                    <w:jc w:val="center"/>
                    <w:rPr>
                      <w:rFonts w:hint="default"/>
                    </w:rPr>
                  </w:pPr>
                </w:p>
              </w:tc>
              <w:tc>
                <w:tcPr>
                  <w:tcW w:w="3159" w:type="dxa"/>
                  <w:vAlign w:val="center"/>
                </w:tcPr>
                <w:p>
                  <w:pPr>
                    <w:keepNext w:val="0"/>
                    <w:keepLines w:val="0"/>
                    <w:suppressLineNumbers w:val="0"/>
                    <w:spacing w:before="0" w:beforeAutospacing="0" w:after="0" w:afterAutospacing="0" w:line="240" w:lineRule="auto"/>
                    <w:ind w:left="0" w:leftChars="0" w:right="0" w:rightChars="0"/>
                    <w:jc w:val="center"/>
                    <w:rPr>
                      <w:rFonts w:hint="default"/>
                    </w:rPr>
                  </w:pPr>
                  <w:r>
                    <w:rPr>
                      <w:rFonts w:ascii="Times New Roman" w:hAnsi="Times New Roman" w:cs="Times New Roman"/>
                    </w:rPr>
                    <w:t>经定期清理后送堆土场堆存，与剥离表土一起作为矿区回填复垦使用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158" w:type="dxa"/>
                  <w:vAlign w:val="center"/>
                </w:tcPr>
                <w:p>
                  <w:pPr>
                    <w:keepNext w:val="0"/>
                    <w:keepLines w:val="0"/>
                    <w:suppressLineNumbers w:val="0"/>
                    <w:spacing w:before="0" w:beforeAutospacing="0" w:after="0" w:afterAutospacing="0"/>
                    <w:ind w:left="0" w:right="0"/>
                    <w:jc w:val="center"/>
                    <w:rPr>
                      <w:rFonts w:hint="default"/>
                    </w:rPr>
                  </w:pPr>
                  <w:r>
                    <w:rPr>
                      <w:rFonts w:hint="default"/>
                    </w:rPr>
                    <w:t>除尘器收集</w:t>
                  </w:r>
                </w:p>
                <w:p>
                  <w:pPr>
                    <w:keepNext w:val="0"/>
                    <w:keepLines w:val="0"/>
                    <w:suppressLineNumbers w:val="0"/>
                    <w:spacing w:before="0" w:beforeAutospacing="0" w:after="0" w:afterAutospacing="0"/>
                    <w:ind w:left="0" w:right="0"/>
                    <w:jc w:val="center"/>
                    <w:rPr>
                      <w:rFonts w:hint="default"/>
                    </w:rPr>
                  </w:pPr>
                  <w:r>
                    <w:rPr>
                      <w:rFonts w:hint="default"/>
                    </w:rPr>
                    <w:t>的粉尘</w:t>
                  </w:r>
                </w:p>
              </w:tc>
              <w:tc>
                <w:tcPr>
                  <w:tcW w:w="3159" w:type="dxa"/>
                  <w:vMerge w:val="continue"/>
                  <w:vAlign w:val="center"/>
                </w:tcPr>
                <w:p>
                  <w:pPr>
                    <w:keepNext w:val="0"/>
                    <w:keepLines w:val="0"/>
                    <w:suppressLineNumbers w:val="0"/>
                    <w:spacing w:before="0" w:beforeAutospacing="0" w:after="0" w:afterAutospacing="0"/>
                    <w:ind w:left="0" w:right="0"/>
                    <w:jc w:val="center"/>
                    <w:rPr>
                      <w:rFonts w:hint="default"/>
                    </w:rPr>
                  </w:pPr>
                </w:p>
              </w:tc>
              <w:tc>
                <w:tcPr>
                  <w:tcW w:w="3159" w:type="dxa"/>
                  <w:vAlign w:val="center"/>
                </w:tcPr>
                <w:p>
                  <w:pPr>
                    <w:keepNext w:val="0"/>
                    <w:keepLines w:val="0"/>
                    <w:suppressLineNumbers w:val="0"/>
                    <w:spacing w:before="0" w:beforeAutospacing="0" w:after="0" w:afterAutospacing="0" w:line="240" w:lineRule="auto"/>
                    <w:ind w:left="0" w:leftChars="0" w:right="0" w:rightChars="0"/>
                    <w:jc w:val="center"/>
                    <w:rPr>
                      <w:rFonts w:hint="default"/>
                    </w:rPr>
                  </w:pPr>
                  <w:r>
                    <w:rPr>
                      <w:rFonts w:ascii="Times New Roman" w:hAnsi="Times New Roman" w:cs="Times New Roman"/>
                    </w:rPr>
                    <w:t>收集后作为石粉外售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158" w:type="dxa"/>
                  <w:vAlign w:val="center"/>
                </w:tcPr>
                <w:p>
                  <w:pPr>
                    <w:keepNext w:val="0"/>
                    <w:keepLines w:val="0"/>
                    <w:suppressLineNumbers w:val="0"/>
                    <w:spacing w:before="0" w:beforeAutospacing="0" w:after="0" w:afterAutospacing="0"/>
                    <w:ind w:left="0" w:right="0"/>
                    <w:jc w:val="center"/>
                    <w:rPr>
                      <w:rFonts w:hint="default"/>
                    </w:rPr>
                  </w:pPr>
                  <w:r>
                    <w:rPr>
                      <w:rFonts w:hint="default"/>
                    </w:rPr>
                    <w:t>废机油</w:t>
                  </w:r>
                </w:p>
              </w:tc>
              <w:tc>
                <w:tcPr>
                  <w:tcW w:w="3159" w:type="dxa"/>
                  <w:vAlign w:val="center"/>
                </w:tcPr>
                <w:p>
                  <w:pPr>
                    <w:keepNext w:val="0"/>
                    <w:keepLines w:val="0"/>
                    <w:suppressLineNumbers w:val="0"/>
                    <w:spacing w:before="0" w:beforeAutospacing="0" w:after="0" w:afterAutospacing="0"/>
                    <w:ind w:left="0" w:right="0"/>
                    <w:jc w:val="center"/>
                    <w:rPr>
                      <w:rFonts w:hint="eastAsia" w:eastAsia="宋体"/>
                      <w:lang w:val="en-US" w:eastAsia="zh-CN"/>
                    </w:rPr>
                  </w:pPr>
                  <w:r>
                    <w:rPr>
                      <w:rFonts w:hint="eastAsia"/>
                      <w:lang w:val="en-US" w:eastAsia="zh-CN"/>
                    </w:rPr>
                    <w:t>危险废物</w:t>
                  </w:r>
                </w:p>
              </w:tc>
              <w:tc>
                <w:tcPr>
                  <w:tcW w:w="3159" w:type="dxa"/>
                  <w:vAlign w:val="center"/>
                </w:tcPr>
                <w:p>
                  <w:pPr>
                    <w:keepNext w:val="0"/>
                    <w:keepLines w:val="0"/>
                    <w:suppressLineNumbers w:val="0"/>
                    <w:spacing w:before="0" w:beforeAutospacing="0" w:after="0" w:afterAutospacing="0" w:line="240" w:lineRule="auto"/>
                    <w:ind w:left="0" w:leftChars="0" w:right="0" w:rightChars="0"/>
                    <w:jc w:val="center"/>
                    <w:rPr>
                      <w:rFonts w:hint="default"/>
                    </w:rPr>
                  </w:pPr>
                  <w:r>
                    <w:rPr>
                      <w:rFonts w:ascii="Times New Roman" w:hAnsi="Times New Roman" w:cs="Times New Roman"/>
                    </w:rPr>
                    <w:t>暂存于危废暂存间，定期委托有资质的单位处置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158" w:type="dxa"/>
                  <w:vAlign w:val="center"/>
                </w:tcPr>
                <w:p>
                  <w:pPr>
                    <w:keepNext w:val="0"/>
                    <w:keepLines w:val="0"/>
                    <w:suppressLineNumbers w:val="0"/>
                    <w:spacing w:before="0" w:beforeAutospacing="0" w:after="0" w:afterAutospacing="0"/>
                    <w:ind w:left="0" w:right="0"/>
                    <w:jc w:val="center"/>
                    <w:rPr>
                      <w:rFonts w:hint="eastAsia" w:eastAsia="宋体"/>
                      <w:lang w:val="en-US" w:eastAsia="zh-CN"/>
                    </w:rPr>
                  </w:pPr>
                  <w:r>
                    <w:rPr>
                      <w:rFonts w:hint="eastAsia"/>
                      <w:lang w:val="en-US" w:eastAsia="zh-CN"/>
                    </w:rPr>
                    <w:t>生活垃圾</w:t>
                  </w:r>
                </w:p>
              </w:tc>
              <w:tc>
                <w:tcPr>
                  <w:tcW w:w="3159" w:type="dxa"/>
                  <w:vAlign w:val="center"/>
                </w:tcPr>
                <w:p>
                  <w:pPr>
                    <w:keepNext w:val="0"/>
                    <w:keepLines w:val="0"/>
                    <w:suppressLineNumbers w:val="0"/>
                    <w:spacing w:before="0" w:beforeAutospacing="0" w:after="0" w:afterAutospacing="0"/>
                    <w:ind w:left="0" w:right="0"/>
                    <w:jc w:val="center"/>
                    <w:rPr>
                      <w:rFonts w:hint="default"/>
                      <w:lang w:val="en-US" w:eastAsia="zh-CN"/>
                    </w:rPr>
                  </w:pPr>
                  <w:r>
                    <w:rPr>
                      <w:rFonts w:hint="eastAsia"/>
                      <w:lang w:val="en-US" w:eastAsia="zh-CN"/>
                    </w:rPr>
                    <w:t>/</w:t>
                  </w:r>
                </w:p>
              </w:tc>
              <w:tc>
                <w:tcPr>
                  <w:tcW w:w="3159" w:type="dxa"/>
                  <w:vAlign w:val="center"/>
                </w:tcPr>
                <w:p>
                  <w:pPr>
                    <w:keepNext w:val="0"/>
                    <w:keepLines w:val="0"/>
                    <w:suppressLineNumbers w:val="0"/>
                    <w:spacing w:before="0" w:beforeAutospacing="0" w:after="0" w:afterAutospacing="0" w:line="240" w:lineRule="auto"/>
                    <w:ind w:left="0" w:leftChars="0" w:right="0" w:rightChars="0"/>
                    <w:jc w:val="center"/>
                    <w:rPr>
                      <w:rFonts w:hint="default"/>
                    </w:rPr>
                  </w:pPr>
                  <w:r>
                    <w:rPr>
                      <w:rFonts w:ascii="Times New Roman" w:hAnsi="Times New Roman" w:cs="Times New Roman"/>
                    </w:rPr>
                    <w:t>垃圾桶暂存，委托环卫部门统一处置</w:t>
                  </w:r>
                </w:p>
              </w:tc>
            </w:tr>
          </w:tbl>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Calibri" w:hAnsi="Calibri" w:cs="Times New Roman"/>
                <w:sz w:val="24"/>
                <w:szCs w:val="24"/>
              </w:rPr>
            </w:pPr>
            <w:r>
              <w:rPr>
                <w:rFonts w:hint="default" w:ascii="Calibri" w:hAnsi="Calibri" w:cs="Times New Roman"/>
                <w:sz w:val="24"/>
                <w:szCs w:val="24"/>
              </w:rPr>
              <w:t>废机油、废润滑油为危险废物，产生于采矿和运输设备检修过程，危险废物类别为HW08，建设单位应按照《</w:t>
            </w:r>
            <w:bookmarkStart w:id="76" w:name="_GoBack"/>
            <w:bookmarkEnd w:id="76"/>
            <w:r>
              <w:rPr>
                <w:rFonts w:hint="eastAsia" w:ascii="Calibri" w:hAnsi="Calibri" w:cs="Times New Roman"/>
                <w:sz w:val="24"/>
                <w:szCs w:val="24"/>
                <w:lang w:eastAsia="zh-CN"/>
              </w:rPr>
              <w:t>中华人民共和国固体废物污染环境防治法</w:t>
            </w:r>
            <w:r>
              <w:rPr>
                <w:rFonts w:hint="default" w:ascii="Calibri" w:hAnsi="Calibri" w:cs="Times New Roman"/>
                <w:sz w:val="24"/>
                <w:szCs w:val="24"/>
              </w:rPr>
              <w:t>》、《危险废物贮存污染控制标准》（GB18597-2023）、《危险废物转移联单管理办法》及《危险废物污染防治技术政策》的要求妥善管理产生的危险废物。在收集、贮存、处置危废过程中应采取以下防治措施：</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Calibri" w:hAnsi="Calibri" w:cs="Times New Roman"/>
                <w:sz w:val="24"/>
                <w:szCs w:val="24"/>
              </w:rPr>
            </w:pPr>
            <w:r>
              <w:rPr>
                <w:rFonts w:hint="default" w:ascii="Calibri" w:hAnsi="Calibri" w:cs="Times New Roman"/>
                <w:sz w:val="24"/>
                <w:szCs w:val="24"/>
              </w:rPr>
              <w:t>①危险废物收集时应根据危险废物的种类、数量、危险特性、物理形态、运输要求等因素确定包装形式；</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Calibri" w:hAnsi="Calibri" w:cs="Times New Roman"/>
                <w:sz w:val="24"/>
                <w:szCs w:val="24"/>
              </w:rPr>
            </w:pPr>
            <w:r>
              <w:rPr>
                <w:rFonts w:hint="default" w:ascii="Calibri" w:hAnsi="Calibri" w:cs="Times New Roman"/>
                <w:sz w:val="24"/>
                <w:szCs w:val="24"/>
              </w:rPr>
              <w:t>②根据《危险废物转移联单管理办法》，危险废物收集单位收集企事业产生的危险废物，必须办理危险废物转移联单手续。危险废物收集单位将其收集的危险废物转移至有危险废物经营许可证的单位利用、处置，也必须办理危险废物转移联单手续；</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Calibri" w:hAnsi="Calibri" w:cs="Times New Roman"/>
                <w:sz w:val="24"/>
                <w:szCs w:val="24"/>
              </w:rPr>
            </w:pPr>
            <w:r>
              <w:rPr>
                <w:rFonts w:hint="default" w:ascii="Calibri" w:hAnsi="Calibri" w:cs="Times New Roman"/>
                <w:sz w:val="24"/>
                <w:szCs w:val="24"/>
              </w:rPr>
              <w:t>③在运输过程中，危险废物要用符合国家标准的专门容器分类收集；</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Calibri" w:hAnsi="Calibri" w:cs="Times New Roman"/>
                <w:sz w:val="24"/>
                <w:szCs w:val="24"/>
              </w:rPr>
            </w:pPr>
            <w:r>
              <w:rPr>
                <w:rFonts w:hint="default" w:ascii="Calibri" w:hAnsi="Calibri" w:cs="Times New Roman"/>
                <w:sz w:val="24"/>
                <w:szCs w:val="24"/>
              </w:rPr>
              <w:t>④装运危险废物的容器应不易破损、变形、老化，能有效地防止渗漏、扩散；</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Calibri" w:hAnsi="Calibri" w:cs="Times New Roman"/>
                <w:sz w:val="24"/>
                <w:szCs w:val="24"/>
              </w:rPr>
            </w:pPr>
            <w:r>
              <w:rPr>
                <w:rFonts w:hint="default" w:ascii="Calibri" w:hAnsi="Calibri" w:cs="Times New Roman"/>
                <w:sz w:val="24"/>
                <w:szCs w:val="24"/>
              </w:rPr>
              <w:t>⑤装有危险废物的容器必须贴有标签、标识；</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Calibri" w:hAnsi="Calibri" w:cs="Times New Roman"/>
                <w:sz w:val="24"/>
                <w:szCs w:val="24"/>
              </w:rPr>
            </w:pPr>
            <w:r>
              <w:rPr>
                <w:rFonts w:hint="default" w:ascii="Calibri" w:hAnsi="Calibri" w:cs="Times New Roman"/>
                <w:sz w:val="24"/>
                <w:szCs w:val="24"/>
              </w:rPr>
              <w:t>⑥运输中使用专用车辆，对危险废物的运输要求安全可靠，严格按照危险货物运输管理规定进行危险废物的运输，减少运输过程中的二次污染和可能造成的环境风险；</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Calibri" w:hAnsi="Calibri" w:cs="Times New Roman"/>
                <w:sz w:val="24"/>
                <w:szCs w:val="24"/>
              </w:rPr>
            </w:pPr>
            <w:r>
              <w:rPr>
                <w:rFonts w:hint="default" w:ascii="Calibri" w:hAnsi="Calibri" w:cs="Times New Roman"/>
                <w:sz w:val="24"/>
                <w:szCs w:val="24"/>
              </w:rPr>
              <w:t>⑦运输时对危险废物实行专业运输，运输车辆需有特殊标志；</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Calibri" w:hAnsi="Calibri" w:eastAsia="宋体" w:cs="Times New Roman"/>
                <w:sz w:val="24"/>
                <w:szCs w:val="24"/>
                <w:lang w:eastAsia="zh-CN"/>
              </w:rPr>
            </w:pPr>
            <w:r>
              <w:rPr>
                <w:rFonts w:hint="default" w:ascii="Calibri" w:hAnsi="Calibri" w:cs="Times New Roman"/>
                <w:sz w:val="24"/>
                <w:szCs w:val="24"/>
              </w:rPr>
              <w:t>⑧在装卸贮存过程中控制温度不超过30°C</w:t>
            </w:r>
            <w:r>
              <w:rPr>
                <w:rFonts w:hint="eastAsia" w:ascii="Calibri" w:hAnsi="Calibri" w:cs="Times New Roman"/>
                <w:sz w:val="24"/>
                <w:szCs w:val="24"/>
                <w:lang w:eastAsia="zh-CN"/>
              </w:rPr>
              <w:t>；</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Calibri" w:hAnsi="Calibri" w:cs="Times New Roman"/>
                <w:sz w:val="24"/>
                <w:szCs w:val="24"/>
              </w:rPr>
            </w:pPr>
            <w:r>
              <w:rPr>
                <w:rFonts w:hint="default" w:ascii="Calibri" w:hAnsi="Calibri" w:cs="Times New Roman"/>
                <w:sz w:val="24"/>
                <w:szCs w:val="24"/>
              </w:rPr>
              <w:t>⑨危险废物储存场所应设置符合《危险废物识别标志设置技术规范》（HJ1276-2022）要求的警告标志。危险废物需分类存放，设置警示标志，做到防雨淋、防扬散、防渗漏。</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Calibri" w:hAnsi="Calibri" w:cs="Times New Roman"/>
                <w:sz w:val="24"/>
                <w:szCs w:val="24"/>
              </w:rPr>
            </w:pPr>
            <w:r>
              <w:rPr>
                <w:rFonts w:hint="default" w:ascii="Calibri" w:hAnsi="Calibri" w:cs="Times New Roman"/>
                <w:sz w:val="24"/>
                <w:szCs w:val="24"/>
              </w:rPr>
              <w:t>⑩地面与裙脚要用坚固、防渗的材料建造，建筑材料必须与危险废物暂存点相容。</w:t>
            </w:r>
          </w:p>
          <w:p>
            <w:pPr>
              <w:keepNext w:val="0"/>
              <w:keepLines w:val="0"/>
              <w:pageBreakBefore w:val="0"/>
              <w:widowControl w:val="0"/>
              <w:numPr>
                <w:ilvl w:val="0"/>
                <w:numId w:val="6"/>
              </w:numPr>
              <w:suppressLineNumbers w:val="0"/>
              <w:kinsoku/>
              <w:wordWrap/>
              <w:overflowPunct/>
              <w:topLinePunct w:val="0"/>
              <w:autoSpaceDE/>
              <w:autoSpaceDN/>
              <w:bidi w:val="0"/>
              <w:adjustRightInd/>
              <w:snapToGrid/>
              <w:spacing w:before="0" w:beforeAutospacing="0" w:after="0" w:afterAutospacing="0" w:line="360" w:lineRule="auto"/>
              <w:ind w:left="0" w:right="0" w:firstLine="482" w:firstLineChars="200"/>
              <w:textAlignment w:val="auto"/>
              <w:rPr>
                <w:rFonts w:hint="default" w:ascii="Calibri" w:hAnsi="Calibri" w:cs="Times New Roman"/>
                <w:b/>
                <w:bCs/>
                <w:sz w:val="24"/>
                <w:szCs w:val="24"/>
              </w:rPr>
            </w:pPr>
            <w:r>
              <w:rPr>
                <w:rFonts w:hint="default" w:ascii="Calibri" w:hAnsi="Calibri" w:cs="Times New Roman"/>
                <w:b/>
                <w:bCs/>
                <w:sz w:val="24"/>
                <w:szCs w:val="24"/>
              </w:rPr>
              <w:t>生态环境</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Calibri" w:hAnsi="Calibri" w:cs="Times New Roman"/>
                <w:sz w:val="24"/>
                <w:szCs w:val="24"/>
              </w:rPr>
            </w:pPr>
            <w:r>
              <w:rPr>
                <w:rFonts w:hint="default" w:ascii="Calibri" w:hAnsi="Calibri" w:cs="Times New Roman"/>
                <w:sz w:val="24"/>
                <w:szCs w:val="24"/>
              </w:rPr>
              <w:t>根据调查，评价区植被类型和结构较为简单，无其他需特殊保护的植被类型分布，工程直接影响的植物种类大部分为广泛分布的常见物种。项目区域内的动物分布种类为一般常见的种类。为了更好的保护评价区域内的动植物，项目需要采取的具体的生态保护措施如下：</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Calibri" w:hAnsi="Calibri" w:cs="Times New Roman"/>
                <w:sz w:val="24"/>
                <w:szCs w:val="24"/>
              </w:rPr>
            </w:pPr>
            <w:r>
              <w:rPr>
                <w:rFonts w:hint="default" w:ascii="Calibri" w:hAnsi="Calibri" w:cs="Times New Roman"/>
                <w:sz w:val="24"/>
                <w:szCs w:val="24"/>
              </w:rPr>
              <w:t>1）开采区的生态保护措施</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Calibri" w:hAnsi="Calibri" w:cs="Times New Roman"/>
                <w:sz w:val="24"/>
                <w:szCs w:val="24"/>
              </w:rPr>
            </w:pPr>
            <w:r>
              <w:rPr>
                <w:rFonts w:hint="default" w:ascii="Calibri" w:hAnsi="Calibri" w:cs="Times New Roman"/>
                <w:sz w:val="24"/>
                <w:szCs w:val="24"/>
              </w:rPr>
              <w:t>不得随意破坏开采设计范围外的植被，开采过程中对废气粉尘进行洒水降尘，降低粉尘对周边植被的影响；初期雨水等进行沉淀处理后回用于洒水降尘，不外排，减轻废水对植被的影响。在开采区周边设置截排水沟。</w:t>
            </w:r>
            <w:r>
              <w:rPr>
                <w:rFonts w:hint="eastAsia" w:ascii="Calibri" w:hAnsi="Calibri" w:cs="Times New Roman"/>
                <w:sz w:val="24"/>
                <w:szCs w:val="24"/>
                <w:lang w:val="en-US" w:eastAsia="zh-CN"/>
              </w:rPr>
              <w:t>新增表土堆场</w:t>
            </w:r>
            <w:r>
              <w:rPr>
                <w:rFonts w:hint="default" w:ascii="Calibri" w:hAnsi="Calibri" w:cs="Times New Roman"/>
                <w:sz w:val="24"/>
                <w:szCs w:val="24"/>
              </w:rPr>
              <w:t>堆存剥离表土，保证后期回填和复垦用土。</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Calibri" w:hAnsi="Calibri" w:cs="Times New Roman"/>
                <w:sz w:val="24"/>
                <w:szCs w:val="24"/>
              </w:rPr>
            </w:pPr>
            <w:r>
              <w:rPr>
                <w:rFonts w:hint="default" w:ascii="Calibri" w:hAnsi="Calibri" w:cs="Times New Roman"/>
                <w:sz w:val="24"/>
                <w:szCs w:val="24"/>
              </w:rPr>
              <w:t>2）工业矿区的生态保护措施</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Calibri" w:hAnsi="Calibri" w:cs="Times New Roman"/>
                <w:sz w:val="24"/>
                <w:szCs w:val="24"/>
              </w:rPr>
            </w:pPr>
            <w:r>
              <w:rPr>
                <w:rFonts w:hint="default" w:ascii="Calibri" w:hAnsi="Calibri" w:cs="Times New Roman"/>
                <w:sz w:val="24"/>
                <w:szCs w:val="24"/>
              </w:rPr>
              <w:t>主要措施为排水、护坡、绿化等：工业场地内设置完善的防排水系统。工业场地周围空地地面硬化或植树、种草绿化，以减少水土流失。地面高噪声设备做好降噪措施，减缓噪声对野生动物的影响。工业场地内设置的原矿堆场、产品堆存区等做好防尘措施，防止粉尘对植被产生影响。</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Calibri" w:hAnsi="Calibri" w:cs="Times New Roman"/>
                <w:sz w:val="24"/>
                <w:szCs w:val="24"/>
              </w:rPr>
            </w:pPr>
            <w:r>
              <w:rPr>
                <w:rFonts w:hint="eastAsia" w:ascii="Calibri" w:hAnsi="Calibri" w:cs="Times New Roman"/>
                <w:sz w:val="24"/>
                <w:szCs w:val="24"/>
                <w:lang w:val="en-US" w:eastAsia="zh-CN"/>
              </w:rPr>
              <w:t>表土堆场、成品中转堆场</w:t>
            </w:r>
            <w:r>
              <w:rPr>
                <w:rFonts w:hint="default" w:ascii="Calibri" w:hAnsi="Calibri" w:cs="Times New Roman"/>
                <w:sz w:val="24"/>
                <w:szCs w:val="24"/>
              </w:rPr>
              <w:t>周围设置截水沟、拦渣坝，防止土石被雨水冲刷，同时定时进行洒水降尘，减少粉尘的产生。项目开采过程中及时对采空区进行回填，减少剥离土长时间停留在堆土场内，规范化管理堆土场后，对周边生态环境影响不大。</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Calibri" w:hAnsi="Calibri" w:cs="Times New Roman"/>
                <w:sz w:val="24"/>
                <w:szCs w:val="24"/>
              </w:rPr>
            </w:pPr>
            <w:r>
              <w:rPr>
                <w:rFonts w:hint="default" w:ascii="Calibri" w:hAnsi="Calibri" w:cs="Times New Roman"/>
                <w:sz w:val="24"/>
                <w:szCs w:val="24"/>
              </w:rPr>
              <w:t>3）水土流失保护措施</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Calibri" w:hAnsi="Calibri" w:cs="Times New Roman"/>
                <w:sz w:val="24"/>
                <w:szCs w:val="24"/>
              </w:rPr>
            </w:pPr>
            <w:r>
              <w:rPr>
                <w:rFonts w:hint="default" w:ascii="Calibri" w:hAnsi="Calibri" w:cs="Times New Roman"/>
                <w:sz w:val="24"/>
                <w:szCs w:val="24"/>
              </w:rPr>
              <w:t>A、在开采境界周边汇水区域应开挖排（引）水沟，防止地表水侵蚀边坡，</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default" w:ascii="Calibri" w:hAnsi="Calibri" w:cs="Times New Roman"/>
                <w:sz w:val="24"/>
                <w:szCs w:val="24"/>
              </w:rPr>
            </w:pPr>
            <w:r>
              <w:rPr>
                <w:rFonts w:hint="default" w:ascii="Calibri" w:hAnsi="Calibri" w:cs="Times New Roman"/>
                <w:sz w:val="24"/>
                <w:szCs w:val="24"/>
              </w:rPr>
              <w:t>破坏边坡的稳定。采场边坡上部如有积水地段，应开沟将其引出，防止水侵蚀边坡软弱层，导致滑坡。</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Calibri" w:hAnsi="Calibri" w:cs="Times New Roman"/>
                <w:sz w:val="24"/>
                <w:szCs w:val="24"/>
              </w:rPr>
            </w:pPr>
            <w:r>
              <w:rPr>
                <w:rFonts w:hint="default" w:ascii="Calibri" w:hAnsi="Calibri" w:cs="Times New Roman"/>
                <w:sz w:val="24"/>
                <w:szCs w:val="24"/>
              </w:rPr>
              <w:t>B、雨季或暴雨时段停止作业，如遇大雨降临，应提前将设备转移至高处，人员撤离采场，同时采用抽水机等措施加强排水。</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Calibri" w:hAnsi="Calibri" w:cs="Times New Roman"/>
                <w:sz w:val="24"/>
                <w:szCs w:val="24"/>
              </w:rPr>
            </w:pPr>
            <w:r>
              <w:rPr>
                <w:rFonts w:hint="default" w:ascii="Calibri" w:hAnsi="Calibri" w:cs="Times New Roman"/>
                <w:sz w:val="24"/>
                <w:szCs w:val="24"/>
              </w:rPr>
              <w:t>C、矿山在凹陷开采时应及时修建排水沟，采坑边建设水泵房对汇入采坑内</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default" w:ascii="Calibri" w:hAnsi="Calibri" w:cs="Times New Roman"/>
                <w:sz w:val="24"/>
                <w:szCs w:val="24"/>
              </w:rPr>
            </w:pPr>
            <w:r>
              <w:rPr>
                <w:rFonts w:hint="default" w:ascii="Calibri" w:hAnsi="Calibri" w:cs="Times New Roman"/>
                <w:sz w:val="24"/>
                <w:szCs w:val="24"/>
              </w:rPr>
              <w:t>的积水通过抽排至排水沟引导入沉淀池后统一进行排放，避免采坑内积水。</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Calibri" w:hAnsi="Calibri" w:cs="Times New Roman"/>
                <w:sz w:val="24"/>
                <w:szCs w:val="24"/>
              </w:rPr>
            </w:pPr>
            <w:r>
              <w:rPr>
                <w:rFonts w:hint="default" w:ascii="Calibri" w:hAnsi="Calibri" w:cs="Times New Roman"/>
                <w:sz w:val="24"/>
                <w:szCs w:val="24"/>
              </w:rPr>
              <w:t>D、对修筑的截、排水沟应定期清理，保持截、排水沟的排水畅通。</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Calibri" w:hAnsi="Calibri" w:eastAsia="宋体" w:cs="Times New Roman"/>
                <w:sz w:val="24"/>
                <w:szCs w:val="24"/>
                <w:lang w:eastAsia="zh-CN"/>
              </w:rPr>
            </w:pPr>
            <w:r>
              <w:rPr>
                <w:rFonts w:hint="default" w:ascii="Calibri" w:hAnsi="Calibri" w:cs="Times New Roman"/>
                <w:sz w:val="24"/>
                <w:szCs w:val="24"/>
              </w:rPr>
              <w:t>E、</w:t>
            </w:r>
            <w:r>
              <w:rPr>
                <w:rFonts w:hint="eastAsia" w:ascii="Calibri" w:hAnsi="Calibri" w:cs="Times New Roman"/>
                <w:sz w:val="24"/>
                <w:szCs w:val="24"/>
                <w:lang w:eastAsia="zh-CN"/>
              </w:rPr>
              <w:t>新增表土堆场</w:t>
            </w:r>
            <w:r>
              <w:rPr>
                <w:rFonts w:hint="default" w:ascii="Calibri" w:hAnsi="Calibri" w:cs="Times New Roman"/>
                <w:sz w:val="24"/>
                <w:szCs w:val="24"/>
              </w:rPr>
              <w:t>周围修建挡土墙，做好截排水等工程防护措施。</w:t>
            </w:r>
            <w:r>
              <w:rPr>
                <w:rFonts w:hint="eastAsia" w:ascii="Calibri" w:hAnsi="Calibri" w:cs="Times New Roman"/>
                <w:sz w:val="24"/>
                <w:szCs w:val="24"/>
                <w:lang w:eastAsia="zh-CN"/>
              </w:rPr>
              <w:t>新增表土堆场</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Calibri" w:hAnsi="Calibri" w:cs="Times New Roman"/>
                <w:sz w:val="24"/>
                <w:szCs w:val="24"/>
              </w:rPr>
            </w:pPr>
            <w:r>
              <w:rPr>
                <w:rFonts w:hint="default" w:ascii="Calibri" w:hAnsi="Calibri" w:cs="Times New Roman"/>
                <w:sz w:val="24"/>
                <w:szCs w:val="24"/>
              </w:rPr>
              <w:t>坡面采用种植植物和覆盖进行稳定化处理，减少扬尘土，同时防止出现水土流失和滑坡现象。</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rPr>
            </w:pPr>
            <w:r>
              <w:rPr>
                <w:rFonts w:hint="default" w:ascii="Times New Roman" w:hAnsi="Times New Roman" w:cs="Times New Roman"/>
                <w:sz w:val="24"/>
                <w:szCs w:val="24"/>
              </w:rPr>
              <w:t>4）矿山生态修复措施</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rPr>
            </w:pPr>
            <w:r>
              <w:rPr>
                <w:rFonts w:hint="default" w:ascii="Times New Roman" w:hAnsi="Times New Roman" w:cs="Times New Roman"/>
                <w:sz w:val="24"/>
                <w:szCs w:val="24"/>
              </w:rPr>
              <w:t>本次环评要求矿山严格执行《永州市零陵区羊轱岭矿区建筑石料用灰岩矿矿山生态保护修复方案》提出的复垦方案，具体方案如下：</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rPr>
            </w:pPr>
            <w:r>
              <w:rPr>
                <w:rFonts w:hint="default" w:ascii="Times New Roman" w:hAnsi="Times New Roman" w:cs="Times New Roman"/>
                <w:sz w:val="24"/>
                <w:szCs w:val="24"/>
              </w:rPr>
              <w:t>本方案将破坏区划分露天采场边坡区、露天采场底盘、拟设工业广场等3</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default" w:ascii="Times New Roman" w:hAnsi="Times New Roman" w:cs="Times New Roman"/>
                <w:sz w:val="24"/>
                <w:szCs w:val="24"/>
              </w:rPr>
            </w:pPr>
            <w:r>
              <w:rPr>
                <w:rFonts w:hint="default" w:ascii="Times New Roman" w:hAnsi="Times New Roman" w:cs="Times New Roman"/>
                <w:sz w:val="24"/>
                <w:szCs w:val="24"/>
              </w:rPr>
              <w:t>个复垦单元，分别进行复垦设计：</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rPr>
            </w:pPr>
            <w:r>
              <w:rPr>
                <w:rFonts w:hint="default" w:ascii="Times New Roman" w:hAnsi="Times New Roman" w:cs="Times New Roman"/>
                <w:sz w:val="24"/>
                <w:szCs w:val="24"/>
              </w:rPr>
              <w:t>（1）露天采场边坡区：露天采场边坡区采用灌草结合复绿模式。</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rPr>
            </w:pPr>
            <w:r>
              <w:rPr>
                <w:rFonts w:hint="default" w:ascii="Times New Roman" w:hAnsi="Times New Roman" w:cs="Times New Roman"/>
                <w:sz w:val="24"/>
                <w:szCs w:val="24"/>
              </w:rPr>
              <w:t>矿山开采完毕后，采场周边最终将形成1-2级平台与边坡。单级平台宽6m，总长度约2000m，面积1.2hm2。具体方案如下：1）平台整地成内倾3°，有利于水土保持；</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rPr>
            </w:pPr>
            <w:r>
              <w:rPr>
                <w:rFonts w:hint="default" w:ascii="Times New Roman" w:hAnsi="Times New Roman" w:cs="Times New Roman"/>
                <w:sz w:val="24"/>
                <w:szCs w:val="24"/>
              </w:rPr>
              <w:t>2）平台外侧采用生态袋围挡；</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rPr>
            </w:pPr>
            <w:r>
              <w:rPr>
                <w:rFonts w:hint="default" w:ascii="Times New Roman" w:hAnsi="Times New Roman" w:cs="Times New Roman"/>
                <w:sz w:val="24"/>
                <w:szCs w:val="24"/>
              </w:rPr>
              <w:t>3）平台上应覆种植土0.5m；</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rPr>
            </w:pPr>
            <w:r>
              <w:rPr>
                <w:rFonts w:hint="default" w:ascii="Times New Roman" w:hAnsi="Times New Roman" w:cs="Times New Roman"/>
                <w:sz w:val="24"/>
                <w:szCs w:val="24"/>
              </w:rPr>
              <w:t>4）平台种植当地乡土常绿灌木冬青，共种植3000棵，林间播撒狗牙根草</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rPr>
            </w:pPr>
            <w:r>
              <w:rPr>
                <w:rFonts w:hint="default" w:ascii="Times New Roman" w:hAnsi="Times New Roman" w:cs="Times New Roman"/>
                <w:sz w:val="24"/>
                <w:szCs w:val="24"/>
              </w:rPr>
              <w:t>籽进行保水、绿化；</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rPr>
            </w:pPr>
            <w:r>
              <w:rPr>
                <w:rFonts w:hint="default" w:ascii="Times New Roman" w:hAnsi="Times New Roman" w:cs="Times New Roman"/>
                <w:sz w:val="24"/>
                <w:szCs w:val="24"/>
              </w:rPr>
              <w:t>5）坡面进行危岩清理，必要时采取锚固、格构等加固措施；</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rPr>
            </w:pPr>
            <w:r>
              <w:rPr>
                <w:rFonts w:hint="default" w:ascii="Times New Roman" w:hAnsi="Times New Roman" w:cs="Times New Roman"/>
                <w:sz w:val="24"/>
                <w:szCs w:val="24"/>
              </w:rPr>
              <w:t>6）高陡边坡顶部开采边界外围每隔100m设立安全警示牌。</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rPr>
            </w:pPr>
            <w:r>
              <w:rPr>
                <w:rFonts w:hint="default" w:ascii="Times New Roman" w:hAnsi="Times New Roman" w:cs="Times New Roman"/>
                <w:sz w:val="24"/>
                <w:szCs w:val="24"/>
              </w:rPr>
              <w:t>由于采场边坡斜坡陡直，不利于直接覆土和植树种草，本次对边坡进行复垦时，先需对斜坡危岩进行清理，斜坡面积为3.3hm</w:t>
            </w:r>
            <w:r>
              <w:rPr>
                <w:rFonts w:hint="default" w:ascii="Times New Roman" w:hAnsi="Times New Roman" w:cs="Times New Roman"/>
                <w:sz w:val="24"/>
                <w:szCs w:val="24"/>
                <w:vertAlign w:val="superscript"/>
              </w:rPr>
              <w:t>2</w:t>
            </w:r>
            <w:r>
              <w:rPr>
                <w:rFonts w:hint="default" w:ascii="Times New Roman" w:hAnsi="Times New Roman" w:cs="Times New Roman"/>
                <w:sz w:val="24"/>
                <w:szCs w:val="24"/>
              </w:rPr>
              <w:t>，选择适宜当地生长的藤蔓植物（爬山虎）对其陡直边坡进行上爬下挂兼顾复绿，每级平台中的内侧槽种藤蔓植物（爬山虎），间距为1m*1m。边坡线总长度共约2000m，斜坡平台内侧</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rPr>
            </w:pPr>
            <w:r>
              <w:rPr>
                <w:rFonts w:hint="default" w:ascii="Times New Roman" w:hAnsi="Times New Roman" w:cs="Times New Roman"/>
                <w:sz w:val="24"/>
                <w:szCs w:val="24"/>
              </w:rPr>
              <w:t>需槽种爬山虎共2000株。</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rPr>
            </w:pPr>
            <w:r>
              <w:rPr>
                <w:rFonts w:hint="default" w:ascii="Times New Roman" w:hAnsi="Times New Roman" w:cs="Times New Roman"/>
                <w:sz w:val="24"/>
                <w:szCs w:val="24"/>
              </w:rPr>
              <w:t>（2）露天采场底盘：矿山开采完毕后，最终将形成15.22hm2的采场底盘，</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rPr>
            </w:pPr>
            <w:r>
              <w:rPr>
                <w:rFonts w:hint="default" w:ascii="Times New Roman" w:hAnsi="Times New Roman" w:cs="Times New Roman"/>
                <w:sz w:val="24"/>
                <w:szCs w:val="24"/>
              </w:rPr>
              <w:t>本方案拟将采场底盘复垦为林地，如果以后矿山规划或政策发生改变，再根据实际情况另行选择。</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sz w:val="24"/>
                <w:szCs w:val="24"/>
              </w:rPr>
            </w:pPr>
            <w:r>
              <w:rPr>
                <w:rFonts w:hint="default" w:ascii="Times New Roman" w:hAnsi="Times New Roman" w:cs="Times New Roman"/>
                <w:sz w:val="24"/>
                <w:szCs w:val="24"/>
              </w:rPr>
              <w:t>矿山闭坑后，矿山其他硬化物拆除后回填至采场底盘，矿山堆放在采坑内的废渣土平铺至采场底盘。然后平整场地，进行土壤改良，四周修建截排水沟，复垦为林地。根据本项目区及区域生态植物生长情况，乔木树种选择：杉树、樟树或红枫（均带土球），苗高1m以上；灌木树种选择：杜鹃或冬青，苗高0.3m以上；乔木的株行距2.0m×2.0m，树坑大小为0.5m×0.5m×0.5m；灌木的株行距2.0m×2.0m，在乔木行中间栽种。采场底盘共栽植乔木38050株，其中杉木、樟木、红枫分别12683、12683、12684株，灌木种为杜鹃或冬青，共38050株；树苗为胸径小于4cm的幼苗；植树全部采用穴状整地栽植，幼苗为带土球大苗，</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default" w:ascii="Times New Roman" w:hAnsi="Times New Roman" w:cs="Times New Roman"/>
                <w:sz w:val="24"/>
                <w:szCs w:val="24"/>
              </w:rPr>
            </w:pPr>
            <w:r>
              <w:rPr>
                <w:rFonts w:hint="default" w:ascii="Times New Roman" w:hAnsi="Times New Roman" w:cs="Times New Roman"/>
                <w:sz w:val="24"/>
                <w:szCs w:val="24"/>
              </w:rPr>
              <w:t>采用列植方式进行栽植。坑栽完毕后，再在表面土壤上撒播草籽（50Kg/hm2），并用水浇湿。采场底盘留有集水坑，用来收集雨水，用于露采场底盘土地复垦后对苗木进行浇灌。</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eastAsia="宋体" w:cs="Times New Roman"/>
                <w:color w:val="auto"/>
                <w:sz w:val="24"/>
                <w:szCs w:val="24"/>
                <w:lang w:val="en-US" w:eastAsia="zh-CN"/>
              </w:rPr>
            </w:pPr>
            <w:r>
              <w:rPr>
                <w:rFonts w:hint="default" w:ascii="Times New Roman" w:hAnsi="Times New Roman" w:cs="Times New Roman"/>
                <w:color w:val="auto"/>
                <w:sz w:val="24"/>
                <w:szCs w:val="24"/>
              </w:rPr>
              <w:t>（3）工业广场复垦方案设计（闭坑后）</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color w:val="auto"/>
                <w:sz w:val="24"/>
                <w:szCs w:val="24"/>
              </w:rPr>
            </w:pPr>
            <w:r>
              <w:rPr>
                <w:rFonts w:hint="default" w:ascii="Times New Roman" w:hAnsi="Times New Roman" w:cs="Times New Roman"/>
                <w:color w:val="auto"/>
                <w:sz w:val="24"/>
                <w:szCs w:val="24"/>
              </w:rPr>
              <w:t>本方案拟将工业广场复垦</w:t>
            </w:r>
            <w:r>
              <w:rPr>
                <w:rFonts w:hint="default" w:ascii="Times New Roman" w:hAnsi="Times New Roman" w:cs="Times New Roman"/>
                <w:color w:val="auto"/>
                <w:sz w:val="24"/>
                <w:szCs w:val="24"/>
                <w:lang w:eastAsia="zh-CN"/>
              </w:rPr>
              <w:t>、</w:t>
            </w:r>
            <w:r>
              <w:rPr>
                <w:rFonts w:hint="default" w:ascii="Times New Roman" w:hAnsi="Times New Roman" w:cs="Times New Roman"/>
                <w:color w:val="auto"/>
                <w:sz w:val="24"/>
                <w:szCs w:val="24"/>
                <w:lang w:val="en-US" w:eastAsia="zh-CN"/>
              </w:rPr>
              <w:t>成品以及表土堆场</w:t>
            </w:r>
            <w:r>
              <w:rPr>
                <w:rFonts w:hint="default" w:ascii="Times New Roman" w:hAnsi="Times New Roman" w:cs="Times New Roman"/>
                <w:color w:val="auto"/>
                <w:sz w:val="24"/>
                <w:szCs w:val="24"/>
              </w:rPr>
              <w:t>为林地，如果以后矿山规划或政策发生改变，再根据实际情况另行选择。具体方案如下：</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color w:val="auto"/>
                <w:sz w:val="24"/>
                <w:szCs w:val="24"/>
              </w:rPr>
            </w:pPr>
            <w:r>
              <w:rPr>
                <w:rFonts w:hint="default" w:ascii="Times New Roman" w:hAnsi="Times New Roman" w:cs="Times New Roman"/>
                <w:color w:val="auto"/>
                <w:sz w:val="24"/>
                <w:szCs w:val="24"/>
              </w:rPr>
              <w:t>①复垦工程设计：主要包括硬化物拆（清）除工程、建筑垃圾清运、场地整平、工程。</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color w:val="auto"/>
                <w:sz w:val="24"/>
                <w:szCs w:val="24"/>
              </w:rPr>
            </w:pPr>
            <w:r>
              <w:rPr>
                <w:rFonts w:hint="default" w:ascii="Times New Roman" w:hAnsi="Times New Roman" w:cs="Times New Roman"/>
                <w:color w:val="auto"/>
                <w:sz w:val="24"/>
                <w:szCs w:val="24"/>
              </w:rPr>
              <w:t>A、硬化物拆（清植树种草）除工程：复垦工程开始时，需要将设施基础拆除，地表硬化层（按厚度0.3m/m2计算）铲除，垃圾进行清除。对房屋（因矿山为新建，工业广场布局暂未设置，现按工业广场面积50%进行建筑面积计算，拆除平均按高度0.1m/m</w:t>
            </w:r>
            <w:r>
              <w:rPr>
                <w:rFonts w:hint="default" w:ascii="Times New Roman" w:hAnsi="Times New Roman" w:cs="Times New Roman"/>
                <w:color w:val="auto"/>
                <w:sz w:val="24"/>
                <w:szCs w:val="24"/>
                <w:vertAlign w:val="superscript"/>
              </w:rPr>
              <w:t>2</w:t>
            </w:r>
            <w:r>
              <w:rPr>
                <w:rFonts w:hint="default" w:ascii="Times New Roman" w:hAnsi="Times New Roman" w:cs="Times New Roman"/>
                <w:color w:val="auto"/>
                <w:sz w:val="24"/>
                <w:szCs w:val="24"/>
              </w:rPr>
              <w:t>计算）进行拆除后，可采用挖掘机对场地0.3m厚地表硬化层进行拆除。</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color w:val="auto"/>
                <w:sz w:val="24"/>
                <w:szCs w:val="24"/>
              </w:rPr>
            </w:pPr>
            <w:r>
              <w:rPr>
                <w:rFonts w:hint="default" w:ascii="Times New Roman" w:hAnsi="Times New Roman" w:cs="Times New Roman"/>
                <w:color w:val="auto"/>
                <w:sz w:val="24"/>
                <w:szCs w:val="24"/>
              </w:rPr>
              <w:t>B、建筑垃圾清运：建筑垃圾清运是指将拆除的硬化物运外运至采场底盘，运距小于500m。</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color w:val="auto"/>
                <w:sz w:val="24"/>
                <w:szCs w:val="24"/>
              </w:rPr>
            </w:pPr>
            <w:r>
              <w:rPr>
                <w:rFonts w:hint="default" w:ascii="Times New Roman" w:hAnsi="Times New Roman" w:cs="Times New Roman"/>
                <w:color w:val="auto"/>
                <w:sz w:val="24"/>
                <w:szCs w:val="24"/>
              </w:rPr>
              <w:t>C、场地整平：对进行场地消高补低，整平面积2.5hm</w:t>
            </w:r>
            <w:r>
              <w:rPr>
                <w:rFonts w:hint="default" w:ascii="Times New Roman" w:hAnsi="Times New Roman" w:cs="Times New Roman"/>
                <w:color w:val="auto"/>
                <w:sz w:val="24"/>
                <w:szCs w:val="24"/>
                <w:vertAlign w:val="superscript"/>
              </w:rPr>
              <w:t>2</w:t>
            </w:r>
            <w:r>
              <w:rPr>
                <w:rFonts w:hint="default" w:ascii="Times New Roman" w:hAnsi="Times New Roman" w:cs="Times New Roman"/>
                <w:color w:val="auto"/>
                <w:sz w:val="24"/>
                <w:szCs w:val="24"/>
              </w:rPr>
              <w:t>。</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color w:val="auto"/>
                <w:sz w:val="24"/>
                <w:szCs w:val="24"/>
              </w:rPr>
            </w:pPr>
            <w:r>
              <w:rPr>
                <w:rFonts w:hint="default" w:ascii="Times New Roman" w:hAnsi="Times New Roman" w:cs="Times New Roman"/>
                <w:color w:val="auto"/>
                <w:sz w:val="24"/>
                <w:szCs w:val="24"/>
              </w:rPr>
              <w:t>D、植树种草工程：对复垦为林地的工业广场进行植树恢复植被。根据本项</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eastAsia="宋体" w:cs="Times New Roman"/>
                <w:color w:val="auto"/>
                <w:sz w:val="24"/>
                <w:szCs w:val="24"/>
              </w:rPr>
            </w:pPr>
            <w:r>
              <w:rPr>
                <w:rFonts w:hint="default" w:ascii="Times New Roman" w:hAnsi="Times New Roman" w:cs="Times New Roman"/>
                <w:color w:val="auto"/>
                <w:sz w:val="24"/>
                <w:szCs w:val="24"/>
              </w:rPr>
              <w:t>目区及区域生态植物生长情况，乔木树种选择：优选本土树种杉树、樟树或红枫（均带土球），苗高1m以上；灌木树种选择：杜鹃或冬青，苗高0.3m以上；乔木的株行距2.0m×2.0m，树坑大小为0.5m×0.5m×0.5m；灌木的株行距2.0m×2.0m，在乔木行中间栽种。工业广场共栽植共乔木6250株，其中杉木、樟木、红枫分别2083、2083、2084株，灌木种为杜鹃或冬青，共12500株；树苗为胸径小于4cm的幼苗；植树全部采用穴状（圆形）整地栽植，幼苗为带土球大苗，采用列植方式进行栽植。坑栽完毕后，再在表面土壤上撒播草籽（5</w:t>
            </w:r>
            <w:r>
              <w:rPr>
                <w:rFonts w:hint="default" w:ascii="Times New Roman" w:hAnsi="Times New Roman" w:eastAsia="宋体" w:cs="Times New Roman"/>
                <w:color w:val="auto"/>
                <w:sz w:val="24"/>
                <w:szCs w:val="24"/>
              </w:rPr>
              <w:t>0Kg/hm2），并用水浇湿。</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根据矿山土地复垦时期安排，矿山复垦时期总体可分为开采期和闭坑后两个阶段，在开采期内对终了平台和其他废弃地及时复垦，修建截水沟、临时性排水沟等工程，对复垦区有效管护，持续监测；闭坑后对破坏区全面复垦，完善截排水工程，进行3年管护。</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eastAsia="宋体" w:cs="Times New Roman"/>
                <w:color w:val="auto"/>
                <w:sz w:val="24"/>
                <w:szCs w:val="24"/>
                <w:lang w:val="en-US" w:eastAsia="zh-CN"/>
              </w:rPr>
            </w:pPr>
            <w:r>
              <w:rPr>
                <w:rFonts w:hint="default" w:ascii="Times New Roman" w:hAnsi="Times New Roman" w:cs="Times New Roman"/>
                <w:color w:val="auto"/>
                <w:sz w:val="24"/>
                <w:szCs w:val="24"/>
              </w:rPr>
              <w:t>（</w:t>
            </w:r>
            <w:r>
              <w:rPr>
                <w:rFonts w:hint="default" w:ascii="Times New Roman" w:hAnsi="Times New Roman" w:cs="Times New Roman"/>
                <w:color w:val="auto"/>
                <w:sz w:val="24"/>
                <w:szCs w:val="24"/>
                <w:lang w:val="en-US" w:eastAsia="zh-CN"/>
              </w:rPr>
              <w:t>4</w:t>
            </w:r>
            <w:r>
              <w:rPr>
                <w:rFonts w:hint="default" w:ascii="Times New Roman" w:hAnsi="Times New Roman" w:cs="Times New Roman"/>
                <w:color w:val="auto"/>
                <w:sz w:val="24"/>
                <w:szCs w:val="24"/>
              </w:rPr>
              <w:t>）</w:t>
            </w:r>
            <w:r>
              <w:rPr>
                <w:rFonts w:hint="eastAsia" w:cs="Times New Roman"/>
                <w:color w:val="auto"/>
                <w:sz w:val="24"/>
                <w:szCs w:val="24"/>
                <w:lang w:val="en-US" w:eastAsia="zh-CN"/>
              </w:rPr>
              <w:t>新增</w:t>
            </w:r>
            <w:r>
              <w:rPr>
                <w:rFonts w:hint="default" w:ascii="Times New Roman" w:hAnsi="Times New Roman" w:cs="Times New Roman"/>
                <w:color w:val="auto"/>
                <w:sz w:val="24"/>
                <w:szCs w:val="24"/>
                <w:lang w:val="en-US" w:eastAsia="zh-CN"/>
              </w:rPr>
              <w:t>表土</w:t>
            </w:r>
            <w:r>
              <w:rPr>
                <w:rFonts w:hint="eastAsia" w:cs="Times New Roman"/>
                <w:color w:val="auto"/>
                <w:sz w:val="24"/>
                <w:szCs w:val="24"/>
                <w:lang w:val="en-US" w:eastAsia="zh-CN"/>
              </w:rPr>
              <w:t>、成品中转堆场</w:t>
            </w:r>
            <w:r>
              <w:rPr>
                <w:rFonts w:hint="default" w:ascii="Times New Roman" w:hAnsi="Times New Roman" w:cs="Times New Roman"/>
                <w:color w:val="auto"/>
                <w:sz w:val="24"/>
                <w:szCs w:val="24"/>
                <w:lang w:val="en-US" w:eastAsia="zh-CN"/>
              </w:rPr>
              <w:t>复垦</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eastAsia="宋体" w:cs="Times New Roman"/>
                <w:sz w:val="24"/>
                <w:szCs w:val="24"/>
              </w:rPr>
            </w:pPr>
            <w:r>
              <w:rPr>
                <w:rFonts w:hint="default" w:ascii="Times New Roman" w:hAnsi="Times New Roman" w:cs="Times New Roman"/>
                <w:sz w:val="24"/>
                <w:szCs w:val="24"/>
                <w:lang w:val="en-US" w:eastAsia="zh-CN"/>
              </w:rPr>
              <w:t>新增表土堆场、</w:t>
            </w:r>
            <w:r>
              <w:rPr>
                <w:rFonts w:hint="eastAsia" w:cs="Times New Roman"/>
                <w:sz w:val="24"/>
                <w:szCs w:val="24"/>
                <w:lang w:val="en-US" w:eastAsia="zh-CN"/>
              </w:rPr>
              <w:t>成品中转堆场</w:t>
            </w:r>
            <w:r>
              <w:rPr>
                <w:rFonts w:hint="default" w:ascii="Times New Roman" w:hAnsi="Times New Roman" w:eastAsia="宋体" w:cs="Times New Roman"/>
                <w:sz w:val="24"/>
                <w:szCs w:val="24"/>
              </w:rPr>
              <w:t>占地面积约</w:t>
            </w:r>
            <w:r>
              <w:rPr>
                <w:rFonts w:hint="eastAsia" w:cs="Times New Roman"/>
                <w:sz w:val="24"/>
                <w:szCs w:val="24"/>
                <w:lang w:val="en-US" w:eastAsia="zh-CN"/>
              </w:rPr>
              <w:t>24227</w:t>
            </w:r>
            <w:r>
              <w:rPr>
                <w:rFonts w:hint="default" w:ascii="Times New Roman" w:hAnsi="Times New Roman" w:eastAsia="宋体" w:cs="Times New Roman"/>
                <w:sz w:val="24"/>
                <w:szCs w:val="24"/>
              </w:rPr>
              <w:t>m²，压占土地类型为乔木林地、</w:t>
            </w:r>
            <w:r>
              <w:rPr>
                <w:rFonts w:hint="eastAsia" w:cs="Times New Roman"/>
                <w:sz w:val="24"/>
                <w:szCs w:val="24"/>
                <w:lang w:val="en-US" w:eastAsia="zh-CN"/>
              </w:rPr>
              <w:t>草地</w:t>
            </w:r>
            <w:r>
              <w:rPr>
                <w:rFonts w:hint="default" w:ascii="Times New Roman" w:hAnsi="Times New Roman" w:eastAsia="宋体" w:cs="Times New Roman"/>
                <w:sz w:val="24"/>
                <w:szCs w:val="24"/>
              </w:rPr>
              <w:t>，复垦工程包括：</w:t>
            </w:r>
            <w:r>
              <w:rPr>
                <w:rFonts w:hint="eastAsia" w:cs="Times New Roman"/>
                <w:sz w:val="24"/>
                <w:szCs w:val="24"/>
                <w:lang w:val="en-US" w:eastAsia="zh-CN"/>
              </w:rPr>
              <w:t>表土剥离</w:t>
            </w:r>
            <w:r>
              <w:rPr>
                <w:rFonts w:hint="default" w:ascii="Times New Roman" w:hAnsi="Times New Roman" w:eastAsia="宋体" w:cs="Times New Roman"/>
                <w:sz w:val="24"/>
                <w:szCs w:val="24"/>
              </w:rPr>
              <w:t>、</w:t>
            </w:r>
            <w:r>
              <w:rPr>
                <w:rFonts w:hint="eastAsia" w:cs="Times New Roman"/>
                <w:sz w:val="24"/>
                <w:szCs w:val="24"/>
                <w:lang w:val="en-US" w:eastAsia="zh-CN"/>
              </w:rPr>
              <w:t>回填，植被恢复等</w:t>
            </w:r>
            <w:r>
              <w:rPr>
                <w:rFonts w:hint="default" w:ascii="Times New Roman" w:hAnsi="Times New Roman" w:eastAsia="宋体" w:cs="Times New Roman"/>
                <w:sz w:val="24"/>
                <w:szCs w:val="24"/>
              </w:rPr>
              <w:t>。</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sz w:val="24"/>
                <w:szCs w:val="24"/>
              </w:rPr>
            </w:pPr>
            <w:r>
              <w:rPr>
                <w:rFonts w:hint="default"/>
                <w:sz w:val="24"/>
                <w:szCs w:val="24"/>
              </w:rPr>
              <w:t>1）表土剥离</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sz w:val="24"/>
                <w:szCs w:val="24"/>
              </w:rPr>
            </w:pPr>
            <w:r>
              <w:rPr>
                <w:rFonts w:hint="default"/>
                <w:sz w:val="24"/>
                <w:szCs w:val="24"/>
              </w:rPr>
              <w:t>临时用地作业之前，需对地表进行表土剥离，表土剥离按照《湖南省耕地质量管理条例》的有关要求进行剥离。剥离表土均在临时用地内集中堆放，不再占用其它土地；表土堆放高度为 3.0m 左右，周围设置土袋围挡，以防止水土流失。剥离的表土属于耕作层土壤，富含腐殖质，是临时工程占地复垦时的耕作层覆土来源。</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sz w:val="24"/>
                <w:szCs w:val="24"/>
              </w:rPr>
            </w:pPr>
            <w:r>
              <w:rPr>
                <w:rFonts w:hint="default"/>
                <w:sz w:val="24"/>
                <w:szCs w:val="24"/>
              </w:rPr>
              <w:t>2）设置挡土墙</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sz w:val="24"/>
                <w:szCs w:val="24"/>
              </w:rPr>
            </w:pPr>
            <w:r>
              <w:rPr>
                <w:rFonts w:hint="default"/>
                <w:sz w:val="24"/>
                <w:szCs w:val="24"/>
              </w:rPr>
              <w:t>根据“先拦后倒”的施工原则，在堆料场低洼填方区的边界处，应设置挡土墙，防止山体滑坡和对范围外土地的破坏。</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sz w:val="24"/>
                <w:szCs w:val="24"/>
              </w:rPr>
            </w:pPr>
            <w:r>
              <w:rPr>
                <w:rFonts w:hint="default"/>
                <w:sz w:val="24"/>
                <w:szCs w:val="24"/>
              </w:rPr>
              <w:t>3）筑坡工程</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sz w:val="24"/>
                <w:szCs w:val="24"/>
              </w:rPr>
            </w:pPr>
            <w:r>
              <w:rPr>
                <w:rFonts w:hint="default"/>
                <w:sz w:val="24"/>
                <w:szCs w:val="24"/>
              </w:rPr>
              <w:t>堆料场在弃土过程中应及时平整，分层夯实。对形成的人工坡面进行夯实处理，防止土体不稳造成水土流失，人工坡面控制在1:1.5～1:2 之间。坡面在植被恢复之前，设置密目网护坡，防止土方滑坡。弃渣时应注意将石方、三四类的土方弃于底层，一二类土、肥力较好的土壤弃于顶层，以保证复垦时的土壤质量。</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sz w:val="24"/>
                <w:szCs w:val="24"/>
              </w:rPr>
            </w:pPr>
            <w:r>
              <w:rPr>
                <w:rFonts w:hint="default"/>
                <w:sz w:val="24"/>
                <w:szCs w:val="24"/>
              </w:rPr>
              <w:t>4）构筑心土层</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sz w:val="24"/>
                <w:szCs w:val="24"/>
              </w:rPr>
            </w:pPr>
            <w:r>
              <w:rPr>
                <w:rFonts w:hint="default"/>
                <w:sz w:val="24"/>
                <w:szCs w:val="24"/>
              </w:rPr>
              <w:t>土地平整后，为保证堆放区域的保水保肥性能，应在堆土表面构筑心土层。心土层厚度不低于 0.3m,压实度不低于 90%。构筑心土层时，注意选用合适的土壤，土质以粘土为佳。</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sz w:val="24"/>
                <w:szCs w:val="24"/>
              </w:rPr>
            </w:pPr>
            <w:r>
              <w:rPr>
                <w:rFonts w:hint="default"/>
                <w:sz w:val="24"/>
                <w:szCs w:val="24"/>
              </w:rPr>
              <w:t>5）表土回填</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sz w:val="24"/>
                <w:szCs w:val="24"/>
              </w:rPr>
            </w:pPr>
            <w:r>
              <w:rPr>
                <w:rFonts w:hint="default"/>
                <w:sz w:val="24"/>
                <w:szCs w:val="24"/>
              </w:rPr>
              <w:t>复垦时，将剥离集中堆放的表土推平回填至复垦区，使林地复垦区表层土厚度大于 30cm，以满足作物生长需要。表土不足部分从主体工程剥离的表土集中堆放区借调。</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sz w:val="24"/>
                <w:szCs w:val="24"/>
              </w:rPr>
            </w:pPr>
            <w:r>
              <w:rPr>
                <w:rFonts w:hint="default"/>
                <w:sz w:val="24"/>
                <w:szCs w:val="24"/>
              </w:rPr>
              <w:t>6）植被恢复</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sz w:val="24"/>
                <w:szCs w:val="24"/>
              </w:rPr>
            </w:pPr>
            <w:r>
              <w:rPr>
                <w:rFonts w:hint="default"/>
                <w:sz w:val="24"/>
                <w:szCs w:val="24"/>
              </w:rPr>
              <w:t>复垦后的林地区种植杉树、栾树，选择生长 1 年的树苗，直径在1-1.5cm，20cm 带土球，种植株距 2 米，行距为 2 米。株间、边坡播撒草籽，防风固土，防止水土流失。</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sz w:val="24"/>
                <w:szCs w:val="24"/>
              </w:rPr>
            </w:pPr>
            <w:r>
              <w:rPr>
                <w:rFonts w:hint="default"/>
                <w:sz w:val="24"/>
                <w:szCs w:val="24"/>
              </w:rPr>
              <w:t>7）灌、排沟渠</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sz w:val="24"/>
                <w:szCs w:val="24"/>
              </w:rPr>
            </w:pPr>
            <w:r>
              <w:rPr>
                <w:rFonts w:hint="default"/>
                <w:sz w:val="24"/>
                <w:szCs w:val="24"/>
              </w:rPr>
              <w:t>为减轻雨水对场地的冲刷，增加场地稳定性，减少水土流失，在场地内设置截流沟与周边现状水系相接。</w:t>
            </w:r>
          </w:p>
          <w:p>
            <w:pPr>
              <w:keepNext w:val="0"/>
              <w:keepLines w:val="0"/>
              <w:suppressLineNumbers w:val="0"/>
              <w:spacing w:before="101" w:beforeAutospacing="0" w:after="0" w:afterAutospacing="0" w:line="219" w:lineRule="auto"/>
              <w:ind w:left="0" w:right="0"/>
              <w:jc w:val="center"/>
              <w:rPr>
                <w:rFonts w:hint="default" w:ascii="Times New Roman" w:hAnsi="Times New Roman" w:eastAsia="宋体" w:cs="Times New Roman"/>
                <w:sz w:val="21"/>
                <w:szCs w:val="21"/>
              </w:rPr>
            </w:pPr>
            <w:r>
              <w:rPr>
                <w:rFonts w:hint="default" w:ascii="Times New Roman" w:hAnsi="Times New Roman" w:eastAsia="宋体" w:cs="Times New Roman"/>
                <w:b/>
                <w:bCs/>
                <w:spacing w:val="6"/>
                <w:sz w:val="21"/>
                <w:szCs w:val="21"/>
                <w:lang w:val="en-US" w:eastAsia="zh-CN"/>
              </w:rPr>
              <w:t xml:space="preserve">表5-2 </w:t>
            </w:r>
            <w:r>
              <w:rPr>
                <w:rFonts w:hint="default" w:ascii="Times New Roman" w:hAnsi="Times New Roman" w:eastAsia="宋体" w:cs="Times New Roman"/>
                <w:b/>
                <w:bCs/>
                <w:spacing w:val="6"/>
                <w:sz w:val="21"/>
                <w:szCs w:val="21"/>
              </w:rPr>
              <w:t>土地复垦方案工程特性表</w:t>
            </w:r>
          </w:p>
          <w:tbl>
            <w:tblPr>
              <w:tblStyle w:val="63"/>
              <w:tblW w:w="8708" w:type="dxa"/>
              <w:tblInd w:w="6"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2233"/>
              <w:gridCol w:w="658"/>
              <w:gridCol w:w="1651"/>
              <w:gridCol w:w="1693"/>
              <w:gridCol w:w="247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Ex>
              <w:trPr>
                <w:trHeight w:val="390" w:hRule="atLeast"/>
              </w:trPr>
              <w:tc>
                <w:tcPr>
                  <w:tcW w:w="2233" w:type="dxa"/>
                  <w:vAlign w:val="center"/>
                </w:tcPr>
                <w:p>
                  <w:pPr>
                    <w:jc w:val="center"/>
                    <w:rPr>
                      <w:rFonts w:hint="default" w:ascii="Times New Roman" w:hAnsi="Times New Roman" w:cs="Times New Roman"/>
                    </w:rPr>
                  </w:pPr>
                  <w:r>
                    <w:rPr>
                      <w:rFonts w:hint="default" w:ascii="Times New Roman" w:hAnsi="Times New Roman" w:cs="Times New Roman"/>
                    </w:rPr>
                    <w:t>名    称</w:t>
                  </w:r>
                </w:p>
              </w:tc>
              <w:tc>
                <w:tcPr>
                  <w:tcW w:w="658" w:type="dxa"/>
                  <w:vAlign w:val="center"/>
                </w:tcPr>
                <w:p>
                  <w:pPr>
                    <w:jc w:val="center"/>
                    <w:rPr>
                      <w:rFonts w:hint="default" w:ascii="Times New Roman" w:hAnsi="Times New Roman" w:cs="Times New Roman"/>
                    </w:rPr>
                  </w:pPr>
                  <w:r>
                    <w:rPr>
                      <w:rFonts w:hint="default" w:ascii="Times New Roman" w:hAnsi="Times New Roman" w:cs="Times New Roman"/>
                    </w:rPr>
                    <w:t>单</w:t>
                  </w:r>
                </w:p>
              </w:tc>
              <w:tc>
                <w:tcPr>
                  <w:tcW w:w="3344" w:type="dxa"/>
                  <w:gridSpan w:val="2"/>
                  <w:vAlign w:val="center"/>
                </w:tcPr>
                <w:p>
                  <w:pPr>
                    <w:jc w:val="center"/>
                    <w:rPr>
                      <w:rFonts w:hint="default" w:ascii="Times New Roman" w:hAnsi="Times New Roman" w:cs="Times New Roman"/>
                    </w:rPr>
                  </w:pPr>
                  <w:r>
                    <w:rPr>
                      <w:rFonts w:hint="default" w:ascii="Times New Roman" w:hAnsi="Times New Roman" w:cs="Times New Roman"/>
                    </w:rPr>
                    <w:t>数  值</w:t>
                  </w:r>
                </w:p>
              </w:tc>
              <w:tc>
                <w:tcPr>
                  <w:tcW w:w="2473" w:type="dxa"/>
                  <w:vAlign w:val="center"/>
                </w:tcPr>
                <w:p>
                  <w:pPr>
                    <w:jc w:val="center"/>
                    <w:rPr>
                      <w:rFonts w:hint="default" w:ascii="Times New Roman" w:hAnsi="Times New Roman" w:cs="Times New Roman"/>
                    </w:rPr>
                  </w:pPr>
                  <w:r>
                    <w:rPr>
                      <w:rFonts w:hint="default" w:ascii="Times New Roman" w:hAnsi="Times New Roman" w:cs="Times New Roman"/>
                    </w:rPr>
                    <w:t>备 注</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Ex>
              <w:trPr>
                <w:trHeight w:val="381" w:hRule="atLeast"/>
              </w:trPr>
              <w:tc>
                <w:tcPr>
                  <w:tcW w:w="8708" w:type="dxa"/>
                  <w:gridSpan w:val="5"/>
                  <w:vAlign w:val="center"/>
                </w:tcPr>
                <w:p>
                  <w:pPr>
                    <w:jc w:val="center"/>
                    <w:rPr>
                      <w:rFonts w:hint="default" w:ascii="Times New Roman" w:hAnsi="Times New Roman" w:cs="Times New Roman"/>
                    </w:rPr>
                  </w:pPr>
                  <w:r>
                    <w:rPr>
                      <w:rFonts w:hint="default" w:ascii="Times New Roman" w:hAnsi="Times New Roman" w:cs="Times New Roman"/>
                      <w:b/>
                      <w:bCs/>
                    </w:rPr>
                    <w:t>一、项目概况</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Ex>
              <w:trPr>
                <w:trHeight w:val="382" w:hRule="atLeast"/>
              </w:trPr>
              <w:tc>
                <w:tcPr>
                  <w:tcW w:w="2233" w:type="dxa"/>
                  <w:vAlign w:val="center"/>
                </w:tcPr>
                <w:p>
                  <w:pPr>
                    <w:jc w:val="center"/>
                    <w:rPr>
                      <w:rFonts w:hint="default" w:ascii="Times New Roman" w:hAnsi="Times New Roman" w:cs="Times New Roman"/>
                    </w:rPr>
                  </w:pPr>
                  <w:r>
                    <w:rPr>
                      <w:rFonts w:hint="default" w:ascii="Times New Roman" w:hAnsi="Times New Roman" w:cs="Times New Roman"/>
                    </w:rPr>
                    <w:t>1.主体工程项目性质</w:t>
                  </w:r>
                </w:p>
              </w:tc>
              <w:tc>
                <w:tcPr>
                  <w:tcW w:w="6475" w:type="dxa"/>
                  <w:gridSpan w:val="4"/>
                  <w:vAlign w:val="center"/>
                </w:tcPr>
                <w:p>
                  <w:pPr>
                    <w:jc w:val="center"/>
                    <w:rPr>
                      <w:rFonts w:hint="default" w:ascii="Times New Roman" w:hAnsi="Times New Roman" w:cs="Times New Roman"/>
                    </w:rPr>
                  </w:pPr>
                  <w:r>
                    <w:rPr>
                      <w:rFonts w:hint="default" w:ascii="Times New Roman" w:hAnsi="Times New Roman" w:cs="Times New Roman"/>
                    </w:rPr>
                    <w:t>新建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Ex>
              <w:trPr>
                <w:trHeight w:val="380" w:hRule="atLeast"/>
              </w:trPr>
              <w:tc>
                <w:tcPr>
                  <w:tcW w:w="2233" w:type="dxa"/>
                  <w:vAlign w:val="center"/>
                </w:tcPr>
                <w:p>
                  <w:pPr>
                    <w:jc w:val="center"/>
                    <w:rPr>
                      <w:rFonts w:hint="default" w:ascii="Times New Roman" w:hAnsi="Times New Roman" w:cs="Times New Roman"/>
                    </w:rPr>
                  </w:pPr>
                  <w:r>
                    <w:rPr>
                      <w:rFonts w:hint="default" w:ascii="Times New Roman" w:hAnsi="Times New Roman" w:cs="Times New Roman"/>
                    </w:rPr>
                    <w:t>2.主体工程项目类型</w:t>
                  </w:r>
                </w:p>
              </w:tc>
              <w:tc>
                <w:tcPr>
                  <w:tcW w:w="6475" w:type="dxa"/>
                  <w:gridSpan w:val="4"/>
                  <w:vAlign w:val="center"/>
                </w:tcPr>
                <w:p>
                  <w:pPr>
                    <w:jc w:val="center"/>
                    <w:rPr>
                      <w:rFonts w:hint="default" w:ascii="Times New Roman" w:hAnsi="Times New Roman" w:cs="Times New Roman"/>
                    </w:rPr>
                  </w:pPr>
                  <w:r>
                    <w:rPr>
                      <w:rFonts w:hint="default" w:ascii="Times New Roman" w:hAnsi="Times New Roman" w:cs="Times New Roman"/>
                    </w:rPr>
                    <w:t>采矿工程</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Ex>
              <w:trPr>
                <w:trHeight w:val="382" w:hRule="atLeast"/>
              </w:trPr>
              <w:tc>
                <w:tcPr>
                  <w:tcW w:w="2233" w:type="dxa"/>
                  <w:vAlign w:val="center"/>
                </w:tcPr>
                <w:p>
                  <w:pPr>
                    <w:jc w:val="center"/>
                    <w:rPr>
                      <w:rFonts w:hint="default" w:ascii="Times New Roman" w:hAnsi="Times New Roman" w:cs="Times New Roman"/>
                    </w:rPr>
                  </w:pPr>
                  <w:r>
                    <w:rPr>
                      <w:rFonts w:hint="default" w:ascii="Times New Roman" w:hAnsi="Times New Roman" w:cs="Times New Roman"/>
                    </w:rPr>
                    <w:t>3.主体工程所在地点</w:t>
                  </w:r>
                </w:p>
              </w:tc>
              <w:tc>
                <w:tcPr>
                  <w:tcW w:w="6475" w:type="dxa"/>
                  <w:gridSpan w:val="4"/>
                  <w:vAlign w:val="center"/>
                </w:tcPr>
                <w:p>
                  <w:pPr>
                    <w:jc w:val="center"/>
                    <w:rPr>
                      <w:rFonts w:hint="default" w:ascii="Times New Roman" w:hAnsi="Times New Roman" w:cs="Times New Roman"/>
                    </w:rPr>
                  </w:pPr>
                  <w:r>
                    <w:rPr>
                      <w:rFonts w:hint="default" w:ascii="Times New Roman" w:hAnsi="Times New Roman" w:cs="Times New Roman"/>
                    </w:rPr>
                    <w:t>零陵区石山脚街道燕朝村、梳子铺乡红狮村</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Ex>
              <w:trPr>
                <w:trHeight w:val="382" w:hRule="atLeast"/>
              </w:trPr>
              <w:tc>
                <w:tcPr>
                  <w:tcW w:w="2233" w:type="dxa"/>
                  <w:vAlign w:val="center"/>
                </w:tcPr>
                <w:p>
                  <w:pPr>
                    <w:jc w:val="center"/>
                    <w:rPr>
                      <w:rFonts w:hint="default" w:ascii="Times New Roman" w:hAnsi="Times New Roman" w:cs="Times New Roman"/>
                    </w:rPr>
                  </w:pPr>
                  <w:r>
                    <w:rPr>
                      <w:rFonts w:hint="default" w:ascii="Times New Roman" w:hAnsi="Times New Roman" w:cs="Times New Roman"/>
                    </w:rPr>
                    <w:t>4.临时用地主要损毁类</w:t>
                  </w:r>
                </w:p>
              </w:tc>
              <w:tc>
                <w:tcPr>
                  <w:tcW w:w="6475" w:type="dxa"/>
                  <w:gridSpan w:val="4"/>
                  <w:vAlign w:val="center"/>
                </w:tcPr>
                <w:p>
                  <w:pPr>
                    <w:jc w:val="center"/>
                    <w:rPr>
                      <w:rFonts w:hint="default" w:ascii="Times New Roman" w:hAnsi="Times New Roman" w:cs="Times New Roman"/>
                    </w:rPr>
                  </w:pPr>
                  <w:r>
                    <w:rPr>
                      <w:rFonts w:hint="default" w:ascii="Times New Roman" w:hAnsi="Times New Roman" w:cs="Times New Roman"/>
                    </w:rPr>
                    <w:t>压占</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Ex>
              <w:trPr>
                <w:trHeight w:val="380" w:hRule="atLeast"/>
              </w:trPr>
              <w:tc>
                <w:tcPr>
                  <w:tcW w:w="2233" w:type="dxa"/>
                  <w:vAlign w:val="center"/>
                </w:tcPr>
                <w:p>
                  <w:pPr>
                    <w:jc w:val="center"/>
                    <w:rPr>
                      <w:rFonts w:hint="default" w:ascii="Times New Roman" w:hAnsi="Times New Roman" w:cs="Times New Roman"/>
                    </w:rPr>
                  </w:pPr>
                  <w:r>
                    <w:rPr>
                      <w:rFonts w:hint="default" w:ascii="Times New Roman" w:hAnsi="Times New Roman" w:cs="Times New Roman"/>
                    </w:rPr>
                    <w:t>5.临时用地复垦对象</w:t>
                  </w:r>
                </w:p>
              </w:tc>
              <w:tc>
                <w:tcPr>
                  <w:tcW w:w="6475" w:type="dxa"/>
                  <w:gridSpan w:val="4"/>
                  <w:vAlign w:val="center"/>
                </w:tcPr>
                <w:p>
                  <w:pPr>
                    <w:jc w:val="center"/>
                    <w:rPr>
                      <w:rFonts w:hint="default" w:ascii="Times New Roman" w:hAnsi="Times New Roman" w:cs="Times New Roman"/>
                    </w:rPr>
                  </w:pPr>
                  <w:r>
                    <w:rPr>
                      <w:rFonts w:hint="default" w:ascii="Times New Roman" w:hAnsi="Times New Roman" w:cs="Times New Roman"/>
                    </w:rPr>
                    <w:t>堆料场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Ex>
              <w:trPr>
                <w:trHeight w:val="382" w:hRule="atLeast"/>
              </w:trPr>
              <w:tc>
                <w:tcPr>
                  <w:tcW w:w="2233" w:type="dxa"/>
                  <w:vAlign w:val="center"/>
                </w:tcPr>
                <w:p>
                  <w:pPr>
                    <w:jc w:val="center"/>
                    <w:rPr>
                      <w:rFonts w:hint="default" w:ascii="Times New Roman" w:hAnsi="Times New Roman" w:cs="Times New Roman"/>
                    </w:rPr>
                  </w:pPr>
                  <w:r>
                    <w:rPr>
                      <w:rFonts w:hint="default" w:ascii="Times New Roman" w:hAnsi="Times New Roman" w:cs="Times New Roman"/>
                    </w:rPr>
                    <w:t>6.临时用地使用地点</w:t>
                  </w:r>
                </w:p>
              </w:tc>
              <w:tc>
                <w:tcPr>
                  <w:tcW w:w="6475" w:type="dxa"/>
                  <w:gridSpan w:val="4"/>
                  <w:vAlign w:val="center"/>
                </w:tcPr>
                <w:p>
                  <w:pPr>
                    <w:jc w:val="center"/>
                    <w:rPr>
                      <w:rFonts w:hint="default" w:ascii="Times New Roman" w:hAnsi="Times New Roman" w:cs="Times New Roman"/>
                    </w:rPr>
                  </w:pPr>
                  <w:r>
                    <w:rPr>
                      <w:rFonts w:hint="default" w:ascii="Times New Roman" w:hAnsi="Times New Roman" w:cs="Times New Roman"/>
                    </w:rPr>
                    <w:t>零陵区石山脚街道燕朝村、梳子铺乡红狮村</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Ex>
              <w:trPr>
                <w:trHeight w:val="382" w:hRule="atLeast"/>
              </w:trPr>
              <w:tc>
                <w:tcPr>
                  <w:tcW w:w="2233" w:type="dxa"/>
                  <w:vAlign w:val="center"/>
                </w:tcPr>
                <w:p>
                  <w:pPr>
                    <w:jc w:val="center"/>
                    <w:rPr>
                      <w:rFonts w:hint="default" w:ascii="Times New Roman" w:hAnsi="Times New Roman" w:cs="Times New Roman"/>
                    </w:rPr>
                  </w:pPr>
                  <w:r>
                    <w:rPr>
                      <w:rFonts w:hint="default" w:ascii="Times New Roman" w:hAnsi="Times New Roman" w:cs="Times New Roman"/>
                    </w:rPr>
                    <w:t>7.临时用地复垦规模</w:t>
                  </w:r>
                </w:p>
              </w:tc>
              <w:tc>
                <w:tcPr>
                  <w:tcW w:w="658" w:type="dxa"/>
                  <w:vAlign w:val="center"/>
                </w:tcPr>
                <w:p>
                  <w:pPr>
                    <w:jc w:val="center"/>
                    <w:rPr>
                      <w:rFonts w:hint="default" w:ascii="Times New Roman" w:hAnsi="Times New Roman" w:cs="Times New Roman"/>
                    </w:rPr>
                  </w:pPr>
                  <w:r>
                    <w:rPr>
                      <w:rFonts w:hint="default" w:ascii="Times New Roman" w:hAnsi="Times New Roman" w:cs="Times New Roman"/>
                    </w:rPr>
                    <w:t>单位</w:t>
                  </w:r>
                </w:p>
              </w:tc>
              <w:tc>
                <w:tcPr>
                  <w:tcW w:w="1651" w:type="dxa"/>
                  <w:vAlign w:val="center"/>
                </w:tcPr>
                <w:p>
                  <w:pPr>
                    <w:jc w:val="center"/>
                    <w:rPr>
                      <w:rFonts w:hint="default" w:ascii="Times New Roman" w:hAnsi="Times New Roman" w:cs="Times New Roman"/>
                    </w:rPr>
                  </w:pPr>
                  <w:r>
                    <w:rPr>
                      <w:rFonts w:hint="default" w:ascii="Times New Roman" w:hAnsi="Times New Roman" w:cs="Times New Roman"/>
                    </w:rPr>
                    <w:t>复垦前</w:t>
                  </w:r>
                </w:p>
              </w:tc>
              <w:tc>
                <w:tcPr>
                  <w:tcW w:w="1693" w:type="dxa"/>
                  <w:vAlign w:val="center"/>
                </w:tcPr>
                <w:p>
                  <w:pPr>
                    <w:jc w:val="center"/>
                    <w:rPr>
                      <w:rFonts w:hint="default" w:ascii="Times New Roman" w:hAnsi="Times New Roman" w:cs="Times New Roman"/>
                    </w:rPr>
                  </w:pPr>
                  <w:r>
                    <w:rPr>
                      <w:rFonts w:hint="default" w:ascii="Times New Roman" w:hAnsi="Times New Roman" w:cs="Times New Roman"/>
                    </w:rPr>
                    <w:t>复垦后</w:t>
                  </w:r>
                </w:p>
              </w:tc>
              <w:tc>
                <w:tcPr>
                  <w:tcW w:w="2473" w:type="dxa"/>
                  <w:vAlign w:val="center"/>
                </w:tcPr>
                <w:p>
                  <w:pPr>
                    <w:jc w:val="center"/>
                    <w:rPr>
                      <w:rFonts w:hint="default" w:ascii="Times New Roman" w:hAnsi="Times New Roman" w:cs="Times New Roma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Ex>
              <w:trPr>
                <w:trHeight w:val="382" w:hRule="atLeast"/>
              </w:trPr>
              <w:tc>
                <w:tcPr>
                  <w:tcW w:w="2233" w:type="dxa"/>
                  <w:vAlign w:val="center"/>
                </w:tcPr>
                <w:p>
                  <w:pPr>
                    <w:jc w:val="center"/>
                    <w:rPr>
                      <w:rFonts w:hint="default" w:ascii="Times New Roman" w:hAnsi="Times New Roman" w:cs="Times New Roman"/>
                    </w:rPr>
                  </w:pPr>
                  <w:r>
                    <w:rPr>
                      <w:rFonts w:hint="default" w:ascii="Times New Roman" w:hAnsi="Times New Roman" w:cs="Times New Roman"/>
                    </w:rPr>
                    <w:t>乔木林地</w:t>
                  </w:r>
                </w:p>
              </w:tc>
              <w:tc>
                <w:tcPr>
                  <w:tcW w:w="658" w:type="dxa"/>
                  <w:vAlign w:val="center"/>
                </w:tcPr>
                <w:p>
                  <w:pPr>
                    <w:jc w:val="center"/>
                    <w:rPr>
                      <w:rFonts w:hint="default" w:ascii="Times New Roman" w:hAnsi="Times New Roman" w:cs="Times New Roman"/>
                    </w:rPr>
                  </w:pPr>
                  <w:r>
                    <w:rPr>
                      <w:rFonts w:hint="default" w:ascii="Times New Roman" w:hAnsi="Times New Roman" w:cs="Times New Roman"/>
                    </w:rPr>
                    <w:t>ha</w:t>
                  </w:r>
                </w:p>
              </w:tc>
              <w:tc>
                <w:tcPr>
                  <w:tcW w:w="1651" w:type="dxa"/>
                  <w:vAlign w:val="center"/>
                </w:tcPr>
                <w:p>
                  <w:pPr>
                    <w:jc w:val="center"/>
                    <w:rPr>
                      <w:rFonts w:hint="default" w:ascii="Times New Roman" w:hAnsi="Times New Roman" w:cs="Times New Roman"/>
                    </w:rPr>
                  </w:pPr>
                  <w:r>
                    <w:rPr>
                      <w:rFonts w:hint="default" w:ascii="Times New Roman" w:hAnsi="Times New Roman" w:cs="Times New Roman"/>
                    </w:rPr>
                    <w:t>0.8252</w:t>
                  </w:r>
                </w:p>
              </w:tc>
              <w:tc>
                <w:tcPr>
                  <w:tcW w:w="1693" w:type="dxa"/>
                  <w:vAlign w:val="center"/>
                </w:tcPr>
                <w:p>
                  <w:pPr>
                    <w:jc w:val="center"/>
                    <w:rPr>
                      <w:rFonts w:hint="default" w:ascii="Times New Roman" w:hAnsi="Times New Roman" w:cs="Times New Roman"/>
                    </w:rPr>
                  </w:pPr>
                </w:p>
              </w:tc>
              <w:tc>
                <w:tcPr>
                  <w:tcW w:w="2473" w:type="dxa"/>
                  <w:vAlign w:val="center"/>
                </w:tcPr>
                <w:p>
                  <w:pPr>
                    <w:jc w:val="center"/>
                    <w:rPr>
                      <w:rFonts w:hint="default" w:ascii="Times New Roman" w:hAnsi="Times New Roman" w:cs="Times New Roma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Ex>
              <w:trPr>
                <w:trHeight w:val="382" w:hRule="atLeast"/>
              </w:trPr>
              <w:tc>
                <w:tcPr>
                  <w:tcW w:w="2233" w:type="dxa"/>
                  <w:vAlign w:val="center"/>
                </w:tcPr>
                <w:p>
                  <w:pPr>
                    <w:jc w:val="center"/>
                    <w:rPr>
                      <w:rFonts w:hint="default" w:ascii="Times New Roman" w:hAnsi="Times New Roman" w:cs="Times New Roman"/>
                    </w:rPr>
                  </w:pPr>
                  <w:r>
                    <w:rPr>
                      <w:rFonts w:hint="default" w:ascii="Times New Roman" w:hAnsi="Times New Roman" w:cs="Times New Roman"/>
                    </w:rPr>
                    <w:t>灌木林地</w:t>
                  </w:r>
                </w:p>
              </w:tc>
              <w:tc>
                <w:tcPr>
                  <w:tcW w:w="658" w:type="dxa"/>
                  <w:vAlign w:val="center"/>
                </w:tcPr>
                <w:p>
                  <w:pPr>
                    <w:jc w:val="center"/>
                    <w:rPr>
                      <w:rFonts w:hint="default" w:ascii="Times New Roman" w:hAnsi="Times New Roman" w:cs="Times New Roman"/>
                    </w:rPr>
                  </w:pPr>
                  <w:r>
                    <w:rPr>
                      <w:rFonts w:hint="default" w:ascii="Times New Roman" w:hAnsi="Times New Roman" w:cs="Times New Roman"/>
                    </w:rPr>
                    <w:t>ha</w:t>
                  </w:r>
                </w:p>
              </w:tc>
              <w:tc>
                <w:tcPr>
                  <w:tcW w:w="1651" w:type="dxa"/>
                  <w:vAlign w:val="center"/>
                </w:tcPr>
                <w:p>
                  <w:pPr>
                    <w:jc w:val="center"/>
                    <w:rPr>
                      <w:rFonts w:hint="default" w:ascii="Times New Roman" w:hAnsi="Times New Roman" w:cs="Times New Roman"/>
                    </w:rPr>
                  </w:pPr>
                  <w:r>
                    <w:rPr>
                      <w:rFonts w:hint="default" w:ascii="Times New Roman" w:hAnsi="Times New Roman" w:cs="Times New Roman"/>
                    </w:rPr>
                    <w:t>0.8135</w:t>
                  </w:r>
                </w:p>
              </w:tc>
              <w:tc>
                <w:tcPr>
                  <w:tcW w:w="1693" w:type="dxa"/>
                  <w:vAlign w:val="center"/>
                </w:tcPr>
                <w:p>
                  <w:pPr>
                    <w:jc w:val="center"/>
                    <w:rPr>
                      <w:rFonts w:hint="default" w:ascii="Times New Roman" w:hAnsi="Times New Roman" w:cs="Times New Roman"/>
                    </w:rPr>
                  </w:pPr>
                </w:p>
              </w:tc>
              <w:tc>
                <w:tcPr>
                  <w:tcW w:w="2473" w:type="dxa"/>
                  <w:vAlign w:val="center"/>
                </w:tcPr>
                <w:p>
                  <w:pPr>
                    <w:jc w:val="center"/>
                    <w:rPr>
                      <w:rFonts w:hint="default" w:ascii="Times New Roman" w:hAnsi="Times New Roman" w:cs="Times New Roma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Ex>
              <w:trPr>
                <w:trHeight w:val="382" w:hRule="atLeast"/>
              </w:trPr>
              <w:tc>
                <w:tcPr>
                  <w:tcW w:w="2233" w:type="dxa"/>
                  <w:vAlign w:val="center"/>
                </w:tcPr>
                <w:p>
                  <w:pPr>
                    <w:jc w:val="center"/>
                    <w:rPr>
                      <w:rFonts w:hint="default" w:ascii="Times New Roman" w:hAnsi="Times New Roman" w:cs="Times New Roman"/>
                    </w:rPr>
                  </w:pPr>
                  <w:r>
                    <w:rPr>
                      <w:rFonts w:hint="default" w:ascii="Times New Roman" w:hAnsi="Times New Roman" w:cs="Times New Roman"/>
                    </w:rPr>
                    <w:t>其他林地</w:t>
                  </w:r>
                </w:p>
              </w:tc>
              <w:tc>
                <w:tcPr>
                  <w:tcW w:w="658" w:type="dxa"/>
                  <w:vAlign w:val="center"/>
                </w:tcPr>
                <w:p>
                  <w:pPr>
                    <w:jc w:val="center"/>
                    <w:rPr>
                      <w:rFonts w:hint="default" w:ascii="Times New Roman" w:hAnsi="Times New Roman" w:cs="Times New Roman"/>
                    </w:rPr>
                  </w:pPr>
                  <w:r>
                    <w:rPr>
                      <w:rFonts w:hint="default" w:ascii="Times New Roman" w:hAnsi="Times New Roman" w:cs="Times New Roman"/>
                    </w:rPr>
                    <w:t>ha</w:t>
                  </w:r>
                </w:p>
              </w:tc>
              <w:tc>
                <w:tcPr>
                  <w:tcW w:w="1651" w:type="dxa"/>
                  <w:vAlign w:val="center"/>
                </w:tcPr>
                <w:p>
                  <w:pPr>
                    <w:jc w:val="center"/>
                    <w:rPr>
                      <w:rFonts w:hint="default" w:ascii="Times New Roman" w:hAnsi="Times New Roman" w:cs="Times New Roman"/>
                    </w:rPr>
                  </w:pPr>
                  <w:r>
                    <w:rPr>
                      <w:rFonts w:hint="default" w:ascii="Times New Roman" w:hAnsi="Times New Roman" w:cs="Times New Roman"/>
                    </w:rPr>
                    <w:t>0.0000</w:t>
                  </w:r>
                </w:p>
              </w:tc>
              <w:tc>
                <w:tcPr>
                  <w:tcW w:w="1693" w:type="dxa"/>
                  <w:vAlign w:val="center"/>
                </w:tcPr>
                <w:p>
                  <w:pPr>
                    <w:jc w:val="center"/>
                    <w:rPr>
                      <w:rFonts w:hint="default" w:ascii="Times New Roman" w:hAnsi="Times New Roman" w:cs="Times New Roman"/>
                    </w:rPr>
                  </w:pPr>
                  <w:r>
                    <w:rPr>
                      <w:rFonts w:hint="default" w:ascii="Times New Roman" w:hAnsi="Times New Roman" w:cs="Times New Roman"/>
                    </w:rPr>
                    <w:t>2.4227</w:t>
                  </w:r>
                </w:p>
              </w:tc>
              <w:tc>
                <w:tcPr>
                  <w:tcW w:w="2473" w:type="dxa"/>
                  <w:vAlign w:val="center"/>
                </w:tcPr>
                <w:p>
                  <w:pPr>
                    <w:jc w:val="center"/>
                    <w:rPr>
                      <w:rFonts w:hint="default" w:ascii="Times New Roman" w:hAnsi="Times New Roman" w:cs="Times New Roma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Ex>
              <w:trPr>
                <w:trHeight w:val="380" w:hRule="atLeast"/>
              </w:trPr>
              <w:tc>
                <w:tcPr>
                  <w:tcW w:w="2233" w:type="dxa"/>
                  <w:vAlign w:val="center"/>
                </w:tcPr>
                <w:p>
                  <w:pPr>
                    <w:jc w:val="center"/>
                    <w:rPr>
                      <w:rFonts w:hint="default" w:ascii="Times New Roman" w:hAnsi="Times New Roman" w:cs="Times New Roman"/>
                    </w:rPr>
                  </w:pPr>
                  <w:r>
                    <w:rPr>
                      <w:rFonts w:hint="default" w:ascii="Times New Roman" w:hAnsi="Times New Roman" w:cs="Times New Roman"/>
                    </w:rPr>
                    <w:t>其他草地</w:t>
                  </w:r>
                </w:p>
              </w:tc>
              <w:tc>
                <w:tcPr>
                  <w:tcW w:w="658" w:type="dxa"/>
                  <w:vAlign w:val="center"/>
                </w:tcPr>
                <w:p>
                  <w:pPr>
                    <w:jc w:val="center"/>
                    <w:rPr>
                      <w:rFonts w:hint="default" w:ascii="Times New Roman" w:hAnsi="Times New Roman" w:cs="Times New Roman"/>
                    </w:rPr>
                  </w:pPr>
                  <w:r>
                    <w:rPr>
                      <w:rFonts w:hint="default" w:ascii="Times New Roman" w:hAnsi="Times New Roman" w:cs="Times New Roman"/>
                    </w:rPr>
                    <w:t>ha</w:t>
                  </w:r>
                </w:p>
              </w:tc>
              <w:tc>
                <w:tcPr>
                  <w:tcW w:w="1651" w:type="dxa"/>
                  <w:vAlign w:val="center"/>
                </w:tcPr>
                <w:p>
                  <w:pPr>
                    <w:jc w:val="center"/>
                    <w:rPr>
                      <w:rFonts w:hint="default" w:ascii="Times New Roman" w:hAnsi="Times New Roman" w:cs="Times New Roman"/>
                    </w:rPr>
                  </w:pPr>
                  <w:r>
                    <w:rPr>
                      <w:rFonts w:hint="default" w:ascii="Times New Roman" w:hAnsi="Times New Roman" w:cs="Times New Roman"/>
                    </w:rPr>
                    <w:t>0.7601</w:t>
                  </w:r>
                </w:p>
              </w:tc>
              <w:tc>
                <w:tcPr>
                  <w:tcW w:w="1693" w:type="dxa"/>
                  <w:vAlign w:val="center"/>
                </w:tcPr>
                <w:p>
                  <w:pPr>
                    <w:jc w:val="center"/>
                    <w:rPr>
                      <w:rFonts w:hint="default" w:ascii="Times New Roman" w:hAnsi="Times New Roman" w:cs="Times New Roman"/>
                    </w:rPr>
                  </w:pPr>
                </w:p>
              </w:tc>
              <w:tc>
                <w:tcPr>
                  <w:tcW w:w="2473" w:type="dxa"/>
                  <w:vAlign w:val="center"/>
                </w:tcPr>
                <w:p>
                  <w:pPr>
                    <w:jc w:val="center"/>
                    <w:rPr>
                      <w:rFonts w:hint="default" w:ascii="Times New Roman" w:hAnsi="Times New Roman" w:cs="Times New Roma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Ex>
              <w:trPr>
                <w:trHeight w:val="382" w:hRule="atLeast"/>
              </w:trPr>
              <w:tc>
                <w:tcPr>
                  <w:tcW w:w="2233" w:type="dxa"/>
                  <w:vAlign w:val="center"/>
                </w:tcPr>
                <w:p>
                  <w:pPr>
                    <w:jc w:val="center"/>
                    <w:rPr>
                      <w:rFonts w:hint="default" w:ascii="Times New Roman" w:hAnsi="Times New Roman" w:cs="Times New Roman"/>
                    </w:rPr>
                  </w:pPr>
                  <w:r>
                    <w:rPr>
                      <w:rFonts w:hint="default" w:ascii="Times New Roman" w:hAnsi="Times New Roman" w:cs="Times New Roman"/>
                    </w:rPr>
                    <w:t>农村道路</w:t>
                  </w:r>
                </w:p>
              </w:tc>
              <w:tc>
                <w:tcPr>
                  <w:tcW w:w="658" w:type="dxa"/>
                  <w:vAlign w:val="center"/>
                </w:tcPr>
                <w:p>
                  <w:pPr>
                    <w:jc w:val="center"/>
                    <w:rPr>
                      <w:rFonts w:hint="default" w:ascii="Times New Roman" w:hAnsi="Times New Roman" w:cs="Times New Roman"/>
                    </w:rPr>
                  </w:pPr>
                  <w:r>
                    <w:rPr>
                      <w:rFonts w:hint="default" w:ascii="Times New Roman" w:hAnsi="Times New Roman" w:cs="Times New Roman"/>
                    </w:rPr>
                    <w:t>ha</w:t>
                  </w:r>
                </w:p>
              </w:tc>
              <w:tc>
                <w:tcPr>
                  <w:tcW w:w="1651" w:type="dxa"/>
                  <w:vAlign w:val="center"/>
                </w:tcPr>
                <w:p>
                  <w:pPr>
                    <w:jc w:val="center"/>
                    <w:rPr>
                      <w:rFonts w:hint="default" w:ascii="Times New Roman" w:hAnsi="Times New Roman" w:cs="Times New Roman"/>
                    </w:rPr>
                  </w:pPr>
                  <w:r>
                    <w:rPr>
                      <w:rFonts w:hint="default" w:ascii="Times New Roman" w:hAnsi="Times New Roman" w:cs="Times New Roman"/>
                    </w:rPr>
                    <w:t>0.0239</w:t>
                  </w:r>
                </w:p>
              </w:tc>
              <w:tc>
                <w:tcPr>
                  <w:tcW w:w="1693" w:type="dxa"/>
                  <w:vAlign w:val="center"/>
                </w:tcPr>
                <w:p>
                  <w:pPr>
                    <w:jc w:val="center"/>
                    <w:rPr>
                      <w:rFonts w:hint="default" w:ascii="Times New Roman" w:hAnsi="Times New Roman" w:cs="Times New Roman"/>
                    </w:rPr>
                  </w:pPr>
                </w:p>
              </w:tc>
              <w:tc>
                <w:tcPr>
                  <w:tcW w:w="2473" w:type="dxa"/>
                  <w:vAlign w:val="center"/>
                </w:tcPr>
                <w:p>
                  <w:pPr>
                    <w:jc w:val="center"/>
                    <w:rPr>
                      <w:rFonts w:hint="default" w:ascii="Times New Roman" w:hAnsi="Times New Roman" w:cs="Times New Roma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Ex>
              <w:trPr>
                <w:trHeight w:val="382" w:hRule="atLeast"/>
              </w:trPr>
              <w:tc>
                <w:tcPr>
                  <w:tcW w:w="2233" w:type="dxa"/>
                  <w:vAlign w:val="center"/>
                </w:tcPr>
                <w:p>
                  <w:pPr>
                    <w:jc w:val="center"/>
                    <w:rPr>
                      <w:rFonts w:hint="default" w:ascii="Times New Roman" w:hAnsi="Times New Roman" w:cs="Times New Roman"/>
                    </w:rPr>
                  </w:pPr>
                  <w:r>
                    <w:rPr>
                      <w:rFonts w:hint="default" w:ascii="Times New Roman" w:hAnsi="Times New Roman" w:cs="Times New Roman"/>
                    </w:rPr>
                    <w:t>合计</w:t>
                  </w:r>
                </w:p>
              </w:tc>
              <w:tc>
                <w:tcPr>
                  <w:tcW w:w="658" w:type="dxa"/>
                  <w:vAlign w:val="center"/>
                </w:tcPr>
                <w:p>
                  <w:pPr>
                    <w:jc w:val="center"/>
                    <w:rPr>
                      <w:rFonts w:hint="default" w:ascii="Times New Roman" w:hAnsi="Times New Roman" w:cs="Times New Roman"/>
                    </w:rPr>
                  </w:pPr>
                  <w:r>
                    <w:rPr>
                      <w:rFonts w:hint="default" w:ascii="Times New Roman" w:hAnsi="Times New Roman" w:cs="Times New Roman"/>
                    </w:rPr>
                    <w:t>ha</w:t>
                  </w:r>
                </w:p>
              </w:tc>
              <w:tc>
                <w:tcPr>
                  <w:tcW w:w="1651" w:type="dxa"/>
                  <w:vAlign w:val="center"/>
                </w:tcPr>
                <w:p>
                  <w:pPr>
                    <w:jc w:val="center"/>
                    <w:rPr>
                      <w:rFonts w:hint="default" w:ascii="Times New Roman" w:hAnsi="Times New Roman" w:cs="Times New Roman"/>
                    </w:rPr>
                  </w:pPr>
                  <w:r>
                    <w:rPr>
                      <w:rFonts w:hint="default" w:ascii="Times New Roman" w:hAnsi="Times New Roman" w:cs="Times New Roman"/>
                    </w:rPr>
                    <w:t>2.4227</w:t>
                  </w:r>
                </w:p>
              </w:tc>
              <w:tc>
                <w:tcPr>
                  <w:tcW w:w="1693" w:type="dxa"/>
                  <w:vAlign w:val="center"/>
                </w:tcPr>
                <w:p>
                  <w:pPr>
                    <w:jc w:val="center"/>
                    <w:rPr>
                      <w:rFonts w:hint="default" w:ascii="Times New Roman" w:hAnsi="Times New Roman" w:cs="Times New Roman"/>
                    </w:rPr>
                  </w:pPr>
                  <w:r>
                    <w:rPr>
                      <w:rFonts w:hint="default" w:ascii="Times New Roman" w:hAnsi="Times New Roman" w:cs="Times New Roman"/>
                    </w:rPr>
                    <w:t>2.4227</w:t>
                  </w:r>
                </w:p>
              </w:tc>
              <w:tc>
                <w:tcPr>
                  <w:tcW w:w="2473" w:type="dxa"/>
                  <w:vAlign w:val="center"/>
                </w:tcPr>
                <w:p>
                  <w:pPr>
                    <w:jc w:val="center"/>
                    <w:rPr>
                      <w:rFonts w:hint="default" w:ascii="Times New Roman" w:hAnsi="Times New Roman" w:cs="Times New Roma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Ex>
              <w:trPr>
                <w:trHeight w:val="382" w:hRule="atLeast"/>
              </w:trPr>
              <w:tc>
                <w:tcPr>
                  <w:tcW w:w="2233" w:type="dxa"/>
                  <w:vAlign w:val="center"/>
                </w:tcPr>
                <w:p>
                  <w:pPr>
                    <w:jc w:val="center"/>
                    <w:rPr>
                      <w:rFonts w:hint="default" w:ascii="Times New Roman" w:hAnsi="Times New Roman" w:cs="Times New Roman"/>
                    </w:rPr>
                  </w:pPr>
                  <w:r>
                    <w:rPr>
                      <w:rFonts w:hint="default" w:ascii="Times New Roman" w:hAnsi="Times New Roman" w:cs="Times New Roman"/>
                    </w:rPr>
                    <w:t>8.投资规模</w:t>
                  </w:r>
                </w:p>
              </w:tc>
              <w:tc>
                <w:tcPr>
                  <w:tcW w:w="658" w:type="dxa"/>
                  <w:vAlign w:val="center"/>
                </w:tcPr>
                <w:p>
                  <w:pPr>
                    <w:jc w:val="center"/>
                    <w:rPr>
                      <w:rFonts w:hint="default" w:ascii="Times New Roman" w:hAnsi="Times New Roman" w:cs="Times New Roman"/>
                    </w:rPr>
                  </w:pPr>
                  <w:r>
                    <w:rPr>
                      <w:rFonts w:hint="default" w:ascii="Times New Roman" w:hAnsi="Times New Roman" w:cs="Times New Roman"/>
                    </w:rPr>
                    <w:t>万元</w:t>
                  </w:r>
                </w:p>
              </w:tc>
              <w:tc>
                <w:tcPr>
                  <w:tcW w:w="1651" w:type="dxa"/>
                  <w:vAlign w:val="center"/>
                </w:tcPr>
                <w:p>
                  <w:pPr>
                    <w:jc w:val="center"/>
                    <w:rPr>
                      <w:rFonts w:hint="default" w:ascii="Times New Roman" w:hAnsi="Times New Roman" w:cs="Times New Roman"/>
                    </w:rPr>
                  </w:pPr>
                  <w:r>
                    <w:rPr>
                      <w:rFonts w:hint="default" w:ascii="Times New Roman" w:hAnsi="Times New Roman" w:cs="Times New Roman"/>
                    </w:rPr>
                    <w:t>63.45</w:t>
                  </w:r>
                </w:p>
              </w:tc>
              <w:tc>
                <w:tcPr>
                  <w:tcW w:w="1693" w:type="dxa"/>
                  <w:vAlign w:val="center"/>
                </w:tcPr>
                <w:p>
                  <w:pPr>
                    <w:jc w:val="center"/>
                    <w:rPr>
                      <w:rFonts w:hint="default" w:ascii="Times New Roman" w:hAnsi="Times New Roman" w:cs="Times New Roman"/>
                    </w:rPr>
                  </w:pPr>
                  <w:r>
                    <w:rPr>
                      <w:rFonts w:hint="default" w:ascii="Times New Roman" w:hAnsi="Times New Roman" w:cs="Times New Roman"/>
                    </w:rPr>
                    <w:t>--</w:t>
                  </w:r>
                </w:p>
              </w:tc>
              <w:tc>
                <w:tcPr>
                  <w:tcW w:w="2473" w:type="dxa"/>
                  <w:vAlign w:val="center"/>
                </w:tcPr>
                <w:p>
                  <w:pPr>
                    <w:jc w:val="center"/>
                    <w:rPr>
                      <w:rFonts w:hint="default" w:ascii="Times New Roman" w:hAnsi="Times New Roman" w:cs="Times New Roma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Ex>
              <w:trPr>
                <w:trHeight w:val="382" w:hRule="atLeast"/>
              </w:trPr>
              <w:tc>
                <w:tcPr>
                  <w:tcW w:w="2233" w:type="dxa"/>
                  <w:vAlign w:val="center"/>
                </w:tcPr>
                <w:p>
                  <w:pPr>
                    <w:jc w:val="center"/>
                    <w:rPr>
                      <w:rFonts w:hint="default" w:ascii="Times New Roman" w:hAnsi="Times New Roman" w:cs="Times New Roman"/>
                    </w:rPr>
                  </w:pPr>
                  <w:r>
                    <w:rPr>
                      <w:rFonts w:hint="default" w:ascii="Times New Roman" w:hAnsi="Times New Roman" w:cs="Times New Roman"/>
                    </w:rPr>
                    <w:t>9.方案服务年限</w:t>
                  </w:r>
                </w:p>
              </w:tc>
              <w:tc>
                <w:tcPr>
                  <w:tcW w:w="658" w:type="dxa"/>
                  <w:vAlign w:val="center"/>
                </w:tcPr>
                <w:p>
                  <w:pPr>
                    <w:jc w:val="center"/>
                    <w:rPr>
                      <w:rFonts w:hint="default" w:ascii="Times New Roman" w:hAnsi="Times New Roman" w:cs="Times New Roman"/>
                    </w:rPr>
                  </w:pPr>
                  <w:r>
                    <w:rPr>
                      <w:rFonts w:hint="default" w:ascii="Times New Roman" w:hAnsi="Times New Roman" w:cs="Times New Roman"/>
                    </w:rPr>
                    <w:t>年</w:t>
                  </w:r>
                </w:p>
              </w:tc>
              <w:tc>
                <w:tcPr>
                  <w:tcW w:w="3344" w:type="dxa"/>
                  <w:gridSpan w:val="2"/>
                  <w:vAlign w:val="center"/>
                </w:tcPr>
                <w:p>
                  <w:pPr>
                    <w:jc w:val="center"/>
                    <w:rPr>
                      <w:rFonts w:hint="default" w:ascii="Times New Roman" w:hAnsi="Times New Roman" w:cs="Times New Roman"/>
                    </w:rPr>
                  </w:pPr>
                  <w:r>
                    <w:rPr>
                      <w:rFonts w:hint="default" w:ascii="Times New Roman" w:hAnsi="Times New Roman" w:cs="Times New Roman"/>
                    </w:rPr>
                    <w:t>3 年</w:t>
                  </w:r>
                </w:p>
              </w:tc>
              <w:tc>
                <w:tcPr>
                  <w:tcW w:w="2473" w:type="dxa"/>
                  <w:vAlign w:val="center"/>
                </w:tcPr>
                <w:p>
                  <w:pPr>
                    <w:jc w:val="center"/>
                    <w:rPr>
                      <w:rFonts w:hint="default" w:ascii="Times New Roman" w:hAnsi="Times New Roman" w:cs="Times New Roma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Ex>
              <w:trPr>
                <w:trHeight w:val="382" w:hRule="atLeast"/>
              </w:trPr>
              <w:tc>
                <w:tcPr>
                  <w:tcW w:w="2233" w:type="dxa"/>
                  <w:vAlign w:val="center"/>
                </w:tcPr>
                <w:p>
                  <w:pPr>
                    <w:jc w:val="center"/>
                    <w:rPr>
                      <w:rFonts w:hint="default" w:ascii="Times New Roman" w:hAnsi="Times New Roman" w:cs="Times New Roman"/>
                    </w:rPr>
                  </w:pPr>
                  <w:r>
                    <w:rPr>
                      <w:rFonts w:hint="default" w:ascii="Times New Roman" w:hAnsi="Times New Roman" w:cs="Times New Roman"/>
                    </w:rPr>
                    <w:t>10.地貌类型</w:t>
                  </w:r>
                </w:p>
              </w:tc>
              <w:tc>
                <w:tcPr>
                  <w:tcW w:w="6475" w:type="dxa"/>
                  <w:gridSpan w:val="4"/>
                  <w:vAlign w:val="center"/>
                </w:tcPr>
                <w:p>
                  <w:pPr>
                    <w:jc w:val="center"/>
                    <w:rPr>
                      <w:rFonts w:hint="default" w:ascii="Times New Roman" w:hAnsi="Times New Roman" w:cs="Times New Roman"/>
                    </w:rPr>
                  </w:pPr>
                  <w:r>
                    <w:rPr>
                      <w:rFonts w:hint="default" w:ascii="Times New Roman" w:hAnsi="Times New Roman" w:cs="Times New Roman"/>
                    </w:rPr>
                    <w:t>山地丘陵</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Ex>
              <w:trPr>
                <w:trHeight w:val="380" w:hRule="atLeast"/>
              </w:trPr>
              <w:tc>
                <w:tcPr>
                  <w:tcW w:w="8708" w:type="dxa"/>
                  <w:gridSpan w:val="5"/>
                  <w:vAlign w:val="center"/>
                </w:tcPr>
                <w:p>
                  <w:pPr>
                    <w:jc w:val="center"/>
                    <w:rPr>
                      <w:rFonts w:hint="default" w:ascii="Times New Roman" w:hAnsi="Times New Roman" w:cs="Times New Roman"/>
                    </w:rPr>
                  </w:pPr>
                  <w:r>
                    <w:rPr>
                      <w:rFonts w:hint="default" w:ascii="Times New Roman" w:hAnsi="Times New Roman" w:cs="Times New Roman"/>
                      <w:b/>
                      <w:bCs/>
                    </w:rPr>
                    <w:t>二、土壤重构工程</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Ex>
              <w:trPr>
                <w:trHeight w:val="515" w:hRule="atLeast"/>
              </w:trPr>
              <w:tc>
                <w:tcPr>
                  <w:tcW w:w="2233" w:type="dxa"/>
                  <w:vAlign w:val="center"/>
                </w:tcPr>
                <w:p>
                  <w:pPr>
                    <w:jc w:val="center"/>
                    <w:rPr>
                      <w:rFonts w:hint="default" w:ascii="Times New Roman" w:hAnsi="Times New Roman" w:cs="Times New Roman"/>
                    </w:rPr>
                  </w:pPr>
                  <w:r>
                    <w:rPr>
                      <w:rFonts w:hint="default" w:ascii="Times New Roman" w:hAnsi="Times New Roman" w:cs="Times New Roman"/>
                    </w:rPr>
                    <w:t>人工伐树</w:t>
                  </w:r>
                </w:p>
              </w:tc>
              <w:tc>
                <w:tcPr>
                  <w:tcW w:w="658" w:type="dxa"/>
                  <w:vAlign w:val="center"/>
                </w:tcPr>
                <w:p>
                  <w:pPr>
                    <w:jc w:val="center"/>
                    <w:rPr>
                      <w:rFonts w:hint="default" w:ascii="Times New Roman" w:hAnsi="Times New Roman" w:cs="Times New Roman"/>
                    </w:rPr>
                  </w:pPr>
                  <w:r>
                    <w:rPr>
                      <w:rFonts w:hint="default" w:ascii="Times New Roman" w:hAnsi="Times New Roman" w:cs="Times New Roman"/>
                    </w:rPr>
                    <w:t>棵</w:t>
                  </w:r>
                </w:p>
              </w:tc>
              <w:tc>
                <w:tcPr>
                  <w:tcW w:w="1651" w:type="dxa"/>
                  <w:vAlign w:val="center"/>
                </w:tcPr>
                <w:p>
                  <w:pPr>
                    <w:jc w:val="center"/>
                    <w:rPr>
                      <w:rFonts w:hint="default" w:ascii="Times New Roman" w:hAnsi="Times New Roman" w:cs="Times New Roman"/>
                    </w:rPr>
                  </w:pPr>
                  <w:r>
                    <w:rPr>
                      <w:rFonts w:hint="default" w:ascii="Times New Roman" w:hAnsi="Times New Roman" w:cs="Times New Roman"/>
                    </w:rPr>
                    <w:t>1821</w:t>
                  </w:r>
                </w:p>
              </w:tc>
              <w:tc>
                <w:tcPr>
                  <w:tcW w:w="4166" w:type="dxa"/>
                  <w:gridSpan w:val="2"/>
                  <w:vAlign w:val="center"/>
                </w:tcPr>
                <w:p>
                  <w:pPr>
                    <w:jc w:val="center"/>
                    <w:rPr>
                      <w:rFonts w:hint="default" w:ascii="Times New Roman" w:hAnsi="Times New Roman" w:cs="Times New Roman"/>
                    </w:rPr>
                  </w:pPr>
                  <w:r>
                    <w:rPr>
                      <w:rFonts w:hint="default" w:ascii="Times New Roman" w:hAnsi="Times New Roman" w:cs="Times New Roman"/>
                    </w:rPr>
                    <w:t>对地块内树木按 3*3m 的行距进行数量估算</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Ex>
              <w:trPr>
                <w:trHeight w:val="515" w:hRule="atLeast"/>
              </w:trPr>
              <w:tc>
                <w:tcPr>
                  <w:tcW w:w="2233" w:type="dxa"/>
                  <w:vAlign w:val="center"/>
                </w:tcPr>
                <w:p>
                  <w:pPr>
                    <w:jc w:val="center"/>
                    <w:rPr>
                      <w:rFonts w:hint="default" w:ascii="Times New Roman" w:hAnsi="Times New Roman" w:cs="Times New Roman"/>
                    </w:rPr>
                  </w:pPr>
                  <w:r>
                    <w:rPr>
                      <w:rFonts w:hint="default" w:ascii="Times New Roman" w:hAnsi="Times New Roman" w:cs="Times New Roman"/>
                    </w:rPr>
                    <w:t>推土机推树根</w:t>
                  </w:r>
                </w:p>
              </w:tc>
              <w:tc>
                <w:tcPr>
                  <w:tcW w:w="658" w:type="dxa"/>
                  <w:vAlign w:val="center"/>
                </w:tcPr>
                <w:p>
                  <w:pPr>
                    <w:jc w:val="center"/>
                    <w:rPr>
                      <w:rFonts w:hint="default" w:ascii="Times New Roman" w:hAnsi="Times New Roman" w:cs="Times New Roman"/>
                    </w:rPr>
                  </w:pPr>
                  <w:r>
                    <w:rPr>
                      <w:rFonts w:hint="default" w:ascii="Times New Roman" w:hAnsi="Times New Roman" w:cs="Times New Roman"/>
                    </w:rPr>
                    <w:t>棵</w:t>
                  </w:r>
                </w:p>
              </w:tc>
              <w:tc>
                <w:tcPr>
                  <w:tcW w:w="1651" w:type="dxa"/>
                  <w:vAlign w:val="center"/>
                </w:tcPr>
                <w:p>
                  <w:pPr>
                    <w:jc w:val="center"/>
                    <w:rPr>
                      <w:rFonts w:hint="default" w:ascii="Times New Roman" w:hAnsi="Times New Roman" w:cs="Times New Roman"/>
                    </w:rPr>
                  </w:pPr>
                  <w:r>
                    <w:rPr>
                      <w:rFonts w:hint="default" w:ascii="Times New Roman" w:hAnsi="Times New Roman" w:cs="Times New Roman"/>
                    </w:rPr>
                    <w:t>1821</w:t>
                  </w:r>
                </w:p>
              </w:tc>
              <w:tc>
                <w:tcPr>
                  <w:tcW w:w="4166" w:type="dxa"/>
                  <w:gridSpan w:val="2"/>
                  <w:vAlign w:val="center"/>
                </w:tcPr>
                <w:p>
                  <w:pPr>
                    <w:jc w:val="center"/>
                    <w:rPr>
                      <w:rFonts w:hint="default" w:ascii="Times New Roman" w:hAnsi="Times New Roman" w:cs="Times New Roman"/>
                    </w:rPr>
                  </w:pPr>
                  <w:r>
                    <w:rPr>
                      <w:rFonts w:hint="default" w:ascii="Times New Roman" w:hAnsi="Times New Roman" w:cs="Times New Roman"/>
                    </w:rPr>
                    <w:t>将树根挖除</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Ex>
              <w:trPr>
                <w:trHeight w:val="513" w:hRule="atLeast"/>
              </w:trPr>
              <w:tc>
                <w:tcPr>
                  <w:tcW w:w="2233" w:type="dxa"/>
                  <w:vAlign w:val="center"/>
                </w:tcPr>
                <w:p>
                  <w:pPr>
                    <w:jc w:val="center"/>
                    <w:rPr>
                      <w:rFonts w:hint="default" w:ascii="Times New Roman" w:hAnsi="Times New Roman" w:cs="Times New Roman"/>
                    </w:rPr>
                  </w:pPr>
                  <w:r>
                    <w:rPr>
                      <w:rFonts w:hint="default" w:ascii="Times New Roman" w:hAnsi="Times New Roman" w:cs="Times New Roman"/>
                    </w:rPr>
                    <w:t>表土剥离(0.3m)</w:t>
                  </w:r>
                </w:p>
              </w:tc>
              <w:tc>
                <w:tcPr>
                  <w:tcW w:w="658" w:type="dxa"/>
                  <w:vAlign w:val="center"/>
                </w:tcPr>
                <w:p>
                  <w:pPr>
                    <w:jc w:val="center"/>
                    <w:rPr>
                      <w:rFonts w:hint="default" w:ascii="Times New Roman" w:hAnsi="Times New Roman" w:cs="Times New Roman"/>
                    </w:rPr>
                  </w:pPr>
                  <w:r>
                    <w:rPr>
                      <w:rFonts w:hint="default" w:ascii="Times New Roman" w:hAnsi="Times New Roman" w:cs="Times New Roman"/>
                    </w:rPr>
                    <w:t>m³</w:t>
                  </w:r>
                </w:p>
              </w:tc>
              <w:tc>
                <w:tcPr>
                  <w:tcW w:w="1651" w:type="dxa"/>
                  <w:vAlign w:val="center"/>
                </w:tcPr>
                <w:p>
                  <w:pPr>
                    <w:jc w:val="center"/>
                    <w:rPr>
                      <w:rFonts w:hint="default" w:ascii="Times New Roman" w:hAnsi="Times New Roman" w:cs="Times New Roman"/>
                    </w:rPr>
                  </w:pPr>
                  <w:r>
                    <w:rPr>
                      <w:rFonts w:hint="default" w:ascii="Times New Roman" w:hAnsi="Times New Roman" w:cs="Times New Roman"/>
                    </w:rPr>
                    <w:t>7196.40</w:t>
                  </w:r>
                </w:p>
              </w:tc>
              <w:tc>
                <w:tcPr>
                  <w:tcW w:w="4166" w:type="dxa"/>
                  <w:gridSpan w:val="2"/>
                  <w:vAlign w:val="center"/>
                </w:tcPr>
                <w:p>
                  <w:pPr>
                    <w:jc w:val="center"/>
                    <w:rPr>
                      <w:rFonts w:hint="default" w:ascii="Times New Roman" w:hAnsi="Times New Roman" w:cs="Times New Roman"/>
                    </w:rPr>
                  </w:pPr>
                  <w:r>
                    <w:rPr>
                      <w:rFonts w:hint="default" w:ascii="Times New Roman" w:hAnsi="Times New Roman" w:cs="Times New Roman"/>
                    </w:rPr>
                    <w:t>园地、林地表土剥离厚度 30cm</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Ex>
              <w:trPr>
                <w:trHeight w:val="515" w:hRule="atLeast"/>
              </w:trPr>
              <w:tc>
                <w:tcPr>
                  <w:tcW w:w="2233" w:type="dxa"/>
                  <w:vAlign w:val="center"/>
                </w:tcPr>
                <w:p>
                  <w:pPr>
                    <w:jc w:val="center"/>
                    <w:rPr>
                      <w:rFonts w:hint="default" w:ascii="Times New Roman" w:hAnsi="Times New Roman" w:cs="Times New Roman"/>
                    </w:rPr>
                  </w:pPr>
                  <w:r>
                    <w:rPr>
                      <w:rFonts w:hint="default" w:ascii="Times New Roman" w:hAnsi="Times New Roman" w:cs="Times New Roman"/>
                    </w:rPr>
                    <w:t>生态袋围挡</w:t>
                  </w:r>
                </w:p>
              </w:tc>
              <w:tc>
                <w:tcPr>
                  <w:tcW w:w="658" w:type="dxa"/>
                  <w:vAlign w:val="center"/>
                </w:tcPr>
                <w:p>
                  <w:pPr>
                    <w:jc w:val="center"/>
                    <w:rPr>
                      <w:rFonts w:hint="default" w:ascii="Times New Roman" w:hAnsi="Times New Roman" w:cs="Times New Roman"/>
                    </w:rPr>
                  </w:pPr>
                  <w:r>
                    <w:rPr>
                      <w:rFonts w:hint="default" w:ascii="Times New Roman" w:hAnsi="Times New Roman" w:cs="Times New Roman"/>
                    </w:rPr>
                    <w:t>m³</w:t>
                  </w:r>
                </w:p>
              </w:tc>
              <w:tc>
                <w:tcPr>
                  <w:tcW w:w="1651" w:type="dxa"/>
                  <w:vAlign w:val="center"/>
                </w:tcPr>
                <w:p>
                  <w:pPr>
                    <w:jc w:val="center"/>
                    <w:rPr>
                      <w:rFonts w:hint="default" w:ascii="Times New Roman" w:hAnsi="Times New Roman" w:cs="Times New Roman"/>
                    </w:rPr>
                  </w:pPr>
                  <w:r>
                    <w:rPr>
                      <w:rFonts w:hint="default" w:ascii="Times New Roman" w:hAnsi="Times New Roman" w:cs="Times New Roman"/>
                    </w:rPr>
                    <w:t>150.17</w:t>
                  </w:r>
                </w:p>
              </w:tc>
              <w:tc>
                <w:tcPr>
                  <w:tcW w:w="4166" w:type="dxa"/>
                  <w:gridSpan w:val="2"/>
                  <w:vAlign w:val="center"/>
                </w:tcPr>
                <w:p>
                  <w:pPr>
                    <w:jc w:val="center"/>
                    <w:rPr>
                      <w:rFonts w:hint="default" w:ascii="Times New Roman" w:hAnsi="Times New Roman" w:cs="Times New Roman"/>
                    </w:rPr>
                  </w:pPr>
                  <w:r>
                    <w:rPr>
                      <w:rFonts w:hint="default" w:ascii="Times New Roman" w:hAnsi="Times New Roman" w:cs="Times New Roman"/>
                    </w:rPr>
                    <w:t>生态袋装土堆叠，宽 0.5m、高 1m</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Ex>
              <w:trPr>
                <w:trHeight w:val="515" w:hRule="atLeast"/>
              </w:trPr>
              <w:tc>
                <w:tcPr>
                  <w:tcW w:w="2233" w:type="dxa"/>
                  <w:vAlign w:val="center"/>
                </w:tcPr>
                <w:p>
                  <w:pPr>
                    <w:jc w:val="center"/>
                    <w:rPr>
                      <w:rFonts w:hint="default" w:ascii="Times New Roman" w:hAnsi="Times New Roman" w:cs="Times New Roman"/>
                    </w:rPr>
                  </w:pPr>
                  <w:r>
                    <w:rPr>
                      <w:rFonts w:hint="default" w:ascii="Times New Roman" w:hAnsi="Times New Roman" w:cs="Times New Roman"/>
                    </w:rPr>
                    <w:t>塑料薄膜覆盖</w:t>
                  </w:r>
                </w:p>
              </w:tc>
              <w:tc>
                <w:tcPr>
                  <w:tcW w:w="658" w:type="dxa"/>
                  <w:vAlign w:val="center"/>
                </w:tcPr>
                <w:p>
                  <w:pPr>
                    <w:jc w:val="center"/>
                    <w:rPr>
                      <w:rFonts w:hint="default" w:ascii="Times New Roman" w:hAnsi="Times New Roman" w:cs="Times New Roman"/>
                    </w:rPr>
                  </w:pPr>
                  <w:r>
                    <w:rPr>
                      <w:rFonts w:hint="default" w:ascii="Times New Roman" w:hAnsi="Times New Roman" w:cs="Times New Roman"/>
                    </w:rPr>
                    <w:t>㎡</w:t>
                  </w:r>
                </w:p>
              </w:tc>
              <w:tc>
                <w:tcPr>
                  <w:tcW w:w="1651" w:type="dxa"/>
                  <w:vAlign w:val="center"/>
                </w:tcPr>
                <w:p>
                  <w:pPr>
                    <w:jc w:val="center"/>
                    <w:rPr>
                      <w:rFonts w:hint="default" w:ascii="Times New Roman" w:hAnsi="Times New Roman" w:cs="Times New Roman"/>
                    </w:rPr>
                  </w:pPr>
                  <w:r>
                    <w:rPr>
                      <w:rFonts w:hint="default" w:ascii="Times New Roman" w:hAnsi="Times New Roman" w:cs="Times New Roman"/>
                    </w:rPr>
                    <w:t>5104.65</w:t>
                  </w:r>
                </w:p>
              </w:tc>
              <w:tc>
                <w:tcPr>
                  <w:tcW w:w="4166" w:type="dxa"/>
                  <w:gridSpan w:val="2"/>
                  <w:vAlign w:val="center"/>
                </w:tcPr>
                <w:p>
                  <w:pPr>
                    <w:jc w:val="center"/>
                    <w:rPr>
                      <w:rFonts w:hint="default" w:ascii="Times New Roman" w:hAnsi="Times New Roman" w:cs="Times New Roman"/>
                    </w:rPr>
                  </w:pPr>
                  <w:r>
                    <w:rPr>
                      <w:rFonts w:hint="default" w:ascii="Times New Roman" w:hAnsi="Times New Roman" w:cs="Times New Roman"/>
                    </w:rPr>
                    <w:t>覆盖集中堆放的表土， 防止水土流失</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Ex>
              <w:trPr>
                <w:trHeight w:val="513" w:hRule="atLeast"/>
              </w:trPr>
              <w:tc>
                <w:tcPr>
                  <w:tcW w:w="2233" w:type="dxa"/>
                  <w:vAlign w:val="center"/>
                </w:tcPr>
                <w:p>
                  <w:pPr>
                    <w:jc w:val="center"/>
                    <w:rPr>
                      <w:rFonts w:hint="default" w:ascii="Times New Roman" w:hAnsi="Times New Roman" w:cs="Times New Roman"/>
                    </w:rPr>
                  </w:pPr>
                  <w:r>
                    <w:rPr>
                      <w:rFonts w:hint="default" w:ascii="Times New Roman" w:hAnsi="Times New Roman" w:cs="Times New Roman"/>
                    </w:rPr>
                    <w:t>构筑心土层</w:t>
                  </w:r>
                </w:p>
              </w:tc>
              <w:tc>
                <w:tcPr>
                  <w:tcW w:w="658" w:type="dxa"/>
                  <w:vAlign w:val="center"/>
                </w:tcPr>
                <w:p>
                  <w:pPr>
                    <w:jc w:val="center"/>
                    <w:rPr>
                      <w:rFonts w:hint="default" w:ascii="Times New Roman" w:hAnsi="Times New Roman" w:cs="Times New Roman"/>
                    </w:rPr>
                  </w:pPr>
                  <w:r>
                    <w:rPr>
                      <w:rFonts w:hint="default" w:ascii="Times New Roman" w:hAnsi="Times New Roman" w:cs="Times New Roman"/>
                    </w:rPr>
                    <w:t>m³</w:t>
                  </w:r>
                </w:p>
              </w:tc>
              <w:tc>
                <w:tcPr>
                  <w:tcW w:w="1651" w:type="dxa"/>
                  <w:vAlign w:val="center"/>
                </w:tcPr>
                <w:p>
                  <w:pPr>
                    <w:jc w:val="center"/>
                    <w:rPr>
                      <w:rFonts w:hint="default" w:ascii="Times New Roman" w:hAnsi="Times New Roman" w:cs="Times New Roman"/>
                    </w:rPr>
                  </w:pPr>
                  <w:r>
                    <w:rPr>
                      <w:rFonts w:hint="default" w:ascii="Times New Roman" w:hAnsi="Times New Roman" w:cs="Times New Roman"/>
                    </w:rPr>
                    <w:t>7268.10</w:t>
                  </w:r>
                </w:p>
              </w:tc>
              <w:tc>
                <w:tcPr>
                  <w:tcW w:w="4166" w:type="dxa"/>
                  <w:gridSpan w:val="2"/>
                  <w:vAlign w:val="center"/>
                </w:tcPr>
                <w:p>
                  <w:pPr>
                    <w:jc w:val="center"/>
                    <w:rPr>
                      <w:rFonts w:hint="default" w:ascii="Times New Roman" w:hAnsi="Times New Roman" w:cs="Times New Roman"/>
                    </w:rPr>
                  </w:pPr>
                  <w:r>
                    <w:rPr>
                      <w:rFonts w:hint="default" w:ascii="Times New Roman" w:hAnsi="Times New Roman" w:cs="Times New Roman"/>
                    </w:rPr>
                    <w:t>心土层厚度不低于 0.3m,压实度不低于 90%。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Ex>
              <w:trPr>
                <w:trHeight w:val="515" w:hRule="atLeast"/>
              </w:trPr>
              <w:tc>
                <w:tcPr>
                  <w:tcW w:w="2233" w:type="dxa"/>
                  <w:vAlign w:val="center"/>
                </w:tcPr>
                <w:p>
                  <w:pPr>
                    <w:jc w:val="center"/>
                    <w:rPr>
                      <w:rFonts w:hint="default" w:ascii="Times New Roman" w:hAnsi="Times New Roman" w:cs="Times New Roman"/>
                    </w:rPr>
                  </w:pPr>
                  <w:r>
                    <w:rPr>
                      <w:rFonts w:hint="default" w:ascii="Times New Roman" w:hAnsi="Times New Roman" w:cs="Times New Roman"/>
                    </w:rPr>
                    <w:t>外借表土</w:t>
                  </w:r>
                </w:p>
              </w:tc>
              <w:tc>
                <w:tcPr>
                  <w:tcW w:w="658" w:type="dxa"/>
                  <w:vAlign w:val="center"/>
                </w:tcPr>
                <w:p>
                  <w:pPr>
                    <w:jc w:val="center"/>
                    <w:rPr>
                      <w:rFonts w:hint="default" w:ascii="Times New Roman" w:hAnsi="Times New Roman" w:cs="Times New Roman"/>
                    </w:rPr>
                  </w:pPr>
                  <w:r>
                    <w:rPr>
                      <w:rFonts w:hint="default" w:ascii="Times New Roman" w:hAnsi="Times New Roman" w:cs="Times New Roman"/>
                    </w:rPr>
                    <w:t>m³</w:t>
                  </w:r>
                </w:p>
              </w:tc>
              <w:tc>
                <w:tcPr>
                  <w:tcW w:w="1651" w:type="dxa"/>
                  <w:vAlign w:val="center"/>
                </w:tcPr>
                <w:p>
                  <w:pPr>
                    <w:jc w:val="center"/>
                    <w:rPr>
                      <w:rFonts w:hint="default" w:ascii="Times New Roman" w:hAnsi="Times New Roman" w:cs="Times New Roman"/>
                    </w:rPr>
                  </w:pPr>
                  <w:r>
                    <w:rPr>
                      <w:rFonts w:hint="default" w:ascii="Times New Roman" w:hAnsi="Times New Roman" w:cs="Times New Roman"/>
                    </w:rPr>
                    <w:t>95.36</w:t>
                  </w:r>
                </w:p>
              </w:tc>
              <w:tc>
                <w:tcPr>
                  <w:tcW w:w="4166" w:type="dxa"/>
                  <w:gridSpan w:val="2"/>
                  <w:vAlign w:val="center"/>
                </w:tcPr>
                <w:p>
                  <w:pPr>
                    <w:jc w:val="center"/>
                    <w:rPr>
                      <w:rFonts w:hint="default" w:ascii="Times New Roman" w:hAnsi="Times New Roman" w:cs="Times New Roman"/>
                    </w:rPr>
                  </w:pPr>
                  <w:r>
                    <w:rPr>
                      <w:rFonts w:hint="default" w:ascii="Times New Roman" w:hAnsi="Times New Roman" w:cs="Times New Roman"/>
                    </w:rPr>
                    <w:t>从主体工程剥离的表土集中堆放区借调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Ex>
              <w:trPr>
                <w:trHeight w:val="664" w:hRule="atLeast"/>
              </w:trPr>
              <w:tc>
                <w:tcPr>
                  <w:tcW w:w="2233" w:type="dxa"/>
                  <w:vAlign w:val="center"/>
                </w:tcPr>
                <w:p>
                  <w:pPr>
                    <w:jc w:val="center"/>
                    <w:rPr>
                      <w:rFonts w:hint="default" w:ascii="Times New Roman" w:hAnsi="Times New Roman" w:cs="Times New Roman"/>
                    </w:rPr>
                  </w:pPr>
                  <w:r>
                    <w:rPr>
                      <w:rFonts w:hint="default" w:ascii="Times New Roman" w:hAnsi="Times New Roman" w:cs="Times New Roman"/>
                    </w:rPr>
                    <w:t>表土回填(0.3m)</w:t>
                  </w:r>
                </w:p>
              </w:tc>
              <w:tc>
                <w:tcPr>
                  <w:tcW w:w="658" w:type="dxa"/>
                  <w:vAlign w:val="center"/>
                </w:tcPr>
                <w:p>
                  <w:pPr>
                    <w:jc w:val="center"/>
                    <w:rPr>
                      <w:rFonts w:hint="default" w:ascii="Times New Roman" w:hAnsi="Times New Roman" w:cs="Times New Roman"/>
                    </w:rPr>
                  </w:pPr>
                  <w:r>
                    <w:rPr>
                      <w:rFonts w:hint="default" w:ascii="Times New Roman" w:hAnsi="Times New Roman" w:cs="Times New Roman"/>
                    </w:rPr>
                    <w:t>m³</w:t>
                  </w:r>
                </w:p>
              </w:tc>
              <w:tc>
                <w:tcPr>
                  <w:tcW w:w="1651" w:type="dxa"/>
                  <w:vAlign w:val="center"/>
                </w:tcPr>
                <w:p>
                  <w:pPr>
                    <w:jc w:val="center"/>
                    <w:rPr>
                      <w:rFonts w:hint="default" w:ascii="Times New Roman" w:hAnsi="Times New Roman" w:cs="Times New Roman"/>
                    </w:rPr>
                  </w:pPr>
                  <w:r>
                    <w:rPr>
                      <w:rFonts w:hint="default" w:ascii="Times New Roman" w:hAnsi="Times New Roman" w:cs="Times New Roman"/>
                    </w:rPr>
                    <w:t>9666.57</w:t>
                  </w:r>
                </w:p>
              </w:tc>
              <w:tc>
                <w:tcPr>
                  <w:tcW w:w="4166" w:type="dxa"/>
                  <w:gridSpan w:val="2"/>
                  <w:vAlign w:val="center"/>
                </w:tcPr>
                <w:p>
                  <w:pPr>
                    <w:jc w:val="center"/>
                    <w:rPr>
                      <w:rFonts w:hint="default" w:ascii="Times New Roman" w:hAnsi="Times New Roman" w:cs="Times New Roman"/>
                    </w:rPr>
                  </w:pPr>
                  <w:r>
                    <w:rPr>
                      <w:rFonts w:hint="default" w:ascii="Times New Roman" w:hAnsi="Times New Roman" w:cs="Times New Roman"/>
                    </w:rPr>
                    <w:t>园地、林地区表土回填厚度 30cm,回填土乘 以 1.33 松散系数</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Ex>
              <w:trPr>
                <w:trHeight w:val="382" w:hRule="atLeast"/>
              </w:trPr>
              <w:tc>
                <w:tcPr>
                  <w:tcW w:w="8708" w:type="dxa"/>
                  <w:gridSpan w:val="5"/>
                  <w:vAlign w:val="center"/>
                </w:tcPr>
                <w:p>
                  <w:pPr>
                    <w:jc w:val="center"/>
                    <w:rPr>
                      <w:rFonts w:hint="default" w:ascii="Times New Roman" w:hAnsi="Times New Roman" w:cs="Times New Roman"/>
                    </w:rPr>
                  </w:pPr>
                  <w:r>
                    <w:rPr>
                      <w:rFonts w:hint="default" w:ascii="Times New Roman" w:hAnsi="Times New Roman" w:cs="Times New Roman"/>
                      <w:b/>
                      <w:bCs/>
                    </w:rPr>
                    <w:t>三、植被重建工程</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Ex>
              <w:trPr>
                <w:trHeight w:val="380" w:hRule="atLeast"/>
              </w:trPr>
              <w:tc>
                <w:tcPr>
                  <w:tcW w:w="2233" w:type="dxa"/>
                  <w:vAlign w:val="center"/>
                </w:tcPr>
                <w:p>
                  <w:pPr>
                    <w:jc w:val="center"/>
                    <w:rPr>
                      <w:rFonts w:hint="default" w:ascii="Times New Roman" w:hAnsi="Times New Roman" w:cs="Times New Roman"/>
                    </w:rPr>
                  </w:pPr>
                  <w:r>
                    <w:rPr>
                      <w:rFonts w:hint="default" w:ascii="Times New Roman" w:hAnsi="Times New Roman" w:cs="Times New Roman"/>
                    </w:rPr>
                    <w:t>撒草籽</w:t>
                  </w:r>
                </w:p>
              </w:tc>
              <w:tc>
                <w:tcPr>
                  <w:tcW w:w="658" w:type="dxa"/>
                  <w:vAlign w:val="center"/>
                </w:tcPr>
                <w:p>
                  <w:pPr>
                    <w:jc w:val="center"/>
                    <w:rPr>
                      <w:rFonts w:hint="default" w:ascii="Times New Roman" w:hAnsi="Times New Roman" w:cs="Times New Roman"/>
                    </w:rPr>
                  </w:pPr>
                  <w:r>
                    <w:rPr>
                      <w:rFonts w:hint="default" w:ascii="Times New Roman" w:hAnsi="Times New Roman" w:cs="Times New Roman"/>
                    </w:rPr>
                    <w:t>ha</w:t>
                  </w:r>
                </w:p>
              </w:tc>
              <w:tc>
                <w:tcPr>
                  <w:tcW w:w="1651" w:type="dxa"/>
                  <w:vAlign w:val="center"/>
                </w:tcPr>
                <w:p>
                  <w:pPr>
                    <w:jc w:val="center"/>
                    <w:rPr>
                      <w:rFonts w:hint="default" w:ascii="Times New Roman" w:hAnsi="Times New Roman" w:cs="Times New Roman"/>
                    </w:rPr>
                  </w:pPr>
                  <w:r>
                    <w:rPr>
                      <w:rFonts w:hint="default" w:ascii="Times New Roman" w:hAnsi="Times New Roman" w:cs="Times New Roman"/>
                    </w:rPr>
                    <w:t>2.4227</w:t>
                  </w:r>
                </w:p>
              </w:tc>
              <w:tc>
                <w:tcPr>
                  <w:tcW w:w="4166" w:type="dxa"/>
                  <w:gridSpan w:val="2"/>
                  <w:vAlign w:val="center"/>
                </w:tcPr>
                <w:p>
                  <w:pPr>
                    <w:jc w:val="center"/>
                    <w:rPr>
                      <w:rFonts w:hint="default" w:ascii="Times New Roman" w:hAnsi="Times New Roman" w:cs="Times New Roman"/>
                    </w:rPr>
                  </w:pPr>
                  <w:r>
                    <w:rPr>
                      <w:rFonts w:hint="default" w:ascii="Times New Roman" w:hAnsi="Times New Roman" w:cs="Times New Roman"/>
                    </w:rPr>
                    <w:t>林间、坡面撒草籽固土，撒播 不覆土</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Ex>
              <w:trPr>
                <w:trHeight w:val="606" w:hRule="atLeast"/>
              </w:trPr>
              <w:tc>
                <w:tcPr>
                  <w:tcW w:w="2233" w:type="dxa"/>
                  <w:vAlign w:val="center"/>
                </w:tcPr>
                <w:p>
                  <w:pPr>
                    <w:jc w:val="center"/>
                    <w:rPr>
                      <w:rFonts w:hint="default" w:ascii="Times New Roman" w:hAnsi="Times New Roman" w:cs="Times New Roman"/>
                    </w:rPr>
                  </w:pPr>
                  <w:r>
                    <w:rPr>
                      <w:rFonts w:hint="default" w:ascii="Times New Roman" w:hAnsi="Times New Roman" w:cs="Times New Roman"/>
                    </w:rPr>
                    <w:t>乔木造林(混合乔木)</w:t>
                  </w:r>
                </w:p>
              </w:tc>
              <w:tc>
                <w:tcPr>
                  <w:tcW w:w="658" w:type="dxa"/>
                  <w:vAlign w:val="center"/>
                </w:tcPr>
                <w:p>
                  <w:pPr>
                    <w:jc w:val="center"/>
                    <w:rPr>
                      <w:rFonts w:hint="default" w:ascii="Times New Roman" w:hAnsi="Times New Roman" w:cs="Times New Roman"/>
                    </w:rPr>
                  </w:pPr>
                  <w:r>
                    <w:rPr>
                      <w:rFonts w:hint="default" w:ascii="Times New Roman" w:hAnsi="Times New Roman" w:cs="Times New Roman"/>
                    </w:rPr>
                    <w:t>株</w:t>
                  </w:r>
                </w:p>
              </w:tc>
              <w:tc>
                <w:tcPr>
                  <w:tcW w:w="1651" w:type="dxa"/>
                  <w:vAlign w:val="center"/>
                </w:tcPr>
                <w:p>
                  <w:pPr>
                    <w:jc w:val="center"/>
                    <w:rPr>
                      <w:rFonts w:hint="default" w:ascii="Times New Roman" w:hAnsi="Times New Roman" w:cs="Times New Roman"/>
                    </w:rPr>
                  </w:pPr>
                  <w:r>
                    <w:rPr>
                      <w:rFonts w:hint="default" w:ascii="Times New Roman" w:hAnsi="Times New Roman" w:cs="Times New Roman"/>
                    </w:rPr>
                    <w:t>6057</w:t>
                  </w:r>
                </w:p>
              </w:tc>
              <w:tc>
                <w:tcPr>
                  <w:tcW w:w="4166" w:type="dxa"/>
                  <w:gridSpan w:val="2"/>
                  <w:vAlign w:val="center"/>
                </w:tcPr>
                <w:p>
                  <w:pPr>
                    <w:jc w:val="center"/>
                    <w:rPr>
                      <w:rFonts w:hint="default" w:ascii="Times New Roman" w:hAnsi="Times New Roman" w:cs="Times New Roman"/>
                    </w:rPr>
                  </w:pPr>
                  <w:r>
                    <w:rPr>
                      <w:rFonts w:hint="default" w:ascii="Times New Roman" w:hAnsi="Times New Roman" w:cs="Times New Roman"/>
                    </w:rPr>
                    <w:t>种植在林地区， 等比例种植杉树、栾树，株距 2.0*2.0m</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Ex>
              <w:trPr>
                <w:trHeight w:val="371" w:hRule="atLeast"/>
              </w:trPr>
              <w:tc>
                <w:tcPr>
                  <w:tcW w:w="8708" w:type="dxa"/>
                  <w:gridSpan w:val="5"/>
                  <w:vAlign w:val="center"/>
                </w:tcPr>
                <w:p>
                  <w:pPr>
                    <w:jc w:val="center"/>
                    <w:rPr>
                      <w:rFonts w:hint="default" w:ascii="Times New Roman" w:hAnsi="Times New Roman" w:cs="Times New Roman"/>
                      <w:b/>
                      <w:bCs/>
                      <w:sz w:val="21"/>
                      <w:szCs w:val="21"/>
                    </w:rPr>
                  </w:pPr>
                  <w:r>
                    <w:rPr>
                      <w:rFonts w:hint="default" w:ascii="Times New Roman" w:hAnsi="Times New Roman" w:cs="Times New Roman"/>
                      <w:b/>
                      <w:bCs/>
                      <w:sz w:val="21"/>
                      <w:szCs w:val="21"/>
                    </w:rPr>
                    <w:t>四、配套工程</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Ex>
              <w:trPr>
                <w:trHeight w:val="557" w:hRule="atLeast"/>
              </w:trPr>
              <w:tc>
                <w:tcPr>
                  <w:tcW w:w="2233" w:type="dxa"/>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截流沟</w:t>
                  </w:r>
                </w:p>
              </w:tc>
              <w:tc>
                <w:tcPr>
                  <w:tcW w:w="658" w:type="dxa"/>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m</w:t>
                  </w:r>
                </w:p>
              </w:tc>
              <w:tc>
                <w:tcPr>
                  <w:tcW w:w="1651" w:type="dxa"/>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1365.74</w:t>
                  </w:r>
                </w:p>
              </w:tc>
              <w:tc>
                <w:tcPr>
                  <w:tcW w:w="4166" w:type="dxa"/>
                  <w:gridSpan w:val="2"/>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浆砌砖侧壁、砼底板，宽 0.3m，深 0.3m</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Ex>
              <w:trPr>
                <w:trHeight w:val="555" w:hRule="atLeast"/>
              </w:trPr>
              <w:tc>
                <w:tcPr>
                  <w:tcW w:w="2233" w:type="dxa"/>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临时排水沟</w:t>
                  </w:r>
                </w:p>
              </w:tc>
              <w:tc>
                <w:tcPr>
                  <w:tcW w:w="658" w:type="dxa"/>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m</w:t>
                  </w:r>
                </w:p>
              </w:tc>
              <w:tc>
                <w:tcPr>
                  <w:tcW w:w="1651" w:type="dxa"/>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300.34</w:t>
                  </w:r>
                </w:p>
              </w:tc>
              <w:tc>
                <w:tcPr>
                  <w:tcW w:w="4166" w:type="dxa"/>
                  <w:gridSpan w:val="2"/>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土沟，上宽 0.5 米，下宽 0.3 米，深 0.4 米</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Ex>
              <w:trPr>
                <w:trHeight w:val="557" w:hRule="atLeast"/>
              </w:trPr>
              <w:tc>
                <w:tcPr>
                  <w:tcW w:w="2233" w:type="dxa"/>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沉砂池</w:t>
                  </w:r>
                </w:p>
              </w:tc>
              <w:tc>
                <w:tcPr>
                  <w:tcW w:w="658" w:type="dxa"/>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座</w:t>
                  </w:r>
                </w:p>
              </w:tc>
              <w:tc>
                <w:tcPr>
                  <w:tcW w:w="1651" w:type="dxa"/>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4</w:t>
                  </w:r>
                </w:p>
              </w:tc>
              <w:tc>
                <w:tcPr>
                  <w:tcW w:w="4166" w:type="dxa"/>
                  <w:gridSpan w:val="2"/>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宽 1m，长 2m，浆砌石侧墙，砼底板</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Ex>
              <w:trPr>
                <w:trHeight w:val="557" w:hRule="atLeast"/>
              </w:trPr>
              <w:tc>
                <w:tcPr>
                  <w:tcW w:w="2233" w:type="dxa"/>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挡土墙</w:t>
                  </w:r>
                </w:p>
              </w:tc>
              <w:tc>
                <w:tcPr>
                  <w:tcW w:w="658" w:type="dxa"/>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m</w:t>
                  </w:r>
                </w:p>
              </w:tc>
              <w:tc>
                <w:tcPr>
                  <w:tcW w:w="1651" w:type="dxa"/>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463.10</w:t>
                  </w:r>
                </w:p>
              </w:tc>
              <w:tc>
                <w:tcPr>
                  <w:tcW w:w="4166" w:type="dxa"/>
                  <w:gridSpan w:val="2"/>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浆砌石挡土墙，上宽 0.4m,下宽 0.6m,高 1.0m</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Ex>
              <w:trPr>
                <w:trHeight w:val="361" w:hRule="atLeast"/>
              </w:trPr>
              <w:tc>
                <w:tcPr>
                  <w:tcW w:w="8708" w:type="dxa"/>
                  <w:gridSpan w:val="5"/>
                  <w:tcBorders>
                    <w:bottom w:val="single" w:color="000000" w:sz="2" w:space="0"/>
                  </w:tcBorders>
                  <w:vAlign w:val="center"/>
                </w:tcPr>
                <w:p>
                  <w:pPr>
                    <w:jc w:val="center"/>
                    <w:rPr>
                      <w:rFonts w:hint="default" w:ascii="Times New Roman" w:hAnsi="Times New Roman" w:cs="Times New Roman"/>
                      <w:sz w:val="21"/>
                      <w:szCs w:val="21"/>
                    </w:rPr>
                  </w:pPr>
                  <w:r>
                    <w:rPr>
                      <w:rFonts w:hint="default" w:ascii="Times New Roman" w:hAnsi="Times New Roman" w:cs="Times New Roman"/>
                      <w:b/>
                      <w:bCs/>
                      <w:sz w:val="21"/>
                      <w:szCs w:val="21"/>
                    </w:rPr>
                    <w:t>五、监测与管护工程</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Ex>
              <w:trPr>
                <w:trHeight w:val="431" w:hRule="atLeast"/>
              </w:trPr>
              <w:tc>
                <w:tcPr>
                  <w:tcW w:w="2233" w:type="dxa"/>
                  <w:tcBorders>
                    <w:top w:val="single" w:color="000000" w:sz="2" w:space="0"/>
                    <w:left w:val="single" w:color="000000" w:sz="2" w:space="0"/>
                    <w:bottom w:val="single" w:color="000000" w:sz="2" w:space="0"/>
                    <w:right w:val="single" w:color="000000" w:sz="2" w:space="0"/>
                  </w:tcBorders>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管护工程</w:t>
                  </w:r>
                </w:p>
              </w:tc>
              <w:tc>
                <w:tcPr>
                  <w:tcW w:w="658" w:type="dxa"/>
                  <w:tcBorders>
                    <w:top w:val="single" w:color="000000" w:sz="2" w:space="0"/>
                    <w:left w:val="single" w:color="000000" w:sz="2" w:space="0"/>
                    <w:bottom w:val="single" w:color="000000" w:sz="2" w:space="0"/>
                    <w:right w:val="single" w:color="000000" w:sz="2" w:space="0"/>
                  </w:tcBorders>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年</w:t>
                  </w:r>
                </w:p>
              </w:tc>
              <w:tc>
                <w:tcPr>
                  <w:tcW w:w="1651" w:type="dxa"/>
                  <w:tcBorders>
                    <w:top w:val="single" w:color="000000" w:sz="2" w:space="0"/>
                    <w:left w:val="single" w:color="000000" w:sz="2" w:space="0"/>
                    <w:bottom w:val="single" w:color="000000" w:sz="2" w:space="0"/>
                    <w:right w:val="single" w:color="000000" w:sz="2" w:space="0"/>
                  </w:tcBorders>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3</w:t>
                  </w:r>
                </w:p>
              </w:tc>
              <w:tc>
                <w:tcPr>
                  <w:tcW w:w="4166" w:type="dxa"/>
                  <w:gridSpan w:val="2"/>
                  <w:tcBorders>
                    <w:top w:val="single" w:color="000000" w:sz="2" w:space="0"/>
                    <w:left w:val="single" w:color="000000" w:sz="2" w:space="0"/>
                    <w:bottom w:val="single" w:color="000000" w:sz="2" w:space="0"/>
                    <w:right w:val="single" w:color="000000" w:sz="2" w:space="0"/>
                  </w:tcBorders>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林地区管护 3 年</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Ex>
              <w:trPr>
                <w:trHeight w:val="679" w:hRule="atLeast"/>
              </w:trPr>
              <w:tc>
                <w:tcPr>
                  <w:tcW w:w="2233" w:type="dxa"/>
                  <w:tcBorders>
                    <w:top w:val="single" w:color="000000" w:sz="2" w:space="0"/>
                    <w:left w:val="single" w:color="000000" w:sz="2" w:space="0"/>
                    <w:bottom w:val="single" w:color="000000" w:sz="2" w:space="0"/>
                    <w:right w:val="single" w:color="000000" w:sz="2" w:space="0"/>
                  </w:tcBorders>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林地</w:t>
                  </w:r>
                </w:p>
              </w:tc>
              <w:tc>
                <w:tcPr>
                  <w:tcW w:w="658" w:type="dxa"/>
                  <w:tcBorders>
                    <w:top w:val="single" w:color="000000" w:sz="2" w:space="0"/>
                    <w:left w:val="single" w:color="000000" w:sz="2" w:space="0"/>
                    <w:bottom w:val="single" w:color="000000" w:sz="2" w:space="0"/>
                    <w:right w:val="single" w:color="000000" w:sz="2" w:space="0"/>
                  </w:tcBorders>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ha</w:t>
                  </w:r>
                </w:p>
              </w:tc>
              <w:tc>
                <w:tcPr>
                  <w:tcW w:w="1651" w:type="dxa"/>
                  <w:tcBorders>
                    <w:top w:val="single" w:color="000000" w:sz="2" w:space="0"/>
                    <w:left w:val="single" w:color="000000" w:sz="2" w:space="0"/>
                    <w:bottom w:val="single" w:color="000000" w:sz="2" w:space="0"/>
                    <w:right w:val="single" w:color="000000" w:sz="2" w:space="0"/>
                  </w:tcBorders>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2.4227</w:t>
                  </w:r>
                </w:p>
              </w:tc>
              <w:tc>
                <w:tcPr>
                  <w:tcW w:w="4166" w:type="dxa"/>
                  <w:gridSpan w:val="2"/>
                  <w:tcBorders>
                    <w:top w:val="single" w:color="000000" w:sz="2" w:space="0"/>
                    <w:left w:val="single" w:color="000000" w:sz="2" w:space="0"/>
                    <w:bottom w:val="single" w:color="000000" w:sz="2" w:space="0"/>
                    <w:right w:val="single" w:color="000000" w:sz="2" w:space="0"/>
                  </w:tcBorders>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复垦后林地的浇水、施肥、修枝、除草、补 植等工作。管护三年</w:t>
                  </w:r>
                </w:p>
              </w:tc>
            </w:tr>
          </w:tbl>
          <w:p>
            <w:pPr>
              <w:keepNext w:val="0"/>
              <w:keepLines w:val="0"/>
              <w:pageBreakBefore w:val="0"/>
              <w:widowControl w:val="0"/>
              <w:numPr>
                <w:ilvl w:val="0"/>
                <w:numId w:val="6"/>
              </w:numPr>
              <w:suppressLineNumbers w:val="0"/>
              <w:kinsoku/>
              <w:wordWrap/>
              <w:overflowPunct/>
              <w:topLinePunct w:val="0"/>
              <w:autoSpaceDE/>
              <w:autoSpaceDN/>
              <w:bidi w:val="0"/>
              <w:adjustRightInd/>
              <w:snapToGrid/>
              <w:spacing w:before="0" w:beforeAutospacing="0" w:after="0" w:afterAutospacing="0" w:line="360" w:lineRule="auto"/>
              <w:ind w:left="0" w:leftChars="0" w:right="0" w:firstLine="482" w:firstLineChars="200"/>
              <w:textAlignment w:val="auto"/>
              <w:rPr>
                <w:rFonts w:hint="eastAsia"/>
                <w:b/>
                <w:bCs/>
                <w:color w:val="auto"/>
                <w:sz w:val="24"/>
                <w:szCs w:val="24"/>
                <w:lang w:eastAsia="zh-CN"/>
              </w:rPr>
            </w:pPr>
            <w:r>
              <w:rPr>
                <w:rFonts w:hint="eastAsia"/>
                <w:b/>
                <w:bCs/>
                <w:color w:val="auto"/>
                <w:sz w:val="24"/>
                <w:szCs w:val="24"/>
                <w:lang w:eastAsia="zh-CN"/>
              </w:rPr>
              <w:t>环境风险</w:t>
            </w:r>
          </w:p>
          <w:p>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Calibri" w:hAnsi="Calibri" w:cs="Times New Roman"/>
                <w:sz w:val="24"/>
                <w:szCs w:val="24"/>
                <w:lang w:eastAsia="zh-CN"/>
              </w:rPr>
            </w:pPr>
            <w:r>
              <w:rPr>
                <w:rFonts w:hint="eastAsia" w:ascii="Calibri" w:hAnsi="Calibri" w:cs="Times New Roman"/>
                <w:sz w:val="24"/>
                <w:szCs w:val="24"/>
                <w:lang w:eastAsia="zh-CN"/>
              </w:rPr>
              <w:t>根据前文分析，本项目环境风险潜势为</w:t>
            </w:r>
            <w:r>
              <w:rPr>
                <w:rFonts w:hint="eastAsia" w:ascii="宋体" w:hAnsi="宋体" w:eastAsia="宋体" w:cs="宋体"/>
                <w:sz w:val="24"/>
                <w:szCs w:val="24"/>
                <w:lang w:eastAsia="zh-CN"/>
              </w:rPr>
              <w:t>Ⅰ</w:t>
            </w:r>
            <w:r>
              <w:rPr>
                <w:rFonts w:hint="eastAsia" w:ascii="Calibri" w:hAnsi="Calibri" w:cs="Times New Roman"/>
                <w:sz w:val="24"/>
                <w:szCs w:val="24"/>
                <w:lang w:eastAsia="zh-CN"/>
              </w:rPr>
              <w:t>，可进行简单分析，不设置评价范围。本项目主要存在的环境风险主要为：危废间废机油、废润滑油泄漏、</w:t>
            </w:r>
            <w:r>
              <w:rPr>
                <w:rFonts w:hint="eastAsia" w:ascii="Calibri" w:hAnsi="Calibri" w:cs="Times New Roman"/>
                <w:sz w:val="24"/>
                <w:szCs w:val="24"/>
                <w:lang w:val="en-US" w:eastAsia="zh-CN"/>
              </w:rPr>
              <w:t>山体崩塌</w:t>
            </w:r>
            <w:r>
              <w:rPr>
                <w:rFonts w:hint="eastAsia" w:ascii="Calibri" w:hAnsi="Calibri" w:cs="Times New Roman"/>
                <w:sz w:val="24"/>
                <w:szCs w:val="24"/>
                <w:lang w:eastAsia="zh-CN"/>
              </w:rPr>
              <w:t>；废气处理设施事故排放。本次环评对于环境风险应急措施如下：</w:t>
            </w:r>
          </w:p>
          <w:p>
            <w:pPr>
              <w:keepNext w:val="0"/>
              <w:keepLines w:val="0"/>
              <w:pageBreakBefore w:val="0"/>
              <w:widowControl w:val="0"/>
              <w:numPr>
                <w:ilvl w:val="0"/>
                <w:numId w:val="7"/>
              </w:numPr>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Calibri" w:hAnsi="Calibri" w:cs="Times New Roman"/>
                <w:sz w:val="24"/>
                <w:szCs w:val="24"/>
                <w:lang w:eastAsia="zh-CN"/>
              </w:rPr>
            </w:pPr>
            <w:r>
              <w:rPr>
                <w:rFonts w:hint="eastAsia" w:ascii="Calibri" w:hAnsi="Calibri" w:cs="Times New Roman"/>
                <w:sz w:val="24"/>
                <w:szCs w:val="24"/>
                <w:lang w:eastAsia="zh-CN"/>
              </w:rPr>
              <w:t>危废间地面硬化；设置托盘存放废机油、废润滑油等；危废间设置围堰，保证在发生泄漏事故时不会蔓延至厂区范围；建设单位储备消防砂，可用于泄漏事故时地面清理；禁止明火；设专员定期巡查。</w:t>
            </w:r>
          </w:p>
          <w:p>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sz w:val="24"/>
                <w:szCs w:val="24"/>
                <w:lang w:eastAsia="zh-CN"/>
              </w:rPr>
            </w:pPr>
            <w:r>
              <w:rPr>
                <w:rFonts w:hint="eastAsia" w:ascii="Calibri" w:hAnsi="Calibri" w:cs="Times New Roman"/>
                <w:sz w:val="24"/>
                <w:szCs w:val="24"/>
                <w:lang w:eastAsia="zh-CN"/>
              </w:rPr>
              <w:t>（2）若废气设施发生故障，将会导致颗粒物排放浓度过高，导致外环境受到污染。本次环评要求建设单位在发生此类事故时，第一时间停止生产，派专员检修设备，在处理设施完全修复以前，禁止生产。</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2356" w:hRule="atLeast"/>
          <w:jc w:val="center"/>
        </w:trPr>
        <w:tc>
          <w:tcPr>
            <w:tcW w:w="456" w:type="dxa"/>
            <w:noWrap w:val="0"/>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color w:val="000000"/>
                <w:spacing w:val="10"/>
                <w:sz w:val="24"/>
                <w:szCs w:val="24"/>
              </w:rPr>
            </w:pPr>
            <w:r>
              <w:rPr>
                <w:rFonts w:hint="default" w:ascii="Times New Roman" w:hAnsi="Times New Roman" w:cs="Times New Roman"/>
                <w:bCs/>
                <w:color w:val="000000"/>
                <w:sz w:val="24"/>
                <w:szCs w:val="24"/>
              </w:rPr>
              <w:t>其他</w:t>
            </w:r>
          </w:p>
        </w:tc>
        <w:tc>
          <w:tcPr>
            <w:tcW w:w="9033" w:type="dxa"/>
            <w:noWrap w:val="0"/>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23" w:right="0"/>
              <w:textAlignment w:val="auto"/>
              <w:outlineLvl w:val="1"/>
              <w:rPr>
                <w:rFonts w:ascii="宋体" w:hAnsi="宋体" w:eastAsia="宋体" w:cs="宋体"/>
                <w:color w:val="auto"/>
                <w:sz w:val="28"/>
                <w:szCs w:val="28"/>
              </w:rPr>
            </w:pPr>
            <w:r>
              <w:rPr>
                <w:rFonts w:ascii="宋体" w:hAnsi="宋体" w:eastAsia="宋体" w:cs="宋体"/>
                <w:b/>
                <w:bCs/>
                <w:color w:val="auto"/>
                <w:spacing w:val="-2"/>
                <w:sz w:val="28"/>
                <w:szCs w:val="28"/>
              </w:rPr>
              <w:t>环境保护管理、环境监测与环境监理</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Calibri" w:hAnsi="Calibri" w:cs="Times New Roman"/>
                <w:sz w:val="24"/>
                <w:szCs w:val="24"/>
                <w:lang w:eastAsia="zh-CN"/>
              </w:rPr>
            </w:pPr>
            <w:r>
              <w:rPr>
                <w:rFonts w:hint="eastAsia" w:ascii="Calibri" w:hAnsi="Calibri" w:cs="Times New Roman"/>
                <w:sz w:val="24"/>
                <w:szCs w:val="24"/>
                <w:lang w:eastAsia="zh-CN"/>
              </w:rPr>
              <w:t>（1）环境管理</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Calibri" w:hAnsi="Calibri" w:cs="Times New Roman"/>
                <w:sz w:val="24"/>
                <w:szCs w:val="24"/>
              </w:rPr>
            </w:pPr>
            <w:r>
              <w:rPr>
                <w:rFonts w:hint="eastAsia" w:ascii="Calibri" w:hAnsi="Calibri" w:cs="Times New Roman"/>
                <w:sz w:val="24"/>
                <w:szCs w:val="24"/>
                <w:lang w:eastAsia="zh-CN"/>
              </w:rPr>
              <w:t>由于项目在生产的过程中不可避免地会产生污染物的排放，为了加强环境保护的力度，实现可持续发展的战略目标，按照环境保护的要求，根据一些环境管</w:t>
            </w:r>
            <w:r>
              <w:rPr>
                <w:rFonts w:hint="default" w:ascii="Calibri" w:hAnsi="Calibri" w:cs="Times New Roman"/>
                <w:sz w:val="24"/>
                <w:szCs w:val="24"/>
              </w:rPr>
              <w:t>。理先进企业的经验，企业应建立健全厂长负责、副厂长分管、各职能业务部门各负其责、环保部门规划、参谋、组织、协调、监督、考核的环境管理体制。</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Calibri" w:hAnsi="Calibri" w:cs="Times New Roman"/>
                <w:sz w:val="24"/>
                <w:szCs w:val="24"/>
              </w:rPr>
            </w:pPr>
            <w:r>
              <w:rPr>
                <w:rFonts w:hint="default" w:ascii="Calibri" w:hAnsi="Calibri" w:cs="Times New Roman"/>
                <w:sz w:val="24"/>
                <w:szCs w:val="24"/>
              </w:rPr>
              <w:t>①根据矿山的实际情况，建立环境保护领导小组，专门研究、决策有关环境保护方面的事宜，并配备1～2名专职环保人员，承担矿山日常环保工作和环境监测工作，使各项环境保护措施、制度得以贯彻落实。</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Calibri" w:hAnsi="Calibri" w:cs="Times New Roman"/>
                <w:sz w:val="24"/>
                <w:szCs w:val="24"/>
              </w:rPr>
            </w:pPr>
            <w:r>
              <w:rPr>
                <w:rFonts w:hint="default" w:ascii="Calibri" w:hAnsi="Calibri" w:cs="Times New Roman"/>
                <w:sz w:val="24"/>
                <w:szCs w:val="24"/>
              </w:rPr>
              <w:t>②建立环境保护的知识普及、员工的环保教育和宣传制度，定期进行员工环境保护培训，增强职工环境保护的意识和自觉性；对于环保专职人员，必须掌握国家、地方的环境保护政策、法规、行业环境保护政策法规、行业产业政策等，熟知国家和地方的环境规定与标准。建立厂区环境管理的激励机制，将环境管理与职工的生产管理、劳动计酬等联系起来，充分发挥矿山职工的环境保护的能动性和积极性。</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Calibri" w:hAnsi="Calibri" w:cs="Times New Roman"/>
                <w:sz w:val="24"/>
                <w:szCs w:val="24"/>
              </w:rPr>
            </w:pPr>
            <w:r>
              <w:rPr>
                <w:rFonts w:hint="default" w:ascii="Calibri" w:hAnsi="Calibri" w:cs="Times New Roman"/>
                <w:sz w:val="24"/>
                <w:szCs w:val="24"/>
              </w:rPr>
              <w:t>③加强矿山精细化管理，严格控制各无组织粉尘的排放。</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Calibri" w:hAnsi="Calibri" w:cs="Times New Roman"/>
                <w:sz w:val="24"/>
                <w:szCs w:val="24"/>
              </w:rPr>
            </w:pPr>
            <w:r>
              <w:rPr>
                <w:rFonts w:hint="default" w:ascii="Calibri" w:hAnsi="Calibri" w:cs="Times New Roman"/>
                <w:sz w:val="24"/>
                <w:szCs w:val="24"/>
              </w:rPr>
              <w:t>A、碎石生产加工、石料及粉料输送带、贮存场所地面全部硬化并全封闭，</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Calibri" w:hAnsi="Calibri" w:cs="Times New Roman"/>
                <w:sz w:val="24"/>
                <w:szCs w:val="24"/>
              </w:rPr>
            </w:pPr>
            <w:r>
              <w:rPr>
                <w:rFonts w:hint="default" w:ascii="Calibri" w:hAnsi="Calibri" w:cs="Times New Roman"/>
                <w:sz w:val="24"/>
                <w:szCs w:val="24"/>
              </w:rPr>
              <w:t>配套设置1台洒水车对地面进行定期洒水抑尘。产品库上部钢结构横梁安装水管和喷头，水管采用均压管网布设安装，分区域安装电磁阀门，控制喷水区域。产品库装料区、皮带机尾的落料区划分为重点喷淋分区，需在工作时间持续喷淋。</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Calibri" w:hAnsi="Calibri" w:cs="Times New Roman"/>
                <w:sz w:val="24"/>
                <w:szCs w:val="24"/>
              </w:rPr>
            </w:pPr>
            <w:r>
              <w:rPr>
                <w:rFonts w:hint="default" w:ascii="Calibri" w:hAnsi="Calibri" w:cs="Times New Roman"/>
                <w:sz w:val="24"/>
                <w:szCs w:val="24"/>
              </w:rPr>
              <w:t>B、运输车辆必须密闭，限速行驶。每个工业广场进出口处设置1个清洗平</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default" w:ascii="Calibri" w:hAnsi="Calibri" w:cs="Times New Roman"/>
                <w:sz w:val="24"/>
                <w:szCs w:val="24"/>
              </w:rPr>
            </w:pPr>
            <w:r>
              <w:rPr>
                <w:rFonts w:hint="default" w:ascii="Calibri" w:hAnsi="Calibri" w:cs="Times New Roman"/>
                <w:sz w:val="24"/>
                <w:szCs w:val="24"/>
              </w:rPr>
              <w:t>台，运输车辆进出企业要进行轮胎清洗。</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Calibri" w:hAnsi="Calibri" w:cs="Times New Roman"/>
                <w:sz w:val="24"/>
                <w:szCs w:val="24"/>
              </w:rPr>
            </w:pPr>
            <w:r>
              <w:rPr>
                <w:rFonts w:hint="default" w:ascii="Calibri" w:hAnsi="Calibri" w:cs="Times New Roman"/>
                <w:sz w:val="24"/>
                <w:szCs w:val="24"/>
              </w:rPr>
              <w:t>C、各破碎机、筛分机等设备进行全密闭，并配套喷头进行洒水降尘。</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Calibri" w:hAnsi="Calibri" w:cs="Times New Roman"/>
                <w:sz w:val="24"/>
                <w:szCs w:val="24"/>
              </w:rPr>
            </w:pPr>
            <w:r>
              <w:rPr>
                <w:rFonts w:hint="default" w:ascii="Calibri" w:hAnsi="Calibri" w:cs="Times New Roman"/>
                <w:sz w:val="24"/>
                <w:szCs w:val="24"/>
              </w:rPr>
              <w:t>D、矿山采用潜孔钻机打中深孔，配套自带的湿式除尘系统进行降尘。</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Calibri" w:hAnsi="Calibri" w:cs="Times New Roman"/>
                <w:sz w:val="24"/>
                <w:szCs w:val="24"/>
              </w:rPr>
            </w:pPr>
            <w:r>
              <w:rPr>
                <w:rFonts w:hint="default" w:ascii="Calibri" w:hAnsi="Calibri" w:cs="Times New Roman"/>
                <w:sz w:val="24"/>
                <w:szCs w:val="24"/>
              </w:rPr>
              <w:t>E、矿山爆破才是采用中深孔湿式爆破，二次解体采用挖掘机安装液压破锤</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Calibri" w:hAnsi="Calibri" w:cs="Times New Roman"/>
                <w:sz w:val="24"/>
                <w:szCs w:val="24"/>
              </w:rPr>
            </w:pPr>
            <w:r>
              <w:rPr>
                <w:rFonts w:hint="default" w:ascii="Calibri" w:hAnsi="Calibri" w:cs="Times New Roman"/>
                <w:sz w:val="24"/>
                <w:szCs w:val="24"/>
              </w:rPr>
              <w:t>进行，为有效抑尘，在爆破前，建设单位先对爆破区域喷水，使爆破区域足够湿润。</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Calibri" w:hAnsi="Calibri" w:cs="Times New Roman"/>
                <w:sz w:val="24"/>
                <w:szCs w:val="24"/>
              </w:rPr>
            </w:pPr>
            <w:r>
              <w:rPr>
                <w:rFonts w:hint="default" w:ascii="Calibri" w:hAnsi="Calibri" w:cs="Times New Roman"/>
                <w:sz w:val="24"/>
                <w:szCs w:val="24"/>
              </w:rPr>
              <w:t>F、采场石料装车采用机械铲装作业，采用喷淋抑尘。</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Calibri" w:hAnsi="Calibri" w:cs="Times New Roman"/>
                <w:sz w:val="24"/>
                <w:szCs w:val="24"/>
              </w:rPr>
            </w:pPr>
            <w:r>
              <w:rPr>
                <w:rFonts w:hint="default" w:ascii="Calibri" w:hAnsi="Calibri" w:cs="Times New Roman"/>
                <w:sz w:val="24"/>
                <w:szCs w:val="24"/>
              </w:rPr>
              <w:t>G、工业广场运输道路全部硬化，定期清扫，采用洒水车定期洒水抑尘。</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Calibri" w:hAnsi="Calibri" w:cs="Times New Roman"/>
                <w:sz w:val="24"/>
                <w:szCs w:val="24"/>
              </w:rPr>
            </w:pPr>
            <w:r>
              <w:rPr>
                <w:rFonts w:hint="default" w:ascii="Calibri" w:hAnsi="Calibri" w:cs="Times New Roman"/>
                <w:sz w:val="24"/>
                <w:szCs w:val="24"/>
              </w:rPr>
              <w:t>（2）环境监测</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Calibri" w:hAnsi="Calibri" w:cs="Times New Roman"/>
                <w:sz w:val="24"/>
                <w:szCs w:val="24"/>
              </w:rPr>
            </w:pPr>
            <w:r>
              <w:rPr>
                <w:rFonts w:hint="default" w:ascii="Calibri" w:hAnsi="Calibri" w:cs="Times New Roman"/>
                <w:sz w:val="24"/>
                <w:szCs w:val="24"/>
              </w:rPr>
              <w:t>应定期委托有检测资质单位进行污染源监视性监测，为环境管理提供依据。主要为污染源监测，监测项目根据生产工艺排污状况决定，具体见下表。</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51" w:lineRule="auto"/>
              <w:ind w:left="0" w:right="0"/>
              <w:jc w:val="center"/>
              <w:textAlignment w:val="auto"/>
              <w:rPr>
                <w:rFonts w:hint="default" w:ascii="Times New Roman" w:hAnsi="Times New Roman" w:eastAsia="宋体" w:cs="Times New Roman"/>
                <w:b/>
                <w:bCs/>
                <w:color w:val="auto"/>
                <w:sz w:val="24"/>
                <w:szCs w:val="24"/>
              </w:rPr>
            </w:pPr>
            <w:r>
              <w:rPr>
                <w:rFonts w:hint="default" w:ascii="Times New Roman" w:hAnsi="Times New Roman" w:eastAsia="宋体" w:cs="Times New Roman"/>
                <w:b/>
                <w:bCs/>
                <w:color w:val="auto"/>
                <w:spacing w:val="-1"/>
                <w:sz w:val="21"/>
                <w:szCs w:val="21"/>
              </w:rPr>
              <w:t>表5-</w:t>
            </w:r>
            <w:r>
              <w:rPr>
                <w:rFonts w:hint="eastAsia" w:cs="Times New Roman"/>
                <w:b/>
                <w:bCs/>
                <w:color w:val="auto"/>
                <w:spacing w:val="-1"/>
                <w:sz w:val="21"/>
                <w:szCs w:val="21"/>
                <w:lang w:val="en-US" w:eastAsia="zh-CN"/>
              </w:rPr>
              <w:t>3</w:t>
            </w:r>
            <w:r>
              <w:rPr>
                <w:rFonts w:hint="default" w:ascii="Times New Roman" w:hAnsi="Times New Roman" w:eastAsia="宋体" w:cs="Times New Roman"/>
                <w:b/>
                <w:bCs/>
                <w:color w:val="auto"/>
                <w:spacing w:val="-1"/>
                <w:sz w:val="21"/>
                <w:szCs w:val="21"/>
              </w:rPr>
              <w:t>监测计划一览表</w:t>
            </w:r>
          </w:p>
          <w:tbl>
            <w:tblPr>
              <w:tblStyle w:val="22"/>
              <w:tblW w:w="8798" w:type="dxa"/>
              <w:tblInd w:w="-1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96"/>
              <w:gridCol w:w="1183"/>
              <w:gridCol w:w="1237"/>
              <w:gridCol w:w="2013"/>
              <w:gridCol w:w="1507"/>
              <w:gridCol w:w="17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96" w:type="dxa"/>
                  <w:vAlign w:val="center"/>
                </w:tcPr>
                <w:p>
                  <w:pPr>
                    <w:keepNext w:val="0"/>
                    <w:keepLines w:val="0"/>
                    <w:suppressLineNumbers w:val="0"/>
                    <w:spacing w:before="0" w:beforeAutospacing="0" w:after="0" w:afterAutospacing="0"/>
                    <w:ind w:left="0" w:right="0"/>
                    <w:jc w:val="center"/>
                    <w:rPr>
                      <w:rFonts w:hint="default" w:ascii="Calibri" w:hAnsi="Calibri" w:cs="Times New Roman"/>
                      <w:b/>
                      <w:bCs/>
                      <w:u w:val="none"/>
                      <w:lang w:val="en-US" w:eastAsia="zh-CN"/>
                    </w:rPr>
                  </w:pPr>
                  <w:r>
                    <w:rPr>
                      <w:rFonts w:ascii="Calibri" w:hAnsi="Calibri" w:cs="Times New Roman"/>
                      <w:b/>
                      <w:bCs/>
                      <w:u w:val="none"/>
                    </w:rPr>
                    <w:t>类别</w:t>
                  </w:r>
                </w:p>
              </w:tc>
              <w:tc>
                <w:tcPr>
                  <w:tcW w:w="2420" w:type="dxa"/>
                  <w:gridSpan w:val="2"/>
                  <w:vAlign w:val="center"/>
                </w:tcPr>
                <w:p>
                  <w:pPr>
                    <w:keepNext w:val="0"/>
                    <w:keepLines w:val="0"/>
                    <w:suppressLineNumbers w:val="0"/>
                    <w:spacing w:before="0" w:beforeAutospacing="0" w:after="0" w:afterAutospacing="0"/>
                    <w:ind w:left="0" w:right="0"/>
                    <w:jc w:val="center"/>
                    <w:rPr>
                      <w:rFonts w:hint="default" w:ascii="Calibri" w:hAnsi="Calibri" w:cs="Times New Roman"/>
                      <w:b/>
                      <w:bCs/>
                      <w:u w:val="none"/>
                      <w:lang w:val="en-US" w:eastAsia="zh-CN"/>
                    </w:rPr>
                  </w:pPr>
                  <w:r>
                    <w:rPr>
                      <w:rFonts w:ascii="Calibri" w:hAnsi="Calibri" w:cs="Times New Roman"/>
                      <w:b/>
                      <w:bCs/>
                      <w:u w:val="none"/>
                    </w:rPr>
                    <w:t>监测项目</w:t>
                  </w:r>
                </w:p>
              </w:tc>
              <w:tc>
                <w:tcPr>
                  <w:tcW w:w="2013" w:type="dxa"/>
                  <w:vAlign w:val="center"/>
                </w:tcPr>
                <w:p>
                  <w:pPr>
                    <w:keepNext w:val="0"/>
                    <w:keepLines w:val="0"/>
                    <w:suppressLineNumbers w:val="0"/>
                    <w:spacing w:before="0" w:beforeAutospacing="0" w:after="0" w:afterAutospacing="0"/>
                    <w:ind w:left="0" w:right="0"/>
                    <w:jc w:val="center"/>
                    <w:rPr>
                      <w:rFonts w:hint="default" w:ascii="Calibri" w:hAnsi="Calibri" w:cs="Times New Roman"/>
                      <w:b/>
                      <w:bCs/>
                      <w:u w:val="none"/>
                      <w:lang w:val="en-US" w:eastAsia="zh-CN"/>
                    </w:rPr>
                  </w:pPr>
                  <w:r>
                    <w:rPr>
                      <w:rFonts w:hint="eastAsia" w:ascii="Calibri" w:hAnsi="Calibri" w:cs="Times New Roman"/>
                      <w:b/>
                      <w:bCs/>
                      <w:u w:val="none"/>
                      <w:lang w:val="en-US" w:eastAsia="zh-CN"/>
                    </w:rPr>
                    <w:t>监测布点</w:t>
                  </w:r>
                </w:p>
              </w:tc>
              <w:tc>
                <w:tcPr>
                  <w:tcW w:w="1507" w:type="dxa"/>
                  <w:vAlign w:val="center"/>
                </w:tcPr>
                <w:p>
                  <w:pPr>
                    <w:keepNext w:val="0"/>
                    <w:keepLines w:val="0"/>
                    <w:suppressLineNumbers w:val="0"/>
                    <w:spacing w:before="0" w:beforeAutospacing="0" w:after="0" w:afterAutospacing="0"/>
                    <w:ind w:left="0" w:right="0"/>
                    <w:jc w:val="center"/>
                    <w:rPr>
                      <w:rFonts w:hint="default" w:ascii="Calibri" w:hAnsi="Calibri" w:cs="Times New Roman"/>
                      <w:b/>
                      <w:bCs/>
                      <w:u w:val="none"/>
                      <w:lang w:val="en-US" w:eastAsia="zh-CN"/>
                    </w:rPr>
                  </w:pPr>
                  <w:r>
                    <w:rPr>
                      <w:rFonts w:hint="eastAsia" w:ascii="Calibri" w:hAnsi="Calibri" w:cs="Times New Roman"/>
                      <w:b/>
                      <w:bCs/>
                      <w:u w:val="none"/>
                      <w:lang w:val="en-US" w:eastAsia="zh-CN"/>
                    </w:rPr>
                    <w:t>监测因子</w:t>
                  </w:r>
                </w:p>
              </w:tc>
              <w:tc>
                <w:tcPr>
                  <w:tcW w:w="1762" w:type="dxa"/>
                  <w:vAlign w:val="center"/>
                </w:tcPr>
                <w:p>
                  <w:pPr>
                    <w:keepNext w:val="0"/>
                    <w:keepLines w:val="0"/>
                    <w:suppressLineNumbers w:val="0"/>
                    <w:spacing w:before="0" w:beforeAutospacing="0" w:after="0" w:afterAutospacing="0"/>
                    <w:ind w:left="0" w:right="0"/>
                    <w:jc w:val="center"/>
                    <w:rPr>
                      <w:rFonts w:hint="default" w:ascii="Calibri" w:hAnsi="Calibri" w:cs="Times New Roman"/>
                      <w:b/>
                      <w:bCs/>
                      <w:u w:val="none"/>
                      <w:lang w:val="en-US" w:eastAsia="zh-CN"/>
                    </w:rPr>
                  </w:pPr>
                  <w:r>
                    <w:rPr>
                      <w:rFonts w:ascii="Calibri" w:hAnsi="Calibri" w:cs="Times New Roman"/>
                      <w:b/>
                      <w:bCs/>
                      <w:u w:val="none"/>
                    </w:rPr>
                    <w:t>监测频次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9" w:hRule="atLeast"/>
              </w:trPr>
              <w:tc>
                <w:tcPr>
                  <w:tcW w:w="1096" w:type="dxa"/>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u w:val="none"/>
                    </w:rPr>
                  </w:pPr>
                  <w:r>
                    <w:rPr>
                      <w:rFonts w:hint="default" w:ascii="Times New Roman" w:hAnsi="Times New Roman" w:cs="Times New Roman"/>
                      <w:u w:val="none"/>
                    </w:rPr>
                    <w:t>污染</w:t>
                  </w:r>
                </w:p>
                <w:p>
                  <w:pPr>
                    <w:keepNext w:val="0"/>
                    <w:keepLines w:val="0"/>
                    <w:suppressLineNumbers w:val="0"/>
                    <w:spacing w:before="0" w:beforeAutospacing="0" w:after="0" w:afterAutospacing="0"/>
                    <w:ind w:left="0" w:right="0"/>
                    <w:jc w:val="center"/>
                    <w:rPr>
                      <w:rFonts w:hint="default" w:ascii="Times New Roman" w:hAnsi="Times New Roman" w:cs="Times New Roman"/>
                      <w:u w:val="none"/>
                    </w:rPr>
                  </w:pPr>
                  <w:r>
                    <w:rPr>
                      <w:rFonts w:hint="default" w:ascii="Times New Roman" w:hAnsi="Times New Roman" w:cs="Times New Roman"/>
                      <w:u w:val="none"/>
                    </w:rPr>
                    <w:t>源监</w:t>
                  </w:r>
                </w:p>
                <w:p>
                  <w:pPr>
                    <w:keepNext w:val="0"/>
                    <w:keepLines w:val="0"/>
                    <w:suppressLineNumbers w:val="0"/>
                    <w:spacing w:before="0" w:beforeAutospacing="0" w:after="0" w:afterAutospacing="0"/>
                    <w:ind w:left="0" w:right="0"/>
                    <w:jc w:val="center"/>
                    <w:rPr>
                      <w:rFonts w:hint="default" w:ascii="Times New Roman" w:hAnsi="Times New Roman" w:cs="Times New Roman"/>
                      <w:u w:val="none"/>
                      <w:lang w:val="en-US" w:eastAsia="zh-CN"/>
                    </w:rPr>
                  </w:pPr>
                  <w:r>
                    <w:rPr>
                      <w:rFonts w:hint="default" w:ascii="Times New Roman" w:hAnsi="Times New Roman" w:cs="Times New Roman"/>
                      <w:u w:val="none"/>
                    </w:rPr>
                    <w:t>测</w:t>
                  </w:r>
                </w:p>
              </w:tc>
              <w:tc>
                <w:tcPr>
                  <w:tcW w:w="1183" w:type="dxa"/>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u w:val="none"/>
                      <w:lang w:eastAsia="zh-CN"/>
                    </w:rPr>
                  </w:pPr>
                  <w:r>
                    <w:rPr>
                      <w:rFonts w:hint="default" w:ascii="Times New Roman" w:hAnsi="Times New Roman" w:cs="Times New Roman"/>
                      <w:u w:val="none"/>
                      <w:lang w:val="en-US" w:eastAsia="zh-CN"/>
                    </w:rPr>
                    <w:t>大气</w:t>
                  </w:r>
                </w:p>
              </w:tc>
              <w:tc>
                <w:tcPr>
                  <w:tcW w:w="1237"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u w:val="none"/>
                    </w:rPr>
                  </w:pPr>
                  <w:r>
                    <w:rPr>
                      <w:rFonts w:hint="default" w:ascii="Times New Roman" w:hAnsi="Times New Roman" w:cs="Times New Roman"/>
                      <w:u w:val="none"/>
                    </w:rPr>
                    <w:t>有组织</w:t>
                  </w:r>
                </w:p>
              </w:tc>
              <w:tc>
                <w:tcPr>
                  <w:tcW w:w="2013"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u w:val="none"/>
                    </w:rPr>
                  </w:pPr>
                  <w:r>
                    <w:rPr>
                      <w:rFonts w:hint="default" w:ascii="Times New Roman" w:hAnsi="Times New Roman" w:cs="Times New Roman"/>
                      <w:u w:val="none"/>
                    </w:rPr>
                    <w:t>工业广场DA001</w:t>
                  </w:r>
                  <w:r>
                    <w:rPr>
                      <w:rFonts w:hint="default" w:ascii="Times New Roman" w:hAnsi="Times New Roman" w:cs="Times New Roman"/>
                      <w:u w:val="none"/>
                      <w:lang w:eastAsia="zh-CN"/>
                    </w:rPr>
                    <w:t>、</w:t>
                  </w:r>
                  <w:r>
                    <w:rPr>
                      <w:rFonts w:hint="default" w:ascii="Times New Roman" w:hAnsi="Times New Roman" w:cs="Times New Roman"/>
                      <w:u w:val="none"/>
                      <w:lang w:val="en-US" w:eastAsia="zh-CN"/>
                    </w:rPr>
                    <w:t>DA002</w:t>
                  </w:r>
                  <w:r>
                    <w:rPr>
                      <w:rFonts w:hint="default" w:ascii="Times New Roman" w:hAnsi="Times New Roman" w:cs="Times New Roman"/>
                      <w:u w:val="none"/>
                    </w:rPr>
                    <w:t>排气筒</w:t>
                  </w:r>
                </w:p>
              </w:tc>
              <w:tc>
                <w:tcPr>
                  <w:tcW w:w="1507"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u w:val="none"/>
                    </w:rPr>
                  </w:pPr>
                  <w:r>
                    <w:rPr>
                      <w:rFonts w:hint="default" w:ascii="Times New Roman" w:hAnsi="Times New Roman" w:cs="Times New Roman"/>
                      <w:u w:val="none"/>
                    </w:rPr>
                    <w:t>废气量、颗粒物</w:t>
                  </w:r>
                </w:p>
              </w:tc>
              <w:tc>
                <w:tcPr>
                  <w:tcW w:w="1762" w:type="dxa"/>
                  <w:vAlign w:val="center"/>
                </w:tcPr>
                <w:p>
                  <w:pPr>
                    <w:keepNext w:val="0"/>
                    <w:keepLines w:val="0"/>
                    <w:suppressLineNumbers w:val="0"/>
                    <w:spacing w:before="0" w:beforeAutospacing="0" w:after="0" w:afterAutospacing="0"/>
                    <w:ind w:left="0" w:right="0"/>
                    <w:jc w:val="center"/>
                    <w:rPr>
                      <w:rFonts w:hint="eastAsia" w:ascii="Calibri" w:hAnsi="Calibri" w:eastAsia="宋体" w:cs="Times New Roman"/>
                      <w:u w:val="none"/>
                      <w:lang w:val="en-US" w:eastAsia="zh-CN"/>
                    </w:rPr>
                  </w:pPr>
                  <w:r>
                    <w:rPr>
                      <w:rFonts w:hint="eastAsia" w:ascii="Calibri" w:hAnsi="Calibri" w:cs="Times New Roman"/>
                      <w:u w:val="none"/>
                      <w:lang w:val="en-US" w:eastAsia="zh-CN"/>
                    </w:rPr>
                    <w:t>一年一次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96"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u w:val="none"/>
                    </w:rPr>
                  </w:pPr>
                </w:p>
              </w:tc>
              <w:tc>
                <w:tcPr>
                  <w:tcW w:w="1183"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u w:val="none"/>
                    </w:rPr>
                  </w:pPr>
                </w:p>
              </w:tc>
              <w:tc>
                <w:tcPr>
                  <w:tcW w:w="1237"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u w:val="none"/>
                    </w:rPr>
                  </w:pPr>
                  <w:r>
                    <w:rPr>
                      <w:rFonts w:hint="default" w:ascii="Times New Roman" w:hAnsi="Times New Roman" w:cs="Times New Roman"/>
                      <w:u w:val="none"/>
                    </w:rPr>
                    <w:t>无组织</w:t>
                  </w:r>
                </w:p>
              </w:tc>
              <w:tc>
                <w:tcPr>
                  <w:tcW w:w="2013"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u w:val="none"/>
                    </w:rPr>
                  </w:pPr>
                  <w:r>
                    <w:rPr>
                      <w:rFonts w:hint="default" w:ascii="Times New Roman" w:hAnsi="Times New Roman" w:cs="Times New Roman"/>
                      <w:u w:val="none"/>
                    </w:rPr>
                    <w:t>厂界</w:t>
                  </w:r>
                </w:p>
              </w:tc>
              <w:tc>
                <w:tcPr>
                  <w:tcW w:w="1507"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u w:val="none"/>
                    </w:rPr>
                  </w:pPr>
                  <w:r>
                    <w:rPr>
                      <w:rFonts w:hint="default" w:ascii="Times New Roman" w:hAnsi="Times New Roman" w:cs="Times New Roman"/>
                      <w:u w:val="none"/>
                    </w:rPr>
                    <w:t>颗粒物</w:t>
                  </w:r>
                </w:p>
              </w:tc>
              <w:tc>
                <w:tcPr>
                  <w:tcW w:w="1762" w:type="dxa"/>
                  <w:vAlign w:val="center"/>
                </w:tcPr>
                <w:p>
                  <w:pPr>
                    <w:keepNext w:val="0"/>
                    <w:keepLines w:val="0"/>
                    <w:suppressLineNumbers w:val="0"/>
                    <w:spacing w:before="0" w:beforeAutospacing="0" w:after="0" w:afterAutospacing="0"/>
                    <w:ind w:left="0" w:right="0"/>
                    <w:jc w:val="center"/>
                    <w:rPr>
                      <w:rFonts w:hint="default" w:ascii="Calibri" w:hAnsi="Calibri" w:cs="Times New Roman"/>
                      <w:u w:val="none"/>
                    </w:rPr>
                  </w:pPr>
                  <w:r>
                    <w:rPr>
                      <w:rFonts w:hint="eastAsia" w:ascii="Calibri" w:hAnsi="Calibri" w:cs="Times New Roman"/>
                      <w:u w:val="none"/>
                      <w:lang w:val="en-US" w:eastAsia="zh-CN"/>
                    </w:rPr>
                    <w:t>一年一次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96"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u w:val="none"/>
                    </w:rPr>
                  </w:pPr>
                </w:p>
              </w:tc>
              <w:tc>
                <w:tcPr>
                  <w:tcW w:w="1183"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u w:val="none"/>
                      <w:lang w:val="en-US" w:eastAsia="zh-CN"/>
                    </w:rPr>
                  </w:pPr>
                  <w:r>
                    <w:rPr>
                      <w:rFonts w:hint="default" w:ascii="Times New Roman" w:hAnsi="Times New Roman" w:cs="Times New Roman"/>
                      <w:u w:val="none"/>
                      <w:lang w:val="en-US" w:eastAsia="zh-CN"/>
                    </w:rPr>
                    <w:t>噪声</w:t>
                  </w:r>
                </w:p>
              </w:tc>
              <w:tc>
                <w:tcPr>
                  <w:tcW w:w="1237"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u w:val="none"/>
                      <w:lang w:val="en-US" w:eastAsia="zh-CN"/>
                    </w:rPr>
                  </w:pPr>
                  <w:r>
                    <w:rPr>
                      <w:rFonts w:hint="default" w:ascii="Times New Roman" w:hAnsi="Times New Roman" w:cs="Times New Roman"/>
                      <w:u w:val="none"/>
                      <w:lang w:val="en-US" w:eastAsia="zh-CN"/>
                    </w:rPr>
                    <w:t>厂界噪声</w:t>
                  </w:r>
                </w:p>
              </w:tc>
              <w:tc>
                <w:tcPr>
                  <w:tcW w:w="2013"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u w:val="none"/>
                      <w:lang w:val="en-US" w:eastAsia="zh-CN"/>
                    </w:rPr>
                  </w:pPr>
                  <w:r>
                    <w:rPr>
                      <w:rFonts w:hint="default" w:ascii="Times New Roman" w:hAnsi="Times New Roman" w:cs="Times New Roman"/>
                      <w:u w:val="none"/>
                      <w:lang w:val="en-US" w:eastAsia="zh-CN"/>
                    </w:rPr>
                    <w:t>厂界四周</w:t>
                  </w:r>
                </w:p>
              </w:tc>
              <w:tc>
                <w:tcPr>
                  <w:tcW w:w="1507"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u w:val="none"/>
                    </w:rPr>
                  </w:pPr>
                  <w:r>
                    <w:rPr>
                      <w:rFonts w:hint="default" w:ascii="Times New Roman" w:hAnsi="Times New Roman" w:cs="Times New Roman"/>
                      <w:u w:val="none"/>
                    </w:rPr>
                    <w:t>Leq dB（A）</w:t>
                  </w:r>
                </w:p>
              </w:tc>
              <w:tc>
                <w:tcPr>
                  <w:tcW w:w="1762" w:type="dxa"/>
                  <w:vAlign w:val="center"/>
                </w:tcPr>
                <w:p>
                  <w:pPr>
                    <w:keepNext w:val="0"/>
                    <w:keepLines w:val="0"/>
                    <w:suppressLineNumbers w:val="0"/>
                    <w:spacing w:before="0" w:beforeAutospacing="0" w:after="0" w:afterAutospacing="0"/>
                    <w:ind w:left="0" w:right="0"/>
                    <w:jc w:val="center"/>
                    <w:rPr>
                      <w:rFonts w:hint="eastAsia" w:ascii="Calibri" w:hAnsi="Calibri" w:cs="Times New Roman"/>
                      <w:u w:val="none"/>
                      <w:lang w:val="en-US" w:eastAsia="zh-CN"/>
                    </w:rPr>
                  </w:pPr>
                  <w:r>
                    <w:rPr>
                      <w:rFonts w:hint="eastAsia" w:ascii="Calibri" w:hAnsi="Calibri" w:cs="Times New Roman"/>
                      <w:u w:val="none"/>
                      <w:lang w:val="en-US" w:eastAsia="zh-CN"/>
                    </w:rPr>
                    <w:t>一年一次</w:t>
                  </w:r>
                </w:p>
              </w:tc>
            </w:tr>
          </w:tbl>
          <w:p>
            <w:pPr>
              <w:keepNext w:val="0"/>
              <w:keepLines w:val="0"/>
              <w:suppressLineNumbers w:val="0"/>
              <w:spacing w:before="35" w:beforeAutospacing="0" w:after="0" w:afterAutospacing="0" w:line="220" w:lineRule="auto"/>
              <w:ind w:left="22" w:right="0"/>
              <w:outlineLvl w:val="2"/>
              <w:rPr>
                <w:rFonts w:ascii="宋体" w:hAnsi="宋体" w:eastAsia="宋体" w:cs="宋体"/>
                <w:b/>
                <w:bCs/>
                <w:sz w:val="24"/>
                <w:szCs w:val="24"/>
              </w:rPr>
            </w:pPr>
            <w:r>
              <w:rPr>
                <w:rFonts w:hint="eastAsia" w:ascii="Calibri" w:hAnsi="Calibri" w:cs="Times New Roman"/>
                <w:b/>
                <w:bCs/>
                <w:sz w:val="24"/>
                <w:szCs w:val="24"/>
                <w:lang w:eastAsia="zh-CN"/>
              </w:rPr>
              <w:t>（</w:t>
            </w:r>
            <w:r>
              <w:rPr>
                <w:rFonts w:hint="eastAsia" w:ascii="Calibri" w:hAnsi="Calibri" w:cs="Times New Roman"/>
                <w:b/>
                <w:bCs/>
                <w:sz w:val="24"/>
                <w:szCs w:val="24"/>
                <w:lang w:val="en-US" w:eastAsia="zh-CN"/>
              </w:rPr>
              <w:t>2</w:t>
            </w:r>
            <w:r>
              <w:rPr>
                <w:rFonts w:hint="eastAsia" w:ascii="Calibri" w:hAnsi="Calibri" w:cs="Times New Roman"/>
                <w:b/>
                <w:bCs/>
                <w:sz w:val="24"/>
                <w:szCs w:val="24"/>
                <w:lang w:eastAsia="zh-CN"/>
              </w:rPr>
              <w:t>）</w:t>
            </w:r>
            <w:r>
              <w:rPr>
                <w:rFonts w:ascii="宋体" w:hAnsi="宋体" w:eastAsia="宋体" w:cs="宋体"/>
                <w:b/>
                <w:bCs/>
                <w:spacing w:val="-2"/>
                <w:sz w:val="24"/>
                <w:szCs w:val="24"/>
              </w:rPr>
              <w:t>环境监理</w:t>
            </w:r>
          </w:p>
          <w:p>
            <w:pPr>
              <w:keepNext w:val="0"/>
              <w:keepLines w:val="0"/>
              <w:suppressLineNumbers w:val="0"/>
              <w:spacing w:before="182" w:beforeAutospacing="0" w:after="0" w:afterAutospacing="0" w:line="351" w:lineRule="auto"/>
              <w:ind w:left="43" w:right="80" w:firstLine="460"/>
              <w:jc w:val="both"/>
              <w:rPr>
                <w:rFonts w:ascii="宋体" w:hAnsi="宋体" w:eastAsia="宋体" w:cs="宋体"/>
                <w:sz w:val="24"/>
                <w:szCs w:val="24"/>
              </w:rPr>
            </w:pPr>
            <w:r>
              <w:rPr>
                <w:rFonts w:ascii="宋体" w:hAnsi="宋体" w:eastAsia="宋体" w:cs="宋体"/>
                <w:spacing w:val="-3"/>
                <w:sz w:val="24"/>
                <w:szCs w:val="24"/>
              </w:rPr>
              <w:t>环境监理是工程环境保护措施实施的保证，为确保环境措施实施</w:t>
            </w:r>
            <w:r>
              <w:rPr>
                <w:rFonts w:ascii="宋体" w:hAnsi="宋体" w:eastAsia="宋体" w:cs="宋体"/>
                <w:spacing w:val="-4"/>
                <w:sz w:val="24"/>
                <w:szCs w:val="24"/>
              </w:rPr>
              <w:t>，在施工合同条款中应明确环境监理由专业人员承担，负责对施工过程中执行环境保护措施</w:t>
            </w:r>
            <w:r>
              <w:rPr>
                <w:rFonts w:ascii="宋体" w:hAnsi="宋体" w:eastAsia="宋体" w:cs="宋体"/>
                <w:spacing w:val="-2"/>
                <w:sz w:val="24"/>
                <w:szCs w:val="24"/>
              </w:rPr>
              <w:t>的监督与检查工作。工程建设环境监理的任务包括：</w:t>
            </w:r>
          </w:p>
          <w:p>
            <w:pPr>
              <w:keepNext w:val="0"/>
              <w:keepLines w:val="0"/>
              <w:suppressLineNumbers w:val="0"/>
              <w:spacing w:before="34" w:beforeAutospacing="0" w:after="0" w:afterAutospacing="0" w:line="325" w:lineRule="auto"/>
              <w:ind w:left="22" w:right="26" w:firstLine="499"/>
              <w:rPr>
                <w:rFonts w:ascii="宋体" w:hAnsi="宋体" w:eastAsia="宋体" w:cs="宋体"/>
                <w:sz w:val="24"/>
                <w:szCs w:val="24"/>
              </w:rPr>
            </w:pPr>
            <w:r>
              <w:rPr>
                <w:rFonts w:ascii="Times New Roman" w:hAnsi="Times New Roman" w:eastAsia="Times New Roman" w:cs="Times New Roman"/>
                <w:sz w:val="24"/>
                <w:szCs w:val="24"/>
              </w:rPr>
              <w:t>1</w:t>
            </w:r>
            <w:r>
              <w:rPr>
                <w:rFonts w:ascii="宋体" w:hAnsi="宋体" w:eastAsia="宋体" w:cs="宋体"/>
                <w:sz w:val="24"/>
                <w:szCs w:val="24"/>
              </w:rPr>
              <w:t>）质量控制：按照国家或地方环境标准和招标文件中的环境</w:t>
            </w:r>
            <w:r>
              <w:rPr>
                <w:rFonts w:ascii="宋体" w:hAnsi="宋体" w:eastAsia="宋体" w:cs="宋体"/>
                <w:spacing w:val="-1"/>
                <w:sz w:val="24"/>
                <w:szCs w:val="24"/>
              </w:rPr>
              <w:t>保护条款，根</w:t>
            </w:r>
            <w:r>
              <w:rPr>
                <w:rFonts w:ascii="宋体" w:hAnsi="宋体" w:eastAsia="宋体" w:cs="宋体"/>
                <w:spacing w:val="-3"/>
                <w:sz w:val="24"/>
                <w:szCs w:val="24"/>
              </w:rPr>
              <w:t>据业主的要求，在工程施工期间通过现场监督等执法工作，监理承包商如何履行</w:t>
            </w:r>
            <w:r>
              <w:rPr>
                <w:rFonts w:ascii="宋体" w:hAnsi="宋体" w:eastAsia="宋体" w:cs="宋体"/>
                <w:spacing w:val="-1"/>
                <w:sz w:val="24"/>
                <w:szCs w:val="24"/>
              </w:rPr>
              <w:t>合同规定，防止生态破坏和水土流失，保护人</w:t>
            </w:r>
            <w:r>
              <w:rPr>
                <w:rFonts w:ascii="宋体" w:hAnsi="宋体" w:eastAsia="宋体" w:cs="宋体"/>
                <w:spacing w:val="-2"/>
                <w:sz w:val="24"/>
                <w:szCs w:val="24"/>
              </w:rPr>
              <w:t>群健康，防治水污染、空气污染、</w:t>
            </w:r>
            <w:r>
              <w:rPr>
                <w:rFonts w:ascii="宋体" w:hAnsi="宋体" w:eastAsia="宋体" w:cs="宋体"/>
                <w:sz w:val="24"/>
                <w:szCs w:val="24"/>
              </w:rPr>
              <w:t>噪声污染等环保条款的要求，并及时处理工程施</w:t>
            </w:r>
            <w:r>
              <w:rPr>
                <w:rFonts w:ascii="宋体" w:hAnsi="宋体" w:eastAsia="宋体" w:cs="宋体"/>
                <w:spacing w:val="-1"/>
                <w:sz w:val="24"/>
                <w:szCs w:val="24"/>
              </w:rPr>
              <w:t>工中出现的环境问题。</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23" w:right="79" w:firstLine="476"/>
              <w:textAlignment w:val="auto"/>
              <w:rPr>
                <w:rFonts w:ascii="宋体" w:hAnsi="宋体" w:eastAsia="宋体" w:cs="宋体"/>
                <w:sz w:val="24"/>
                <w:szCs w:val="24"/>
              </w:rPr>
            </w:pPr>
            <w:r>
              <w:rPr>
                <w:rFonts w:ascii="Times New Roman" w:hAnsi="Times New Roman" w:eastAsia="Times New Roman" w:cs="Times New Roman"/>
                <w:spacing w:val="1"/>
                <w:sz w:val="24"/>
                <w:szCs w:val="24"/>
              </w:rPr>
              <w:t>2</w:t>
            </w:r>
            <w:r>
              <w:rPr>
                <w:rFonts w:ascii="宋体" w:hAnsi="宋体" w:eastAsia="宋体" w:cs="宋体"/>
                <w:spacing w:val="1"/>
                <w:sz w:val="24"/>
                <w:szCs w:val="24"/>
              </w:rPr>
              <w:t>）信息管理：及时了解和收集掌握施工区各</w:t>
            </w:r>
            <w:r>
              <w:rPr>
                <w:rFonts w:ascii="宋体" w:hAnsi="宋体" w:eastAsia="宋体" w:cs="宋体"/>
                <w:sz w:val="24"/>
                <w:szCs w:val="24"/>
              </w:rPr>
              <w:t>类信息，并对信息进行分类、</w:t>
            </w:r>
            <w:r>
              <w:rPr>
                <w:rFonts w:ascii="宋体" w:hAnsi="宋体" w:eastAsia="宋体" w:cs="宋体"/>
                <w:spacing w:val="-3"/>
                <w:sz w:val="24"/>
                <w:szCs w:val="24"/>
              </w:rPr>
              <w:t>反馈、处理和储存管理，便于监理决策和协调工程建设各有关参与方的环境保护工作；及时掌握工程区环境状况，解决施工过程中造成的环境纠纷；对工程项目</w:t>
            </w:r>
            <w:r>
              <w:rPr>
                <w:rFonts w:ascii="宋体" w:hAnsi="宋体" w:eastAsia="宋体" w:cs="宋体"/>
                <w:spacing w:val="-1"/>
                <w:sz w:val="24"/>
                <w:szCs w:val="24"/>
              </w:rPr>
              <w:t>承包商的环境月报、季报进行审核，提出审查、修改意见。</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28" w:right="79" w:firstLine="476"/>
              <w:textAlignment w:val="auto"/>
              <w:rPr>
                <w:rFonts w:hint="default" w:ascii="Times New Roman" w:hAnsi="Times New Roman" w:cs="Times New Roman"/>
                <w:bCs/>
                <w:color w:val="000000"/>
                <w:spacing w:val="10"/>
                <w:sz w:val="24"/>
                <w:szCs w:val="24"/>
              </w:rPr>
            </w:pPr>
            <w:r>
              <w:rPr>
                <w:rFonts w:ascii="Times New Roman" w:hAnsi="Times New Roman" w:eastAsia="Times New Roman" w:cs="Times New Roman"/>
                <w:sz w:val="24"/>
                <w:szCs w:val="24"/>
              </w:rPr>
              <w:t>3</w:t>
            </w:r>
            <w:r>
              <w:rPr>
                <w:rFonts w:ascii="宋体" w:hAnsi="宋体" w:eastAsia="宋体" w:cs="宋体"/>
                <w:sz w:val="24"/>
                <w:szCs w:val="24"/>
              </w:rPr>
              <w:t>）组织协调工作：协同当地环保部门，对环境工程建设质量、施工进度、</w:t>
            </w:r>
            <w:r>
              <w:rPr>
                <w:rFonts w:ascii="宋体" w:hAnsi="宋体" w:eastAsia="宋体" w:cs="宋体"/>
                <w:spacing w:val="-3"/>
                <w:sz w:val="24"/>
                <w:szCs w:val="24"/>
              </w:rPr>
              <w:t>投资的合理使用、环保设施运行等进行监督管理，确保各项措施落到实处，</w:t>
            </w:r>
            <w:r>
              <w:rPr>
                <w:rFonts w:ascii="宋体" w:hAnsi="宋体" w:eastAsia="宋体" w:cs="宋体"/>
                <w:spacing w:val="-4"/>
                <w:sz w:val="24"/>
                <w:szCs w:val="24"/>
              </w:rPr>
              <w:t>发挥</w:t>
            </w:r>
            <w:r>
              <w:rPr>
                <w:rFonts w:ascii="宋体" w:hAnsi="宋体" w:eastAsia="宋体" w:cs="宋体"/>
                <w:spacing w:val="-3"/>
                <w:sz w:val="24"/>
                <w:szCs w:val="24"/>
              </w:rPr>
              <w:t>实效；此外，还应协调业主与承包商、业主与设计方、与工程建设部门之间</w:t>
            </w:r>
            <w:r>
              <w:rPr>
                <w:rFonts w:ascii="宋体" w:hAnsi="宋体" w:eastAsia="宋体" w:cs="宋体"/>
                <w:spacing w:val="-4"/>
                <w:sz w:val="24"/>
                <w:szCs w:val="24"/>
              </w:rPr>
              <w:t>的关</w:t>
            </w:r>
            <w:r>
              <w:rPr>
                <w:rFonts w:ascii="宋体" w:hAnsi="宋体" w:eastAsia="宋体" w:cs="宋体"/>
                <w:spacing w:val="-7"/>
                <w:sz w:val="24"/>
                <w:szCs w:val="24"/>
              </w:rPr>
              <w:t>系。</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456" w:type="dxa"/>
            <w:noWrap w:val="0"/>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color w:val="000000"/>
                <w:spacing w:val="10"/>
                <w:sz w:val="24"/>
                <w:szCs w:val="24"/>
              </w:rPr>
            </w:pPr>
            <w:r>
              <w:rPr>
                <w:rFonts w:hint="default" w:ascii="Times New Roman" w:hAnsi="Times New Roman" w:cs="Times New Roman"/>
                <w:bCs/>
                <w:color w:val="000000"/>
                <w:sz w:val="24"/>
                <w:szCs w:val="24"/>
              </w:rPr>
              <w:t>环保投资</w:t>
            </w:r>
          </w:p>
        </w:tc>
        <w:tc>
          <w:tcPr>
            <w:tcW w:w="9033" w:type="dxa"/>
            <w:noWrap w:val="0"/>
            <w:vAlign w:val="top"/>
          </w:tcPr>
          <w:p>
            <w:pPr>
              <w:keepNext w:val="0"/>
              <w:keepLines w:val="0"/>
              <w:suppressLineNumbers w:val="0"/>
              <w:spacing w:before="0" w:beforeAutospacing="0" w:after="0" w:afterAutospacing="0" w:line="360" w:lineRule="auto"/>
              <w:ind w:left="0" w:right="0" w:firstLine="476" w:firstLineChars="200"/>
              <w:rPr>
                <w:sz w:val="24"/>
                <w:szCs w:val="24"/>
              </w:rPr>
            </w:pPr>
            <w:r>
              <w:rPr>
                <w:spacing w:val="-1"/>
                <w:sz w:val="24"/>
                <w:szCs w:val="24"/>
              </w:rPr>
              <w:t>本项目环保投资估算见下表。</w:t>
            </w:r>
          </w:p>
          <w:p>
            <w:pPr>
              <w:keepNext w:val="0"/>
              <w:keepLines w:val="0"/>
              <w:suppressLineNumbers w:val="0"/>
              <w:spacing w:before="0" w:beforeAutospacing="0" w:after="0" w:afterAutospacing="0"/>
              <w:ind w:left="0" w:right="0"/>
              <w:jc w:val="center"/>
              <w:rPr>
                <w:b/>
                <w:bCs/>
              </w:rPr>
            </w:pPr>
            <w:r>
              <w:rPr>
                <w:b/>
                <w:bCs/>
              </w:rPr>
              <w:t>表5-</w:t>
            </w:r>
            <w:r>
              <w:rPr>
                <w:rFonts w:hint="eastAsia"/>
                <w:b/>
                <w:bCs/>
                <w:lang w:val="en-US" w:eastAsia="zh-CN"/>
              </w:rPr>
              <w:t>4</w:t>
            </w:r>
            <w:r>
              <w:rPr>
                <w:b/>
                <w:bCs/>
              </w:rPr>
              <w:t>项目环保措施及投资一览表</w:t>
            </w:r>
          </w:p>
          <w:tbl>
            <w:tblPr>
              <w:tblStyle w:val="63"/>
              <w:tblW w:w="8723" w:type="dxa"/>
              <w:tblInd w:w="96" w:type="dxa"/>
              <w:tblBorders>
                <w:top w:val="single" w:color="000000" w:sz="10" w:space="0"/>
                <w:left w:val="single" w:color="000000" w:sz="2" w:space="0"/>
                <w:bottom w:val="single" w:color="000000" w:sz="10"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82"/>
              <w:gridCol w:w="1665"/>
              <w:gridCol w:w="4998"/>
              <w:gridCol w:w="1378"/>
            </w:tblGrid>
            <w:tr>
              <w:tblPrEx>
                <w:tblBorders>
                  <w:top w:val="single" w:color="000000" w:sz="10" w:space="0"/>
                  <w:left w:val="single" w:color="000000" w:sz="2" w:space="0"/>
                  <w:bottom w:val="single" w:color="000000" w:sz="10"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35" w:hRule="atLeast"/>
              </w:trPr>
              <w:tc>
                <w:tcPr>
                  <w:tcW w:w="682" w:type="dxa"/>
                  <w:vMerge w:val="restart"/>
                  <w:tcBorders>
                    <w:tl2br w:val="nil"/>
                    <w:tr2bl w:val="nil"/>
                  </w:tcBorders>
                  <w:vAlign w:val="center"/>
                </w:tcPr>
                <w:p>
                  <w:pPr>
                    <w:jc w:val="center"/>
                    <w:rPr>
                      <w:b/>
                      <w:bCs/>
                    </w:rPr>
                  </w:pPr>
                  <w:r>
                    <w:rPr>
                      <w:b/>
                      <w:bCs/>
                    </w:rPr>
                    <w:t>类别</w:t>
                  </w:r>
                </w:p>
              </w:tc>
              <w:tc>
                <w:tcPr>
                  <w:tcW w:w="1665" w:type="dxa"/>
                  <w:vMerge w:val="restart"/>
                  <w:tcBorders>
                    <w:tl2br w:val="nil"/>
                    <w:tr2bl w:val="nil"/>
                  </w:tcBorders>
                  <w:vAlign w:val="center"/>
                </w:tcPr>
                <w:p>
                  <w:pPr>
                    <w:jc w:val="center"/>
                    <w:rPr>
                      <w:b/>
                      <w:bCs/>
                    </w:rPr>
                  </w:pPr>
                  <w:r>
                    <w:rPr>
                      <w:b/>
                      <w:bCs/>
                    </w:rPr>
                    <w:t>污染源</w:t>
                  </w:r>
                </w:p>
              </w:tc>
              <w:tc>
                <w:tcPr>
                  <w:tcW w:w="4998" w:type="dxa"/>
                  <w:tcBorders>
                    <w:tl2br w:val="nil"/>
                    <w:tr2bl w:val="nil"/>
                  </w:tcBorders>
                  <w:vAlign w:val="center"/>
                </w:tcPr>
                <w:p>
                  <w:pPr>
                    <w:jc w:val="center"/>
                    <w:rPr>
                      <w:b/>
                      <w:bCs/>
                    </w:rPr>
                  </w:pPr>
                  <w:r>
                    <w:rPr>
                      <w:b/>
                      <w:bCs/>
                    </w:rPr>
                    <w:t>环保措施</w:t>
                  </w:r>
                </w:p>
              </w:tc>
              <w:tc>
                <w:tcPr>
                  <w:tcW w:w="1378" w:type="dxa"/>
                  <w:vMerge w:val="restart"/>
                  <w:tcBorders>
                    <w:tl2br w:val="nil"/>
                    <w:tr2bl w:val="nil"/>
                  </w:tcBorders>
                  <w:vAlign w:val="center"/>
                </w:tcPr>
                <w:p>
                  <w:pPr>
                    <w:jc w:val="center"/>
                    <w:rPr>
                      <w:rFonts w:hint="eastAsia"/>
                      <w:b/>
                      <w:bCs/>
                      <w:lang w:val="en-US" w:eastAsia="zh-CN"/>
                    </w:rPr>
                  </w:pPr>
                  <w:r>
                    <w:rPr>
                      <w:rFonts w:hint="eastAsia"/>
                      <w:b/>
                      <w:bCs/>
                    </w:rPr>
                    <w:t>环保投资（万</w:t>
                  </w:r>
                  <w:r>
                    <w:rPr>
                      <w:rFonts w:hint="eastAsia"/>
                      <w:b/>
                      <w:bCs/>
                      <w:lang w:val="en-US" w:eastAsia="zh-CN"/>
                    </w:rPr>
                    <w:t>元）</w:t>
                  </w:r>
                </w:p>
              </w:tc>
            </w:tr>
            <w:tr>
              <w:tblPrEx>
                <w:tblBorders>
                  <w:top w:val="single" w:color="000000" w:sz="10" w:space="0"/>
                  <w:left w:val="single" w:color="000000" w:sz="2" w:space="0"/>
                  <w:bottom w:val="single" w:color="000000" w:sz="10"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05" w:hRule="atLeast"/>
              </w:trPr>
              <w:tc>
                <w:tcPr>
                  <w:tcW w:w="682" w:type="dxa"/>
                  <w:vMerge w:val="restart"/>
                  <w:tcBorders>
                    <w:tl2br w:val="nil"/>
                    <w:tr2bl w:val="nil"/>
                  </w:tcBorders>
                  <w:vAlign w:val="center"/>
                </w:tcPr>
                <w:p>
                  <w:pPr>
                    <w:jc w:val="center"/>
                  </w:pPr>
                  <w:r>
                    <w:t>废水</w:t>
                  </w:r>
                </w:p>
              </w:tc>
              <w:tc>
                <w:tcPr>
                  <w:tcW w:w="1665" w:type="dxa"/>
                  <w:vMerge w:val="restart"/>
                  <w:tcBorders>
                    <w:tl2br w:val="nil"/>
                    <w:tr2bl w:val="nil"/>
                  </w:tcBorders>
                  <w:vAlign w:val="center"/>
                </w:tcPr>
                <w:p>
                  <w:pPr>
                    <w:jc w:val="center"/>
                  </w:pPr>
                  <w:r>
                    <w:t>初期雨水</w:t>
                  </w:r>
                </w:p>
              </w:tc>
              <w:tc>
                <w:tcPr>
                  <w:tcW w:w="4998" w:type="dxa"/>
                  <w:tcBorders>
                    <w:tl2br w:val="nil"/>
                    <w:tr2bl w:val="nil"/>
                  </w:tcBorders>
                  <w:vAlign w:val="center"/>
                </w:tcPr>
                <w:p>
                  <w:pPr>
                    <w:jc w:val="center"/>
                  </w:pPr>
                  <w:r>
                    <w:t>采区及底盘四周均设置截排水沟，</w:t>
                  </w:r>
                  <w:r>
                    <w:rPr>
                      <w:rFonts w:hint="eastAsia"/>
                      <w:lang w:eastAsia="zh-CN"/>
                    </w:rPr>
                    <w:t>新增表土堆场</w:t>
                  </w:r>
                  <w:r>
                    <w:t>四周设置截排水沟，矿区东北侧和南侧分别建设两个300m</w:t>
                  </w:r>
                  <w:r>
                    <w:rPr>
                      <w:vertAlign w:val="superscript"/>
                    </w:rPr>
                    <w:t>3</w:t>
                  </w:r>
                </w:p>
              </w:tc>
              <w:tc>
                <w:tcPr>
                  <w:tcW w:w="1378" w:type="dxa"/>
                  <w:vMerge w:val="restart"/>
                  <w:tcBorders>
                    <w:tl2br w:val="nil"/>
                    <w:tr2bl w:val="nil"/>
                  </w:tcBorders>
                  <w:vAlign w:val="center"/>
                </w:tcPr>
                <w:p>
                  <w:pPr>
                    <w:jc w:val="center"/>
                  </w:pPr>
                  <w:r>
                    <w:t>纳入生态修复</w:t>
                  </w:r>
                </w:p>
                <w:p>
                  <w:pPr>
                    <w:jc w:val="center"/>
                  </w:pPr>
                  <w:r>
                    <w:t>工程投资中</w:t>
                  </w:r>
                </w:p>
              </w:tc>
            </w:tr>
            <w:tr>
              <w:tblPrEx>
                <w:tblBorders>
                  <w:top w:val="single" w:color="000000" w:sz="10" w:space="0"/>
                  <w:left w:val="single" w:color="000000" w:sz="2" w:space="0"/>
                  <w:bottom w:val="single" w:color="000000" w:sz="10"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43" w:hRule="atLeast"/>
              </w:trPr>
              <w:tc>
                <w:tcPr>
                  <w:tcW w:w="682" w:type="dxa"/>
                  <w:vMerge w:val="continue"/>
                  <w:tcBorders>
                    <w:tl2br w:val="nil"/>
                    <w:tr2bl w:val="nil"/>
                  </w:tcBorders>
                  <w:vAlign w:val="center"/>
                </w:tcPr>
                <w:p>
                  <w:pPr>
                    <w:jc w:val="center"/>
                  </w:pPr>
                </w:p>
              </w:tc>
              <w:tc>
                <w:tcPr>
                  <w:tcW w:w="1665" w:type="dxa"/>
                  <w:vMerge w:val="continue"/>
                  <w:tcBorders>
                    <w:tl2br w:val="nil"/>
                    <w:tr2bl w:val="nil"/>
                  </w:tcBorders>
                  <w:vAlign w:val="center"/>
                </w:tcPr>
                <w:p>
                  <w:pPr>
                    <w:jc w:val="center"/>
                  </w:pPr>
                </w:p>
              </w:tc>
              <w:tc>
                <w:tcPr>
                  <w:tcW w:w="4998" w:type="dxa"/>
                  <w:tcBorders>
                    <w:tl2br w:val="nil"/>
                    <w:tr2bl w:val="nil"/>
                  </w:tcBorders>
                  <w:vAlign w:val="center"/>
                </w:tcPr>
                <w:p>
                  <w:pPr>
                    <w:jc w:val="center"/>
                  </w:pPr>
                  <w:r>
                    <w:t>初期雨水池沉淀池，初期雨水经沉淀处理后回用</w:t>
                  </w:r>
                </w:p>
              </w:tc>
              <w:tc>
                <w:tcPr>
                  <w:tcW w:w="1378" w:type="dxa"/>
                  <w:vMerge w:val="continue"/>
                  <w:tcBorders>
                    <w:tl2br w:val="nil"/>
                    <w:tr2bl w:val="nil"/>
                  </w:tcBorders>
                  <w:vAlign w:val="center"/>
                </w:tcPr>
                <w:p>
                  <w:pPr>
                    <w:jc w:val="center"/>
                  </w:pPr>
                </w:p>
              </w:tc>
            </w:tr>
            <w:tr>
              <w:tblPrEx>
                <w:tblBorders>
                  <w:top w:val="single" w:color="000000" w:sz="10" w:space="0"/>
                  <w:left w:val="single" w:color="000000" w:sz="2" w:space="0"/>
                  <w:bottom w:val="single" w:color="000000" w:sz="10"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13" w:hRule="atLeast"/>
              </w:trPr>
              <w:tc>
                <w:tcPr>
                  <w:tcW w:w="682" w:type="dxa"/>
                  <w:vMerge w:val="continue"/>
                  <w:tcBorders>
                    <w:tl2br w:val="nil"/>
                    <w:tr2bl w:val="nil"/>
                  </w:tcBorders>
                  <w:vAlign w:val="center"/>
                </w:tcPr>
                <w:p>
                  <w:pPr>
                    <w:jc w:val="center"/>
                  </w:pPr>
                </w:p>
              </w:tc>
              <w:tc>
                <w:tcPr>
                  <w:tcW w:w="1665" w:type="dxa"/>
                  <w:tcBorders>
                    <w:tl2br w:val="nil"/>
                    <w:tr2bl w:val="nil"/>
                  </w:tcBorders>
                  <w:vAlign w:val="center"/>
                </w:tcPr>
                <w:p>
                  <w:pPr>
                    <w:jc w:val="center"/>
                  </w:pPr>
                  <w:r>
                    <w:t>洗车废水</w:t>
                  </w:r>
                </w:p>
              </w:tc>
              <w:tc>
                <w:tcPr>
                  <w:tcW w:w="4998" w:type="dxa"/>
                  <w:tcBorders>
                    <w:tl2br w:val="nil"/>
                    <w:tr2bl w:val="nil"/>
                  </w:tcBorders>
                  <w:vAlign w:val="center"/>
                </w:tcPr>
                <w:p>
                  <w:pPr>
                    <w:jc w:val="center"/>
                  </w:pPr>
                  <w:r>
                    <w:t>1个洗车平台及洗车废水沉淀池</w:t>
                  </w:r>
                </w:p>
              </w:tc>
              <w:tc>
                <w:tcPr>
                  <w:tcW w:w="1378" w:type="dxa"/>
                  <w:tcBorders>
                    <w:tl2br w:val="nil"/>
                    <w:tr2bl w:val="nil"/>
                  </w:tcBorders>
                  <w:vAlign w:val="center"/>
                </w:tcPr>
                <w:p>
                  <w:pPr>
                    <w:jc w:val="center"/>
                  </w:pPr>
                  <w:r>
                    <w:t>5</w:t>
                  </w:r>
                </w:p>
              </w:tc>
            </w:tr>
            <w:tr>
              <w:tblPrEx>
                <w:tblBorders>
                  <w:top w:val="single" w:color="000000" w:sz="10" w:space="0"/>
                  <w:left w:val="single" w:color="000000" w:sz="2" w:space="0"/>
                  <w:bottom w:val="single" w:color="000000" w:sz="10"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44" w:hRule="atLeast"/>
              </w:trPr>
              <w:tc>
                <w:tcPr>
                  <w:tcW w:w="682" w:type="dxa"/>
                  <w:vMerge w:val="continue"/>
                  <w:tcBorders>
                    <w:tl2br w:val="nil"/>
                    <w:tr2bl w:val="nil"/>
                  </w:tcBorders>
                  <w:vAlign w:val="center"/>
                </w:tcPr>
                <w:p>
                  <w:pPr>
                    <w:jc w:val="center"/>
                  </w:pPr>
                </w:p>
              </w:tc>
              <w:tc>
                <w:tcPr>
                  <w:tcW w:w="1665" w:type="dxa"/>
                  <w:tcBorders>
                    <w:tl2br w:val="nil"/>
                    <w:tr2bl w:val="nil"/>
                  </w:tcBorders>
                  <w:vAlign w:val="center"/>
                </w:tcPr>
                <w:p>
                  <w:pPr>
                    <w:jc w:val="center"/>
                  </w:pPr>
                  <w:r>
                    <w:t>生活污水</w:t>
                  </w:r>
                </w:p>
              </w:tc>
              <w:tc>
                <w:tcPr>
                  <w:tcW w:w="4998" w:type="dxa"/>
                  <w:tcBorders>
                    <w:tl2br w:val="nil"/>
                    <w:tr2bl w:val="nil"/>
                  </w:tcBorders>
                  <w:vAlign w:val="center"/>
                </w:tcPr>
                <w:p>
                  <w:pPr>
                    <w:jc w:val="center"/>
                  </w:pPr>
                  <w:r>
                    <w:t>化粪池处理后委托当地农民清运用作农肥，不外排</w:t>
                  </w:r>
                </w:p>
              </w:tc>
              <w:tc>
                <w:tcPr>
                  <w:tcW w:w="1378" w:type="dxa"/>
                  <w:tcBorders>
                    <w:tl2br w:val="nil"/>
                    <w:tr2bl w:val="nil"/>
                  </w:tcBorders>
                  <w:vAlign w:val="center"/>
                </w:tcPr>
                <w:p>
                  <w:pPr>
                    <w:jc w:val="center"/>
                  </w:pPr>
                  <w:r>
                    <w:t>3</w:t>
                  </w:r>
                </w:p>
              </w:tc>
            </w:tr>
            <w:tr>
              <w:tblPrEx>
                <w:tblBorders>
                  <w:top w:val="single" w:color="000000" w:sz="10" w:space="0"/>
                  <w:left w:val="single" w:color="000000" w:sz="2" w:space="0"/>
                  <w:bottom w:val="single" w:color="000000" w:sz="10"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26" w:hRule="atLeast"/>
              </w:trPr>
              <w:tc>
                <w:tcPr>
                  <w:tcW w:w="682" w:type="dxa"/>
                  <w:vMerge w:val="restart"/>
                  <w:tcBorders>
                    <w:tl2br w:val="nil"/>
                    <w:tr2bl w:val="nil"/>
                  </w:tcBorders>
                  <w:vAlign w:val="center"/>
                </w:tcPr>
                <w:p>
                  <w:pPr>
                    <w:jc w:val="center"/>
                  </w:pPr>
                  <w:r>
                    <w:t>大气污染</w:t>
                  </w:r>
                </w:p>
              </w:tc>
              <w:tc>
                <w:tcPr>
                  <w:tcW w:w="1665" w:type="dxa"/>
                  <w:tcBorders>
                    <w:tl2br w:val="nil"/>
                    <w:tr2bl w:val="nil"/>
                  </w:tcBorders>
                  <w:vAlign w:val="center"/>
                </w:tcPr>
                <w:p>
                  <w:pPr>
                    <w:jc w:val="center"/>
                  </w:pPr>
                  <w:r>
                    <w:t>开采区扬尘</w:t>
                  </w:r>
                </w:p>
              </w:tc>
              <w:tc>
                <w:tcPr>
                  <w:tcW w:w="4998" w:type="dxa"/>
                  <w:tcBorders>
                    <w:tl2br w:val="nil"/>
                    <w:tr2bl w:val="nil"/>
                  </w:tcBorders>
                  <w:vAlign w:val="center"/>
                </w:tcPr>
                <w:p>
                  <w:pPr>
                    <w:jc w:val="center"/>
                  </w:pPr>
                  <w:r>
                    <w:t>湿式凿岩钻孔、洒水车洒水抑尘</w:t>
                  </w:r>
                </w:p>
              </w:tc>
              <w:tc>
                <w:tcPr>
                  <w:tcW w:w="1378" w:type="dxa"/>
                  <w:tcBorders>
                    <w:tl2br w:val="nil"/>
                    <w:tr2bl w:val="nil"/>
                  </w:tcBorders>
                  <w:vAlign w:val="center"/>
                </w:tcPr>
                <w:p>
                  <w:pPr>
                    <w:jc w:val="center"/>
                  </w:pPr>
                  <w:r>
                    <w:t>10</w:t>
                  </w:r>
                </w:p>
              </w:tc>
            </w:tr>
            <w:tr>
              <w:tblPrEx>
                <w:tblBorders>
                  <w:top w:val="single" w:color="000000" w:sz="10" w:space="0"/>
                  <w:left w:val="single" w:color="000000" w:sz="2" w:space="0"/>
                  <w:bottom w:val="single" w:color="000000" w:sz="10"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968" w:hRule="atLeast"/>
              </w:trPr>
              <w:tc>
                <w:tcPr>
                  <w:tcW w:w="682" w:type="dxa"/>
                  <w:vMerge w:val="continue"/>
                  <w:tcBorders>
                    <w:tl2br w:val="nil"/>
                    <w:tr2bl w:val="nil"/>
                  </w:tcBorders>
                  <w:vAlign w:val="center"/>
                </w:tcPr>
                <w:p>
                  <w:pPr>
                    <w:jc w:val="center"/>
                  </w:pPr>
                </w:p>
              </w:tc>
              <w:tc>
                <w:tcPr>
                  <w:tcW w:w="1665" w:type="dxa"/>
                  <w:tcBorders>
                    <w:tl2br w:val="nil"/>
                    <w:tr2bl w:val="nil"/>
                  </w:tcBorders>
                  <w:vAlign w:val="center"/>
                </w:tcPr>
                <w:p>
                  <w:pPr>
                    <w:jc w:val="center"/>
                  </w:pPr>
                  <w:r>
                    <w:t>工业广场碎石生</w:t>
                  </w:r>
                </w:p>
                <w:p>
                  <w:pPr>
                    <w:jc w:val="center"/>
                  </w:pPr>
                  <w:r>
                    <w:t>产线（破碎筛分、</w:t>
                  </w:r>
                </w:p>
                <w:p>
                  <w:pPr>
                    <w:jc w:val="center"/>
                  </w:pPr>
                  <w:r>
                    <w:t>制砂）粉尘</w:t>
                  </w:r>
                </w:p>
              </w:tc>
              <w:tc>
                <w:tcPr>
                  <w:tcW w:w="4998" w:type="dxa"/>
                  <w:tcBorders>
                    <w:tl2br w:val="nil"/>
                    <w:tr2bl w:val="nil"/>
                  </w:tcBorders>
                  <w:vAlign w:val="center"/>
                </w:tcPr>
                <w:p>
                  <w:pPr>
                    <w:jc w:val="center"/>
                  </w:pPr>
                  <w:r>
                    <w:rPr>
                      <w:rFonts w:hint="eastAsia"/>
                    </w:rPr>
                    <w:t>工业广场破碎生产线初破、二破、初筛出口设置引风机+脉冲布袋除尘器+15m排气筒DA001排放；制砂、选粉、复筛出口引风机+脉冲布袋除尘器+15m排气筒DA002排放；运输采取地面硬化、洒水抑尘、设置洗车台等措施，生产线采取封闭厂房</w:t>
                  </w:r>
                </w:p>
              </w:tc>
              <w:tc>
                <w:tcPr>
                  <w:tcW w:w="1378" w:type="dxa"/>
                  <w:tcBorders>
                    <w:tl2br w:val="nil"/>
                    <w:tr2bl w:val="nil"/>
                  </w:tcBorders>
                  <w:vAlign w:val="center"/>
                </w:tcPr>
                <w:p>
                  <w:pPr>
                    <w:jc w:val="center"/>
                  </w:pPr>
                  <w:r>
                    <w:t>40</w:t>
                  </w:r>
                </w:p>
              </w:tc>
            </w:tr>
            <w:tr>
              <w:tblPrEx>
                <w:tblBorders>
                  <w:top w:val="single" w:color="000000" w:sz="10" w:space="0"/>
                  <w:left w:val="single" w:color="000000" w:sz="2" w:space="0"/>
                  <w:bottom w:val="single" w:color="000000" w:sz="10"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47" w:hRule="atLeast"/>
              </w:trPr>
              <w:tc>
                <w:tcPr>
                  <w:tcW w:w="682" w:type="dxa"/>
                  <w:vMerge w:val="continue"/>
                  <w:tcBorders>
                    <w:tl2br w:val="nil"/>
                    <w:tr2bl w:val="nil"/>
                  </w:tcBorders>
                  <w:vAlign w:val="center"/>
                </w:tcPr>
                <w:p>
                  <w:pPr>
                    <w:jc w:val="center"/>
                  </w:pPr>
                </w:p>
              </w:tc>
              <w:tc>
                <w:tcPr>
                  <w:tcW w:w="1665" w:type="dxa"/>
                  <w:tcBorders>
                    <w:tl2br w:val="nil"/>
                    <w:tr2bl w:val="nil"/>
                  </w:tcBorders>
                  <w:vAlign w:val="center"/>
                </w:tcPr>
                <w:p>
                  <w:pPr>
                    <w:jc w:val="center"/>
                  </w:pPr>
                  <w:r>
                    <w:t>道路扬尘</w:t>
                  </w:r>
                </w:p>
              </w:tc>
              <w:tc>
                <w:tcPr>
                  <w:tcW w:w="4998" w:type="dxa"/>
                  <w:tcBorders>
                    <w:tl2br w:val="nil"/>
                    <w:tr2bl w:val="nil"/>
                  </w:tcBorders>
                  <w:vAlign w:val="center"/>
                </w:tcPr>
                <w:p>
                  <w:pPr>
                    <w:jc w:val="center"/>
                  </w:pPr>
                  <w:r>
                    <w:t>地面硬化、洒水车洒水抑尘、洗车台，降低运输过程车辆扬尘</w:t>
                  </w:r>
                </w:p>
              </w:tc>
              <w:tc>
                <w:tcPr>
                  <w:tcW w:w="1378" w:type="dxa"/>
                  <w:tcBorders>
                    <w:tl2br w:val="nil"/>
                    <w:tr2bl w:val="nil"/>
                  </w:tcBorders>
                  <w:vAlign w:val="center"/>
                </w:tcPr>
                <w:p>
                  <w:pPr>
                    <w:jc w:val="center"/>
                  </w:pPr>
                  <w:r>
                    <w:t>20</w:t>
                  </w:r>
                </w:p>
              </w:tc>
            </w:tr>
            <w:tr>
              <w:tblPrEx>
                <w:tblBorders>
                  <w:top w:val="single" w:color="000000" w:sz="10" w:space="0"/>
                  <w:left w:val="single" w:color="000000" w:sz="2" w:space="0"/>
                  <w:bottom w:val="single" w:color="000000" w:sz="10"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16" w:hRule="atLeast"/>
              </w:trPr>
              <w:tc>
                <w:tcPr>
                  <w:tcW w:w="682" w:type="dxa"/>
                  <w:tcBorders>
                    <w:tl2br w:val="nil"/>
                    <w:tr2bl w:val="nil"/>
                  </w:tcBorders>
                  <w:vAlign w:val="center"/>
                </w:tcPr>
                <w:p>
                  <w:pPr>
                    <w:jc w:val="center"/>
                  </w:pPr>
                  <w:r>
                    <w:t>噪声</w:t>
                  </w:r>
                </w:p>
              </w:tc>
              <w:tc>
                <w:tcPr>
                  <w:tcW w:w="1665" w:type="dxa"/>
                  <w:tcBorders>
                    <w:tl2br w:val="nil"/>
                    <w:tr2bl w:val="nil"/>
                  </w:tcBorders>
                  <w:vAlign w:val="center"/>
                </w:tcPr>
                <w:p>
                  <w:pPr>
                    <w:jc w:val="center"/>
                  </w:pPr>
                  <w:r>
                    <w:t>设备噪声</w:t>
                  </w:r>
                </w:p>
              </w:tc>
              <w:tc>
                <w:tcPr>
                  <w:tcW w:w="4998" w:type="dxa"/>
                  <w:tcBorders>
                    <w:tl2br w:val="nil"/>
                    <w:tr2bl w:val="nil"/>
                  </w:tcBorders>
                  <w:vAlign w:val="center"/>
                </w:tcPr>
                <w:p>
                  <w:pPr>
                    <w:jc w:val="center"/>
                  </w:pPr>
                  <w:r>
                    <w:t>选择低噪设备、基础减振、厂房隔声、风机口消声</w:t>
                  </w:r>
                </w:p>
              </w:tc>
              <w:tc>
                <w:tcPr>
                  <w:tcW w:w="1378" w:type="dxa"/>
                  <w:tcBorders>
                    <w:tl2br w:val="nil"/>
                    <w:tr2bl w:val="nil"/>
                  </w:tcBorders>
                  <w:vAlign w:val="center"/>
                </w:tcPr>
                <w:p>
                  <w:pPr>
                    <w:jc w:val="center"/>
                  </w:pPr>
                  <w:r>
                    <w:t>10</w:t>
                  </w:r>
                </w:p>
              </w:tc>
            </w:tr>
            <w:tr>
              <w:tblPrEx>
                <w:tblBorders>
                  <w:top w:val="single" w:color="000000" w:sz="10" w:space="0"/>
                  <w:left w:val="single" w:color="000000" w:sz="2" w:space="0"/>
                  <w:bottom w:val="single" w:color="000000" w:sz="10"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67" w:hRule="atLeast"/>
              </w:trPr>
              <w:tc>
                <w:tcPr>
                  <w:tcW w:w="682" w:type="dxa"/>
                  <w:vMerge w:val="restart"/>
                  <w:tcBorders>
                    <w:tl2br w:val="nil"/>
                    <w:tr2bl w:val="nil"/>
                  </w:tcBorders>
                  <w:vAlign w:val="center"/>
                </w:tcPr>
                <w:p>
                  <w:pPr>
                    <w:jc w:val="center"/>
                  </w:pPr>
                  <w:r>
                    <w:t>固废</w:t>
                  </w:r>
                </w:p>
              </w:tc>
              <w:tc>
                <w:tcPr>
                  <w:tcW w:w="1665" w:type="dxa"/>
                  <w:tcBorders>
                    <w:tl2br w:val="nil"/>
                    <w:tr2bl w:val="nil"/>
                  </w:tcBorders>
                  <w:vAlign w:val="center"/>
                </w:tcPr>
                <w:p>
                  <w:pPr>
                    <w:jc w:val="center"/>
                  </w:pPr>
                  <w:r>
                    <w:t>剥离表土</w:t>
                  </w:r>
                </w:p>
              </w:tc>
              <w:tc>
                <w:tcPr>
                  <w:tcW w:w="4998" w:type="dxa"/>
                  <w:tcBorders>
                    <w:tl2br w:val="nil"/>
                    <w:tr2bl w:val="nil"/>
                  </w:tcBorders>
                  <w:vAlign w:val="center"/>
                </w:tcPr>
                <w:p>
                  <w:pPr>
                    <w:jc w:val="center"/>
                  </w:pPr>
                  <w:r>
                    <w:t>堆存于</w:t>
                  </w:r>
                  <w:r>
                    <w:rPr>
                      <w:rFonts w:hint="eastAsia"/>
                      <w:lang w:eastAsia="zh-CN"/>
                    </w:rPr>
                    <w:t>新增表土堆场</w:t>
                  </w:r>
                  <w:r>
                    <w:t>，作为矿区复垦表土使用</w:t>
                  </w:r>
                </w:p>
              </w:tc>
              <w:tc>
                <w:tcPr>
                  <w:tcW w:w="1378" w:type="dxa"/>
                  <w:tcBorders>
                    <w:tl2br w:val="nil"/>
                    <w:tr2bl w:val="nil"/>
                  </w:tcBorders>
                  <w:vAlign w:val="center"/>
                </w:tcPr>
                <w:p>
                  <w:pPr>
                    <w:jc w:val="center"/>
                  </w:pPr>
                  <w:r>
                    <w:t>/</w:t>
                  </w:r>
                </w:p>
              </w:tc>
            </w:tr>
            <w:tr>
              <w:tblPrEx>
                <w:tblBorders>
                  <w:top w:val="single" w:color="000000" w:sz="10" w:space="0"/>
                  <w:left w:val="single" w:color="000000" w:sz="2" w:space="0"/>
                  <w:bottom w:val="single" w:color="000000" w:sz="10"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71" w:hRule="atLeast"/>
              </w:trPr>
              <w:tc>
                <w:tcPr>
                  <w:tcW w:w="682" w:type="dxa"/>
                  <w:vMerge w:val="continue"/>
                  <w:tcBorders>
                    <w:tl2br w:val="nil"/>
                    <w:tr2bl w:val="nil"/>
                  </w:tcBorders>
                  <w:vAlign w:val="center"/>
                </w:tcPr>
                <w:p>
                  <w:pPr>
                    <w:jc w:val="center"/>
                  </w:pPr>
                </w:p>
              </w:tc>
              <w:tc>
                <w:tcPr>
                  <w:tcW w:w="1665" w:type="dxa"/>
                  <w:tcBorders>
                    <w:tl2br w:val="nil"/>
                    <w:tr2bl w:val="nil"/>
                  </w:tcBorders>
                  <w:vAlign w:val="center"/>
                </w:tcPr>
                <w:p>
                  <w:pPr>
                    <w:jc w:val="center"/>
                  </w:pPr>
                  <w:r>
                    <w:t>开采剥离废土石</w:t>
                  </w:r>
                </w:p>
              </w:tc>
              <w:tc>
                <w:tcPr>
                  <w:tcW w:w="4998" w:type="dxa"/>
                  <w:tcBorders>
                    <w:tl2br w:val="nil"/>
                    <w:tr2bl w:val="nil"/>
                  </w:tcBorders>
                  <w:vAlign w:val="center"/>
                </w:tcPr>
                <w:p>
                  <w:pPr>
                    <w:jc w:val="center"/>
                  </w:pPr>
                  <w:r>
                    <w:t>堆存于矿山的露采坑内，作为矿区复垦回填使用</w:t>
                  </w:r>
                </w:p>
              </w:tc>
              <w:tc>
                <w:tcPr>
                  <w:tcW w:w="1378" w:type="dxa"/>
                  <w:tcBorders>
                    <w:tl2br w:val="nil"/>
                    <w:tr2bl w:val="nil"/>
                  </w:tcBorders>
                  <w:vAlign w:val="center"/>
                </w:tcPr>
                <w:p>
                  <w:pPr>
                    <w:jc w:val="center"/>
                  </w:pPr>
                  <w:r>
                    <w:t>/</w:t>
                  </w:r>
                </w:p>
              </w:tc>
            </w:tr>
            <w:tr>
              <w:tblPrEx>
                <w:tblBorders>
                  <w:top w:val="single" w:color="000000" w:sz="10" w:space="0"/>
                  <w:left w:val="single" w:color="000000" w:sz="2" w:space="0"/>
                  <w:bottom w:val="single" w:color="000000" w:sz="10"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26" w:hRule="atLeast"/>
              </w:trPr>
              <w:tc>
                <w:tcPr>
                  <w:tcW w:w="682" w:type="dxa"/>
                  <w:vMerge w:val="continue"/>
                  <w:tcBorders>
                    <w:tl2br w:val="nil"/>
                    <w:tr2bl w:val="nil"/>
                  </w:tcBorders>
                  <w:vAlign w:val="center"/>
                </w:tcPr>
                <w:p>
                  <w:pPr>
                    <w:jc w:val="center"/>
                  </w:pPr>
                </w:p>
              </w:tc>
              <w:tc>
                <w:tcPr>
                  <w:tcW w:w="1665" w:type="dxa"/>
                  <w:tcBorders>
                    <w:tl2br w:val="nil"/>
                    <w:tr2bl w:val="nil"/>
                  </w:tcBorders>
                  <w:vAlign w:val="center"/>
                </w:tcPr>
                <w:p>
                  <w:pPr>
                    <w:jc w:val="center"/>
                  </w:pPr>
                  <w:r>
                    <w:t>沉淀池沉渣</w:t>
                  </w:r>
                </w:p>
              </w:tc>
              <w:tc>
                <w:tcPr>
                  <w:tcW w:w="4998" w:type="dxa"/>
                  <w:tcBorders>
                    <w:tl2br w:val="nil"/>
                    <w:tr2bl w:val="nil"/>
                  </w:tcBorders>
                  <w:vAlign w:val="center"/>
                </w:tcPr>
                <w:p>
                  <w:pPr>
                    <w:jc w:val="center"/>
                  </w:pPr>
                  <w:r>
                    <w:t>暂存于堆土场，后期用于回填</w:t>
                  </w:r>
                </w:p>
              </w:tc>
              <w:tc>
                <w:tcPr>
                  <w:tcW w:w="1378" w:type="dxa"/>
                  <w:tcBorders>
                    <w:tl2br w:val="nil"/>
                    <w:tr2bl w:val="nil"/>
                  </w:tcBorders>
                  <w:vAlign w:val="center"/>
                </w:tcPr>
                <w:p>
                  <w:pPr>
                    <w:jc w:val="center"/>
                  </w:pPr>
                  <w:r>
                    <w:t>/</w:t>
                  </w:r>
                </w:p>
              </w:tc>
            </w:tr>
            <w:tr>
              <w:tblPrEx>
                <w:tblBorders>
                  <w:top w:val="single" w:color="000000" w:sz="10" w:space="0"/>
                  <w:left w:val="single" w:color="000000" w:sz="2" w:space="0"/>
                  <w:bottom w:val="single" w:color="000000" w:sz="10"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12" w:hRule="atLeast"/>
              </w:trPr>
              <w:tc>
                <w:tcPr>
                  <w:tcW w:w="682" w:type="dxa"/>
                  <w:vMerge w:val="continue"/>
                  <w:tcBorders>
                    <w:tl2br w:val="nil"/>
                    <w:tr2bl w:val="nil"/>
                  </w:tcBorders>
                  <w:vAlign w:val="center"/>
                </w:tcPr>
                <w:p>
                  <w:pPr>
                    <w:jc w:val="center"/>
                  </w:pPr>
                </w:p>
              </w:tc>
              <w:tc>
                <w:tcPr>
                  <w:tcW w:w="1665" w:type="dxa"/>
                  <w:tcBorders>
                    <w:tl2br w:val="nil"/>
                    <w:tr2bl w:val="nil"/>
                  </w:tcBorders>
                  <w:vAlign w:val="center"/>
                </w:tcPr>
                <w:p>
                  <w:pPr>
                    <w:jc w:val="center"/>
                  </w:pPr>
                  <w:r>
                    <w:t>除尘灰</w:t>
                  </w:r>
                </w:p>
              </w:tc>
              <w:tc>
                <w:tcPr>
                  <w:tcW w:w="4998" w:type="dxa"/>
                  <w:tcBorders>
                    <w:tl2br w:val="nil"/>
                    <w:tr2bl w:val="nil"/>
                  </w:tcBorders>
                  <w:vAlign w:val="center"/>
                </w:tcPr>
                <w:p>
                  <w:pPr>
                    <w:jc w:val="center"/>
                  </w:pPr>
                  <w:r>
                    <w:t>作为石粉外售</w:t>
                  </w:r>
                </w:p>
              </w:tc>
              <w:tc>
                <w:tcPr>
                  <w:tcW w:w="1378" w:type="dxa"/>
                  <w:tcBorders>
                    <w:tl2br w:val="nil"/>
                    <w:tr2bl w:val="nil"/>
                  </w:tcBorders>
                  <w:vAlign w:val="center"/>
                </w:tcPr>
                <w:p>
                  <w:pPr>
                    <w:jc w:val="center"/>
                  </w:pPr>
                  <w:r>
                    <w:t>/</w:t>
                  </w:r>
                </w:p>
              </w:tc>
            </w:tr>
            <w:tr>
              <w:tblPrEx>
                <w:tblBorders>
                  <w:top w:val="single" w:color="000000" w:sz="10" w:space="0"/>
                  <w:left w:val="single" w:color="000000" w:sz="2" w:space="0"/>
                  <w:bottom w:val="single" w:color="000000" w:sz="10"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47" w:hRule="atLeast"/>
              </w:trPr>
              <w:tc>
                <w:tcPr>
                  <w:tcW w:w="682" w:type="dxa"/>
                  <w:vMerge w:val="continue"/>
                  <w:tcBorders>
                    <w:tl2br w:val="nil"/>
                    <w:tr2bl w:val="nil"/>
                  </w:tcBorders>
                  <w:vAlign w:val="center"/>
                </w:tcPr>
                <w:p>
                  <w:pPr>
                    <w:jc w:val="center"/>
                  </w:pPr>
                </w:p>
              </w:tc>
              <w:tc>
                <w:tcPr>
                  <w:tcW w:w="1665" w:type="dxa"/>
                  <w:tcBorders>
                    <w:tl2br w:val="nil"/>
                    <w:tr2bl w:val="nil"/>
                  </w:tcBorders>
                  <w:vAlign w:val="center"/>
                </w:tcPr>
                <w:p>
                  <w:pPr>
                    <w:jc w:val="center"/>
                  </w:pPr>
                  <w:r>
                    <w:t>废机油</w:t>
                  </w:r>
                </w:p>
              </w:tc>
              <w:tc>
                <w:tcPr>
                  <w:tcW w:w="4998" w:type="dxa"/>
                  <w:tcBorders>
                    <w:tl2br w:val="nil"/>
                    <w:tr2bl w:val="nil"/>
                  </w:tcBorders>
                  <w:vAlign w:val="center"/>
                </w:tcPr>
                <w:p>
                  <w:pPr>
                    <w:jc w:val="center"/>
                  </w:pPr>
                  <w:r>
                    <w:t>暂存于危废暂存间，设置专门容器储存，定期交由有资质单位转运处置</w:t>
                  </w:r>
                </w:p>
              </w:tc>
              <w:tc>
                <w:tcPr>
                  <w:tcW w:w="1378" w:type="dxa"/>
                  <w:tcBorders>
                    <w:tl2br w:val="nil"/>
                    <w:tr2bl w:val="nil"/>
                  </w:tcBorders>
                  <w:vAlign w:val="center"/>
                </w:tcPr>
                <w:p>
                  <w:pPr>
                    <w:jc w:val="center"/>
                  </w:pPr>
                </w:p>
                <w:p>
                  <w:pPr>
                    <w:jc w:val="center"/>
                  </w:pPr>
                  <w:r>
                    <w:t>5</w:t>
                  </w:r>
                </w:p>
              </w:tc>
            </w:tr>
            <w:tr>
              <w:tblPrEx>
                <w:tblBorders>
                  <w:top w:val="single" w:color="000000" w:sz="10" w:space="0"/>
                  <w:left w:val="single" w:color="000000" w:sz="2" w:space="0"/>
                  <w:bottom w:val="single" w:color="000000" w:sz="10"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22" w:hRule="atLeast"/>
              </w:trPr>
              <w:tc>
                <w:tcPr>
                  <w:tcW w:w="682" w:type="dxa"/>
                  <w:vMerge w:val="continue"/>
                  <w:tcBorders>
                    <w:tl2br w:val="nil"/>
                    <w:tr2bl w:val="nil"/>
                  </w:tcBorders>
                  <w:vAlign w:val="center"/>
                </w:tcPr>
                <w:p>
                  <w:pPr>
                    <w:jc w:val="center"/>
                  </w:pPr>
                </w:p>
              </w:tc>
              <w:tc>
                <w:tcPr>
                  <w:tcW w:w="1665" w:type="dxa"/>
                  <w:tcBorders>
                    <w:tl2br w:val="nil"/>
                    <w:tr2bl w:val="nil"/>
                  </w:tcBorders>
                  <w:vAlign w:val="center"/>
                </w:tcPr>
                <w:p>
                  <w:pPr>
                    <w:jc w:val="center"/>
                  </w:pPr>
                  <w:r>
                    <w:t>生活垃圾</w:t>
                  </w:r>
                </w:p>
              </w:tc>
              <w:tc>
                <w:tcPr>
                  <w:tcW w:w="4998" w:type="dxa"/>
                  <w:tcBorders>
                    <w:tl2br w:val="nil"/>
                    <w:tr2bl w:val="nil"/>
                  </w:tcBorders>
                  <w:vAlign w:val="center"/>
                </w:tcPr>
                <w:p>
                  <w:pPr>
                    <w:jc w:val="center"/>
                  </w:pPr>
                  <w:r>
                    <w:t>垃圾桶收集，交由环卫部门统一处置</w:t>
                  </w:r>
                </w:p>
              </w:tc>
              <w:tc>
                <w:tcPr>
                  <w:tcW w:w="1378" w:type="dxa"/>
                  <w:tcBorders>
                    <w:tl2br w:val="nil"/>
                    <w:tr2bl w:val="nil"/>
                  </w:tcBorders>
                  <w:vAlign w:val="center"/>
                </w:tcPr>
                <w:p>
                  <w:pPr>
                    <w:jc w:val="center"/>
                  </w:pPr>
                  <w:r>
                    <w:t>/</w:t>
                  </w:r>
                </w:p>
              </w:tc>
            </w:tr>
            <w:tr>
              <w:tblPrEx>
                <w:tblBorders>
                  <w:top w:val="single" w:color="000000" w:sz="10" w:space="0"/>
                  <w:left w:val="single" w:color="000000" w:sz="2" w:space="0"/>
                  <w:bottom w:val="single" w:color="000000" w:sz="10"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968" w:hRule="atLeast"/>
              </w:trPr>
              <w:tc>
                <w:tcPr>
                  <w:tcW w:w="682" w:type="dxa"/>
                  <w:tcBorders>
                    <w:tl2br w:val="nil"/>
                    <w:tr2bl w:val="nil"/>
                  </w:tcBorders>
                  <w:vAlign w:val="center"/>
                </w:tcPr>
                <w:p>
                  <w:pPr>
                    <w:jc w:val="center"/>
                  </w:pPr>
                  <w:r>
                    <w:t>生态</w:t>
                  </w:r>
                </w:p>
              </w:tc>
              <w:tc>
                <w:tcPr>
                  <w:tcW w:w="1665" w:type="dxa"/>
                  <w:tcBorders>
                    <w:tl2br w:val="nil"/>
                    <w:tr2bl w:val="nil"/>
                  </w:tcBorders>
                  <w:vAlign w:val="center"/>
                </w:tcPr>
                <w:p>
                  <w:pPr>
                    <w:jc w:val="center"/>
                  </w:pPr>
                  <w:r>
                    <w:t>生态修复工程</w:t>
                  </w:r>
                </w:p>
              </w:tc>
              <w:tc>
                <w:tcPr>
                  <w:tcW w:w="4998" w:type="dxa"/>
                  <w:tcBorders>
                    <w:tl2br w:val="nil"/>
                    <w:tr2bl w:val="nil"/>
                  </w:tcBorders>
                  <w:vAlign w:val="center"/>
                </w:tcPr>
                <w:p>
                  <w:pPr>
                    <w:jc w:val="center"/>
                  </w:pPr>
                  <w:r>
                    <w:t>截排水沟、沉淀池、防护围栏，边坡项</w:t>
                  </w:r>
                </w:p>
                <w:p>
                  <w:pPr>
                    <w:jc w:val="center"/>
                  </w:pPr>
                  <w:r>
                    <w:t>目和废石堆生态袋墙、绿化与工业场地</w:t>
                  </w:r>
                  <w:r>
                    <w:rPr>
                      <w:rFonts w:hint="eastAsia"/>
                      <w:lang w:eastAsia="zh-CN"/>
                    </w:rPr>
                    <w:t>、</w:t>
                  </w:r>
                  <w:r>
                    <w:t>露采场</w:t>
                  </w:r>
                  <w:r>
                    <w:rPr>
                      <w:rFonts w:hint="eastAsia"/>
                      <w:lang w:eastAsia="zh-CN"/>
                    </w:rPr>
                    <w:t>、</w:t>
                  </w:r>
                  <w:r>
                    <w:rPr>
                      <w:rFonts w:hint="eastAsia"/>
                      <w:lang w:val="en-US" w:eastAsia="zh-CN"/>
                    </w:rPr>
                    <w:t>成品中转堆场、表土堆场</w:t>
                  </w:r>
                  <w:r>
                    <w:t>的分期、分区复垦和修复</w:t>
                  </w:r>
                </w:p>
              </w:tc>
              <w:tc>
                <w:tcPr>
                  <w:tcW w:w="1378" w:type="dxa"/>
                  <w:tcBorders>
                    <w:tl2br w:val="nil"/>
                    <w:tr2bl w:val="nil"/>
                  </w:tcBorders>
                  <w:vAlign w:val="center"/>
                </w:tcPr>
                <w:p>
                  <w:pPr>
                    <w:jc w:val="center"/>
                    <w:rPr>
                      <w:rFonts w:hint="default" w:eastAsia="宋体"/>
                      <w:lang w:val="en-US" w:eastAsia="zh-CN"/>
                    </w:rPr>
                  </w:pPr>
                  <w:r>
                    <w:rPr>
                      <w:rFonts w:hint="eastAsia"/>
                      <w:lang w:val="en-US" w:eastAsia="zh-CN"/>
                    </w:rPr>
                    <w:t>1328.62</w:t>
                  </w:r>
                </w:p>
              </w:tc>
            </w:tr>
            <w:tr>
              <w:tblPrEx>
                <w:tblBorders>
                  <w:top w:val="single" w:color="000000" w:sz="10" w:space="0"/>
                  <w:left w:val="single" w:color="000000" w:sz="2" w:space="0"/>
                  <w:bottom w:val="single" w:color="000000" w:sz="10"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47" w:hRule="atLeast"/>
              </w:trPr>
              <w:tc>
                <w:tcPr>
                  <w:tcW w:w="682" w:type="dxa"/>
                  <w:tcBorders>
                    <w:tl2br w:val="nil"/>
                    <w:tr2bl w:val="nil"/>
                  </w:tcBorders>
                  <w:vAlign w:val="center"/>
                </w:tcPr>
                <w:p>
                  <w:pPr>
                    <w:jc w:val="center"/>
                  </w:pPr>
                  <w:r>
                    <w:t>环境风险</w:t>
                  </w:r>
                </w:p>
              </w:tc>
              <w:tc>
                <w:tcPr>
                  <w:tcW w:w="1665" w:type="dxa"/>
                  <w:tcBorders>
                    <w:tl2br w:val="nil"/>
                    <w:tr2bl w:val="nil"/>
                  </w:tcBorders>
                  <w:vAlign w:val="center"/>
                </w:tcPr>
                <w:p>
                  <w:pPr>
                    <w:jc w:val="center"/>
                    <w:rPr>
                      <w:rFonts w:hint="eastAsia" w:eastAsia="宋体"/>
                      <w:lang w:eastAsia="zh-CN"/>
                    </w:rPr>
                  </w:pPr>
                  <w:r>
                    <w:rPr>
                      <w:rFonts w:hint="eastAsia"/>
                      <w:lang w:val="en-US" w:eastAsia="zh-CN"/>
                    </w:rPr>
                    <w:t>危废暂存间</w:t>
                  </w:r>
                </w:p>
              </w:tc>
              <w:tc>
                <w:tcPr>
                  <w:tcW w:w="4998" w:type="dxa"/>
                  <w:tcBorders>
                    <w:tl2br w:val="nil"/>
                    <w:tr2bl w:val="nil"/>
                  </w:tcBorders>
                  <w:vAlign w:val="center"/>
                </w:tcPr>
                <w:p>
                  <w:pPr>
                    <w:jc w:val="center"/>
                  </w:pPr>
                  <w:r>
                    <w:t>设置</w:t>
                  </w:r>
                  <w:r>
                    <w:rPr>
                      <w:rFonts w:hint="eastAsia"/>
                      <w:lang w:val="en-US" w:eastAsia="zh-CN"/>
                    </w:rPr>
                    <w:t>危废暂存间</w:t>
                  </w:r>
                  <w:r>
                    <w:t>，做到防风、防雨、防渗，设置截流沟</w:t>
                  </w:r>
                </w:p>
              </w:tc>
              <w:tc>
                <w:tcPr>
                  <w:tcW w:w="1378" w:type="dxa"/>
                  <w:tcBorders>
                    <w:tl2br w:val="nil"/>
                    <w:tr2bl w:val="nil"/>
                  </w:tcBorders>
                  <w:vAlign w:val="center"/>
                </w:tcPr>
                <w:p>
                  <w:pPr>
                    <w:jc w:val="center"/>
                  </w:pPr>
                  <w:r>
                    <w:t>15</w:t>
                  </w:r>
                </w:p>
              </w:tc>
            </w:tr>
            <w:tr>
              <w:tblPrEx>
                <w:tblBorders>
                  <w:top w:val="single" w:color="000000" w:sz="10" w:space="0"/>
                  <w:left w:val="single" w:color="000000" w:sz="2" w:space="0"/>
                  <w:bottom w:val="single" w:color="000000" w:sz="10"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50" w:hRule="atLeast"/>
              </w:trPr>
              <w:tc>
                <w:tcPr>
                  <w:tcW w:w="7345" w:type="dxa"/>
                  <w:gridSpan w:val="3"/>
                  <w:tcBorders>
                    <w:tl2br w:val="nil"/>
                    <w:tr2bl w:val="nil"/>
                  </w:tcBorders>
                  <w:vAlign w:val="center"/>
                </w:tcPr>
                <w:p>
                  <w:pPr>
                    <w:jc w:val="center"/>
                  </w:pPr>
                  <w:r>
                    <w:t>合计</w:t>
                  </w:r>
                </w:p>
              </w:tc>
              <w:tc>
                <w:tcPr>
                  <w:tcW w:w="1378" w:type="dxa"/>
                  <w:tcBorders>
                    <w:tl2br w:val="nil"/>
                    <w:tr2bl w:val="nil"/>
                  </w:tcBorders>
                  <w:vAlign w:val="center"/>
                </w:tcPr>
                <w:p>
                  <w:pPr>
                    <w:jc w:val="center"/>
                    <w:rPr>
                      <w:rFonts w:hint="default" w:eastAsia="宋体"/>
                      <w:lang w:val="en-US" w:eastAsia="zh-CN"/>
                    </w:rPr>
                  </w:pPr>
                  <w:r>
                    <w:rPr>
                      <w:rFonts w:hint="eastAsia"/>
                      <w:lang w:val="en-US" w:eastAsia="zh-CN"/>
                    </w:rPr>
                    <w:t>1436.62</w:t>
                  </w:r>
                </w:p>
              </w:tc>
            </w:tr>
          </w:tbl>
          <w:p>
            <w:pPr>
              <w:keepNext w:val="0"/>
              <w:keepLines w:val="0"/>
              <w:suppressLineNumbers w:val="0"/>
              <w:adjustRightInd/>
              <w:snapToGrid/>
              <w:spacing w:before="0" w:beforeAutospacing="0" w:after="0" w:afterAutospacing="0" w:line="360" w:lineRule="auto"/>
              <w:ind w:left="0" w:right="0" w:firstLine="480" w:firstLineChars="200"/>
              <w:rPr>
                <w:rFonts w:hint="default" w:ascii="Times New Roman" w:hAnsi="Times New Roman" w:cs="Times New Roman"/>
                <w:bCs/>
                <w:color w:val="000000"/>
                <w:spacing w:val="10"/>
                <w:sz w:val="24"/>
                <w:szCs w:val="24"/>
              </w:rPr>
            </w:pPr>
            <w:r>
              <w:rPr>
                <w:rFonts w:hint="eastAsia" w:ascii="Calibri" w:hAnsi="Calibri" w:cs="Times New Roman"/>
                <w:sz w:val="24"/>
                <w:szCs w:val="24"/>
              </w:rPr>
              <w:t>项目总投资12000万元，其中环保投资总共为1373.17万元，占投资总额的11.4%，措施采取后，各项污染物可实现达标排放或有效处置，项目从环境保护角度分析，技术可行。</w:t>
            </w:r>
          </w:p>
        </w:tc>
      </w:tr>
    </w:tbl>
    <w:p>
      <w:pPr>
        <w:rPr>
          <w:rFonts w:hint="default" w:ascii="Times New Roman" w:hAnsi="Times New Roman" w:cs="Times New Roman"/>
          <w:color w:val="000000"/>
        </w:rPr>
        <w:sectPr>
          <w:pgSz w:w="11907" w:h="16840"/>
          <w:pgMar w:top="1440" w:right="1797" w:bottom="1440" w:left="1797" w:header="851" w:footer="1077" w:gutter="0"/>
          <w:pgBorders>
            <w:top w:val="none" w:sz="0" w:space="0"/>
            <w:left w:val="none" w:sz="0" w:space="0"/>
            <w:bottom w:val="none" w:sz="0" w:space="0"/>
            <w:right w:val="none" w:sz="0" w:space="0"/>
          </w:pgBorders>
          <w:pgNumType w:fmt="decimal"/>
          <w:cols w:space="720" w:num="1"/>
          <w:docGrid w:linePitch="312" w:charSpace="0"/>
        </w:sectPr>
      </w:pPr>
    </w:p>
    <w:p>
      <w:pPr>
        <w:pStyle w:val="16"/>
        <w:jc w:val="center"/>
        <w:outlineLvl w:val="0"/>
        <w:rPr>
          <w:rFonts w:hint="default" w:ascii="Times New Roman" w:hAnsi="Times New Roman" w:eastAsia="黑体" w:cs="Times New Roman"/>
          <w:snapToGrid w:val="0"/>
          <w:color w:val="000000"/>
          <w:sz w:val="30"/>
          <w:szCs w:val="30"/>
        </w:rPr>
      </w:pPr>
      <w:bookmarkStart w:id="32" w:name="_Toc6236"/>
      <w:bookmarkStart w:id="33" w:name="_Toc25511"/>
      <w:bookmarkStart w:id="34" w:name="_Toc4576"/>
      <w:bookmarkStart w:id="35" w:name="_Toc32681"/>
      <w:bookmarkStart w:id="36" w:name="_Toc18744"/>
      <w:bookmarkStart w:id="37" w:name="_Toc19074"/>
      <w:r>
        <w:rPr>
          <w:rFonts w:hint="default" w:ascii="Times New Roman" w:hAnsi="Times New Roman" w:eastAsia="黑体" w:cs="Times New Roman"/>
          <w:snapToGrid w:val="0"/>
          <w:color w:val="000000"/>
          <w:sz w:val="30"/>
          <w:szCs w:val="30"/>
        </w:rPr>
        <w:t>六、生态环境保护措施监督检查清单</w:t>
      </w:r>
      <w:bookmarkEnd w:id="32"/>
      <w:bookmarkEnd w:id="33"/>
      <w:bookmarkEnd w:id="34"/>
      <w:bookmarkEnd w:id="35"/>
      <w:bookmarkEnd w:id="36"/>
      <w:bookmarkEnd w:id="37"/>
    </w:p>
    <w:tbl>
      <w:tblPr>
        <w:tblStyle w:val="21"/>
        <w:tblW w:w="8522" w:type="dxa"/>
        <w:jc w:val="center"/>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653"/>
        <w:gridCol w:w="1621"/>
        <w:gridCol w:w="1268"/>
        <w:gridCol w:w="2687"/>
        <w:gridCol w:w="1293"/>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jc w:val="center"/>
        </w:trPr>
        <w:tc>
          <w:tcPr>
            <w:tcW w:w="1653" w:type="dxa"/>
            <w:vMerge w:val="restart"/>
            <w:tcBorders>
              <w:tl2br w:val="single" w:color="auto" w:sz="4" w:space="0"/>
            </w:tcBorders>
            <w:noWrap w:val="0"/>
            <w:vAlign w:val="top"/>
          </w:tcPr>
          <w:p>
            <w:pPr>
              <w:pStyle w:val="16"/>
              <w:keepNext w:val="0"/>
              <w:keepLines w:val="0"/>
              <w:suppressLineNumbers w:val="0"/>
              <w:adjustRightInd w:val="0"/>
              <w:snapToGrid w:val="0"/>
              <w:spacing w:before="72" w:beforeLines="30" w:beforeAutospacing="0" w:after="0" w:afterAutospacing="0"/>
              <w:ind w:left="0" w:right="0"/>
              <w:jc w:val="center"/>
              <w:outlineLvl w:val="0"/>
              <w:rPr>
                <w:rFonts w:hint="eastAsia" w:ascii="Times New Roman" w:hAnsi="Times New Roman" w:eastAsia="黑体" w:cs="Times New Roman"/>
                <w:kern w:val="2"/>
                <w:sz w:val="21"/>
                <w:szCs w:val="21"/>
                <w:lang w:eastAsia="zh-CN"/>
              </w:rPr>
            </w:pPr>
          </w:p>
          <w:p>
            <w:pPr>
              <w:pStyle w:val="16"/>
              <w:keepNext w:val="0"/>
              <w:keepLines w:val="0"/>
              <w:suppressLineNumbers w:val="0"/>
              <w:adjustRightInd w:val="0"/>
              <w:snapToGrid w:val="0"/>
              <w:spacing w:before="72" w:beforeLines="30" w:beforeAutospacing="0" w:after="0" w:afterAutospacing="0"/>
              <w:ind w:left="0" w:right="0"/>
              <w:jc w:val="center"/>
              <w:outlineLvl w:val="0"/>
              <w:rPr>
                <w:rFonts w:hint="default" w:ascii="Times New Roman" w:hAnsi="Times New Roman" w:eastAsia="黑体" w:cs="Times New Roman"/>
                <w:kern w:val="2"/>
                <w:sz w:val="21"/>
                <w:szCs w:val="21"/>
              </w:rPr>
            </w:pPr>
            <w:bookmarkStart w:id="38" w:name="_Toc10387"/>
            <w:bookmarkStart w:id="39" w:name="_Toc19277"/>
            <w:bookmarkStart w:id="40" w:name="_Toc2619"/>
            <w:bookmarkStart w:id="41" w:name="_Toc13077"/>
            <w:r>
              <w:rPr>
                <w:rFonts w:hint="default" w:ascii="Times New Roman" w:hAnsi="Times New Roman" w:eastAsia="黑体" w:cs="Times New Roman"/>
                <w:kern w:val="2"/>
                <w:sz w:val="21"/>
                <w:szCs w:val="21"/>
              </w:rPr>
              <w:t>内容</w:t>
            </w:r>
            <w:bookmarkEnd w:id="38"/>
            <w:bookmarkEnd w:id="39"/>
            <w:bookmarkEnd w:id="40"/>
            <w:bookmarkEnd w:id="41"/>
          </w:p>
          <w:p>
            <w:pPr>
              <w:pStyle w:val="16"/>
              <w:keepNext w:val="0"/>
              <w:keepLines w:val="0"/>
              <w:suppressLineNumbers w:val="0"/>
              <w:adjustRightInd w:val="0"/>
              <w:snapToGrid w:val="0"/>
              <w:spacing w:before="0" w:beforeAutospacing="0" w:after="0" w:afterAutospacing="0" w:line="14" w:lineRule="auto"/>
              <w:ind w:left="0" w:right="0"/>
              <w:outlineLvl w:val="0"/>
              <w:rPr>
                <w:rFonts w:hint="eastAsia" w:ascii="Times New Roman" w:hAnsi="Times New Roman" w:eastAsia="黑体" w:cs="Times New Roman"/>
                <w:kern w:val="2"/>
                <w:sz w:val="135"/>
                <w:szCs w:val="21"/>
                <w:lang w:eastAsia="zh-CN"/>
              </w:rPr>
            </w:pPr>
          </w:p>
          <w:p>
            <w:pPr>
              <w:pStyle w:val="16"/>
              <w:keepNext w:val="0"/>
              <w:keepLines w:val="0"/>
              <w:suppressLineNumbers w:val="0"/>
              <w:adjustRightInd w:val="0"/>
              <w:snapToGrid w:val="0"/>
              <w:spacing w:before="0" w:beforeAutospacing="0" w:after="0" w:afterAutospacing="0"/>
              <w:ind w:left="0" w:right="0"/>
              <w:outlineLvl w:val="0"/>
              <w:rPr>
                <w:rFonts w:hint="default" w:ascii="Times New Roman" w:hAnsi="Times New Roman" w:eastAsia="黑体" w:cs="Times New Roman"/>
                <w:kern w:val="2"/>
                <w:sz w:val="21"/>
                <w:szCs w:val="21"/>
              </w:rPr>
            </w:pPr>
            <w:bookmarkStart w:id="42" w:name="_Toc14650"/>
            <w:bookmarkStart w:id="43" w:name="_Toc25973"/>
            <w:bookmarkStart w:id="44" w:name="_Toc514"/>
            <w:bookmarkStart w:id="45" w:name="_Toc32054"/>
            <w:r>
              <w:rPr>
                <w:rFonts w:hint="default" w:ascii="Times New Roman" w:hAnsi="Times New Roman" w:eastAsia="黑体" w:cs="Times New Roman"/>
                <w:kern w:val="2"/>
                <w:sz w:val="21"/>
                <w:szCs w:val="21"/>
              </w:rPr>
              <w:t>要素</w:t>
            </w:r>
            <w:bookmarkEnd w:id="42"/>
            <w:bookmarkEnd w:id="43"/>
            <w:bookmarkEnd w:id="44"/>
            <w:bookmarkEnd w:id="45"/>
          </w:p>
        </w:tc>
        <w:tc>
          <w:tcPr>
            <w:tcW w:w="2889" w:type="dxa"/>
            <w:gridSpan w:val="2"/>
            <w:noWrap w:val="0"/>
            <w:vAlign w:val="center"/>
          </w:tcPr>
          <w:p>
            <w:pPr>
              <w:pStyle w:val="16"/>
              <w:keepNext w:val="0"/>
              <w:keepLines w:val="0"/>
              <w:suppressLineNumbers w:val="0"/>
              <w:adjustRightInd w:val="0"/>
              <w:snapToGrid w:val="0"/>
              <w:spacing w:before="0" w:beforeAutospacing="0" w:after="0" w:afterAutospacing="0"/>
              <w:ind w:left="0" w:right="0"/>
              <w:jc w:val="center"/>
              <w:outlineLvl w:val="0"/>
              <w:rPr>
                <w:rFonts w:hint="default" w:ascii="Times New Roman" w:hAnsi="Times New Roman" w:eastAsia="黑体" w:cs="Times New Roman"/>
                <w:kern w:val="2"/>
                <w:sz w:val="21"/>
                <w:szCs w:val="21"/>
              </w:rPr>
            </w:pPr>
            <w:bookmarkStart w:id="46" w:name="_Toc16583"/>
            <w:bookmarkStart w:id="47" w:name="_Toc8989"/>
            <w:bookmarkStart w:id="48" w:name="_Toc18931"/>
            <w:bookmarkStart w:id="49" w:name="_Toc24675"/>
            <w:r>
              <w:rPr>
                <w:rFonts w:hint="default" w:ascii="Times New Roman" w:hAnsi="Times New Roman" w:eastAsia="黑体" w:cs="Times New Roman"/>
                <w:kern w:val="2"/>
                <w:sz w:val="21"/>
                <w:szCs w:val="21"/>
              </w:rPr>
              <w:t>施工期</w:t>
            </w:r>
            <w:bookmarkEnd w:id="46"/>
            <w:bookmarkEnd w:id="47"/>
            <w:bookmarkEnd w:id="48"/>
            <w:bookmarkEnd w:id="49"/>
          </w:p>
        </w:tc>
        <w:tc>
          <w:tcPr>
            <w:tcW w:w="3980" w:type="dxa"/>
            <w:gridSpan w:val="2"/>
            <w:noWrap w:val="0"/>
            <w:vAlign w:val="center"/>
          </w:tcPr>
          <w:p>
            <w:pPr>
              <w:pStyle w:val="16"/>
              <w:keepNext w:val="0"/>
              <w:keepLines w:val="0"/>
              <w:suppressLineNumbers w:val="0"/>
              <w:adjustRightInd w:val="0"/>
              <w:snapToGrid w:val="0"/>
              <w:spacing w:before="0" w:beforeAutospacing="0" w:after="0" w:afterAutospacing="0"/>
              <w:ind w:left="0" w:right="0"/>
              <w:jc w:val="center"/>
              <w:outlineLvl w:val="0"/>
              <w:rPr>
                <w:rFonts w:hint="default" w:ascii="Times New Roman" w:hAnsi="Times New Roman" w:eastAsia="黑体" w:cs="Times New Roman"/>
                <w:kern w:val="2"/>
                <w:sz w:val="21"/>
                <w:szCs w:val="21"/>
              </w:rPr>
            </w:pPr>
            <w:bookmarkStart w:id="50" w:name="_Toc1895"/>
            <w:bookmarkStart w:id="51" w:name="_Toc4601"/>
            <w:bookmarkStart w:id="52" w:name="_Toc8172"/>
            <w:bookmarkStart w:id="53" w:name="_Toc18564"/>
            <w:r>
              <w:rPr>
                <w:rFonts w:hint="default" w:ascii="Times New Roman" w:hAnsi="Times New Roman" w:eastAsia="黑体" w:cs="Times New Roman"/>
                <w:kern w:val="2"/>
                <w:sz w:val="21"/>
                <w:szCs w:val="21"/>
              </w:rPr>
              <w:t>运营期</w:t>
            </w:r>
            <w:bookmarkEnd w:id="50"/>
            <w:bookmarkEnd w:id="51"/>
            <w:bookmarkEnd w:id="52"/>
            <w:bookmarkEnd w:id="53"/>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jc w:val="center"/>
        </w:trPr>
        <w:tc>
          <w:tcPr>
            <w:tcW w:w="1653" w:type="dxa"/>
            <w:vMerge w:val="continue"/>
            <w:noWrap w:val="0"/>
            <w:vAlign w:val="top"/>
          </w:tcPr>
          <w:p>
            <w:pPr>
              <w:pStyle w:val="16"/>
              <w:keepNext w:val="0"/>
              <w:keepLines w:val="0"/>
              <w:suppressLineNumbers w:val="0"/>
              <w:adjustRightInd w:val="0"/>
              <w:snapToGrid w:val="0"/>
              <w:spacing w:before="0" w:beforeAutospacing="0" w:after="0" w:afterAutospacing="0"/>
              <w:ind w:left="0" w:right="0" w:firstLine="840"/>
              <w:jc w:val="center"/>
              <w:outlineLvl w:val="0"/>
              <w:rPr>
                <w:rFonts w:hint="default" w:ascii="Times New Roman" w:hAnsi="Times New Roman" w:eastAsia="黑体" w:cs="Times New Roman"/>
                <w:kern w:val="2"/>
                <w:sz w:val="21"/>
                <w:szCs w:val="21"/>
              </w:rPr>
            </w:pPr>
          </w:p>
        </w:tc>
        <w:tc>
          <w:tcPr>
            <w:tcW w:w="1621" w:type="dxa"/>
            <w:noWrap w:val="0"/>
            <w:vAlign w:val="center"/>
          </w:tcPr>
          <w:p>
            <w:pPr>
              <w:pStyle w:val="16"/>
              <w:keepNext w:val="0"/>
              <w:keepLines w:val="0"/>
              <w:suppressLineNumbers w:val="0"/>
              <w:adjustRightInd w:val="0"/>
              <w:snapToGrid w:val="0"/>
              <w:spacing w:before="0" w:beforeAutospacing="0" w:after="0" w:afterAutospacing="0"/>
              <w:ind w:left="0" w:right="0"/>
              <w:jc w:val="center"/>
              <w:outlineLvl w:val="0"/>
              <w:rPr>
                <w:rFonts w:hint="default" w:ascii="Times New Roman" w:hAnsi="Times New Roman" w:eastAsia="黑体" w:cs="Times New Roman"/>
                <w:kern w:val="2"/>
                <w:sz w:val="21"/>
                <w:szCs w:val="21"/>
              </w:rPr>
            </w:pPr>
            <w:bookmarkStart w:id="54" w:name="_Toc23755"/>
            <w:bookmarkStart w:id="55" w:name="_Toc9726"/>
            <w:bookmarkStart w:id="56" w:name="_Toc17557"/>
            <w:bookmarkStart w:id="57" w:name="_Toc23035"/>
            <w:r>
              <w:rPr>
                <w:rFonts w:hint="default" w:ascii="Times New Roman" w:hAnsi="Times New Roman" w:eastAsia="黑体" w:cs="Times New Roman"/>
                <w:kern w:val="2"/>
                <w:sz w:val="21"/>
                <w:szCs w:val="21"/>
              </w:rPr>
              <w:t>环境保护措施</w:t>
            </w:r>
            <w:bookmarkEnd w:id="54"/>
            <w:bookmarkEnd w:id="55"/>
            <w:bookmarkEnd w:id="56"/>
            <w:bookmarkEnd w:id="57"/>
          </w:p>
        </w:tc>
        <w:tc>
          <w:tcPr>
            <w:tcW w:w="1268" w:type="dxa"/>
            <w:noWrap w:val="0"/>
            <w:vAlign w:val="center"/>
          </w:tcPr>
          <w:p>
            <w:pPr>
              <w:pStyle w:val="16"/>
              <w:keepNext w:val="0"/>
              <w:keepLines w:val="0"/>
              <w:suppressLineNumbers w:val="0"/>
              <w:adjustRightInd w:val="0"/>
              <w:snapToGrid w:val="0"/>
              <w:spacing w:before="0" w:beforeAutospacing="0" w:after="0" w:afterAutospacing="0"/>
              <w:ind w:left="0" w:right="0"/>
              <w:jc w:val="center"/>
              <w:outlineLvl w:val="0"/>
              <w:rPr>
                <w:rFonts w:hint="default" w:ascii="Times New Roman" w:hAnsi="Times New Roman" w:eastAsia="黑体" w:cs="Times New Roman"/>
                <w:kern w:val="2"/>
                <w:sz w:val="21"/>
                <w:szCs w:val="21"/>
              </w:rPr>
            </w:pPr>
            <w:bookmarkStart w:id="58" w:name="_Toc20792"/>
            <w:bookmarkStart w:id="59" w:name="_Toc2859"/>
            <w:bookmarkStart w:id="60" w:name="_Toc8083"/>
            <w:bookmarkStart w:id="61" w:name="_Toc32749"/>
            <w:r>
              <w:rPr>
                <w:rFonts w:hint="default" w:ascii="Times New Roman" w:hAnsi="Times New Roman" w:eastAsia="黑体" w:cs="Times New Roman"/>
                <w:kern w:val="2"/>
                <w:sz w:val="21"/>
                <w:szCs w:val="21"/>
              </w:rPr>
              <w:t>验收要求</w:t>
            </w:r>
            <w:bookmarkEnd w:id="58"/>
            <w:bookmarkEnd w:id="59"/>
            <w:bookmarkEnd w:id="60"/>
            <w:bookmarkEnd w:id="61"/>
          </w:p>
        </w:tc>
        <w:tc>
          <w:tcPr>
            <w:tcW w:w="2687" w:type="dxa"/>
            <w:noWrap w:val="0"/>
            <w:vAlign w:val="center"/>
          </w:tcPr>
          <w:p>
            <w:pPr>
              <w:pStyle w:val="16"/>
              <w:keepNext w:val="0"/>
              <w:keepLines w:val="0"/>
              <w:suppressLineNumbers w:val="0"/>
              <w:adjustRightInd w:val="0"/>
              <w:snapToGrid w:val="0"/>
              <w:spacing w:before="0" w:beforeAutospacing="0" w:after="0" w:afterAutospacing="0"/>
              <w:ind w:left="0" w:right="0"/>
              <w:jc w:val="center"/>
              <w:outlineLvl w:val="0"/>
              <w:rPr>
                <w:rFonts w:hint="default" w:ascii="Times New Roman" w:hAnsi="Times New Roman" w:eastAsia="黑体" w:cs="Times New Roman"/>
                <w:kern w:val="2"/>
                <w:sz w:val="21"/>
                <w:szCs w:val="21"/>
              </w:rPr>
            </w:pPr>
            <w:bookmarkStart w:id="62" w:name="_Toc17601"/>
            <w:bookmarkStart w:id="63" w:name="_Toc24797"/>
            <w:bookmarkStart w:id="64" w:name="_Toc25602"/>
            <w:bookmarkStart w:id="65" w:name="_Toc16190"/>
            <w:r>
              <w:rPr>
                <w:rFonts w:hint="default" w:ascii="Times New Roman" w:hAnsi="Times New Roman" w:eastAsia="黑体" w:cs="Times New Roman"/>
                <w:kern w:val="2"/>
                <w:sz w:val="21"/>
                <w:szCs w:val="21"/>
              </w:rPr>
              <w:t>环境保护措施</w:t>
            </w:r>
            <w:bookmarkEnd w:id="62"/>
            <w:bookmarkEnd w:id="63"/>
            <w:bookmarkEnd w:id="64"/>
            <w:bookmarkEnd w:id="65"/>
          </w:p>
        </w:tc>
        <w:tc>
          <w:tcPr>
            <w:tcW w:w="1293" w:type="dxa"/>
            <w:noWrap w:val="0"/>
            <w:vAlign w:val="center"/>
          </w:tcPr>
          <w:p>
            <w:pPr>
              <w:pStyle w:val="16"/>
              <w:keepNext w:val="0"/>
              <w:keepLines w:val="0"/>
              <w:suppressLineNumbers w:val="0"/>
              <w:adjustRightInd w:val="0"/>
              <w:snapToGrid w:val="0"/>
              <w:spacing w:before="0" w:beforeAutospacing="0" w:after="0" w:afterAutospacing="0"/>
              <w:ind w:left="0" w:right="0"/>
              <w:jc w:val="center"/>
              <w:outlineLvl w:val="0"/>
              <w:rPr>
                <w:rFonts w:hint="default" w:ascii="Times New Roman" w:hAnsi="Times New Roman" w:eastAsia="黑体" w:cs="Times New Roman"/>
                <w:kern w:val="2"/>
                <w:sz w:val="21"/>
                <w:szCs w:val="21"/>
              </w:rPr>
            </w:pPr>
            <w:bookmarkStart w:id="66" w:name="_Toc21852"/>
            <w:bookmarkStart w:id="67" w:name="_Toc28001"/>
            <w:bookmarkStart w:id="68" w:name="_Toc18402"/>
            <w:bookmarkStart w:id="69" w:name="_Toc10624"/>
            <w:r>
              <w:rPr>
                <w:rFonts w:hint="default" w:ascii="Times New Roman" w:hAnsi="Times New Roman" w:eastAsia="黑体" w:cs="Times New Roman"/>
                <w:kern w:val="2"/>
                <w:sz w:val="21"/>
                <w:szCs w:val="21"/>
              </w:rPr>
              <w:t>验收要求</w:t>
            </w:r>
            <w:bookmarkEnd w:id="66"/>
            <w:bookmarkEnd w:id="67"/>
            <w:bookmarkEnd w:id="68"/>
            <w:bookmarkEnd w:id="69"/>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jc w:val="center"/>
        </w:trPr>
        <w:tc>
          <w:tcPr>
            <w:tcW w:w="1653" w:type="dxa"/>
            <w:noWrap w:val="0"/>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陆生生态</w:t>
            </w:r>
          </w:p>
        </w:tc>
        <w:tc>
          <w:tcPr>
            <w:tcW w:w="1621" w:type="dxa"/>
            <w:noWrap w:val="0"/>
            <w:vAlign w:val="center"/>
          </w:tcPr>
          <w:p>
            <w:pPr>
              <w:keepNext w:val="0"/>
              <w:keepLines w:val="0"/>
              <w:numPr>
                <w:ilvl w:val="0"/>
                <w:numId w:val="0"/>
              </w:numPr>
              <w:suppressLineNumbers w:val="0"/>
              <w:spacing w:before="0" w:beforeAutospacing="0" w:after="0" w:afterAutospacing="0"/>
              <w:ind w:left="0" w:leftChars="0" w:right="0"/>
              <w:jc w:val="center"/>
              <w:rPr>
                <w:rFonts w:hint="eastAsia" w:ascii="Calibri" w:hAnsi="Calibri" w:cs="Times New Roman"/>
              </w:rPr>
            </w:pPr>
            <w:r>
              <w:rPr>
                <w:rFonts w:hint="eastAsia" w:ascii="Calibri" w:hAnsi="Calibri" w:cs="Times New Roman"/>
              </w:rPr>
              <w:t>施工围挡、截排</w:t>
            </w:r>
          </w:p>
          <w:p>
            <w:pPr>
              <w:keepNext w:val="0"/>
              <w:keepLines w:val="0"/>
              <w:numPr>
                <w:ilvl w:val="0"/>
                <w:numId w:val="0"/>
              </w:numPr>
              <w:suppressLineNumbers w:val="0"/>
              <w:spacing w:before="0" w:beforeAutospacing="0" w:after="0" w:afterAutospacing="0"/>
              <w:ind w:left="0" w:leftChars="0" w:right="0"/>
              <w:jc w:val="center"/>
              <w:rPr>
                <w:rFonts w:hint="eastAsia" w:ascii="Calibri" w:hAnsi="Calibri" w:cs="Times New Roman"/>
              </w:rPr>
            </w:pPr>
            <w:r>
              <w:rPr>
                <w:rFonts w:hint="eastAsia" w:ascii="Calibri" w:hAnsi="Calibri" w:cs="Times New Roman"/>
              </w:rPr>
              <w:t>水沟等，防治水</w:t>
            </w:r>
          </w:p>
          <w:p>
            <w:pPr>
              <w:keepNext w:val="0"/>
              <w:keepLines w:val="0"/>
              <w:numPr>
                <w:ilvl w:val="0"/>
                <w:numId w:val="0"/>
              </w:numPr>
              <w:suppressLineNumbers w:val="0"/>
              <w:spacing w:before="0" w:beforeAutospacing="0" w:after="0" w:afterAutospacing="0"/>
              <w:ind w:left="0" w:leftChars="0" w:right="0"/>
              <w:jc w:val="center"/>
              <w:rPr>
                <w:rFonts w:hint="eastAsia" w:ascii="Calibri" w:hAnsi="Calibri" w:cs="Times New Roman"/>
              </w:rPr>
            </w:pPr>
            <w:r>
              <w:rPr>
                <w:rFonts w:hint="eastAsia" w:ascii="Calibri" w:hAnsi="Calibri" w:cs="Times New Roman"/>
              </w:rPr>
              <w:t>土流失；植被恢</w:t>
            </w:r>
          </w:p>
          <w:p>
            <w:pPr>
              <w:keepNext w:val="0"/>
              <w:keepLines w:val="0"/>
              <w:numPr>
                <w:ilvl w:val="0"/>
                <w:numId w:val="0"/>
              </w:numPr>
              <w:suppressLineNumbers w:val="0"/>
              <w:spacing w:before="0" w:beforeAutospacing="0" w:after="0" w:afterAutospacing="0"/>
              <w:ind w:left="0" w:leftChars="0" w:right="0"/>
              <w:jc w:val="center"/>
              <w:rPr>
                <w:rFonts w:hint="default" w:ascii="Calibri" w:hAnsi="Calibri" w:cs="Times New Roman"/>
              </w:rPr>
            </w:pPr>
            <w:r>
              <w:rPr>
                <w:rFonts w:hint="eastAsia" w:ascii="Calibri" w:hAnsi="Calibri" w:cs="Times New Roman"/>
              </w:rPr>
              <w:t>复、土地复垦</w:t>
            </w:r>
          </w:p>
        </w:tc>
        <w:tc>
          <w:tcPr>
            <w:tcW w:w="1268" w:type="dxa"/>
            <w:noWrap w:val="0"/>
            <w:vAlign w:val="center"/>
          </w:tcPr>
          <w:p>
            <w:pPr>
              <w:keepNext w:val="0"/>
              <w:keepLines w:val="0"/>
              <w:suppressLineNumbers w:val="0"/>
              <w:spacing w:before="0" w:beforeAutospacing="0" w:after="0" w:afterAutospacing="0"/>
              <w:ind w:left="0" w:right="0"/>
              <w:jc w:val="center"/>
              <w:rPr>
                <w:rFonts w:hint="default" w:ascii="Calibri" w:hAnsi="Calibri" w:cs="Times New Roman"/>
              </w:rPr>
            </w:pPr>
            <w:r>
              <w:rPr>
                <w:rFonts w:ascii="Calibri" w:hAnsi="Calibri" w:cs="Times New Roman"/>
              </w:rPr>
              <w:t>减轻对周边环境的影响</w:t>
            </w:r>
          </w:p>
        </w:tc>
        <w:tc>
          <w:tcPr>
            <w:tcW w:w="2687" w:type="dxa"/>
            <w:noWrap w:val="0"/>
            <w:vAlign w:val="center"/>
          </w:tcPr>
          <w:p>
            <w:pPr>
              <w:keepNext w:val="0"/>
              <w:keepLines w:val="0"/>
              <w:suppressLineNumbers w:val="0"/>
              <w:spacing w:before="0" w:beforeAutospacing="0" w:after="0" w:afterAutospacing="0"/>
              <w:ind w:left="0" w:right="0"/>
              <w:jc w:val="center"/>
              <w:rPr>
                <w:rFonts w:hint="eastAsia" w:ascii="Calibri" w:hAnsi="Calibri" w:cs="Times New Roman"/>
                <w:lang w:val="en-US" w:eastAsia="zh-CN"/>
              </w:rPr>
            </w:pPr>
            <w:r>
              <w:rPr>
                <w:rFonts w:hint="eastAsia" w:ascii="Calibri" w:hAnsi="Calibri" w:cs="Times New Roman"/>
                <w:lang w:val="en-US" w:eastAsia="zh-CN"/>
              </w:rPr>
              <w:t>1）开采区的生态保护措施</w:t>
            </w:r>
          </w:p>
          <w:p>
            <w:pPr>
              <w:keepNext w:val="0"/>
              <w:keepLines w:val="0"/>
              <w:suppressLineNumbers w:val="0"/>
              <w:spacing w:before="0" w:beforeAutospacing="0" w:after="0" w:afterAutospacing="0"/>
              <w:ind w:left="0" w:right="0"/>
              <w:jc w:val="center"/>
              <w:rPr>
                <w:rFonts w:hint="eastAsia" w:ascii="Calibri" w:hAnsi="Calibri" w:cs="Times New Roman"/>
                <w:lang w:val="en-US" w:eastAsia="zh-CN"/>
              </w:rPr>
            </w:pPr>
            <w:r>
              <w:rPr>
                <w:rFonts w:hint="eastAsia" w:ascii="Calibri" w:hAnsi="Calibri" w:cs="Times New Roman"/>
                <w:lang w:val="en-US" w:eastAsia="zh-CN"/>
              </w:rPr>
              <w:t>不得随意破坏开采设计范围外的植被，开采过程中对废气粉尘进行洒水降尘，降低粉尘对周边植被的影响；初期雨水等进行沉淀处理后回用于洒水降尘，不外排，减轻废水对植被的影响。在开采区周边设置截排水沟。设置表土堆场堆存剥离表土，保证后期回填和复垦用土。</w:t>
            </w:r>
          </w:p>
          <w:p>
            <w:pPr>
              <w:keepNext w:val="0"/>
              <w:keepLines w:val="0"/>
              <w:suppressLineNumbers w:val="0"/>
              <w:spacing w:before="0" w:beforeAutospacing="0" w:after="0" w:afterAutospacing="0"/>
              <w:ind w:left="0" w:right="0"/>
              <w:jc w:val="center"/>
              <w:rPr>
                <w:rFonts w:hint="eastAsia" w:ascii="Calibri" w:hAnsi="Calibri" w:cs="Times New Roman"/>
                <w:lang w:val="en-US" w:eastAsia="zh-CN"/>
              </w:rPr>
            </w:pPr>
            <w:r>
              <w:rPr>
                <w:rFonts w:hint="eastAsia" w:ascii="Calibri" w:hAnsi="Calibri" w:cs="Times New Roman"/>
                <w:lang w:val="en-US" w:eastAsia="zh-CN"/>
              </w:rPr>
              <w:t>2）工业矿区的生态保护措施主要措施为排水、护坡、绿化等：工业场地内设置完善的防排水系统。工业场地周围空地地面硬化或植树、种草绿化，以减少水土流失。地面高噪声设备做好降噪措施，减缓噪声对野生动物的影响。工业场地内设置的原矿堆场、产品堆存区等做好防尘措施，防止粉尘对植被产生影响。新增表土堆场周围设置截水沟、拦渣坝，防止废土石被雨水冲刷，同时定时进行洒水降尘，减少粉尘的产生。项目开采过程中及时对采空区进行回填，减少剥离土长时间停留在堆土场内，规范化管理堆土场后，对周边生态环境影响不大。</w:t>
            </w:r>
          </w:p>
          <w:p>
            <w:pPr>
              <w:keepNext w:val="0"/>
              <w:keepLines w:val="0"/>
              <w:suppressLineNumbers w:val="0"/>
              <w:spacing w:before="0" w:beforeAutospacing="0" w:after="0" w:afterAutospacing="0"/>
              <w:ind w:left="0" w:right="0"/>
              <w:jc w:val="center"/>
              <w:rPr>
                <w:rFonts w:hint="eastAsia" w:ascii="Calibri" w:hAnsi="Calibri" w:cs="Times New Roman"/>
                <w:lang w:val="en-US" w:eastAsia="zh-CN"/>
              </w:rPr>
            </w:pPr>
            <w:r>
              <w:rPr>
                <w:rFonts w:hint="eastAsia" w:ascii="Calibri" w:hAnsi="Calibri" w:cs="Times New Roman"/>
                <w:lang w:val="en-US" w:eastAsia="zh-CN"/>
              </w:rPr>
              <w:t>3）水土流失保护措施</w:t>
            </w:r>
          </w:p>
          <w:p>
            <w:pPr>
              <w:keepNext w:val="0"/>
              <w:keepLines w:val="0"/>
              <w:suppressLineNumbers w:val="0"/>
              <w:spacing w:before="0" w:beforeAutospacing="0" w:after="0" w:afterAutospacing="0"/>
              <w:ind w:left="0" w:right="0"/>
              <w:jc w:val="center"/>
              <w:rPr>
                <w:rFonts w:hint="eastAsia" w:ascii="Calibri" w:hAnsi="Calibri" w:cs="Times New Roman"/>
                <w:lang w:val="en-US" w:eastAsia="zh-CN"/>
              </w:rPr>
            </w:pPr>
            <w:r>
              <w:rPr>
                <w:rFonts w:hint="eastAsia" w:ascii="Calibri" w:hAnsi="Calibri" w:cs="Times New Roman"/>
                <w:lang w:val="en-US" w:eastAsia="zh-CN"/>
              </w:rPr>
              <w:t>A、在开采境界周边汇水区域应开挖排（引）水沟，防止地表水侵蚀边坡，破坏边坡的稳定。采场边坡上部如有积水地段，应开沟将其引出，防止水侵蚀边坡软弱层，导致滑坡。</w:t>
            </w:r>
          </w:p>
          <w:p>
            <w:pPr>
              <w:keepNext w:val="0"/>
              <w:keepLines w:val="0"/>
              <w:suppressLineNumbers w:val="0"/>
              <w:spacing w:before="0" w:beforeAutospacing="0" w:after="0" w:afterAutospacing="0"/>
              <w:ind w:left="0" w:right="0"/>
              <w:jc w:val="center"/>
              <w:rPr>
                <w:rFonts w:hint="eastAsia" w:ascii="Calibri" w:hAnsi="Calibri" w:cs="Times New Roman"/>
                <w:lang w:val="en-US" w:eastAsia="zh-CN"/>
              </w:rPr>
            </w:pPr>
            <w:r>
              <w:rPr>
                <w:rFonts w:hint="eastAsia" w:ascii="Calibri" w:hAnsi="Calibri" w:cs="Times New Roman"/>
                <w:lang w:val="en-US" w:eastAsia="zh-CN"/>
              </w:rPr>
              <w:t>B、雨季或暴雨时段停止作业，如遇大雨降临，应提前将设备转移至高处，人员撤离采场，同时采用抽水机等措施加强排水。</w:t>
            </w:r>
          </w:p>
          <w:p>
            <w:pPr>
              <w:keepNext w:val="0"/>
              <w:keepLines w:val="0"/>
              <w:suppressLineNumbers w:val="0"/>
              <w:spacing w:before="0" w:beforeAutospacing="0" w:after="0" w:afterAutospacing="0"/>
              <w:ind w:left="0" w:right="0"/>
              <w:jc w:val="center"/>
              <w:rPr>
                <w:rFonts w:hint="eastAsia" w:ascii="Calibri" w:hAnsi="Calibri" w:cs="Times New Roman"/>
                <w:lang w:val="en-US" w:eastAsia="zh-CN"/>
              </w:rPr>
            </w:pPr>
            <w:r>
              <w:rPr>
                <w:rFonts w:hint="eastAsia" w:ascii="Calibri" w:hAnsi="Calibri" w:cs="Times New Roman"/>
                <w:lang w:val="en-US" w:eastAsia="zh-CN"/>
              </w:rPr>
              <w:t>C、矿山在凹陷开采时应及时修建排水沟，采坑边建设水泵房对汇入采坑内的积水通过抽排至排水沟引导入沉淀池后统一进行排放，避免采坑内积水。</w:t>
            </w:r>
          </w:p>
          <w:p>
            <w:pPr>
              <w:keepNext w:val="0"/>
              <w:keepLines w:val="0"/>
              <w:suppressLineNumbers w:val="0"/>
              <w:spacing w:before="0" w:beforeAutospacing="0" w:after="0" w:afterAutospacing="0"/>
              <w:ind w:left="0" w:right="0"/>
              <w:jc w:val="center"/>
              <w:rPr>
                <w:rFonts w:hint="eastAsia" w:ascii="Calibri" w:hAnsi="Calibri" w:cs="Times New Roman"/>
                <w:lang w:val="en-US" w:eastAsia="zh-CN"/>
              </w:rPr>
            </w:pPr>
            <w:r>
              <w:rPr>
                <w:rFonts w:hint="eastAsia" w:ascii="Calibri" w:hAnsi="Calibri" w:cs="Times New Roman"/>
                <w:lang w:val="en-US" w:eastAsia="zh-CN"/>
              </w:rPr>
              <w:t>D、对修筑的截、排水沟应定期清理，保持截、排水沟的排水畅通。</w:t>
            </w:r>
          </w:p>
          <w:p>
            <w:pPr>
              <w:keepNext w:val="0"/>
              <w:keepLines w:val="0"/>
              <w:suppressLineNumbers w:val="0"/>
              <w:spacing w:before="0" w:beforeAutospacing="0" w:after="0" w:afterAutospacing="0"/>
              <w:ind w:left="0" w:right="0"/>
              <w:jc w:val="center"/>
              <w:rPr>
                <w:rFonts w:hint="eastAsia" w:ascii="Calibri" w:hAnsi="Calibri" w:cs="Times New Roman"/>
                <w:lang w:val="en-US" w:eastAsia="zh-CN"/>
              </w:rPr>
            </w:pPr>
            <w:r>
              <w:rPr>
                <w:rFonts w:hint="eastAsia" w:ascii="Calibri" w:hAnsi="Calibri" w:cs="Times New Roman"/>
                <w:lang w:val="en-US" w:eastAsia="zh-CN"/>
              </w:rPr>
              <w:t>E、新增表土堆场周围修建挡土墙，做好截排水等工程防护措施。新增表土堆场坡面采用种植植物和覆盖进行稳定化处理，减少扬尘土，同时防止出现水土流失和滑坡现象。</w:t>
            </w:r>
          </w:p>
          <w:p>
            <w:pPr>
              <w:keepNext w:val="0"/>
              <w:keepLines w:val="0"/>
              <w:suppressLineNumbers w:val="0"/>
              <w:spacing w:before="0" w:beforeAutospacing="0" w:after="0" w:afterAutospacing="0"/>
              <w:ind w:left="0" w:right="0"/>
              <w:jc w:val="center"/>
              <w:rPr>
                <w:rFonts w:hint="eastAsia" w:ascii="Calibri" w:hAnsi="Calibri" w:cs="Times New Roman"/>
                <w:lang w:val="en-US" w:eastAsia="zh-CN"/>
              </w:rPr>
            </w:pPr>
            <w:r>
              <w:rPr>
                <w:rFonts w:hint="eastAsia" w:ascii="Calibri" w:hAnsi="Calibri" w:cs="Times New Roman"/>
                <w:lang w:val="en-US" w:eastAsia="zh-CN"/>
              </w:rPr>
              <w:t>4）矿山生态修复措施</w:t>
            </w:r>
          </w:p>
          <w:p>
            <w:pPr>
              <w:keepNext w:val="0"/>
              <w:keepLines w:val="0"/>
              <w:suppressLineNumbers w:val="0"/>
              <w:spacing w:before="0" w:beforeAutospacing="0" w:after="0" w:afterAutospacing="0"/>
              <w:ind w:left="0" w:right="0"/>
              <w:jc w:val="center"/>
              <w:rPr>
                <w:rFonts w:hint="eastAsia" w:ascii="Calibri" w:hAnsi="Calibri" w:cs="Times New Roman"/>
                <w:lang w:val="en-US" w:eastAsia="zh-CN"/>
              </w:rPr>
            </w:pPr>
            <w:r>
              <w:rPr>
                <w:rFonts w:hint="eastAsia" w:ascii="Calibri" w:hAnsi="Calibri" w:cs="Times New Roman"/>
                <w:lang w:val="en-US" w:eastAsia="zh-CN"/>
              </w:rPr>
              <w:t>按照《永州市零陵区羊轱岭矿区建筑石料用灰岩矿矿山生态保护修复方案》实施复垦，实施绿色矿山建设方案，采取边开采边复垦的方式；尽量将矿区内高大乔木就近移栽至周边区域种植；在采区设置警示牌，按采矿区范围采矿，不得越界开采；剥离的土壤应单独堆存，并做好水土保持工作，用于后期矿区的土地复垦。表土场及排土场应及时进行生态恢复，表土堆场设置挡土墙，进场道路硬化、边坡防护措施；林地植被恢复采用灌木+草木树种组成。根据矿山土地复垦时期安排，矿山复垦时期总体可分为开采期和闭坑后两个阶段，在开采期内对终了平台和其他废弃地及时复垦，修建截水沟、临时性排水沟等工程，对复垦区有效管护，持续监测；闭坑后对破坏区全面复垦，完善截排水工程，进行3年管护。</w:t>
            </w:r>
          </w:p>
        </w:tc>
        <w:tc>
          <w:tcPr>
            <w:tcW w:w="1293" w:type="dxa"/>
            <w:noWrap w:val="0"/>
            <w:vAlign w:val="center"/>
          </w:tcPr>
          <w:p>
            <w:pPr>
              <w:keepNext w:val="0"/>
              <w:keepLines w:val="0"/>
              <w:suppressLineNumbers w:val="0"/>
              <w:spacing w:before="0" w:beforeAutospacing="0" w:after="0" w:afterAutospacing="0"/>
              <w:ind w:left="0" w:right="0"/>
              <w:jc w:val="center"/>
              <w:rPr>
                <w:rFonts w:hint="eastAsia" w:ascii="Calibri" w:hAnsi="Calibri" w:cs="Times New Roman"/>
                <w:lang w:val="en-US" w:eastAsia="zh-CN"/>
              </w:rPr>
            </w:pPr>
            <w:r>
              <w:rPr>
                <w:rFonts w:hint="eastAsia" w:ascii="Calibri" w:hAnsi="Calibri" w:cs="Times New Roman"/>
                <w:lang w:val="en-US" w:eastAsia="zh-CN"/>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jc w:val="center"/>
        </w:trPr>
        <w:tc>
          <w:tcPr>
            <w:tcW w:w="1653" w:type="dxa"/>
            <w:noWrap w:val="0"/>
            <w:vAlign w:val="center"/>
          </w:tcPr>
          <w:p>
            <w:pPr>
              <w:keepNext w:val="0"/>
              <w:keepLines w:val="0"/>
              <w:suppressLineNumbers w:val="0"/>
              <w:adjustRightInd w:val="0"/>
              <w:snapToGrid w:val="0"/>
              <w:spacing w:before="0" w:beforeAutospacing="0" w:after="0" w:afterAutospacing="0"/>
              <w:ind w:left="0" w:right="0"/>
              <w:jc w:val="left"/>
              <w:rPr>
                <w:rFonts w:hint="default" w:ascii="Times New Roman" w:hAnsi="Times New Roman" w:cs="Times New Roman"/>
                <w:szCs w:val="21"/>
              </w:rPr>
            </w:pPr>
            <w:r>
              <w:rPr>
                <w:rFonts w:hint="default" w:ascii="Times New Roman" w:hAnsi="Times New Roman" w:cs="Times New Roman"/>
                <w:szCs w:val="21"/>
              </w:rPr>
              <w:t>水生生态</w:t>
            </w:r>
          </w:p>
        </w:tc>
        <w:tc>
          <w:tcPr>
            <w:tcW w:w="1621" w:type="dxa"/>
            <w:noWrap w:val="0"/>
            <w:vAlign w:val="center"/>
          </w:tcPr>
          <w:p>
            <w:pPr>
              <w:keepNext w:val="0"/>
              <w:keepLines w:val="0"/>
              <w:suppressLineNumbers w:val="0"/>
              <w:spacing w:before="0" w:beforeAutospacing="0" w:after="0" w:afterAutospacing="0"/>
              <w:ind w:left="0" w:right="0"/>
              <w:jc w:val="left"/>
              <w:rPr>
                <w:rFonts w:hint="default" w:ascii="Calibri" w:hAnsi="Calibri" w:cs="Times New Roman"/>
              </w:rPr>
            </w:pPr>
            <w:r>
              <w:rPr>
                <w:rFonts w:hint="eastAsia" w:ascii="Calibri" w:hAnsi="Calibri" w:cs="Times New Roman"/>
                <w:lang w:val="en-US" w:eastAsia="zh-CN"/>
              </w:rPr>
              <w:t>/</w:t>
            </w:r>
          </w:p>
        </w:tc>
        <w:tc>
          <w:tcPr>
            <w:tcW w:w="1268" w:type="dxa"/>
            <w:noWrap w:val="0"/>
            <w:vAlign w:val="center"/>
          </w:tcPr>
          <w:p>
            <w:pPr>
              <w:keepNext w:val="0"/>
              <w:keepLines w:val="0"/>
              <w:suppressLineNumbers w:val="0"/>
              <w:spacing w:before="0" w:beforeAutospacing="0" w:after="0" w:afterAutospacing="0"/>
              <w:ind w:left="0" w:right="0"/>
              <w:jc w:val="left"/>
              <w:rPr>
                <w:rFonts w:hint="default" w:ascii="Calibri" w:hAnsi="Calibri" w:cs="Times New Roman"/>
              </w:rPr>
            </w:pPr>
            <w:r>
              <w:rPr>
                <w:rFonts w:hint="eastAsia" w:ascii="Calibri" w:hAnsi="Calibri" w:cs="Times New Roman"/>
                <w:lang w:val="en-US" w:eastAsia="zh-CN"/>
              </w:rPr>
              <w:t>/</w:t>
            </w:r>
          </w:p>
        </w:tc>
        <w:tc>
          <w:tcPr>
            <w:tcW w:w="2687" w:type="dxa"/>
            <w:noWrap w:val="0"/>
            <w:vAlign w:val="center"/>
          </w:tcPr>
          <w:p>
            <w:pPr>
              <w:keepNext w:val="0"/>
              <w:keepLines w:val="0"/>
              <w:suppressLineNumbers w:val="0"/>
              <w:spacing w:before="0" w:beforeAutospacing="0" w:after="0" w:afterAutospacing="0"/>
              <w:ind w:left="0" w:right="0"/>
              <w:jc w:val="left"/>
              <w:rPr>
                <w:rFonts w:hint="eastAsia" w:ascii="Calibri" w:hAnsi="Calibri" w:cs="Times New Roman"/>
                <w:lang w:val="en-US" w:eastAsia="zh-CN"/>
              </w:rPr>
            </w:pPr>
            <w:r>
              <w:rPr>
                <w:rFonts w:hint="eastAsia" w:ascii="Calibri" w:hAnsi="Calibri" w:cs="Times New Roman"/>
                <w:lang w:val="en-US" w:eastAsia="zh-CN"/>
              </w:rPr>
              <w:t>/</w:t>
            </w:r>
          </w:p>
        </w:tc>
        <w:tc>
          <w:tcPr>
            <w:tcW w:w="1293" w:type="dxa"/>
            <w:noWrap w:val="0"/>
            <w:vAlign w:val="center"/>
          </w:tcPr>
          <w:p>
            <w:pPr>
              <w:keepNext w:val="0"/>
              <w:keepLines w:val="0"/>
              <w:suppressLineNumbers w:val="0"/>
              <w:spacing w:before="0" w:beforeAutospacing="0" w:after="0" w:afterAutospacing="0"/>
              <w:ind w:left="0" w:right="0"/>
              <w:jc w:val="left"/>
              <w:rPr>
                <w:rFonts w:hint="eastAsia" w:ascii="Calibri" w:hAnsi="Calibri" w:cs="Times New Roman"/>
                <w:lang w:val="en-US" w:eastAsia="zh-CN"/>
              </w:rPr>
            </w:pPr>
            <w:r>
              <w:rPr>
                <w:rFonts w:hint="eastAsia" w:ascii="Calibri" w:hAnsi="Calibri" w:cs="Times New Roman"/>
                <w:lang w:val="en-US" w:eastAsia="zh-CN"/>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jc w:val="center"/>
        </w:trPr>
        <w:tc>
          <w:tcPr>
            <w:tcW w:w="1653" w:type="dxa"/>
            <w:noWrap w:val="0"/>
            <w:vAlign w:val="center"/>
          </w:tcPr>
          <w:p>
            <w:pPr>
              <w:keepNext w:val="0"/>
              <w:keepLines w:val="0"/>
              <w:suppressLineNumbers w:val="0"/>
              <w:adjustRightInd w:val="0"/>
              <w:snapToGrid w:val="0"/>
              <w:spacing w:before="0" w:beforeAutospacing="0" w:after="0" w:afterAutospacing="0"/>
              <w:ind w:left="0" w:right="0"/>
              <w:jc w:val="left"/>
              <w:rPr>
                <w:rFonts w:hint="default" w:ascii="Times New Roman" w:hAnsi="Times New Roman" w:cs="Times New Roman"/>
                <w:color w:val="FF0000"/>
                <w:szCs w:val="21"/>
              </w:rPr>
            </w:pPr>
            <w:r>
              <w:rPr>
                <w:rFonts w:hint="default" w:ascii="Times New Roman" w:hAnsi="Times New Roman" w:cs="Times New Roman"/>
                <w:color w:val="auto"/>
                <w:szCs w:val="21"/>
              </w:rPr>
              <w:t>地表水环境</w:t>
            </w:r>
          </w:p>
        </w:tc>
        <w:tc>
          <w:tcPr>
            <w:tcW w:w="1621" w:type="dxa"/>
            <w:noWrap w:val="0"/>
            <w:vAlign w:val="center"/>
          </w:tcPr>
          <w:p>
            <w:pPr>
              <w:keepNext w:val="0"/>
              <w:keepLines w:val="0"/>
              <w:numPr>
                <w:ilvl w:val="0"/>
                <w:numId w:val="0"/>
              </w:numPr>
              <w:suppressLineNumbers w:val="0"/>
              <w:spacing w:before="0" w:beforeAutospacing="0" w:after="0" w:afterAutospacing="0"/>
              <w:ind w:left="0" w:right="0"/>
              <w:jc w:val="left"/>
              <w:rPr>
                <w:rFonts w:hint="eastAsia" w:ascii="Calibri" w:hAnsi="Calibri" w:cs="Times New Roman"/>
                <w:color w:val="auto"/>
              </w:rPr>
            </w:pPr>
            <w:r>
              <w:rPr>
                <w:rFonts w:hint="eastAsia" w:ascii="Calibri" w:hAnsi="Calibri" w:cs="Times New Roman"/>
                <w:color w:val="auto"/>
              </w:rPr>
              <w:t>生活污水经周</w:t>
            </w:r>
          </w:p>
          <w:p>
            <w:pPr>
              <w:keepNext w:val="0"/>
              <w:keepLines w:val="0"/>
              <w:numPr>
                <w:ilvl w:val="0"/>
                <w:numId w:val="0"/>
              </w:numPr>
              <w:suppressLineNumbers w:val="0"/>
              <w:spacing w:before="0" w:beforeAutospacing="0" w:after="0" w:afterAutospacing="0"/>
              <w:ind w:left="0" w:right="0"/>
              <w:jc w:val="left"/>
              <w:rPr>
                <w:rFonts w:hint="eastAsia" w:ascii="Calibri" w:hAnsi="Calibri" w:cs="Times New Roman"/>
                <w:color w:val="auto"/>
              </w:rPr>
            </w:pPr>
            <w:r>
              <w:rPr>
                <w:rFonts w:hint="eastAsia" w:ascii="Calibri" w:hAnsi="Calibri" w:cs="Times New Roman"/>
                <w:color w:val="auto"/>
              </w:rPr>
              <w:t>边居民旱厕处</w:t>
            </w:r>
          </w:p>
          <w:p>
            <w:pPr>
              <w:keepNext w:val="0"/>
              <w:keepLines w:val="0"/>
              <w:numPr>
                <w:ilvl w:val="0"/>
                <w:numId w:val="0"/>
              </w:numPr>
              <w:suppressLineNumbers w:val="0"/>
              <w:spacing w:before="0" w:beforeAutospacing="0" w:after="0" w:afterAutospacing="0"/>
              <w:ind w:left="0" w:right="0"/>
              <w:jc w:val="left"/>
              <w:rPr>
                <w:rFonts w:hint="eastAsia" w:ascii="Calibri" w:hAnsi="Calibri" w:cs="Times New Roman"/>
                <w:color w:val="auto"/>
              </w:rPr>
            </w:pPr>
            <w:r>
              <w:rPr>
                <w:rFonts w:hint="eastAsia" w:ascii="Calibri" w:hAnsi="Calibri" w:cs="Times New Roman"/>
                <w:color w:val="auto"/>
              </w:rPr>
              <w:t>理后，用于农肥；施工废水沉淀后回用</w:t>
            </w:r>
          </w:p>
          <w:p>
            <w:pPr>
              <w:keepNext w:val="0"/>
              <w:keepLines w:val="0"/>
              <w:numPr>
                <w:ilvl w:val="0"/>
                <w:numId w:val="0"/>
              </w:numPr>
              <w:suppressLineNumbers w:val="0"/>
              <w:spacing w:before="0" w:beforeAutospacing="0" w:after="0" w:afterAutospacing="0"/>
              <w:ind w:left="0" w:right="0"/>
              <w:jc w:val="left"/>
              <w:rPr>
                <w:rFonts w:hint="eastAsia" w:ascii="Calibri" w:hAnsi="Calibri" w:cs="Times New Roman"/>
                <w:color w:val="auto"/>
              </w:rPr>
            </w:pPr>
            <w:r>
              <w:rPr>
                <w:rFonts w:hint="eastAsia" w:ascii="Calibri" w:hAnsi="Calibri" w:cs="Times New Roman"/>
                <w:color w:val="auto"/>
              </w:rPr>
              <w:t>于施工过程和</w:t>
            </w:r>
          </w:p>
          <w:p>
            <w:pPr>
              <w:keepNext w:val="0"/>
              <w:keepLines w:val="0"/>
              <w:numPr>
                <w:ilvl w:val="0"/>
                <w:numId w:val="0"/>
              </w:numPr>
              <w:suppressLineNumbers w:val="0"/>
              <w:spacing w:before="0" w:beforeAutospacing="0" w:after="0" w:afterAutospacing="0"/>
              <w:ind w:left="0" w:right="0"/>
              <w:jc w:val="left"/>
              <w:rPr>
                <w:rFonts w:hint="default" w:ascii="Calibri" w:hAnsi="Calibri" w:cs="Times New Roman"/>
                <w:color w:val="FF0000"/>
              </w:rPr>
            </w:pPr>
            <w:r>
              <w:rPr>
                <w:rFonts w:hint="eastAsia" w:ascii="Calibri" w:hAnsi="Calibri" w:cs="Times New Roman"/>
                <w:color w:val="auto"/>
              </w:rPr>
              <w:t>场地洒水等</w:t>
            </w:r>
          </w:p>
        </w:tc>
        <w:tc>
          <w:tcPr>
            <w:tcW w:w="1268" w:type="dxa"/>
            <w:noWrap w:val="0"/>
            <w:vAlign w:val="center"/>
          </w:tcPr>
          <w:p>
            <w:pPr>
              <w:keepNext w:val="0"/>
              <w:keepLines w:val="0"/>
              <w:suppressLineNumbers w:val="0"/>
              <w:spacing w:before="0" w:beforeAutospacing="0" w:after="0" w:afterAutospacing="0"/>
              <w:ind w:left="0" w:right="0"/>
              <w:jc w:val="left"/>
              <w:rPr>
                <w:rFonts w:hint="default" w:ascii="Calibri" w:hAnsi="Calibri" w:cs="Times New Roman"/>
              </w:rPr>
            </w:pPr>
            <w:r>
              <w:rPr>
                <w:rFonts w:ascii="Calibri" w:hAnsi="Calibri" w:cs="Times New Roman"/>
              </w:rPr>
              <w:t>是否按要求实施</w:t>
            </w:r>
          </w:p>
        </w:tc>
        <w:tc>
          <w:tcPr>
            <w:tcW w:w="2687" w:type="dxa"/>
            <w:noWrap w:val="0"/>
            <w:vAlign w:val="center"/>
          </w:tcPr>
          <w:p>
            <w:pPr>
              <w:keepNext w:val="0"/>
              <w:keepLines w:val="0"/>
              <w:suppressLineNumbers w:val="0"/>
              <w:spacing w:before="0" w:beforeAutospacing="0" w:after="0" w:afterAutospacing="0"/>
              <w:ind w:left="0" w:right="0"/>
              <w:jc w:val="left"/>
              <w:rPr>
                <w:rFonts w:hint="eastAsia" w:ascii="Calibri" w:hAnsi="Calibri" w:cs="Times New Roman"/>
                <w:lang w:val="en-US" w:eastAsia="zh-CN"/>
              </w:rPr>
            </w:pPr>
            <w:r>
              <w:rPr>
                <w:rFonts w:hint="eastAsia" w:ascii="Calibri" w:hAnsi="Calibri" w:cs="Times New Roman"/>
                <w:lang w:val="en-US" w:eastAsia="zh-CN"/>
              </w:rPr>
              <w:t>区及底盘四周、新增表土堆场均设置截排水沟，2个初期雨水池容积均为300m</w:t>
            </w:r>
            <w:r>
              <w:rPr>
                <w:rFonts w:hint="eastAsia" w:ascii="Calibri" w:hAnsi="Calibri" w:cs="Times New Roman"/>
                <w:vertAlign w:val="superscript"/>
                <w:lang w:val="en-US" w:eastAsia="zh-CN"/>
              </w:rPr>
              <w:t>3</w:t>
            </w:r>
            <w:r>
              <w:rPr>
                <w:rFonts w:hint="eastAsia" w:ascii="Calibri" w:hAnsi="Calibri" w:cs="Times New Roman"/>
                <w:lang w:val="en-US" w:eastAsia="zh-CN"/>
              </w:rPr>
              <w:t>，初期雨水处理后回用于洒水降尘等，</w:t>
            </w:r>
            <w:r>
              <w:rPr>
                <w:rFonts w:hint="eastAsia" w:cs="Times New Roman"/>
                <w:bCs/>
                <w:color w:val="000000" w:themeColor="text1"/>
                <w:sz w:val="21"/>
                <w:szCs w:val="21"/>
                <w:lang w:val="en-US" w:eastAsia="zh-CN"/>
                <w14:textFill>
                  <w14:solidFill>
                    <w14:schemeClr w14:val="tx1"/>
                  </w14:solidFill>
                </w14:textFill>
              </w:rPr>
              <w:t>后期雨水自然排放至外环境，无需收集处理</w:t>
            </w:r>
            <w:r>
              <w:rPr>
                <w:rFonts w:hint="eastAsia" w:ascii="Calibri" w:hAnsi="Calibri" w:cs="Times New Roman"/>
                <w:lang w:val="en-US" w:eastAsia="zh-CN"/>
              </w:rPr>
              <w:t>；工业广场清洗平台配套洗车废水沉淀池10m</w:t>
            </w:r>
            <w:r>
              <w:rPr>
                <w:rFonts w:hint="eastAsia" w:ascii="Calibri" w:hAnsi="Calibri" w:cs="Times New Roman"/>
                <w:vertAlign w:val="superscript"/>
                <w:lang w:val="en-US" w:eastAsia="zh-CN"/>
              </w:rPr>
              <w:t>3</w:t>
            </w:r>
            <w:r>
              <w:rPr>
                <w:rFonts w:hint="eastAsia" w:ascii="Calibri" w:hAnsi="Calibri" w:cs="Times New Roman"/>
                <w:lang w:val="en-US" w:eastAsia="zh-CN"/>
              </w:rPr>
              <w:t>，洗车废水经沉淀池处理后全部回用，不外排；化粪池处理后委托当地农民清运用作农肥，不外排</w:t>
            </w:r>
          </w:p>
        </w:tc>
        <w:tc>
          <w:tcPr>
            <w:tcW w:w="1293" w:type="dxa"/>
            <w:noWrap w:val="0"/>
            <w:vAlign w:val="center"/>
          </w:tcPr>
          <w:p>
            <w:pPr>
              <w:keepNext w:val="0"/>
              <w:keepLines w:val="0"/>
              <w:suppressLineNumbers w:val="0"/>
              <w:spacing w:before="0" w:beforeAutospacing="0" w:after="0" w:afterAutospacing="0"/>
              <w:ind w:left="0" w:right="0"/>
              <w:jc w:val="left"/>
              <w:rPr>
                <w:rFonts w:hint="eastAsia" w:ascii="Calibri" w:hAnsi="Calibri" w:cs="Times New Roman"/>
                <w:lang w:val="en-US" w:eastAsia="zh-CN"/>
              </w:rPr>
            </w:pPr>
            <w:r>
              <w:rPr>
                <w:rFonts w:hint="eastAsia" w:ascii="Calibri" w:hAnsi="Calibri" w:cs="Times New Roman"/>
                <w:lang w:val="en-US" w:eastAsia="zh-CN"/>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jc w:val="center"/>
        </w:trPr>
        <w:tc>
          <w:tcPr>
            <w:tcW w:w="1653" w:type="dxa"/>
            <w:noWrap w:val="0"/>
            <w:vAlign w:val="center"/>
          </w:tcPr>
          <w:p>
            <w:pPr>
              <w:keepNext w:val="0"/>
              <w:keepLines w:val="0"/>
              <w:suppressLineNumbers w:val="0"/>
              <w:adjustRightInd w:val="0"/>
              <w:snapToGrid w:val="0"/>
              <w:spacing w:before="0" w:beforeAutospacing="0" w:after="0" w:afterAutospacing="0"/>
              <w:ind w:left="0" w:right="0"/>
              <w:jc w:val="left"/>
              <w:rPr>
                <w:rFonts w:hint="default" w:ascii="Times New Roman" w:hAnsi="Times New Roman" w:cs="Times New Roman"/>
                <w:szCs w:val="21"/>
              </w:rPr>
            </w:pPr>
            <w:r>
              <w:rPr>
                <w:rFonts w:hint="default" w:ascii="Times New Roman" w:hAnsi="Times New Roman" w:cs="Times New Roman"/>
                <w:szCs w:val="21"/>
              </w:rPr>
              <w:t>地下水及土壤环境</w:t>
            </w:r>
          </w:p>
        </w:tc>
        <w:tc>
          <w:tcPr>
            <w:tcW w:w="1621" w:type="dxa"/>
            <w:noWrap w:val="0"/>
            <w:vAlign w:val="center"/>
          </w:tcPr>
          <w:p>
            <w:pPr>
              <w:keepNext w:val="0"/>
              <w:keepLines w:val="0"/>
              <w:suppressLineNumbers w:val="0"/>
              <w:spacing w:before="0" w:beforeAutospacing="0" w:after="0" w:afterAutospacing="0"/>
              <w:ind w:left="0" w:right="0"/>
              <w:jc w:val="left"/>
              <w:rPr>
                <w:rFonts w:hint="eastAsia" w:ascii="Calibri" w:hAnsi="Calibri" w:eastAsia="宋体" w:cs="Times New Roman"/>
                <w:lang w:val="en-US" w:eastAsia="zh-CN"/>
              </w:rPr>
            </w:pPr>
            <w:r>
              <w:rPr>
                <w:rFonts w:hint="eastAsia" w:ascii="Calibri" w:hAnsi="Calibri" w:cs="Times New Roman"/>
                <w:lang w:val="en-US" w:eastAsia="zh-CN"/>
              </w:rPr>
              <w:t>/</w:t>
            </w:r>
          </w:p>
        </w:tc>
        <w:tc>
          <w:tcPr>
            <w:tcW w:w="1268" w:type="dxa"/>
            <w:noWrap w:val="0"/>
            <w:vAlign w:val="center"/>
          </w:tcPr>
          <w:p>
            <w:pPr>
              <w:keepNext w:val="0"/>
              <w:keepLines w:val="0"/>
              <w:suppressLineNumbers w:val="0"/>
              <w:spacing w:before="0" w:beforeAutospacing="0" w:after="0" w:afterAutospacing="0"/>
              <w:ind w:left="0" w:right="0"/>
              <w:jc w:val="left"/>
              <w:rPr>
                <w:rFonts w:hint="default" w:ascii="Calibri" w:hAnsi="Calibri" w:cs="Times New Roman"/>
              </w:rPr>
            </w:pPr>
            <w:r>
              <w:rPr>
                <w:rFonts w:ascii="Calibri" w:hAnsi="Calibri" w:cs="Times New Roman"/>
              </w:rPr>
              <w:t>/</w:t>
            </w:r>
          </w:p>
        </w:tc>
        <w:tc>
          <w:tcPr>
            <w:tcW w:w="2687" w:type="dxa"/>
            <w:noWrap w:val="0"/>
            <w:vAlign w:val="center"/>
          </w:tcPr>
          <w:p>
            <w:pPr>
              <w:keepNext w:val="0"/>
              <w:keepLines w:val="0"/>
              <w:suppressLineNumbers w:val="0"/>
              <w:spacing w:before="0" w:beforeAutospacing="0" w:after="0" w:afterAutospacing="0"/>
              <w:ind w:left="0" w:right="0"/>
              <w:jc w:val="left"/>
              <w:rPr>
                <w:rFonts w:hint="default" w:ascii="Calibri" w:hAnsi="Calibri" w:cs="Times New Roman"/>
              </w:rPr>
            </w:pPr>
            <w:r>
              <w:rPr>
                <w:rFonts w:hint="eastAsia" w:ascii="Calibri" w:hAnsi="Calibri" w:cs="Times New Roman"/>
                <w:lang w:val="en-US" w:eastAsia="zh-CN"/>
              </w:rPr>
              <w:t>/</w:t>
            </w:r>
          </w:p>
        </w:tc>
        <w:tc>
          <w:tcPr>
            <w:tcW w:w="1293" w:type="dxa"/>
            <w:noWrap w:val="0"/>
            <w:vAlign w:val="center"/>
          </w:tcPr>
          <w:p>
            <w:pPr>
              <w:keepNext w:val="0"/>
              <w:keepLines w:val="0"/>
              <w:suppressLineNumbers w:val="0"/>
              <w:spacing w:before="0" w:beforeAutospacing="0" w:after="0" w:afterAutospacing="0"/>
              <w:ind w:left="0" w:right="0"/>
              <w:jc w:val="left"/>
              <w:rPr>
                <w:rFonts w:hint="default" w:ascii="Calibri" w:hAnsi="Calibri" w:cs="Times New Roman"/>
              </w:rPr>
            </w:pPr>
            <w:r>
              <w:rPr>
                <w:rFonts w:hint="eastAsia" w:ascii="Calibri" w:hAnsi="Calibri" w:cs="Times New Roman"/>
                <w:lang w:val="en-US" w:eastAsia="zh-CN"/>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jc w:val="center"/>
        </w:trPr>
        <w:tc>
          <w:tcPr>
            <w:tcW w:w="1653" w:type="dxa"/>
            <w:noWrap w:val="0"/>
            <w:vAlign w:val="center"/>
          </w:tcPr>
          <w:p>
            <w:pPr>
              <w:keepNext w:val="0"/>
              <w:keepLines w:val="0"/>
              <w:suppressLineNumbers w:val="0"/>
              <w:adjustRightInd w:val="0"/>
              <w:snapToGrid w:val="0"/>
              <w:spacing w:before="0" w:beforeAutospacing="0" w:after="0" w:afterAutospacing="0"/>
              <w:ind w:left="0" w:right="0"/>
              <w:jc w:val="left"/>
              <w:rPr>
                <w:rFonts w:hint="default" w:ascii="Times New Roman" w:hAnsi="Times New Roman" w:cs="Times New Roman"/>
                <w:szCs w:val="21"/>
              </w:rPr>
            </w:pPr>
            <w:r>
              <w:rPr>
                <w:rFonts w:hint="default" w:ascii="Times New Roman" w:hAnsi="Times New Roman" w:cs="Times New Roman"/>
                <w:szCs w:val="21"/>
              </w:rPr>
              <w:t>声环境</w:t>
            </w:r>
          </w:p>
        </w:tc>
        <w:tc>
          <w:tcPr>
            <w:tcW w:w="1621" w:type="dxa"/>
            <w:noWrap w:val="0"/>
            <w:vAlign w:val="center"/>
          </w:tcPr>
          <w:p>
            <w:pPr>
              <w:keepNext w:val="0"/>
              <w:keepLines w:val="0"/>
              <w:suppressLineNumbers w:val="0"/>
              <w:spacing w:before="0" w:beforeAutospacing="0" w:after="0" w:afterAutospacing="0"/>
              <w:ind w:left="0" w:right="0"/>
              <w:rPr>
                <w:rFonts w:hint="default" w:ascii="Calibri" w:hAnsi="Calibri" w:cs="Times New Roman"/>
              </w:rPr>
            </w:pPr>
            <w:r>
              <w:rPr>
                <w:rFonts w:hint="default" w:ascii="Calibri" w:hAnsi="Calibri" w:cs="Times New Roman"/>
              </w:rPr>
              <w:t>①选用低噪声设备；</w:t>
            </w:r>
          </w:p>
          <w:p>
            <w:pPr>
              <w:keepNext w:val="0"/>
              <w:keepLines w:val="0"/>
              <w:suppressLineNumbers w:val="0"/>
              <w:spacing w:before="0" w:beforeAutospacing="0" w:after="0" w:afterAutospacing="0"/>
              <w:ind w:left="0" w:right="0"/>
              <w:rPr>
                <w:rFonts w:hint="default" w:ascii="Calibri" w:hAnsi="Calibri" w:cs="Times New Roman"/>
              </w:rPr>
            </w:pPr>
            <w:r>
              <w:rPr>
                <w:rFonts w:hint="default" w:ascii="Calibri" w:hAnsi="Calibri" w:cs="Times New Roman"/>
              </w:rPr>
              <w:t>②合理安排工期，严禁夜间和午休时段施工；</w:t>
            </w:r>
          </w:p>
          <w:p>
            <w:pPr>
              <w:keepNext w:val="0"/>
              <w:keepLines w:val="0"/>
              <w:suppressLineNumbers w:val="0"/>
              <w:spacing w:before="0" w:beforeAutospacing="0" w:after="0" w:afterAutospacing="0"/>
              <w:ind w:left="0" w:right="0"/>
              <w:rPr>
                <w:rFonts w:hint="default" w:ascii="Calibri" w:hAnsi="Calibri" w:cs="Times New Roman"/>
              </w:rPr>
            </w:pPr>
            <w:r>
              <w:rPr>
                <w:rFonts w:hint="default" w:ascii="Calibri" w:hAnsi="Calibri" w:cs="Times New Roman"/>
              </w:rPr>
              <w:t>③合理施工场地、设备布置；</w:t>
            </w:r>
          </w:p>
          <w:p>
            <w:pPr>
              <w:keepNext w:val="0"/>
              <w:keepLines w:val="0"/>
              <w:suppressLineNumbers w:val="0"/>
              <w:spacing w:before="0" w:beforeAutospacing="0" w:after="0" w:afterAutospacing="0"/>
              <w:ind w:left="0" w:right="0"/>
              <w:rPr>
                <w:rFonts w:hint="default" w:ascii="Calibri" w:hAnsi="Calibri" w:cs="Times New Roman"/>
              </w:rPr>
            </w:pPr>
            <w:r>
              <w:rPr>
                <w:rFonts w:hint="default" w:ascii="Calibri" w:hAnsi="Calibri" w:cs="Times New Roman"/>
              </w:rPr>
              <w:t>④途径敏感点车辆限速，禁止鸣笛；</w:t>
            </w:r>
          </w:p>
          <w:p>
            <w:pPr>
              <w:keepNext w:val="0"/>
              <w:keepLines w:val="0"/>
              <w:suppressLineNumbers w:val="0"/>
              <w:spacing w:before="0" w:beforeAutospacing="0" w:after="0" w:afterAutospacing="0"/>
              <w:ind w:left="0" w:right="0"/>
              <w:rPr>
                <w:rFonts w:hint="default" w:ascii="Calibri" w:hAnsi="Calibri" w:cs="Times New Roman"/>
              </w:rPr>
            </w:pPr>
            <w:r>
              <w:rPr>
                <w:rFonts w:hint="default" w:ascii="Calibri" w:hAnsi="Calibri" w:cs="Times New Roman"/>
              </w:rPr>
              <w:t>⑤途径敏感点设置公牌</w:t>
            </w:r>
          </w:p>
        </w:tc>
        <w:tc>
          <w:tcPr>
            <w:tcW w:w="1268" w:type="dxa"/>
            <w:noWrap w:val="0"/>
            <w:vAlign w:val="center"/>
          </w:tcPr>
          <w:p>
            <w:pPr>
              <w:keepNext w:val="0"/>
              <w:keepLines w:val="0"/>
              <w:suppressLineNumbers w:val="0"/>
              <w:spacing w:before="0" w:beforeAutospacing="0" w:after="0" w:afterAutospacing="0"/>
              <w:ind w:left="0" w:right="0"/>
              <w:jc w:val="left"/>
              <w:rPr>
                <w:rFonts w:ascii="Calibri" w:hAnsi="Calibri" w:cs="Times New Roman"/>
              </w:rPr>
            </w:pPr>
            <w:r>
              <w:rPr>
                <w:rFonts w:ascii="Calibri" w:hAnsi="Calibri" w:cs="Times New Roman"/>
              </w:rPr>
              <w:t>《建筑施工场界噪</w:t>
            </w:r>
          </w:p>
          <w:p>
            <w:pPr>
              <w:keepNext w:val="0"/>
              <w:keepLines w:val="0"/>
              <w:suppressLineNumbers w:val="0"/>
              <w:spacing w:before="0" w:beforeAutospacing="0" w:after="0" w:afterAutospacing="0"/>
              <w:ind w:left="0" w:right="0"/>
              <w:jc w:val="left"/>
              <w:rPr>
                <w:rFonts w:hint="default" w:ascii="Calibri" w:hAnsi="Calibri" w:cs="Times New Roman"/>
              </w:rPr>
            </w:pPr>
            <w:r>
              <w:rPr>
                <w:rFonts w:ascii="Calibri" w:hAnsi="Calibri" w:cs="Times New Roman"/>
              </w:rPr>
              <w:t>声排放标准》GB12523-2011）</w:t>
            </w:r>
          </w:p>
        </w:tc>
        <w:tc>
          <w:tcPr>
            <w:tcW w:w="2687" w:type="dxa"/>
            <w:noWrap w:val="0"/>
            <w:vAlign w:val="center"/>
          </w:tcPr>
          <w:p>
            <w:pPr>
              <w:keepNext w:val="0"/>
              <w:keepLines w:val="0"/>
              <w:suppressLineNumbers w:val="0"/>
              <w:spacing w:before="0" w:beforeAutospacing="0" w:after="0" w:afterAutospacing="0"/>
              <w:ind w:left="0" w:right="0"/>
              <w:jc w:val="left"/>
              <w:rPr>
                <w:rFonts w:hint="default" w:ascii="Calibri" w:hAnsi="Calibri" w:cs="Times New Roman"/>
              </w:rPr>
            </w:pPr>
            <w:r>
              <w:rPr>
                <w:rFonts w:hint="eastAsia" w:ascii="Calibri" w:hAnsi="Calibri" w:cs="Times New Roman"/>
                <w:lang w:val="en-US" w:eastAsia="zh-CN"/>
              </w:rPr>
              <w:t>生产区域隔声、减震、风机口消声</w:t>
            </w:r>
          </w:p>
        </w:tc>
        <w:tc>
          <w:tcPr>
            <w:tcW w:w="1293" w:type="dxa"/>
            <w:noWrap w:val="0"/>
            <w:vAlign w:val="center"/>
          </w:tcPr>
          <w:p>
            <w:pPr>
              <w:keepNext w:val="0"/>
              <w:keepLines w:val="0"/>
              <w:suppressLineNumbers w:val="0"/>
              <w:spacing w:before="0" w:beforeAutospacing="0" w:after="0" w:afterAutospacing="0"/>
              <w:ind w:left="0" w:right="0"/>
              <w:jc w:val="left"/>
              <w:rPr>
                <w:rFonts w:hint="eastAsia" w:ascii="Calibri" w:hAnsi="Calibri" w:cs="Times New Roman"/>
                <w:lang w:val="en-US" w:eastAsia="zh-CN"/>
              </w:rPr>
            </w:pPr>
            <w:r>
              <w:rPr>
                <w:rFonts w:hint="eastAsia" w:ascii="Calibri" w:hAnsi="Calibri" w:cs="Times New Roman"/>
                <w:lang w:val="en-US" w:eastAsia="zh-CN"/>
              </w:rPr>
              <w:t>厂界噪声符合《工业企业厂界环境噪排放</w:t>
            </w:r>
          </w:p>
          <w:p>
            <w:pPr>
              <w:keepNext w:val="0"/>
              <w:keepLines w:val="0"/>
              <w:suppressLineNumbers w:val="0"/>
              <w:spacing w:before="0" w:beforeAutospacing="0" w:after="0" w:afterAutospacing="0"/>
              <w:ind w:left="0" w:right="0"/>
              <w:jc w:val="left"/>
              <w:rPr>
                <w:rFonts w:hint="eastAsia" w:ascii="Calibri" w:hAnsi="Calibri" w:cs="Times New Roman"/>
                <w:lang w:val="en-US" w:eastAsia="zh-CN"/>
              </w:rPr>
            </w:pPr>
            <w:r>
              <w:rPr>
                <w:rFonts w:hint="eastAsia" w:ascii="Calibri" w:hAnsi="Calibri" w:cs="Times New Roman"/>
                <w:lang w:val="en-US" w:eastAsia="zh-CN"/>
              </w:rPr>
              <w:t>标准》</w:t>
            </w:r>
          </w:p>
          <w:p>
            <w:pPr>
              <w:keepNext w:val="0"/>
              <w:keepLines w:val="0"/>
              <w:suppressLineNumbers w:val="0"/>
              <w:spacing w:before="0" w:beforeAutospacing="0" w:after="0" w:afterAutospacing="0"/>
              <w:ind w:left="0" w:right="0"/>
              <w:jc w:val="left"/>
              <w:rPr>
                <w:rFonts w:hint="default" w:ascii="Calibri" w:hAnsi="Calibri" w:cs="Times New Roman"/>
              </w:rPr>
            </w:pPr>
            <w:r>
              <w:rPr>
                <w:rFonts w:hint="eastAsia" w:ascii="Calibri" w:hAnsi="Calibri" w:cs="Times New Roman"/>
                <w:lang w:val="en-US" w:eastAsia="zh-CN"/>
              </w:rPr>
              <w:t>（GB12348-2008）2类标准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jc w:val="center"/>
        </w:trPr>
        <w:tc>
          <w:tcPr>
            <w:tcW w:w="1653" w:type="dxa"/>
            <w:noWrap w:val="0"/>
            <w:vAlign w:val="center"/>
          </w:tcPr>
          <w:p>
            <w:pPr>
              <w:keepNext w:val="0"/>
              <w:keepLines w:val="0"/>
              <w:suppressLineNumbers w:val="0"/>
              <w:adjustRightInd w:val="0"/>
              <w:snapToGrid w:val="0"/>
              <w:spacing w:before="0" w:beforeAutospacing="0" w:after="0" w:afterAutospacing="0"/>
              <w:ind w:left="0" w:right="0"/>
              <w:jc w:val="left"/>
              <w:rPr>
                <w:rFonts w:hint="default" w:ascii="Times New Roman" w:hAnsi="Times New Roman" w:cs="Times New Roman"/>
                <w:szCs w:val="21"/>
              </w:rPr>
            </w:pPr>
            <w:r>
              <w:rPr>
                <w:rFonts w:hint="default" w:ascii="Times New Roman" w:hAnsi="Times New Roman" w:cs="Times New Roman"/>
                <w:szCs w:val="21"/>
              </w:rPr>
              <w:t>振动</w:t>
            </w:r>
          </w:p>
        </w:tc>
        <w:tc>
          <w:tcPr>
            <w:tcW w:w="1621" w:type="dxa"/>
            <w:noWrap w:val="0"/>
            <w:vAlign w:val="center"/>
          </w:tcPr>
          <w:p>
            <w:pPr>
              <w:keepNext w:val="0"/>
              <w:keepLines w:val="0"/>
              <w:suppressLineNumbers w:val="0"/>
              <w:spacing w:before="0" w:beforeAutospacing="0" w:after="0" w:afterAutospacing="0"/>
              <w:ind w:left="0" w:right="0"/>
              <w:jc w:val="left"/>
              <w:rPr>
                <w:rFonts w:hint="eastAsia" w:ascii="Calibri" w:hAnsi="Calibri" w:eastAsia="宋体" w:cs="Times New Roman"/>
                <w:lang w:val="en-US" w:eastAsia="zh-CN"/>
              </w:rPr>
            </w:pPr>
            <w:r>
              <w:rPr>
                <w:rFonts w:hint="eastAsia" w:ascii="Calibri" w:hAnsi="Calibri" w:cs="Times New Roman"/>
                <w:lang w:val="en-US" w:eastAsia="zh-CN"/>
              </w:rPr>
              <w:t>/</w:t>
            </w:r>
          </w:p>
        </w:tc>
        <w:tc>
          <w:tcPr>
            <w:tcW w:w="1268" w:type="dxa"/>
            <w:noWrap w:val="0"/>
            <w:vAlign w:val="center"/>
          </w:tcPr>
          <w:p>
            <w:pPr>
              <w:keepNext w:val="0"/>
              <w:keepLines w:val="0"/>
              <w:suppressLineNumbers w:val="0"/>
              <w:spacing w:before="0" w:beforeAutospacing="0" w:after="0" w:afterAutospacing="0"/>
              <w:ind w:left="0" w:right="0"/>
              <w:jc w:val="left"/>
              <w:rPr>
                <w:rFonts w:hint="default" w:ascii="Calibri" w:hAnsi="Calibri" w:cs="Times New Roman"/>
              </w:rPr>
            </w:pPr>
            <w:r>
              <w:rPr>
                <w:rFonts w:ascii="Calibri" w:hAnsi="Calibri" w:cs="Times New Roman"/>
              </w:rPr>
              <w:t>/</w:t>
            </w:r>
          </w:p>
        </w:tc>
        <w:tc>
          <w:tcPr>
            <w:tcW w:w="2687" w:type="dxa"/>
            <w:noWrap w:val="0"/>
            <w:vAlign w:val="center"/>
          </w:tcPr>
          <w:p>
            <w:pPr>
              <w:keepNext w:val="0"/>
              <w:keepLines w:val="0"/>
              <w:suppressLineNumbers w:val="0"/>
              <w:spacing w:before="0" w:beforeAutospacing="0" w:after="0" w:afterAutospacing="0"/>
              <w:ind w:left="0" w:right="0"/>
              <w:jc w:val="left"/>
              <w:rPr>
                <w:rFonts w:hint="default" w:ascii="Calibri" w:hAnsi="Calibri" w:cs="Times New Roman"/>
              </w:rPr>
            </w:pPr>
            <w:r>
              <w:rPr>
                <w:rFonts w:hint="eastAsia" w:ascii="Calibri" w:hAnsi="Calibri" w:cs="Times New Roman"/>
                <w:lang w:val="en-US" w:eastAsia="zh-CN"/>
              </w:rPr>
              <w:t>/</w:t>
            </w:r>
          </w:p>
        </w:tc>
        <w:tc>
          <w:tcPr>
            <w:tcW w:w="1293" w:type="dxa"/>
            <w:noWrap w:val="0"/>
            <w:vAlign w:val="center"/>
          </w:tcPr>
          <w:p>
            <w:pPr>
              <w:keepNext w:val="0"/>
              <w:keepLines w:val="0"/>
              <w:suppressLineNumbers w:val="0"/>
              <w:spacing w:before="0" w:beforeAutospacing="0" w:after="0" w:afterAutospacing="0"/>
              <w:ind w:left="0" w:right="0"/>
              <w:jc w:val="left"/>
              <w:rPr>
                <w:rFonts w:hint="default" w:ascii="Calibri" w:hAnsi="Calibri" w:cs="Times New Roman"/>
              </w:rPr>
            </w:pPr>
            <w:r>
              <w:rPr>
                <w:rFonts w:hint="eastAsia" w:ascii="Calibri" w:hAnsi="Calibri" w:cs="Times New Roman"/>
                <w:lang w:val="en-US" w:eastAsia="zh-CN"/>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549" w:hRule="atLeast"/>
          <w:jc w:val="center"/>
        </w:trPr>
        <w:tc>
          <w:tcPr>
            <w:tcW w:w="1653" w:type="dxa"/>
            <w:noWrap w:val="0"/>
            <w:vAlign w:val="center"/>
          </w:tcPr>
          <w:p>
            <w:pPr>
              <w:keepNext w:val="0"/>
              <w:keepLines w:val="0"/>
              <w:suppressLineNumbers w:val="0"/>
              <w:adjustRightInd w:val="0"/>
              <w:snapToGrid w:val="0"/>
              <w:spacing w:before="0" w:beforeAutospacing="0" w:after="0" w:afterAutospacing="0"/>
              <w:ind w:left="0" w:right="0"/>
              <w:jc w:val="left"/>
              <w:rPr>
                <w:rFonts w:hint="default" w:ascii="Times New Roman" w:hAnsi="Times New Roman" w:cs="Times New Roman"/>
                <w:szCs w:val="21"/>
                <w:u w:val="none"/>
              </w:rPr>
            </w:pPr>
            <w:r>
              <w:rPr>
                <w:rFonts w:hint="default" w:ascii="Times New Roman" w:hAnsi="Times New Roman" w:cs="Times New Roman"/>
                <w:szCs w:val="21"/>
                <w:u w:val="none"/>
              </w:rPr>
              <w:t>大气环境</w:t>
            </w:r>
          </w:p>
        </w:tc>
        <w:tc>
          <w:tcPr>
            <w:tcW w:w="1621" w:type="dxa"/>
            <w:noWrap w:val="0"/>
            <w:vAlign w:val="center"/>
          </w:tcPr>
          <w:p>
            <w:pPr>
              <w:keepNext w:val="0"/>
              <w:keepLines w:val="0"/>
              <w:suppressLineNumbers w:val="0"/>
              <w:spacing w:before="0" w:beforeAutospacing="0" w:after="0" w:afterAutospacing="0"/>
              <w:ind w:left="0" w:right="0"/>
              <w:jc w:val="left"/>
              <w:rPr>
                <w:rFonts w:hint="default" w:ascii="Calibri" w:hAnsi="Calibri" w:cs="Times New Roman"/>
                <w:u w:val="none"/>
              </w:rPr>
            </w:pPr>
            <w:r>
              <w:rPr>
                <w:rFonts w:hint="default" w:ascii="Calibri" w:hAnsi="Calibri" w:cs="Times New Roman"/>
                <w:u w:val="none"/>
              </w:rPr>
              <w:t>①施工场地、运输道路洒水抑尘；②施工场地工程围挡；③物料堆场、地表覆盖防尘；④施工土方及时回填，弃土运至弃土场；⑤选用符合国家环境保护标准的施工机械、运输车辆，施工机械和车辆定期维护维修，确保正常运行工作；⑥车辆限速，物料运输过程采用密封运输方式，采用有覆盖装置的专用渣土车。⑦根据气象条件合理安排施工间；</w:t>
            </w:r>
          </w:p>
        </w:tc>
        <w:tc>
          <w:tcPr>
            <w:tcW w:w="1268" w:type="dxa"/>
            <w:noWrap w:val="0"/>
            <w:vAlign w:val="center"/>
          </w:tcPr>
          <w:p>
            <w:pPr>
              <w:keepNext w:val="0"/>
              <w:keepLines w:val="0"/>
              <w:suppressLineNumbers w:val="0"/>
              <w:spacing w:before="0" w:beforeAutospacing="0" w:after="0" w:afterAutospacing="0"/>
              <w:ind w:left="0" w:right="0"/>
              <w:jc w:val="left"/>
              <w:rPr>
                <w:rFonts w:hint="default" w:ascii="Calibri" w:hAnsi="Calibri" w:cs="Times New Roman"/>
                <w:u w:val="none"/>
              </w:rPr>
            </w:pPr>
            <w:r>
              <w:rPr>
                <w:rFonts w:ascii="Calibri" w:hAnsi="Calibri" w:cs="Times New Roman"/>
                <w:u w:val="none"/>
              </w:rPr>
              <w:t>是否按要求实施</w:t>
            </w:r>
          </w:p>
        </w:tc>
        <w:tc>
          <w:tcPr>
            <w:tcW w:w="2687" w:type="dxa"/>
            <w:noWrap w:val="0"/>
            <w:vAlign w:val="center"/>
          </w:tcPr>
          <w:p>
            <w:pPr>
              <w:keepNext w:val="0"/>
              <w:keepLines w:val="0"/>
              <w:suppressLineNumbers w:val="0"/>
              <w:spacing w:before="0" w:beforeAutospacing="0" w:after="0" w:afterAutospacing="0"/>
              <w:ind w:left="0" w:right="0"/>
              <w:rPr>
                <w:rFonts w:hint="eastAsia"/>
                <w:color w:val="auto"/>
                <w:u w:val="none"/>
                <w:lang w:val="en-US" w:eastAsia="zh-CN"/>
              </w:rPr>
            </w:pPr>
            <w:r>
              <w:rPr>
                <w:rFonts w:hint="eastAsia"/>
                <w:color w:val="auto"/>
                <w:u w:val="none"/>
                <w:lang w:val="en-US" w:eastAsia="zh-CN"/>
              </w:rPr>
              <w:t>开采区采取洒水抑尘、湿法爆破，工业广场厂棚设置环状喷头，工业广场全密闭，工业广场破碎生产线初破、二破、初筛出口设置引风机+脉冲布袋除尘器+15m排气筒DA001排放；制砂、选粉、复筛出口引风机+脉冲布袋除尘器+15m排气筒DA002排放；</w:t>
            </w:r>
          </w:p>
          <w:p>
            <w:pPr>
              <w:keepNext w:val="0"/>
              <w:keepLines w:val="0"/>
              <w:suppressLineNumbers w:val="0"/>
              <w:spacing w:before="0" w:beforeAutospacing="0" w:after="0" w:afterAutospacing="0"/>
              <w:ind w:left="0" w:right="0"/>
              <w:rPr>
                <w:rFonts w:hint="default" w:ascii="Calibri" w:hAnsi="Calibri" w:cs="Times New Roman"/>
                <w:u w:val="none"/>
              </w:rPr>
            </w:pPr>
            <w:r>
              <w:rPr>
                <w:rFonts w:hint="eastAsia"/>
                <w:color w:val="auto"/>
                <w:u w:val="none"/>
                <w:lang w:val="en-US" w:eastAsia="zh-CN"/>
              </w:rPr>
              <w:t>运输采取地面硬化、洒水抑尘、设置洗车台等措施，生产线采取封闭厂房</w:t>
            </w:r>
          </w:p>
        </w:tc>
        <w:tc>
          <w:tcPr>
            <w:tcW w:w="1293" w:type="dxa"/>
            <w:noWrap w:val="0"/>
            <w:vAlign w:val="center"/>
          </w:tcPr>
          <w:p>
            <w:pPr>
              <w:keepNext w:val="0"/>
              <w:keepLines w:val="0"/>
              <w:suppressLineNumbers w:val="0"/>
              <w:spacing w:before="0" w:beforeAutospacing="0" w:after="0" w:afterAutospacing="0"/>
              <w:ind w:left="0" w:right="0"/>
              <w:jc w:val="left"/>
              <w:rPr>
                <w:rFonts w:hint="default" w:ascii="Calibri" w:hAnsi="Calibri" w:cs="Times New Roman"/>
                <w:u w:val="none"/>
              </w:rPr>
            </w:pPr>
            <w:r>
              <w:rPr>
                <w:rFonts w:hint="eastAsia" w:ascii="Calibri" w:hAnsi="Calibri" w:cs="Times New Roman"/>
                <w:u w:val="none"/>
                <w:lang w:val="en-US" w:eastAsia="zh-CN"/>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jc w:val="center"/>
        </w:trPr>
        <w:tc>
          <w:tcPr>
            <w:tcW w:w="1653" w:type="dxa"/>
            <w:noWrap w:val="0"/>
            <w:vAlign w:val="center"/>
          </w:tcPr>
          <w:p>
            <w:pPr>
              <w:keepNext w:val="0"/>
              <w:keepLines w:val="0"/>
              <w:suppressLineNumbers w:val="0"/>
              <w:adjustRightInd w:val="0"/>
              <w:snapToGrid w:val="0"/>
              <w:spacing w:before="0" w:beforeAutospacing="0" w:after="0" w:afterAutospacing="0"/>
              <w:ind w:left="0" w:right="0"/>
              <w:jc w:val="left"/>
              <w:rPr>
                <w:rFonts w:hint="default" w:ascii="Times New Roman" w:hAnsi="Times New Roman" w:cs="Times New Roman"/>
                <w:szCs w:val="21"/>
                <w:u w:val="none"/>
              </w:rPr>
            </w:pPr>
            <w:r>
              <w:rPr>
                <w:rFonts w:hint="default" w:ascii="Times New Roman" w:hAnsi="Times New Roman" w:cs="Times New Roman"/>
                <w:szCs w:val="21"/>
                <w:u w:val="none"/>
              </w:rPr>
              <w:t>固体废物</w:t>
            </w:r>
          </w:p>
        </w:tc>
        <w:tc>
          <w:tcPr>
            <w:tcW w:w="1621" w:type="dxa"/>
            <w:noWrap w:val="0"/>
            <w:vAlign w:val="center"/>
          </w:tcPr>
          <w:p>
            <w:pPr>
              <w:keepNext w:val="0"/>
              <w:keepLines w:val="0"/>
              <w:suppressLineNumbers w:val="0"/>
              <w:spacing w:before="0" w:beforeAutospacing="0" w:after="0" w:afterAutospacing="0"/>
              <w:ind w:left="0" w:right="0"/>
              <w:jc w:val="left"/>
              <w:rPr>
                <w:rFonts w:hint="default" w:ascii="Calibri" w:hAnsi="Calibri" w:eastAsia="宋体" w:cs="Times New Roman"/>
                <w:u w:val="none"/>
                <w:lang w:val="en-US" w:eastAsia="zh-CN"/>
              </w:rPr>
            </w:pPr>
            <w:r>
              <w:rPr>
                <w:rFonts w:hint="default" w:ascii="Calibri" w:hAnsi="Calibri" w:cs="Times New Roman"/>
                <w:u w:val="none"/>
              </w:rPr>
              <w:t>施工期员工生活垃圾由环卫部门转运处理；</w:t>
            </w:r>
            <w:r>
              <w:rPr>
                <w:rFonts w:hint="eastAsia" w:ascii="Calibri" w:hAnsi="Calibri" w:cs="Times New Roman"/>
                <w:u w:val="none"/>
                <w:lang w:val="en-US" w:eastAsia="zh-CN"/>
              </w:rPr>
              <w:t>剥离表土在堆场就地堆存</w:t>
            </w:r>
          </w:p>
        </w:tc>
        <w:tc>
          <w:tcPr>
            <w:tcW w:w="1268" w:type="dxa"/>
            <w:noWrap w:val="0"/>
            <w:vAlign w:val="center"/>
          </w:tcPr>
          <w:p>
            <w:pPr>
              <w:keepNext w:val="0"/>
              <w:keepLines w:val="0"/>
              <w:suppressLineNumbers w:val="0"/>
              <w:spacing w:before="0" w:beforeAutospacing="0" w:after="0" w:afterAutospacing="0"/>
              <w:ind w:left="0" w:right="0"/>
              <w:jc w:val="left"/>
              <w:rPr>
                <w:rFonts w:hint="default" w:ascii="Calibri" w:hAnsi="Calibri" w:cs="Times New Roman"/>
                <w:u w:val="none"/>
              </w:rPr>
            </w:pPr>
            <w:r>
              <w:rPr>
                <w:rFonts w:ascii="Calibri" w:hAnsi="Calibri" w:cs="Times New Roman"/>
                <w:u w:val="none"/>
              </w:rPr>
              <w:t>去向明确，均得到合理处置，不外排</w:t>
            </w:r>
          </w:p>
        </w:tc>
        <w:tc>
          <w:tcPr>
            <w:tcW w:w="2687" w:type="dxa"/>
            <w:noWrap w:val="0"/>
            <w:vAlign w:val="center"/>
          </w:tcPr>
          <w:p>
            <w:pPr>
              <w:keepNext w:val="0"/>
              <w:keepLines w:val="0"/>
              <w:suppressLineNumbers w:val="0"/>
              <w:spacing w:before="0" w:beforeAutospacing="0" w:after="0" w:afterAutospacing="0"/>
              <w:ind w:left="0" w:right="0"/>
              <w:jc w:val="left"/>
              <w:rPr>
                <w:rFonts w:hint="eastAsia" w:ascii="Calibri" w:hAnsi="Calibri" w:cs="Times New Roman"/>
                <w:u w:val="none"/>
                <w:lang w:val="en-US" w:eastAsia="zh-CN"/>
              </w:rPr>
            </w:pPr>
            <w:r>
              <w:rPr>
                <w:rFonts w:hint="eastAsia" w:ascii="Calibri" w:hAnsi="Calibri" w:cs="Times New Roman"/>
                <w:u w:val="none"/>
                <w:lang w:val="en-US" w:eastAsia="zh-CN"/>
              </w:rPr>
              <w:t>剥离表土堆存于表土堆场内，作为矿区回填复垦使用沉淀池沉渣经定期清理后送堆土场堆存，作为矿区复垦回填使用；除尘器收集粉</w:t>
            </w:r>
          </w:p>
          <w:p>
            <w:pPr>
              <w:keepNext w:val="0"/>
              <w:keepLines w:val="0"/>
              <w:suppressLineNumbers w:val="0"/>
              <w:spacing w:before="0" w:beforeAutospacing="0" w:after="0" w:afterAutospacing="0"/>
              <w:ind w:left="0" w:right="0"/>
              <w:jc w:val="left"/>
              <w:rPr>
                <w:rFonts w:hint="default" w:ascii="Calibri" w:hAnsi="Calibri" w:cs="Times New Roman"/>
                <w:u w:val="none"/>
              </w:rPr>
            </w:pPr>
            <w:r>
              <w:rPr>
                <w:rFonts w:hint="eastAsia" w:ascii="Calibri" w:hAnsi="Calibri" w:cs="Times New Roman"/>
                <w:u w:val="none"/>
                <w:lang w:val="en-US" w:eastAsia="zh-CN"/>
              </w:rPr>
              <w:t>尘收集后外售；废机油暂存于危废暂存间，定期委托有资质的单位处置；生活垃圾于垃圾桶暂存，委托环卫部门统一处置</w:t>
            </w:r>
          </w:p>
        </w:tc>
        <w:tc>
          <w:tcPr>
            <w:tcW w:w="1293" w:type="dxa"/>
            <w:noWrap w:val="0"/>
            <w:vAlign w:val="center"/>
          </w:tcPr>
          <w:p>
            <w:pPr>
              <w:keepNext w:val="0"/>
              <w:keepLines w:val="0"/>
              <w:suppressLineNumbers w:val="0"/>
              <w:spacing w:before="0" w:beforeAutospacing="0" w:after="0" w:afterAutospacing="0"/>
              <w:ind w:left="0" w:right="0"/>
              <w:jc w:val="left"/>
              <w:rPr>
                <w:rFonts w:hint="default" w:ascii="Calibri" w:hAnsi="Calibri" w:cs="Times New Roman"/>
                <w:u w:val="none"/>
              </w:rPr>
            </w:pPr>
            <w:r>
              <w:rPr>
                <w:rFonts w:hint="eastAsia" w:ascii="Calibri" w:hAnsi="Calibri" w:cs="Times New Roman"/>
                <w:u w:val="none"/>
                <w:lang w:val="en-US" w:eastAsia="zh-CN"/>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jc w:val="center"/>
        </w:trPr>
        <w:tc>
          <w:tcPr>
            <w:tcW w:w="1653" w:type="dxa"/>
            <w:noWrap w:val="0"/>
            <w:vAlign w:val="center"/>
          </w:tcPr>
          <w:p>
            <w:pPr>
              <w:keepNext w:val="0"/>
              <w:keepLines w:val="0"/>
              <w:suppressLineNumbers w:val="0"/>
              <w:adjustRightInd w:val="0"/>
              <w:snapToGrid w:val="0"/>
              <w:spacing w:before="0" w:beforeAutospacing="0" w:after="0" w:afterAutospacing="0"/>
              <w:ind w:left="0" w:right="0"/>
              <w:jc w:val="left"/>
              <w:rPr>
                <w:rFonts w:hint="default" w:ascii="Times New Roman" w:hAnsi="Times New Roman" w:cs="Times New Roman"/>
                <w:szCs w:val="21"/>
                <w:u w:val="none"/>
              </w:rPr>
            </w:pPr>
            <w:r>
              <w:rPr>
                <w:rFonts w:hint="default" w:ascii="Times New Roman" w:hAnsi="Times New Roman" w:cs="Times New Roman"/>
                <w:szCs w:val="21"/>
                <w:u w:val="none"/>
              </w:rPr>
              <w:t>电磁环境</w:t>
            </w:r>
          </w:p>
        </w:tc>
        <w:tc>
          <w:tcPr>
            <w:tcW w:w="1621" w:type="dxa"/>
            <w:noWrap w:val="0"/>
            <w:vAlign w:val="center"/>
          </w:tcPr>
          <w:p>
            <w:pPr>
              <w:keepNext w:val="0"/>
              <w:keepLines w:val="0"/>
              <w:suppressLineNumbers w:val="0"/>
              <w:spacing w:before="0" w:beforeAutospacing="0" w:after="0" w:afterAutospacing="0"/>
              <w:ind w:left="0" w:right="0"/>
              <w:jc w:val="left"/>
              <w:rPr>
                <w:rFonts w:hint="eastAsia" w:ascii="Calibri" w:hAnsi="Calibri" w:eastAsia="宋体" w:cs="Times New Roman"/>
                <w:u w:val="none"/>
                <w:lang w:val="en-US" w:eastAsia="zh-CN"/>
              </w:rPr>
            </w:pPr>
            <w:r>
              <w:rPr>
                <w:rFonts w:hint="eastAsia" w:ascii="Calibri" w:hAnsi="Calibri" w:cs="Times New Roman"/>
                <w:u w:val="none"/>
                <w:lang w:val="en-US" w:eastAsia="zh-CN"/>
              </w:rPr>
              <w:t>/</w:t>
            </w:r>
          </w:p>
        </w:tc>
        <w:tc>
          <w:tcPr>
            <w:tcW w:w="1268" w:type="dxa"/>
            <w:noWrap w:val="0"/>
            <w:vAlign w:val="center"/>
          </w:tcPr>
          <w:p>
            <w:pPr>
              <w:keepNext w:val="0"/>
              <w:keepLines w:val="0"/>
              <w:suppressLineNumbers w:val="0"/>
              <w:spacing w:before="0" w:beforeAutospacing="0" w:after="0" w:afterAutospacing="0"/>
              <w:ind w:left="0" w:right="0"/>
              <w:jc w:val="left"/>
              <w:rPr>
                <w:rFonts w:hint="default" w:ascii="Calibri" w:hAnsi="Calibri" w:cs="Times New Roman"/>
                <w:u w:val="none"/>
              </w:rPr>
            </w:pPr>
            <w:r>
              <w:rPr>
                <w:rFonts w:ascii="Calibri" w:hAnsi="Calibri" w:cs="Times New Roman"/>
                <w:u w:val="none"/>
              </w:rPr>
              <w:t>/</w:t>
            </w:r>
          </w:p>
        </w:tc>
        <w:tc>
          <w:tcPr>
            <w:tcW w:w="2687" w:type="dxa"/>
            <w:noWrap w:val="0"/>
            <w:vAlign w:val="center"/>
          </w:tcPr>
          <w:p>
            <w:pPr>
              <w:keepNext w:val="0"/>
              <w:keepLines w:val="0"/>
              <w:suppressLineNumbers w:val="0"/>
              <w:spacing w:before="0" w:beforeAutospacing="0" w:after="0" w:afterAutospacing="0"/>
              <w:ind w:left="0" w:right="0"/>
              <w:jc w:val="left"/>
              <w:rPr>
                <w:rFonts w:hint="default" w:ascii="Calibri" w:hAnsi="Calibri" w:cs="Times New Roman"/>
                <w:u w:val="none"/>
              </w:rPr>
            </w:pPr>
            <w:r>
              <w:rPr>
                <w:rFonts w:hint="eastAsia" w:ascii="Calibri" w:hAnsi="Calibri" w:cs="Times New Roman"/>
                <w:u w:val="none"/>
                <w:lang w:val="en-US" w:eastAsia="zh-CN"/>
              </w:rPr>
              <w:t>/</w:t>
            </w:r>
          </w:p>
        </w:tc>
        <w:tc>
          <w:tcPr>
            <w:tcW w:w="1293" w:type="dxa"/>
            <w:noWrap w:val="0"/>
            <w:vAlign w:val="center"/>
          </w:tcPr>
          <w:p>
            <w:pPr>
              <w:keepNext w:val="0"/>
              <w:keepLines w:val="0"/>
              <w:suppressLineNumbers w:val="0"/>
              <w:spacing w:before="0" w:beforeAutospacing="0" w:after="0" w:afterAutospacing="0"/>
              <w:ind w:left="0" w:right="0"/>
              <w:jc w:val="left"/>
              <w:rPr>
                <w:rFonts w:hint="default" w:ascii="Calibri" w:hAnsi="Calibri" w:cs="Times New Roman"/>
                <w:u w:val="none"/>
              </w:rPr>
            </w:pPr>
            <w:r>
              <w:rPr>
                <w:rFonts w:hint="eastAsia" w:ascii="Calibri" w:hAnsi="Calibri" w:cs="Times New Roman"/>
                <w:u w:val="none"/>
                <w:lang w:val="en-US" w:eastAsia="zh-CN"/>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jc w:val="center"/>
        </w:trPr>
        <w:tc>
          <w:tcPr>
            <w:tcW w:w="1653" w:type="dxa"/>
            <w:noWrap w:val="0"/>
            <w:vAlign w:val="center"/>
          </w:tcPr>
          <w:p>
            <w:pPr>
              <w:keepNext w:val="0"/>
              <w:keepLines w:val="0"/>
              <w:suppressLineNumbers w:val="0"/>
              <w:adjustRightInd w:val="0"/>
              <w:snapToGrid w:val="0"/>
              <w:spacing w:before="0" w:beforeAutospacing="0" w:after="0" w:afterAutospacing="0"/>
              <w:ind w:left="0" w:right="0"/>
              <w:jc w:val="left"/>
              <w:rPr>
                <w:rFonts w:hint="default" w:ascii="Times New Roman" w:hAnsi="Times New Roman" w:cs="Times New Roman"/>
                <w:szCs w:val="21"/>
                <w:u w:val="none"/>
              </w:rPr>
            </w:pPr>
            <w:r>
              <w:rPr>
                <w:rFonts w:hint="default" w:ascii="Times New Roman" w:hAnsi="Times New Roman" w:cs="Times New Roman"/>
                <w:szCs w:val="21"/>
                <w:u w:val="none"/>
              </w:rPr>
              <w:t>环境风险</w:t>
            </w:r>
          </w:p>
        </w:tc>
        <w:tc>
          <w:tcPr>
            <w:tcW w:w="1621" w:type="dxa"/>
            <w:noWrap w:val="0"/>
            <w:vAlign w:val="center"/>
          </w:tcPr>
          <w:p>
            <w:pPr>
              <w:keepNext w:val="0"/>
              <w:keepLines w:val="0"/>
              <w:suppressLineNumbers w:val="0"/>
              <w:spacing w:before="0" w:beforeAutospacing="0" w:after="0" w:afterAutospacing="0"/>
              <w:ind w:left="0" w:right="0"/>
              <w:jc w:val="left"/>
              <w:rPr>
                <w:rFonts w:hint="default" w:ascii="Calibri" w:hAnsi="Calibri" w:cs="Times New Roman"/>
                <w:u w:val="none"/>
              </w:rPr>
            </w:pPr>
            <w:r>
              <w:rPr>
                <w:rFonts w:hint="eastAsia" w:ascii="Calibri" w:hAnsi="Calibri" w:cs="Times New Roman"/>
                <w:u w:val="none"/>
                <w:lang w:val="en-US" w:eastAsia="zh-CN"/>
              </w:rPr>
              <w:t>/</w:t>
            </w:r>
          </w:p>
        </w:tc>
        <w:tc>
          <w:tcPr>
            <w:tcW w:w="1268" w:type="dxa"/>
            <w:noWrap w:val="0"/>
            <w:vAlign w:val="center"/>
          </w:tcPr>
          <w:p>
            <w:pPr>
              <w:keepNext w:val="0"/>
              <w:keepLines w:val="0"/>
              <w:suppressLineNumbers w:val="0"/>
              <w:spacing w:before="0" w:beforeAutospacing="0" w:after="0" w:afterAutospacing="0"/>
              <w:ind w:left="0" w:right="0"/>
              <w:jc w:val="left"/>
              <w:rPr>
                <w:rFonts w:hint="default" w:ascii="Calibri" w:hAnsi="Calibri" w:cs="Times New Roman"/>
                <w:u w:val="none"/>
              </w:rPr>
            </w:pPr>
            <w:r>
              <w:rPr>
                <w:rFonts w:ascii="Calibri" w:hAnsi="Calibri" w:cs="Times New Roman"/>
                <w:u w:val="none"/>
              </w:rPr>
              <w:t>/</w:t>
            </w:r>
          </w:p>
        </w:tc>
        <w:tc>
          <w:tcPr>
            <w:tcW w:w="2687" w:type="dxa"/>
            <w:noWrap w:val="0"/>
            <w:vAlign w:val="center"/>
          </w:tcPr>
          <w:p>
            <w:pPr>
              <w:keepNext w:val="0"/>
              <w:keepLines w:val="0"/>
              <w:suppressLineNumbers w:val="0"/>
              <w:spacing w:before="0" w:beforeAutospacing="0" w:after="0" w:afterAutospacing="0"/>
              <w:ind w:left="0" w:right="0"/>
              <w:jc w:val="left"/>
              <w:rPr>
                <w:rFonts w:hint="default" w:ascii="Calibri" w:hAnsi="Calibri" w:cs="Times New Roman"/>
                <w:u w:val="none"/>
              </w:rPr>
            </w:pPr>
            <w:r>
              <w:rPr>
                <w:rFonts w:hint="eastAsia" w:ascii="Calibri" w:hAnsi="Calibri" w:cs="Times New Roman"/>
                <w:u w:val="none"/>
                <w:lang w:val="en-US" w:eastAsia="zh-CN"/>
              </w:rPr>
              <w:t>严格控制爆破时间、方向和装药量；危废暂存间做到防风、防雨、防渗，设置围堰</w:t>
            </w:r>
          </w:p>
        </w:tc>
        <w:tc>
          <w:tcPr>
            <w:tcW w:w="1293" w:type="dxa"/>
            <w:noWrap w:val="0"/>
            <w:vAlign w:val="center"/>
          </w:tcPr>
          <w:p>
            <w:pPr>
              <w:keepNext w:val="0"/>
              <w:keepLines w:val="0"/>
              <w:suppressLineNumbers w:val="0"/>
              <w:spacing w:before="0" w:beforeAutospacing="0" w:after="0" w:afterAutospacing="0"/>
              <w:ind w:left="0" w:right="0"/>
              <w:jc w:val="left"/>
              <w:rPr>
                <w:rFonts w:hint="default" w:ascii="Calibri" w:hAnsi="Calibri" w:cs="Times New Roman"/>
                <w:u w:val="none"/>
              </w:rPr>
            </w:pPr>
            <w:r>
              <w:rPr>
                <w:rFonts w:hint="eastAsia" w:ascii="Calibri" w:hAnsi="Calibri" w:cs="Times New Roman"/>
                <w:u w:val="none"/>
                <w:lang w:val="en-US" w:eastAsia="zh-CN"/>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jc w:val="center"/>
        </w:trPr>
        <w:tc>
          <w:tcPr>
            <w:tcW w:w="1653" w:type="dxa"/>
            <w:noWrap w:val="0"/>
            <w:vAlign w:val="center"/>
          </w:tcPr>
          <w:p>
            <w:pPr>
              <w:keepNext w:val="0"/>
              <w:keepLines w:val="0"/>
              <w:suppressLineNumbers w:val="0"/>
              <w:adjustRightInd w:val="0"/>
              <w:snapToGrid w:val="0"/>
              <w:spacing w:before="0" w:beforeAutospacing="0" w:after="0" w:afterAutospacing="0"/>
              <w:ind w:left="0" w:right="0"/>
              <w:jc w:val="left"/>
              <w:rPr>
                <w:rFonts w:hint="default" w:ascii="Times New Roman" w:hAnsi="Times New Roman" w:cs="Times New Roman"/>
                <w:szCs w:val="21"/>
                <w:u w:val="none"/>
              </w:rPr>
            </w:pPr>
            <w:r>
              <w:rPr>
                <w:rFonts w:hint="default" w:ascii="Times New Roman" w:hAnsi="Times New Roman" w:cs="Times New Roman"/>
                <w:szCs w:val="21"/>
                <w:u w:val="none"/>
              </w:rPr>
              <w:t>环境监测</w:t>
            </w:r>
          </w:p>
        </w:tc>
        <w:tc>
          <w:tcPr>
            <w:tcW w:w="1621" w:type="dxa"/>
            <w:noWrap w:val="0"/>
            <w:vAlign w:val="center"/>
          </w:tcPr>
          <w:p>
            <w:pPr>
              <w:keepNext w:val="0"/>
              <w:keepLines w:val="0"/>
              <w:suppressLineNumbers w:val="0"/>
              <w:spacing w:before="0" w:beforeAutospacing="0" w:after="0" w:afterAutospacing="0"/>
              <w:ind w:left="0" w:right="0"/>
              <w:jc w:val="left"/>
              <w:rPr>
                <w:rFonts w:hint="eastAsia" w:ascii="Calibri" w:hAnsi="Calibri" w:eastAsia="宋体" w:cs="Times New Roman"/>
                <w:u w:val="none"/>
                <w:lang w:eastAsia="zh-CN"/>
              </w:rPr>
            </w:pPr>
            <w:r>
              <w:rPr>
                <w:rFonts w:ascii="Calibri" w:hAnsi="Calibri" w:cs="Times New Roman"/>
                <w:u w:val="none"/>
              </w:rPr>
              <w:t>/</w:t>
            </w:r>
          </w:p>
        </w:tc>
        <w:tc>
          <w:tcPr>
            <w:tcW w:w="1268" w:type="dxa"/>
            <w:noWrap w:val="0"/>
            <w:vAlign w:val="center"/>
          </w:tcPr>
          <w:p>
            <w:pPr>
              <w:keepNext w:val="0"/>
              <w:keepLines w:val="0"/>
              <w:suppressLineNumbers w:val="0"/>
              <w:spacing w:before="0" w:beforeAutospacing="0" w:after="0" w:afterAutospacing="0"/>
              <w:ind w:left="0" w:right="0"/>
              <w:jc w:val="left"/>
              <w:rPr>
                <w:rFonts w:hint="default" w:ascii="Calibri" w:hAnsi="Calibri" w:cs="Times New Roman"/>
                <w:u w:val="none"/>
              </w:rPr>
            </w:pPr>
            <w:r>
              <w:rPr>
                <w:rFonts w:hint="eastAsia" w:ascii="Calibri" w:hAnsi="Calibri" w:cs="Times New Roman"/>
                <w:u w:val="none"/>
                <w:lang w:val="en-US" w:eastAsia="zh-CN"/>
              </w:rPr>
              <w:t>/</w:t>
            </w:r>
          </w:p>
        </w:tc>
        <w:tc>
          <w:tcPr>
            <w:tcW w:w="2687" w:type="dxa"/>
            <w:noWrap w:val="0"/>
            <w:vAlign w:val="center"/>
          </w:tcPr>
          <w:p>
            <w:pPr>
              <w:keepNext w:val="0"/>
              <w:keepLines w:val="0"/>
              <w:suppressLineNumbers w:val="0"/>
              <w:spacing w:before="0" w:beforeAutospacing="0" w:after="0" w:afterAutospacing="0"/>
              <w:ind w:left="0" w:right="0"/>
              <w:jc w:val="left"/>
              <w:rPr>
                <w:rFonts w:hint="default" w:ascii="Calibri" w:hAnsi="Calibri" w:cs="Times New Roman"/>
                <w:u w:val="none"/>
              </w:rPr>
            </w:pPr>
            <w:r>
              <w:rPr>
                <w:rFonts w:hint="eastAsia" w:ascii="Calibri" w:hAnsi="Calibri" w:cs="Times New Roman"/>
                <w:u w:val="none"/>
                <w:lang w:val="en-US" w:eastAsia="zh-CN"/>
              </w:rPr>
              <w:t>/</w:t>
            </w:r>
          </w:p>
        </w:tc>
        <w:tc>
          <w:tcPr>
            <w:tcW w:w="1293" w:type="dxa"/>
            <w:noWrap w:val="0"/>
            <w:vAlign w:val="center"/>
          </w:tcPr>
          <w:p>
            <w:pPr>
              <w:keepNext w:val="0"/>
              <w:keepLines w:val="0"/>
              <w:suppressLineNumbers w:val="0"/>
              <w:spacing w:before="0" w:beforeAutospacing="0" w:after="0" w:afterAutospacing="0"/>
              <w:ind w:left="0" w:right="0"/>
              <w:jc w:val="left"/>
              <w:rPr>
                <w:rFonts w:hint="default" w:ascii="Calibri" w:hAnsi="Calibri" w:cs="Times New Roman"/>
                <w:u w:val="none"/>
                <w:lang w:val="en-US"/>
              </w:rPr>
            </w:pPr>
            <w:r>
              <w:rPr>
                <w:rFonts w:hint="eastAsia"/>
                <w:u w:val="none"/>
                <w:lang w:val="en-US" w:eastAsia="zh-CN"/>
              </w:rPr>
              <w:t>有组织废气DA001、DA002排气筒监测因子：颗粒物监测频次：1次/年，无组织厂界监测因子：颗粒物，监测频次：1次/年，厂界噪声，监测点位：厂界四周，监测频次：1次/季度</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jc w:val="center"/>
        </w:trPr>
        <w:tc>
          <w:tcPr>
            <w:tcW w:w="1653" w:type="dxa"/>
            <w:noWrap w:val="0"/>
            <w:vAlign w:val="center"/>
          </w:tcPr>
          <w:p>
            <w:pPr>
              <w:keepNext w:val="0"/>
              <w:keepLines w:val="0"/>
              <w:suppressLineNumbers w:val="0"/>
              <w:adjustRightInd w:val="0"/>
              <w:snapToGrid w:val="0"/>
              <w:spacing w:before="0" w:beforeAutospacing="0" w:after="0" w:afterAutospacing="0"/>
              <w:ind w:left="0" w:right="0"/>
              <w:jc w:val="left"/>
              <w:rPr>
                <w:rFonts w:hint="default" w:ascii="Times New Roman" w:hAnsi="Times New Roman" w:cs="Times New Roman"/>
                <w:szCs w:val="21"/>
                <w:u w:val="none"/>
              </w:rPr>
            </w:pPr>
            <w:r>
              <w:rPr>
                <w:rFonts w:hint="default" w:ascii="Times New Roman" w:hAnsi="Times New Roman" w:cs="Times New Roman"/>
                <w:szCs w:val="21"/>
                <w:u w:val="none"/>
              </w:rPr>
              <w:t>其他</w:t>
            </w:r>
          </w:p>
        </w:tc>
        <w:tc>
          <w:tcPr>
            <w:tcW w:w="1621" w:type="dxa"/>
            <w:noWrap w:val="0"/>
            <w:vAlign w:val="center"/>
          </w:tcPr>
          <w:p>
            <w:pPr>
              <w:keepNext w:val="0"/>
              <w:keepLines w:val="0"/>
              <w:suppressLineNumbers w:val="0"/>
              <w:spacing w:before="0" w:beforeAutospacing="0" w:after="0" w:afterAutospacing="0"/>
              <w:ind w:left="0" w:right="0"/>
              <w:jc w:val="left"/>
              <w:rPr>
                <w:rFonts w:hint="eastAsia" w:ascii="Calibri" w:hAnsi="Calibri" w:eastAsia="宋体" w:cs="Times New Roman"/>
                <w:u w:val="none"/>
                <w:lang w:val="en-US" w:eastAsia="zh-CN"/>
              </w:rPr>
            </w:pPr>
            <w:r>
              <w:rPr>
                <w:rFonts w:hint="eastAsia" w:ascii="Calibri" w:hAnsi="Calibri" w:cs="Times New Roman"/>
                <w:u w:val="none"/>
                <w:lang w:val="en-US" w:eastAsia="zh-CN"/>
              </w:rPr>
              <w:t>/</w:t>
            </w:r>
          </w:p>
        </w:tc>
        <w:tc>
          <w:tcPr>
            <w:tcW w:w="1268" w:type="dxa"/>
            <w:noWrap w:val="0"/>
            <w:vAlign w:val="center"/>
          </w:tcPr>
          <w:p>
            <w:pPr>
              <w:keepNext w:val="0"/>
              <w:keepLines w:val="0"/>
              <w:suppressLineNumbers w:val="0"/>
              <w:spacing w:before="0" w:beforeAutospacing="0" w:after="0" w:afterAutospacing="0"/>
              <w:ind w:left="0" w:right="0"/>
              <w:jc w:val="left"/>
              <w:rPr>
                <w:rFonts w:hint="eastAsia" w:ascii="Calibri" w:hAnsi="Calibri" w:cs="Times New Roman"/>
                <w:u w:val="none"/>
                <w:lang w:val="en-US" w:eastAsia="zh-CN"/>
              </w:rPr>
            </w:pPr>
            <w:r>
              <w:rPr>
                <w:rFonts w:hint="eastAsia" w:ascii="Calibri" w:hAnsi="Calibri" w:cs="Times New Roman"/>
                <w:u w:val="none"/>
                <w:lang w:val="en-US" w:eastAsia="zh-CN"/>
              </w:rPr>
              <w:t>/</w:t>
            </w:r>
          </w:p>
        </w:tc>
        <w:tc>
          <w:tcPr>
            <w:tcW w:w="2687" w:type="dxa"/>
            <w:noWrap w:val="0"/>
            <w:vAlign w:val="center"/>
          </w:tcPr>
          <w:p>
            <w:pPr>
              <w:keepNext w:val="0"/>
              <w:keepLines w:val="0"/>
              <w:suppressLineNumbers w:val="0"/>
              <w:spacing w:before="0" w:beforeAutospacing="0" w:after="0" w:afterAutospacing="0"/>
              <w:ind w:left="0" w:right="0"/>
              <w:jc w:val="left"/>
              <w:rPr>
                <w:rFonts w:hint="default" w:ascii="Calibri" w:hAnsi="Calibri" w:cs="Times New Roman"/>
                <w:u w:val="none"/>
              </w:rPr>
            </w:pPr>
            <w:r>
              <w:rPr>
                <w:rFonts w:hint="eastAsia" w:ascii="Calibri" w:hAnsi="Calibri" w:cs="Times New Roman"/>
                <w:u w:val="none"/>
                <w:lang w:val="en-US" w:eastAsia="zh-CN"/>
              </w:rPr>
              <w:t>/</w:t>
            </w:r>
          </w:p>
        </w:tc>
        <w:tc>
          <w:tcPr>
            <w:tcW w:w="1293" w:type="dxa"/>
            <w:noWrap w:val="0"/>
            <w:vAlign w:val="center"/>
          </w:tcPr>
          <w:p>
            <w:pPr>
              <w:keepNext w:val="0"/>
              <w:keepLines w:val="0"/>
              <w:suppressLineNumbers w:val="0"/>
              <w:spacing w:before="0" w:beforeAutospacing="0" w:after="0" w:afterAutospacing="0"/>
              <w:ind w:left="0" w:right="0"/>
              <w:jc w:val="left"/>
              <w:rPr>
                <w:rFonts w:hint="default" w:ascii="Calibri" w:hAnsi="Calibri" w:cs="Times New Roman"/>
                <w:u w:val="none"/>
              </w:rPr>
            </w:pPr>
            <w:r>
              <w:rPr>
                <w:rFonts w:hint="eastAsia" w:ascii="Calibri" w:hAnsi="Calibri" w:cs="Times New Roman"/>
                <w:u w:val="none"/>
                <w:lang w:val="en-US" w:eastAsia="zh-CN"/>
              </w:rPr>
              <w:t>/</w:t>
            </w:r>
          </w:p>
        </w:tc>
      </w:tr>
    </w:tbl>
    <w:p>
      <w:pPr>
        <w:bidi w:val="0"/>
        <w:spacing w:line="360" w:lineRule="auto"/>
        <w:jc w:val="center"/>
        <w:outlineLvl w:val="0"/>
        <w:rPr>
          <w:rFonts w:hint="default" w:ascii="Times New Roman" w:hAnsi="Times New Roman" w:eastAsia="黑体" w:cs="Times New Roman"/>
          <w:snapToGrid w:val="0"/>
          <w:color w:val="000000"/>
          <w:sz w:val="30"/>
          <w:szCs w:val="30"/>
          <w:u w:val="none"/>
        </w:rPr>
      </w:pPr>
      <w:r>
        <w:rPr>
          <w:rFonts w:hint="default" w:ascii="Times New Roman" w:hAnsi="Times New Roman" w:cs="Times New Roman"/>
          <w:color w:val="000000"/>
          <w:u w:val="none"/>
        </w:rPr>
        <w:br w:type="page"/>
      </w:r>
      <w:bookmarkStart w:id="70" w:name="_Toc25702"/>
      <w:bookmarkStart w:id="71" w:name="_Toc10785"/>
      <w:bookmarkStart w:id="72" w:name="_Toc20682"/>
      <w:bookmarkStart w:id="73" w:name="_Toc11089"/>
      <w:bookmarkStart w:id="74" w:name="_Toc21604"/>
      <w:bookmarkStart w:id="75" w:name="_Toc25901"/>
      <w:r>
        <w:rPr>
          <w:rFonts w:hint="default" w:ascii="Times New Roman" w:hAnsi="Times New Roman" w:eastAsia="黑体" w:cs="Times New Roman"/>
          <w:snapToGrid w:val="0"/>
          <w:color w:val="000000"/>
          <w:sz w:val="30"/>
          <w:szCs w:val="30"/>
          <w:u w:val="none"/>
        </w:rPr>
        <w:t>七、结论</w:t>
      </w:r>
      <w:bookmarkEnd w:id="70"/>
      <w:bookmarkEnd w:id="71"/>
      <w:bookmarkEnd w:id="72"/>
      <w:bookmarkEnd w:id="73"/>
      <w:bookmarkEnd w:id="74"/>
      <w:bookmarkEnd w:id="75"/>
    </w:p>
    <w:tbl>
      <w:tblPr>
        <w:tblStyle w:val="21"/>
        <w:tblW w:w="9289" w:type="dxa"/>
        <w:jc w:val="center"/>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9289"/>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2349" w:hRule="atLeast"/>
          <w:jc w:val="center"/>
        </w:trPr>
        <w:tc>
          <w:tcPr>
            <w:tcW w:w="9289" w:type="dxa"/>
            <w:noWrap w:val="0"/>
            <w:vAlign w:val="top"/>
          </w:tcPr>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eastAsia="宋体" w:cs="Times New Roman"/>
                <w:color w:val="auto"/>
                <w:sz w:val="24"/>
                <w:szCs w:val="24"/>
                <w:u w:val="none"/>
              </w:rPr>
            </w:pPr>
            <w:r>
              <w:rPr>
                <w:rFonts w:hint="default" w:ascii="Times New Roman" w:hAnsi="Times New Roman" w:eastAsia="宋体" w:cs="Times New Roman"/>
                <w:color w:val="auto"/>
                <w:sz w:val="24"/>
                <w:szCs w:val="24"/>
                <w:u w:val="none"/>
              </w:rPr>
              <w:t>项目评价总体结论本项目符合国家产业政策及地方相关政策，项目选址可行，平面布局合理。在切实落实报告表提出的各项环保措施、生态防治措施及整改要求的前提下，本项目废水可实现全部回用或综合利用，不外排；废气、噪声均可实现达标排放，固体废物可达到有效利用或处置，生态环境能够得到有效保护，项目营运对周边环境及其环境保护目标的影响较小，能够满足环境功能规划要求，从环境保护角度而言，本项目建设是可行的。</w:t>
            </w:r>
          </w:p>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000000"/>
                <w:sz w:val="24"/>
                <w:szCs w:val="24"/>
                <w:u w:val="none"/>
              </w:rPr>
            </w:pPr>
          </w:p>
        </w:tc>
      </w:tr>
    </w:tbl>
    <w:p>
      <w:pPr>
        <w:jc w:val="both"/>
        <w:rPr>
          <w:rFonts w:hint="eastAsia" w:eastAsia="宋体"/>
          <w:lang w:eastAsia="zh-CN"/>
        </w:rPr>
      </w:pPr>
    </w:p>
    <w:sectPr>
      <w:pgSz w:w="16838" w:h="11906" w:orient="landscape"/>
      <w:pgMar w:top="1800" w:right="1440" w:bottom="1800" w:left="1440" w:header="851" w:footer="1077" w:gutter="0"/>
      <w:pgBorders>
        <w:top w:val="none" w:sz="0" w:space="0"/>
        <w:left w:val="none" w:sz="0" w:space="0"/>
        <w:bottom w:val="none" w:sz="0" w:space="0"/>
        <w:right w:val="none" w:sz="0" w:space="0"/>
      </w:pgBorders>
      <w:pgNumType w:fmt="decimal"/>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22"/>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2010609030101010101"/>
    <w:charset w:val="86"/>
    <w:family w:val="modern"/>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right="360" w:firstLine="360"/>
      <w:jc w:val="both"/>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68"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1"/>
                            <w:rPr>
                              <w:rStyle w:val="19"/>
                              <w:rFonts w:hint="eastAsia" w:ascii="宋体" w:hAnsi="宋体" w:eastAsia="宋体"/>
                              <w:sz w:val="28"/>
                              <w:szCs w:val="28"/>
                              <w:lang w:eastAsia="zh-CN"/>
                            </w:rPr>
                          </w:pPr>
                          <w:r>
                            <w:rPr>
                              <w:rStyle w:val="19"/>
                              <w:rFonts w:ascii="宋体" w:hAnsi="宋体"/>
                              <w:sz w:val="26"/>
                              <w:szCs w:val="26"/>
                            </w:rPr>
                            <w:fldChar w:fldCharType="begin"/>
                          </w:r>
                          <w:r>
                            <w:rPr>
                              <w:rStyle w:val="19"/>
                              <w:rFonts w:ascii="宋体" w:hAnsi="宋体"/>
                              <w:sz w:val="26"/>
                              <w:szCs w:val="26"/>
                            </w:rPr>
                            <w:instrText xml:space="preserve">PAGE  </w:instrText>
                          </w:r>
                          <w:r>
                            <w:rPr>
                              <w:rStyle w:val="19"/>
                              <w:rFonts w:ascii="宋体" w:hAnsi="宋体"/>
                              <w:sz w:val="26"/>
                              <w:szCs w:val="26"/>
                            </w:rPr>
                            <w:fldChar w:fldCharType="separate"/>
                          </w:r>
                          <w:r>
                            <w:rPr>
                              <w:rStyle w:val="19"/>
                              <w:rFonts w:ascii="宋体" w:hAnsi="宋体"/>
                              <w:sz w:val="26"/>
                              <w:szCs w:val="26"/>
                            </w:rPr>
                            <w:t>22</w:t>
                          </w:r>
                          <w:r>
                            <w:rPr>
                              <w:rStyle w:val="19"/>
                              <w:rFonts w:ascii="宋体" w:hAnsi="宋体"/>
                              <w:sz w:val="26"/>
                              <w:szCs w:val="26"/>
                            </w:rPr>
                            <w:fldChar w:fldCharType="end"/>
                          </w:r>
                        </w:p>
                      </w:txbxContent>
                    </wps:txbx>
                    <wps:bodyPr vert="horz" wrap="none" lIns="0" tIns="0" rIns="0" bIns="0" anchor="t" anchorCtr="0" upright="0">
                      <a:spAutoFit/>
                    </wps:bodyPr>
                  </wps:wsp>
                </a:graphicData>
              </a:graphic>
            </wp:anchor>
          </w:drawing>
        </mc:Choice>
        <mc:Fallback>
          <w:pict>
            <v:shape id="文本框 1"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M6pebnPAAAABQEAAA8AAAAAAAAAAQAgAAAAIgAAAGRycy9kb3ducmV2LnhtbFBLAQIU&#10;ABQAAAAIAIdO4kDVH5luwwEAAHEDAAAOAAAAAAAAAAEAIAAAAB4BAABkcnMvZTJvRG9jLnhtbFBL&#10;BQYAAAAABgAGAFkBAABTBQAAAAA=&#10;">
              <v:fill on="f" focussize="0,0"/>
              <v:stroke on="f"/>
              <v:imagedata o:title=""/>
              <o:lock v:ext="edit" aspectratio="f"/>
              <v:textbox inset="0mm,0mm,0mm,0mm" style="mso-fit-shape-to-text:t;">
                <w:txbxContent>
                  <w:p>
                    <w:pPr>
                      <w:pStyle w:val="11"/>
                      <w:rPr>
                        <w:rStyle w:val="19"/>
                        <w:rFonts w:hint="eastAsia" w:ascii="宋体" w:hAnsi="宋体" w:eastAsia="宋体"/>
                        <w:sz w:val="28"/>
                        <w:szCs w:val="28"/>
                        <w:lang w:eastAsia="zh-CN"/>
                      </w:rPr>
                    </w:pPr>
                    <w:r>
                      <w:rPr>
                        <w:rStyle w:val="19"/>
                        <w:rFonts w:ascii="宋体" w:hAnsi="宋体"/>
                        <w:sz w:val="26"/>
                        <w:szCs w:val="26"/>
                      </w:rPr>
                      <w:fldChar w:fldCharType="begin"/>
                    </w:r>
                    <w:r>
                      <w:rPr>
                        <w:rStyle w:val="19"/>
                        <w:rFonts w:ascii="宋体" w:hAnsi="宋体"/>
                        <w:sz w:val="26"/>
                        <w:szCs w:val="26"/>
                      </w:rPr>
                      <w:instrText xml:space="preserve">PAGE  </w:instrText>
                    </w:r>
                    <w:r>
                      <w:rPr>
                        <w:rStyle w:val="19"/>
                        <w:rFonts w:ascii="宋体" w:hAnsi="宋体"/>
                        <w:sz w:val="26"/>
                        <w:szCs w:val="26"/>
                      </w:rPr>
                      <w:fldChar w:fldCharType="separate"/>
                    </w:r>
                    <w:r>
                      <w:rPr>
                        <w:rStyle w:val="19"/>
                        <w:rFonts w:ascii="宋体" w:hAnsi="宋体"/>
                        <w:sz w:val="26"/>
                        <w:szCs w:val="26"/>
                      </w:rPr>
                      <w:t>22</w:t>
                    </w:r>
                    <w:r>
                      <w:rPr>
                        <w:rStyle w:val="19"/>
                        <w:rFonts w:ascii="宋体" w:hAnsi="宋体"/>
                        <w:sz w:val="26"/>
                        <w:szCs w:val="26"/>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B99F46A"/>
    <w:multiLevelType w:val="singleLevel"/>
    <w:tmpl w:val="9B99F46A"/>
    <w:lvl w:ilvl="0" w:tentative="0">
      <w:start w:val="1"/>
      <w:numFmt w:val="decimal"/>
      <w:lvlText w:val="%1."/>
      <w:lvlJc w:val="left"/>
      <w:pPr>
        <w:tabs>
          <w:tab w:val="left" w:pos="312"/>
        </w:tabs>
      </w:pPr>
    </w:lvl>
  </w:abstractNum>
  <w:abstractNum w:abstractNumId="1">
    <w:nsid w:val="AF652FE4"/>
    <w:multiLevelType w:val="singleLevel"/>
    <w:tmpl w:val="AF652FE4"/>
    <w:lvl w:ilvl="0" w:tentative="0">
      <w:start w:val="3"/>
      <w:numFmt w:val="decimal"/>
      <w:lvlText w:val="%1."/>
      <w:lvlJc w:val="left"/>
      <w:pPr>
        <w:tabs>
          <w:tab w:val="left" w:pos="312"/>
        </w:tabs>
      </w:pPr>
    </w:lvl>
  </w:abstractNum>
  <w:abstractNum w:abstractNumId="2">
    <w:nsid w:val="B2508D87"/>
    <w:multiLevelType w:val="singleLevel"/>
    <w:tmpl w:val="B2508D87"/>
    <w:lvl w:ilvl="0" w:tentative="0">
      <w:start w:val="2"/>
      <w:numFmt w:val="decimal"/>
      <w:suff w:val="nothing"/>
      <w:lvlText w:val="%1、"/>
      <w:lvlJc w:val="left"/>
    </w:lvl>
  </w:abstractNum>
  <w:abstractNum w:abstractNumId="3">
    <w:nsid w:val="C34F842B"/>
    <w:multiLevelType w:val="singleLevel"/>
    <w:tmpl w:val="C34F842B"/>
    <w:lvl w:ilvl="0" w:tentative="0">
      <w:start w:val="2"/>
      <w:numFmt w:val="decimal"/>
      <w:lvlText w:val="%1."/>
      <w:lvlJc w:val="left"/>
      <w:pPr>
        <w:tabs>
          <w:tab w:val="left" w:pos="312"/>
        </w:tabs>
      </w:pPr>
    </w:lvl>
  </w:abstractNum>
  <w:abstractNum w:abstractNumId="4">
    <w:nsid w:val="DA2D2436"/>
    <w:multiLevelType w:val="singleLevel"/>
    <w:tmpl w:val="DA2D2436"/>
    <w:lvl w:ilvl="0" w:tentative="0">
      <w:start w:val="1"/>
      <w:numFmt w:val="decimal"/>
      <w:suff w:val="nothing"/>
      <w:lvlText w:val="（%1）"/>
      <w:lvlJc w:val="left"/>
    </w:lvl>
  </w:abstractNum>
  <w:abstractNum w:abstractNumId="5">
    <w:nsid w:val="232657BD"/>
    <w:multiLevelType w:val="singleLevel"/>
    <w:tmpl w:val="232657BD"/>
    <w:lvl w:ilvl="0" w:tentative="0">
      <w:start w:val="5"/>
      <w:numFmt w:val="decimal"/>
      <w:suff w:val="nothing"/>
      <w:lvlText w:val="%1、"/>
      <w:lvlJc w:val="left"/>
    </w:lvl>
  </w:abstractNum>
  <w:abstractNum w:abstractNumId="6">
    <w:nsid w:val="2442B0F0"/>
    <w:multiLevelType w:val="singleLevel"/>
    <w:tmpl w:val="2442B0F0"/>
    <w:lvl w:ilvl="0" w:tentative="0">
      <w:start w:val="1"/>
      <w:numFmt w:val="decimal"/>
      <w:suff w:val="nothing"/>
      <w:lvlText w:val="（%1）"/>
      <w:lvlJc w:val="left"/>
    </w:lvl>
  </w:abstractNum>
  <w:num w:numId="1">
    <w:abstractNumId w:val="1"/>
  </w:num>
  <w:num w:numId="2">
    <w:abstractNumId w:val="0"/>
  </w:num>
  <w:num w:numId="3">
    <w:abstractNumId w:val="3"/>
  </w:num>
  <w:num w:numId="4">
    <w:abstractNumId w:val="4"/>
  </w:num>
  <w:num w:numId="5">
    <w:abstractNumId w:val="2"/>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trackedChanges" w:enforcement="0"/>
  <w:defaultTabStop w:val="420"/>
  <w:hyphenationZone w:val="360"/>
  <w:doNotHyphenateCaps/>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E2Mzk4NGVjM2UzZTZlZGQzM2U4OGE0Yjg4NTMxZDEifQ=="/>
  </w:docVars>
  <w:rsids>
    <w:rsidRoot w:val="00172A27"/>
    <w:rsid w:val="00001CED"/>
    <w:rsid w:val="00001E67"/>
    <w:rsid w:val="00003CD8"/>
    <w:rsid w:val="00013654"/>
    <w:rsid w:val="00014965"/>
    <w:rsid w:val="0001523A"/>
    <w:rsid w:val="00016ECB"/>
    <w:rsid w:val="000269F6"/>
    <w:rsid w:val="00031939"/>
    <w:rsid w:val="00032D25"/>
    <w:rsid w:val="0005219D"/>
    <w:rsid w:val="0005568F"/>
    <w:rsid w:val="0006153D"/>
    <w:rsid w:val="00061B1F"/>
    <w:rsid w:val="000664DB"/>
    <w:rsid w:val="00066EBC"/>
    <w:rsid w:val="0007127D"/>
    <w:rsid w:val="00071AE5"/>
    <w:rsid w:val="00074783"/>
    <w:rsid w:val="000801E0"/>
    <w:rsid w:val="00082A29"/>
    <w:rsid w:val="0008331D"/>
    <w:rsid w:val="00083C18"/>
    <w:rsid w:val="00092899"/>
    <w:rsid w:val="000A178E"/>
    <w:rsid w:val="000A557E"/>
    <w:rsid w:val="000B058F"/>
    <w:rsid w:val="000B693F"/>
    <w:rsid w:val="000C09AC"/>
    <w:rsid w:val="000C0A63"/>
    <w:rsid w:val="000C1FF9"/>
    <w:rsid w:val="000C437E"/>
    <w:rsid w:val="000E5F16"/>
    <w:rsid w:val="000F4452"/>
    <w:rsid w:val="000F6DA1"/>
    <w:rsid w:val="000F701B"/>
    <w:rsid w:val="001056A0"/>
    <w:rsid w:val="00115279"/>
    <w:rsid w:val="00117459"/>
    <w:rsid w:val="0011749A"/>
    <w:rsid w:val="00127A68"/>
    <w:rsid w:val="00140B13"/>
    <w:rsid w:val="00141B68"/>
    <w:rsid w:val="001466DA"/>
    <w:rsid w:val="00154DE1"/>
    <w:rsid w:val="00155B40"/>
    <w:rsid w:val="00157435"/>
    <w:rsid w:val="00163EEA"/>
    <w:rsid w:val="00167A07"/>
    <w:rsid w:val="0017046A"/>
    <w:rsid w:val="001704A3"/>
    <w:rsid w:val="0017504D"/>
    <w:rsid w:val="00177422"/>
    <w:rsid w:val="00184F10"/>
    <w:rsid w:val="00185546"/>
    <w:rsid w:val="0019146B"/>
    <w:rsid w:val="00194398"/>
    <w:rsid w:val="001A14B9"/>
    <w:rsid w:val="001A7D2A"/>
    <w:rsid w:val="001B574C"/>
    <w:rsid w:val="001C0AF9"/>
    <w:rsid w:val="001C155A"/>
    <w:rsid w:val="001C48C0"/>
    <w:rsid w:val="001D6726"/>
    <w:rsid w:val="001F3347"/>
    <w:rsid w:val="001F4440"/>
    <w:rsid w:val="001F4D0A"/>
    <w:rsid w:val="001F69E4"/>
    <w:rsid w:val="00206A65"/>
    <w:rsid w:val="00212D31"/>
    <w:rsid w:val="002130C7"/>
    <w:rsid w:val="002218A8"/>
    <w:rsid w:val="0022306D"/>
    <w:rsid w:val="00226574"/>
    <w:rsid w:val="002278EC"/>
    <w:rsid w:val="002357C7"/>
    <w:rsid w:val="002367C4"/>
    <w:rsid w:val="0025679E"/>
    <w:rsid w:val="00260C68"/>
    <w:rsid w:val="002648B0"/>
    <w:rsid w:val="00275271"/>
    <w:rsid w:val="0027535E"/>
    <w:rsid w:val="00275AA6"/>
    <w:rsid w:val="002807D5"/>
    <w:rsid w:val="00282CCD"/>
    <w:rsid w:val="002A168C"/>
    <w:rsid w:val="002A2C48"/>
    <w:rsid w:val="002A3EED"/>
    <w:rsid w:val="002A4A39"/>
    <w:rsid w:val="002A5A17"/>
    <w:rsid w:val="002A6425"/>
    <w:rsid w:val="002B49E2"/>
    <w:rsid w:val="002B7B00"/>
    <w:rsid w:val="002B7C44"/>
    <w:rsid w:val="002C1388"/>
    <w:rsid w:val="002C3C6A"/>
    <w:rsid w:val="002D42DB"/>
    <w:rsid w:val="002E1F3A"/>
    <w:rsid w:val="002E298A"/>
    <w:rsid w:val="002F02A4"/>
    <w:rsid w:val="002F272B"/>
    <w:rsid w:val="002F7C6D"/>
    <w:rsid w:val="003027E4"/>
    <w:rsid w:val="0030332C"/>
    <w:rsid w:val="00312296"/>
    <w:rsid w:val="0031340E"/>
    <w:rsid w:val="00316464"/>
    <w:rsid w:val="0032073A"/>
    <w:rsid w:val="00321D8E"/>
    <w:rsid w:val="00334996"/>
    <w:rsid w:val="00336969"/>
    <w:rsid w:val="00336C52"/>
    <w:rsid w:val="00341B3E"/>
    <w:rsid w:val="00341B42"/>
    <w:rsid w:val="00345154"/>
    <w:rsid w:val="0034560E"/>
    <w:rsid w:val="00350523"/>
    <w:rsid w:val="00352975"/>
    <w:rsid w:val="00356868"/>
    <w:rsid w:val="0036485B"/>
    <w:rsid w:val="00373B0D"/>
    <w:rsid w:val="00376988"/>
    <w:rsid w:val="00381A72"/>
    <w:rsid w:val="00382DEE"/>
    <w:rsid w:val="00384B9C"/>
    <w:rsid w:val="003A0914"/>
    <w:rsid w:val="003A1948"/>
    <w:rsid w:val="003B152A"/>
    <w:rsid w:val="003B545B"/>
    <w:rsid w:val="003D3EE9"/>
    <w:rsid w:val="003E7681"/>
    <w:rsid w:val="003F0809"/>
    <w:rsid w:val="003F611C"/>
    <w:rsid w:val="003F755C"/>
    <w:rsid w:val="00406F01"/>
    <w:rsid w:val="00411B36"/>
    <w:rsid w:val="004121D7"/>
    <w:rsid w:val="00416D50"/>
    <w:rsid w:val="00417772"/>
    <w:rsid w:val="00420E6A"/>
    <w:rsid w:val="00433CA9"/>
    <w:rsid w:val="0043521D"/>
    <w:rsid w:val="00442024"/>
    <w:rsid w:val="0044254C"/>
    <w:rsid w:val="00443F6A"/>
    <w:rsid w:val="00450A17"/>
    <w:rsid w:val="00466321"/>
    <w:rsid w:val="004672AF"/>
    <w:rsid w:val="004727B0"/>
    <w:rsid w:val="00480247"/>
    <w:rsid w:val="0048081D"/>
    <w:rsid w:val="0048117E"/>
    <w:rsid w:val="004855F6"/>
    <w:rsid w:val="00486F0C"/>
    <w:rsid w:val="00494670"/>
    <w:rsid w:val="004A0EB4"/>
    <w:rsid w:val="004A3823"/>
    <w:rsid w:val="004A59BB"/>
    <w:rsid w:val="004B3FD8"/>
    <w:rsid w:val="004B43A3"/>
    <w:rsid w:val="004B4C49"/>
    <w:rsid w:val="004B58A5"/>
    <w:rsid w:val="004B63D9"/>
    <w:rsid w:val="004C0882"/>
    <w:rsid w:val="004C55BE"/>
    <w:rsid w:val="004D5807"/>
    <w:rsid w:val="004E5B30"/>
    <w:rsid w:val="004F0779"/>
    <w:rsid w:val="004F1230"/>
    <w:rsid w:val="004F173F"/>
    <w:rsid w:val="004F177C"/>
    <w:rsid w:val="004F2DCE"/>
    <w:rsid w:val="005039CB"/>
    <w:rsid w:val="0050558F"/>
    <w:rsid w:val="005057E0"/>
    <w:rsid w:val="00506286"/>
    <w:rsid w:val="0050638A"/>
    <w:rsid w:val="00510813"/>
    <w:rsid w:val="00511DE0"/>
    <w:rsid w:val="00517F02"/>
    <w:rsid w:val="00524547"/>
    <w:rsid w:val="005258A2"/>
    <w:rsid w:val="00530F7C"/>
    <w:rsid w:val="00534567"/>
    <w:rsid w:val="00534F43"/>
    <w:rsid w:val="00535A84"/>
    <w:rsid w:val="00536889"/>
    <w:rsid w:val="00542E07"/>
    <w:rsid w:val="00554A7B"/>
    <w:rsid w:val="0055572C"/>
    <w:rsid w:val="0056064F"/>
    <w:rsid w:val="00561B84"/>
    <w:rsid w:val="00571D98"/>
    <w:rsid w:val="005720AE"/>
    <w:rsid w:val="0058030D"/>
    <w:rsid w:val="00582045"/>
    <w:rsid w:val="00590AE3"/>
    <w:rsid w:val="005918F1"/>
    <w:rsid w:val="005A06B7"/>
    <w:rsid w:val="005A1759"/>
    <w:rsid w:val="005D0369"/>
    <w:rsid w:val="005D53FE"/>
    <w:rsid w:val="005D7A0F"/>
    <w:rsid w:val="005E0438"/>
    <w:rsid w:val="005E1791"/>
    <w:rsid w:val="005E2CE6"/>
    <w:rsid w:val="005E6324"/>
    <w:rsid w:val="005F228B"/>
    <w:rsid w:val="005F29CD"/>
    <w:rsid w:val="005F4DFB"/>
    <w:rsid w:val="005F6CC0"/>
    <w:rsid w:val="00603E5B"/>
    <w:rsid w:val="00604BC8"/>
    <w:rsid w:val="00615B4C"/>
    <w:rsid w:val="00615B5D"/>
    <w:rsid w:val="0062146F"/>
    <w:rsid w:val="00631772"/>
    <w:rsid w:val="006343AF"/>
    <w:rsid w:val="0063634A"/>
    <w:rsid w:val="0064250D"/>
    <w:rsid w:val="006535EB"/>
    <w:rsid w:val="00663016"/>
    <w:rsid w:val="00674605"/>
    <w:rsid w:val="006748B8"/>
    <w:rsid w:val="0068535B"/>
    <w:rsid w:val="0068736E"/>
    <w:rsid w:val="0069290A"/>
    <w:rsid w:val="00697032"/>
    <w:rsid w:val="006975AC"/>
    <w:rsid w:val="006A15FB"/>
    <w:rsid w:val="006A72BF"/>
    <w:rsid w:val="006B332A"/>
    <w:rsid w:val="006B33BD"/>
    <w:rsid w:val="006C3F75"/>
    <w:rsid w:val="006D170E"/>
    <w:rsid w:val="006D6F3B"/>
    <w:rsid w:val="006E06AF"/>
    <w:rsid w:val="006F1789"/>
    <w:rsid w:val="00706C5D"/>
    <w:rsid w:val="007118E6"/>
    <w:rsid w:val="007225C9"/>
    <w:rsid w:val="00735CD7"/>
    <w:rsid w:val="00754034"/>
    <w:rsid w:val="00754BF1"/>
    <w:rsid w:val="00755A30"/>
    <w:rsid w:val="00755E1C"/>
    <w:rsid w:val="00756556"/>
    <w:rsid w:val="0076132B"/>
    <w:rsid w:val="007623AE"/>
    <w:rsid w:val="00770B19"/>
    <w:rsid w:val="00774FA0"/>
    <w:rsid w:val="00776620"/>
    <w:rsid w:val="00777B6D"/>
    <w:rsid w:val="00784855"/>
    <w:rsid w:val="00784F39"/>
    <w:rsid w:val="0078545C"/>
    <w:rsid w:val="007906C4"/>
    <w:rsid w:val="007940EA"/>
    <w:rsid w:val="007967E8"/>
    <w:rsid w:val="007A63F2"/>
    <w:rsid w:val="007B68DE"/>
    <w:rsid w:val="007C1857"/>
    <w:rsid w:val="007C514F"/>
    <w:rsid w:val="007D0F95"/>
    <w:rsid w:val="007D7ECB"/>
    <w:rsid w:val="007E25A1"/>
    <w:rsid w:val="007E4BD2"/>
    <w:rsid w:val="007E7145"/>
    <w:rsid w:val="007F3916"/>
    <w:rsid w:val="00801179"/>
    <w:rsid w:val="00802479"/>
    <w:rsid w:val="00805372"/>
    <w:rsid w:val="00805B7B"/>
    <w:rsid w:val="0081293E"/>
    <w:rsid w:val="00814FFB"/>
    <w:rsid w:val="00820568"/>
    <w:rsid w:val="008215AC"/>
    <w:rsid w:val="00831A80"/>
    <w:rsid w:val="008332C8"/>
    <w:rsid w:val="00833743"/>
    <w:rsid w:val="008340A4"/>
    <w:rsid w:val="00836799"/>
    <w:rsid w:val="00837028"/>
    <w:rsid w:val="00837131"/>
    <w:rsid w:val="00845F57"/>
    <w:rsid w:val="008521E0"/>
    <w:rsid w:val="008525B0"/>
    <w:rsid w:val="00867CBC"/>
    <w:rsid w:val="00876C30"/>
    <w:rsid w:val="00877017"/>
    <w:rsid w:val="008773C0"/>
    <w:rsid w:val="00880364"/>
    <w:rsid w:val="00886C4C"/>
    <w:rsid w:val="0088711C"/>
    <w:rsid w:val="00892ECF"/>
    <w:rsid w:val="00892F06"/>
    <w:rsid w:val="00894285"/>
    <w:rsid w:val="008A40AE"/>
    <w:rsid w:val="008A4E19"/>
    <w:rsid w:val="008A67C5"/>
    <w:rsid w:val="008B22E1"/>
    <w:rsid w:val="008B3C78"/>
    <w:rsid w:val="008B4AE9"/>
    <w:rsid w:val="008C30AD"/>
    <w:rsid w:val="008D068E"/>
    <w:rsid w:val="008D0F7A"/>
    <w:rsid w:val="008D63BE"/>
    <w:rsid w:val="008E0CFF"/>
    <w:rsid w:val="008E5D6B"/>
    <w:rsid w:val="008E689B"/>
    <w:rsid w:val="008E76F0"/>
    <w:rsid w:val="008F15FE"/>
    <w:rsid w:val="008F2A94"/>
    <w:rsid w:val="008F5187"/>
    <w:rsid w:val="008F709C"/>
    <w:rsid w:val="0090312B"/>
    <w:rsid w:val="00904961"/>
    <w:rsid w:val="0091736D"/>
    <w:rsid w:val="00931001"/>
    <w:rsid w:val="00931863"/>
    <w:rsid w:val="00933524"/>
    <w:rsid w:val="0094278D"/>
    <w:rsid w:val="0095308A"/>
    <w:rsid w:val="00955AEE"/>
    <w:rsid w:val="00956F14"/>
    <w:rsid w:val="009620FD"/>
    <w:rsid w:val="0096247A"/>
    <w:rsid w:val="00965F4B"/>
    <w:rsid w:val="00970F8A"/>
    <w:rsid w:val="00971FB5"/>
    <w:rsid w:val="00972D2A"/>
    <w:rsid w:val="00975CC5"/>
    <w:rsid w:val="00976328"/>
    <w:rsid w:val="00976B4E"/>
    <w:rsid w:val="00984458"/>
    <w:rsid w:val="00985283"/>
    <w:rsid w:val="00987322"/>
    <w:rsid w:val="009A0F3B"/>
    <w:rsid w:val="009A2C4D"/>
    <w:rsid w:val="009A72C7"/>
    <w:rsid w:val="009B0897"/>
    <w:rsid w:val="009D0852"/>
    <w:rsid w:val="009D1FBF"/>
    <w:rsid w:val="009E399C"/>
    <w:rsid w:val="009E43C1"/>
    <w:rsid w:val="009E7E95"/>
    <w:rsid w:val="009F116F"/>
    <w:rsid w:val="009F329E"/>
    <w:rsid w:val="009F7ED3"/>
    <w:rsid w:val="00A03607"/>
    <w:rsid w:val="00A047FF"/>
    <w:rsid w:val="00A04FEF"/>
    <w:rsid w:val="00A122CD"/>
    <w:rsid w:val="00A12A32"/>
    <w:rsid w:val="00A14248"/>
    <w:rsid w:val="00A14947"/>
    <w:rsid w:val="00A23DC5"/>
    <w:rsid w:val="00A34028"/>
    <w:rsid w:val="00A35568"/>
    <w:rsid w:val="00A37056"/>
    <w:rsid w:val="00A4358F"/>
    <w:rsid w:val="00A46F67"/>
    <w:rsid w:val="00A54AA1"/>
    <w:rsid w:val="00A568FF"/>
    <w:rsid w:val="00A61496"/>
    <w:rsid w:val="00A61833"/>
    <w:rsid w:val="00A624C6"/>
    <w:rsid w:val="00A63CEC"/>
    <w:rsid w:val="00A7031E"/>
    <w:rsid w:val="00A728B1"/>
    <w:rsid w:val="00A763DE"/>
    <w:rsid w:val="00A803D6"/>
    <w:rsid w:val="00A81282"/>
    <w:rsid w:val="00A8713F"/>
    <w:rsid w:val="00A91167"/>
    <w:rsid w:val="00A9171C"/>
    <w:rsid w:val="00A92FFD"/>
    <w:rsid w:val="00A95975"/>
    <w:rsid w:val="00A9708D"/>
    <w:rsid w:val="00AA2C17"/>
    <w:rsid w:val="00AA4172"/>
    <w:rsid w:val="00AB1914"/>
    <w:rsid w:val="00AB5330"/>
    <w:rsid w:val="00AB7747"/>
    <w:rsid w:val="00AC2532"/>
    <w:rsid w:val="00AD1507"/>
    <w:rsid w:val="00AD5A70"/>
    <w:rsid w:val="00AD738B"/>
    <w:rsid w:val="00AE1BF4"/>
    <w:rsid w:val="00AE5D97"/>
    <w:rsid w:val="00AE6794"/>
    <w:rsid w:val="00B01110"/>
    <w:rsid w:val="00B02262"/>
    <w:rsid w:val="00B03CEC"/>
    <w:rsid w:val="00B1209F"/>
    <w:rsid w:val="00B12AD0"/>
    <w:rsid w:val="00B24F30"/>
    <w:rsid w:val="00B31ABF"/>
    <w:rsid w:val="00B335AE"/>
    <w:rsid w:val="00B37CE1"/>
    <w:rsid w:val="00B40ACF"/>
    <w:rsid w:val="00B46BAA"/>
    <w:rsid w:val="00B50B5F"/>
    <w:rsid w:val="00B54128"/>
    <w:rsid w:val="00B55826"/>
    <w:rsid w:val="00B60426"/>
    <w:rsid w:val="00B622DD"/>
    <w:rsid w:val="00B63522"/>
    <w:rsid w:val="00B76F1D"/>
    <w:rsid w:val="00B92A19"/>
    <w:rsid w:val="00B9544C"/>
    <w:rsid w:val="00BA29E9"/>
    <w:rsid w:val="00BB3618"/>
    <w:rsid w:val="00BC0C9E"/>
    <w:rsid w:val="00BC32DC"/>
    <w:rsid w:val="00BD1B51"/>
    <w:rsid w:val="00BD47F6"/>
    <w:rsid w:val="00BE312D"/>
    <w:rsid w:val="00BE3FCA"/>
    <w:rsid w:val="00C05719"/>
    <w:rsid w:val="00C10578"/>
    <w:rsid w:val="00C17D62"/>
    <w:rsid w:val="00C21FDC"/>
    <w:rsid w:val="00C24EE7"/>
    <w:rsid w:val="00C2596A"/>
    <w:rsid w:val="00C271BE"/>
    <w:rsid w:val="00C27425"/>
    <w:rsid w:val="00C328FE"/>
    <w:rsid w:val="00C33A05"/>
    <w:rsid w:val="00C42500"/>
    <w:rsid w:val="00C4409D"/>
    <w:rsid w:val="00C455BE"/>
    <w:rsid w:val="00C51E5F"/>
    <w:rsid w:val="00C61E4B"/>
    <w:rsid w:val="00C62E3A"/>
    <w:rsid w:val="00C64503"/>
    <w:rsid w:val="00C64A1F"/>
    <w:rsid w:val="00C64BFF"/>
    <w:rsid w:val="00C763C9"/>
    <w:rsid w:val="00C80057"/>
    <w:rsid w:val="00C82C79"/>
    <w:rsid w:val="00C84753"/>
    <w:rsid w:val="00C91611"/>
    <w:rsid w:val="00CA3585"/>
    <w:rsid w:val="00CA3D5A"/>
    <w:rsid w:val="00CA4C7C"/>
    <w:rsid w:val="00CB0183"/>
    <w:rsid w:val="00CB1EA3"/>
    <w:rsid w:val="00CB552C"/>
    <w:rsid w:val="00CB6A9E"/>
    <w:rsid w:val="00CC6181"/>
    <w:rsid w:val="00CD2BCD"/>
    <w:rsid w:val="00CD36AA"/>
    <w:rsid w:val="00CD3791"/>
    <w:rsid w:val="00CD65B0"/>
    <w:rsid w:val="00CE02CD"/>
    <w:rsid w:val="00CE10E9"/>
    <w:rsid w:val="00D0072E"/>
    <w:rsid w:val="00D07B9F"/>
    <w:rsid w:val="00D15727"/>
    <w:rsid w:val="00D16332"/>
    <w:rsid w:val="00D24972"/>
    <w:rsid w:val="00D2515E"/>
    <w:rsid w:val="00D308ED"/>
    <w:rsid w:val="00D379DB"/>
    <w:rsid w:val="00D42B17"/>
    <w:rsid w:val="00D56178"/>
    <w:rsid w:val="00D56CF0"/>
    <w:rsid w:val="00D56F5C"/>
    <w:rsid w:val="00D704B1"/>
    <w:rsid w:val="00D70B63"/>
    <w:rsid w:val="00D72B92"/>
    <w:rsid w:val="00D72ED4"/>
    <w:rsid w:val="00D73F61"/>
    <w:rsid w:val="00D754C0"/>
    <w:rsid w:val="00D776A2"/>
    <w:rsid w:val="00D801C4"/>
    <w:rsid w:val="00D90836"/>
    <w:rsid w:val="00D95896"/>
    <w:rsid w:val="00D95CC6"/>
    <w:rsid w:val="00DA2DA3"/>
    <w:rsid w:val="00DA6615"/>
    <w:rsid w:val="00DA76AE"/>
    <w:rsid w:val="00DB181E"/>
    <w:rsid w:val="00DB1C7A"/>
    <w:rsid w:val="00DB2983"/>
    <w:rsid w:val="00DB343D"/>
    <w:rsid w:val="00DB5579"/>
    <w:rsid w:val="00DB5CFE"/>
    <w:rsid w:val="00DC72A6"/>
    <w:rsid w:val="00DD2113"/>
    <w:rsid w:val="00DD265E"/>
    <w:rsid w:val="00DF1930"/>
    <w:rsid w:val="00DF514A"/>
    <w:rsid w:val="00E0358D"/>
    <w:rsid w:val="00E06327"/>
    <w:rsid w:val="00E2064B"/>
    <w:rsid w:val="00E25239"/>
    <w:rsid w:val="00E265B1"/>
    <w:rsid w:val="00E275B0"/>
    <w:rsid w:val="00E412D0"/>
    <w:rsid w:val="00E47CDB"/>
    <w:rsid w:val="00E566BC"/>
    <w:rsid w:val="00E60982"/>
    <w:rsid w:val="00E60C8D"/>
    <w:rsid w:val="00E6162F"/>
    <w:rsid w:val="00E6311B"/>
    <w:rsid w:val="00E65D97"/>
    <w:rsid w:val="00E67EFD"/>
    <w:rsid w:val="00E702DC"/>
    <w:rsid w:val="00E71FFB"/>
    <w:rsid w:val="00E76D1D"/>
    <w:rsid w:val="00E80370"/>
    <w:rsid w:val="00E806F8"/>
    <w:rsid w:val="00E87752"/>
    <w:rsid w:val="00E8793B"/>
    <w:rsid w:val="00E90F81"/>
    <w:rsid w:val="00E91A6D"/>
    <w:rsid w:val="00E9242D"/>
    <w:rsid w:val="00EB041C"/>
    <w:rsid w:val="00EC5874"/>
    <w:rsid w:val="00ED192D"/>
    <w:rsid w:val="00ED30B4"/>
    <w:rsid w:val="00ED31F5"/>
    <w:rsid w:val="00EF2759"/>
    <w:rsid w:val="00EF45EB"/>
    <w:rsid w:val="00EF5099"/>
    <w:rsid w:val="00EF5E33"/>
    <w:rsid w:val="00F00075"/>
    <w:rsid w:val="00F07822"/>
    <w:rsid w:val="00F15C95"/>
    <w:rsid w:val="00F22985"/>
    <w:rsid w:val="00F241AB"/>
    <w:rsid w:val="00F31382"/>
    <w:rsid w:val="00F35829"/>
    <w:rsid w:val="00F42868"/>
    <w:rsid w:val="00F465A7"/>
    <w:rsid w:val="00F46D15"/>
    <w:rsid w:val="00F50B7C"/>
    <w:rsid w:val="00F5202D"/>
    <w:rsid w:val="00F52CF6"/>
    <w:rsid w:val="00F54496"/>
    <w:rsid w:val="00F61097"/>
    <w:rsid w:val="00F74345"/>
    <w:rsid w:val="00F74441"/>
    <w:rsid w:val="00F77F30"/>
    <w:rsid w:val="00F82589"/>
    <w:rsid w:val="00F82B19"/>
    <w:rsid w:val="00F90AA7"/>
    <w:rsid w:val="00F9212D"/>
    <w:rsid w:val="00FA301A"/>
    <w:rsid w:val="00FA406A"/>
    <w:rsid w:val="00FA5CB6"/>
    <w:rsid w:val="00FC66AC"/>
    <w:rsid w:val="00FD18F4"/>
    <w:rsid w:val="00FD74B4"/>
    <w:rsid w:val="00FF6FCE"/>
    <w:rsid w:val="00FF7518"/>
    <w:rsid w:val="00FF7FD8"/>
    <w:rsid w:val="01011432"/>
    <w:rsid w:val="01141165"/>
    <w:rsid w:val="01341807"/>
    <w:rsid w:val="01417E18"/>
    <w:rsid w:val="014365C7"/>
    <w:rsid w:val="01453E77"/>
    <w:rsid w:val="014C0F72"/>
    <w:rsid w:val="014C4C92"/>
    <w:rsid w:val="014E5CE7"/>
    <w:rsid w:val="014F6641"/>
    <w:rsid w:val="015B4A06"/>
    <w:rsid w:val="015B4FE6"/>
    <w:rsid w:val="01655E65"/>
    <w:rsid w:val="01875DDB"/>
    <w:rsid w:val="01891B53"/>
    <w:rsid w:val="01A85D51"/>
    <w:rsid w:val="01B14C06"/>
    <w:rsid w:val="01BB7833"/>
    <w:rsid w:val="01D4523A"/>
    <w:rsid w:val="01D803E5"/>
    <w:rsid w:val="01E37A17"/>
    <w:rsid w:val="01E52B01"/>
    <w:rsid w:val="01E943A0"/>
    <w:rsid w:val="01EF572E"/>
    <w:rsid w:val="01F66ABD"/>
    <w:rsid w:val="020B6A0C"/>
    <w:rsid w:val="0219496B"/>
    <w:rsid w:val="02200B04"/>
    <w:rsid w:val="02313F99"/>
    <w:rsid w:val="023615AF"/>
    <w:rsid w:val="024E68F9"/>
    <w:rsid w:val="0256755B"/>
    <w:rsid w:val="025F4662"/>
    <w:rsid w:val="0268276F"/>
    <w:rsid w:val="02707F17"/>
    <w:rsid w:val="02750329"/>
    <w:rsid w:val="028265A2"/>
    <w:rsid w:val="02943ADC"/>
    <w:rsid w:val="029A38EC"/>
    <w:rsid w:val="029E162E"/>
    <w:rsid w:val="02A96DE6"/>
    <w:rsid w:val="02AC0638"/>
    <w:rsid w:val="02B21FFC"/>
    <w:rsid w:val="02CE3596"/>
    <w:rsid w:val="03101E00"/>
    <w:rsid w:val="031F5996"/>
    <w:rsid w:val="03270B50"/>
    <w:rsid w:val="03345AEF"/>
    <w:rsid w:val="035166A0"/>
    <w:rsid w:val="035937A7"/>
    <w:rsid w:val="036208AE"/>
    <w:rsid w:val="03661A20"/>
    <w:rsid w:val="036D1000"/>
    <w:rsid w:val="036F39FE"/>
    <w:rsid w:val="038B0821"/>
    <w:rsid w:val="039D7B38"/>
    <w:rsid w:val="03A52548"/>
    <w:rsid w:val="03C01FEA"/>
    <w:rsid w:val="03C34149"/>
    <w:rsid w:val="03C350C4"/>
    <w:rsid w:val="03E65BA2"/>
    <w:rsid w:val="04096F7B"/>
    <w:rsid w:val="040A4AA1"/>
    <w:rsid w:val="04245B63"/>
    <w:rsid w:val="04267B2D"/>
    <w:rsid w:val="042913CB"/>
    <w:rsid w:val="043A472F"/>
    <w:rsid w:val="044C330C"/>
    <w:rsid w:val="04682B05"/>
    <w:rsid w:val="04754611"/>
    <w:rsid w:val="04814D63"/>
    <w:rsid w:val="0482725E"/>
    <w:rsid w:val="049F51EA"/>
    <w:rsid w:val="04A86794"/>
    <w:rsid w:val="04C133B2"/>
    <w:rsid w:val="04D035F5"/>
    <w:rsid w:val="04EE7F1F"/>
    <w:rsid w:val="04F14881"/>
    <w:rsid w:val="051528EC"/>
    <w:rsid w:val="053242B0"/>
    <w:rsid w:val="053973EC"/>
    <w:rsid w:val="053F6FB9"/>
    <w:rsid w:val="05517131"/>
    <w:rsid w:val="056445DF"/>
    <w:rsid w:val="056D0C41"/>
    <w:rsid w:val="056E2007"/>
    <w:rsid w:val="057228FE"/>
    <w:rsid w:val="05742AC8"/>
    <w:rsid w:val="05A056BD"/>
    <w:rsid w:val="05A76A4C"/>
    <w:rsid w:val="05B64EE1"/>
    <w:rsid w:val="05B9677F"/>
    <w:rsid w:val="05BB6D13"/>
    <w:rsid w:val="05BD2E8A"/>
    <w:rsid w:val="05CD25D7"/>
    <w:rsid w:val="05CF1AFF"/>
    <w:rsid w:val="05F96B7B"/>
    <w:rsid w:val="05FB28F4"/>
    <w:rsid w:val="0616597F"/>
    <w:rsid w:val="06255BC2"/>
    <w:rsid w:val="06257970"/>
    <w:rsid w:val="062A7500"/>
    <w:rsid w:val="06352F05"/>
    <w:rsid w:val="06396ED3"/>
    <w:rsid w:val="063B2989"/>
    <w:rsid w:val="063E7D85"/>
    <w:rsid w:val="0644429B"/>
    <w:rsid w:val="065A227B"/>
    <w:rsid w:val="065F10D4"/>
    <w:rsid w:val="066761DB"/>
    <w:rsid w:val="06823015"/>
    <w:rsid w:val="068F128E"/>
    <w:rsid w:val="0693787E"/>
    <w:rsid w:val="06A04E30"/>
    <w:rsid w:val="06AE7966"/>
    <w:rsid w:val="06CF7277"/>
    <w:rsid w:val="06D57890"/>
    <w:rsid w:val="06EF2321"/>
    <w:rsid w:val="06F2019A"/>
    <w:rsid w:val="06F32700"/>
    <w:rsid w:val="070875E0"/>
    <w:rsid w:val="07293586"/>
    <w:rsid w:val="07295285"/>
    <w:rsid w:val="07302A71"/>
    <w:rsid w:val="07397B77"/>
    <w:rsid w:val="073A11D3"/>
    <w:rsid w:val="07413D40"/>
    <w:rsid w:val="07577FFE"/>
    <w:rsid w:val="07585B24"/>
    <w:rsid w:val="075D584A"/>
    <w:rsid w:val="0768045D"/>
    <w:rsid w:val="076E2D5D"/>
    <w:rsid w:val="07770C56"/>
    <w:rsid w:val="078354CD"/>
    <w:rsid w:val="07975601"/>
    <w:rsid w:val="07A73C2E"/>
    <w:rsid w:val="07B13FA0"/>
    <w:rsid w:val="07B1439D"/>
    <w:rsid w:val="07B436A2"/>
    <w:rsid w:val="07BD6B04"/>
    <w:rsid w:val="07D63618"/>
    <w:rsid w:val="07D94EB6"/>
    <w:rsid w:val="07DB7A18"/>
    <w:rsid w:val="07F43A9E"/>
    <w:rsid w:val="07F95559"/>
    <w:rsid w:val="07FE2B6F"/>
    <w:rsid w:val="08163393"/>
    <w:rsid w:val="081859DF"/>
    <w:rsid w:val="082F0F7A"/>
    <w:rsid w:val="08504DE6"/>
    <w:rsid w:val="087D3A94"/>
    <w:rsid w:val="08851FE1"/>
    <w:rsid w:val="08980E61"/>
    <w:rsid w:val="08B06D11"/>
    <w:rsid w:val="08B33959"/>
    <w:rsid w:val="08B82D1E"/>
    <w:rsid w:val="08E21B49"/>
    <w:rsid w:val="08EC5921"/>
    <w:rsid w:val="08ED14BC"/>
    <w:rsid w:val="08FD6983"/>
    <w:rsid w:val="0902043D"/>
    <w:rsid w:val="09075A53"/>
    <w:rsid w:val="090E7F21"/>
    <w:rsid w:val="09140901"/>
    <w:rsid w:val="091B2AE3"/>
    <w:rsid w:val="092217DD"/>
    <w:rsid w:val="092E5B69"/>
    <w:rsid w:val="093A7294"/>
    <w:rsid w:val="09480230"/>
    <w:rsid w:val="094F44C9"/>
    <w:rsid w:val="095E5AF4"/>
    <w:rsid w:val="0964525F"/>
    <w:rsid w:val="096473B0"/>
    <w:rsid w:val="09780C14"/>
    <w:rsid w:val="09AB2883"/>
    <w:rsid w:val="09AD2E55"/>
    <w:rsid w:val="09C676BC"/>
    <w:rsid w:val="09CD44CE"/>
    <w:rsid w:val="09E11F77"/>
    <w:rsid w:val="09F93DAC"/>
    <w:rsid w:val="0A0A57FB"/>
    <w:rsid w:val="0A1C72DC"/>
    <w:rsid w:val="0A243623"/>
    <w:rsid w:val="0A27015B"/>
    <w:rsid w:val="0A344626"/>
    <w:rsid w:val="0A474359"/>
    <w:rsid w:val="0A490751"/>
    <w:rsid w:val="0A59068D"/>
    <w:rsid w:val="0A5B7DD0"/>
    <w:rsid w:val="0A61099F"/>
    <w:rsid w:val="0A726EFC"/>
    <w:rsid w:val="0A7B4003"/>
    <w:rsid w:val="0A83110A"/>
    <w:rsid w:val="0A8D16B6"/>
    <w:rsid w:val="0A9926DB"/>
    <w:rsid w:val="0AB614DF"/>
    <w:rsid w:val="0ABB4D47"/>
    <w:rsid w:val="0AE30D6F"/>
    <w:rsid w:val="0AE5590B"/>
    <w:rsid w:val="0AF65D7F"/>
    <w:rsid w:val="0B073AE9"/>
    <w:rsid w:val="0B224DC6"/>
    <w:rsid w:val="0B3450FB"/>
    <w:rsid w:val="0B3B3792"/>
    <w:rsid w:val="0B5F4794"/>
    <w:rsid w:val="0B6727D9"/>
    <w:rsid w:val="0B68266B"/>
    <w:rsid w:val="0B892750"/>
    <w:rsid w:val="0B8D66E4"/>
    <w:rsid w:val="0BA852CC"/>
    <w:rsid w:val="0BB51797"/>
    <w:rsid w:val="0BB974D9"/>
    <w:rsid w:val="0BC90CC9"/>
    <w:rsid w:val="0BD27BF6"/>
    <w:rsid w:val="0BDC31C7"/>
    <w:rsid w:val="0BE43E2A"/>
    <w:rsid w:val="0BE856C8"/>
    <w:rsid w:val="0BEE30CD"/>
    <w:rsid w:val="0C030754"/>
    <w:rsid w:val="0C0F2A38"/>
    <w:rsid w:val="0C264442"/>
    <w:rsid w:val="0C470638"/>
    <w:rsid w:val="0C61547A"/>
    <w:rsid w:val="0C830B6C"/>
    <w:rsid w:val="0C840F3B"/>
    <w:rsid w:val="0C8C24F7"/>
    <w:rsid w:val="0C8C63AB"/>
    <w:rsid w:val="0C9615C8"/>
    <w:rsid w:val="0C9807F7"/>
    <w:rsid w:val="0CD22280"/>
    <w:rsid w:val="0CE045F1"/>
    <w:rsid w:val="0CE36DB4"/>
    <w:rsid w:val="0CFD7796"/>
    <w:rsid w:val="0D0F4ED6"/>
    <w:rsid w:val="0D136775"/>
    <w:rsid w:val="0D2E57AB"/>
    <w:rsid w:val="0D3F3A0E"/>
    <w:rsid w:val="0D523741"/>
    <w:rsid w:val="0D6B035F"/>
    <w:rsid w:val="0D6B6FFD"/>
    <w:rsid w:val="0D731C52"/>
    <w:rsid w:val="0D75536F"/>
    <w:rsid w:val="0D9A50E8"/>
    <w:rsid w:val="0DC62141"/>
    <w:rsid w:val="0DC67C8B"/>
    <w:rsid w:val="0DCD2DC7"/>
    <w:rsid w:val="0DF946FF"/>
    <w:rsid w:val="0E110D06"/>
    <w:rsid w:val="0E157A6C"/>
    <w:rsid w:val="0E1C2E40"/>
    <w:rsid w:val="0E33425C"/>
    <w:rsid w:val="0E35075A"/>
    <w:rsid w:val="0E356BBF"/>
    <w:rsid w:val="0E5350C9"/>
    <w:rsid w:val="0E5E1C72"/>
    <w:rsid w:val="0E6B25E0"/>
    <w:rsid w:val="0E6D6359"/>
    <w:rsid w:val="0E970926"/>
    <w:rsid w:val="0E9B2EC6"/>
    <w:rsid w:val="0EA57F58"/>
    <w:rsid w:val="0EAF4BC3"/>
    <w:rsid w:val="0EC107E0"/>
    <w:rsid w:val="0EC817E1"/>
    <w:rsid w:val="0ED47E74"/>
    <w:rsid w:val="0ED62150"/>
    <w:rsid w:val="0EE11D96"/>
    <w:rsid w:val="0EE7610B"/>
    <w:rsid w:val="0EEE7499"/>
    <w:rsid w:val="0F13775A"/>
    <w:rsid w:val="0F1A6FD6"/>
    <w:rsid w:val="0F220EF1"/>
    <w:rsid w:val="0F233AE0"/>
    <w:rsid w:val="0F274759"/>
    <w:rsid w:val="0F4E1E08"/>
    <w:rsid w:val="0F655282"/>
    <w:rsid w:val="0F706100"/>
    <w:rsid w:val="0F73799F"/>
    <w:rsid w:val="0F895414"/>
    <w:rsid w:val="0F8C0A60"/>
    <w:rsid w:val="0F91415D"/>
    <w:rsid w:val="0F914696"/>
    <w:rsid w:val="0F9A112B"/>
    <w:rsid w:val="0FA36571"/>
    <w:rsid w:val="0FB32491"/>
    <w:rsid w:val="0FC05C73"/>
    <w:rsid w:val="0FCB77DB"/>
    <w:rsid w:val="0FEE3208"/>
    <w:rsid w:val="1005229F"/>
    <w:rsid w:val="101051ED"/>
    <w:rsid w:val="1025513D"/>
    <w:rsid w:val="10257C82"/>
    <w:rsid w:val="10482BD9"/>
    <w:rsid w:val="104B26C9"/>
    <w:rsid w:val="105E41AB"/>
    <w:rsid w:val="106317C1"/>
    <w:rsid w:val="106C2D6C"/>
    <w:rsid w:val="106D2F64"/>
    <w:rsid w:val="10802373"/>
    <w:rsid w:val="10AA73F0"/>
    <w:rsid w:val="10B63710"/>
    <w:rsid w:val="10BC1CBE"/>
    <w:rsid w:val="10C8304A"/>
    <w:rsid w:val="10E24DDC"/>
    <w:rsid w:val="110C3016"/>
    <w:rsid w:val="110F1949"/>
    <w:rsid w:val="111331E7"/>
    <w:rsid w:val="111C2F7A"/>
    <w:rsid w:val="112C6057"/>
    <w:rsid w:val="112F644B"/>
    <w:rsid w:val="113013DE"/>
    <w:rsid w:val="1149120C"/>
    <w:rsid w:val="114F7F97"/>
    <w:rsid w:val="115F467E"/>
    <w:rsid w:val="11644A05"/>
    <w:rsid w:val="116E03F9"/>
    <w:rsid w:val="118916FB"/>
    <w:rsid w:val="119D0D03"/>
    <w:rsid w:val="11B85B3D"/>
    <w:rsid w:val="11CB5870"/>
    <w:rsid w:val="11E05D80"/>
    <w:rsid w:val="11E35E9B"/>
    <w:rsid w:val="11FC3E71"/>
    <w:rsid w:val="12046FD4"/>
    <w:rsid w:val="122B06C2"/>
    <w:rsid w:val="12620F04"/>
    <w:rsid w:val="12647A72"/>
    <w:rsid w:val="126A32DB"/>
    <w:rsid w:val="126B5812"/>
    <w:rsid w:val="12753A2E"/>
    <w:rsid w:val="127B54E8"/>
    <w:rsid w:val="128A3E26"/>
    <w:rsid w:val="1290609D"/>
    <w:rsid w:val="12AC4134"/>
    <w:rsid w:val="12AF5192"/>
    <w:rsid w:val="12B74046"/>
    <w:rsid w:val="12FB03D7"/>
    <w:rsid w:val="12FC5EFD"/>
    <w:rsid w:val="13053004"/>
    <w:rsid w:val="130628D8"/>
    <w:rsid w:val="13176A48"/>
    <w:rsid w:val="1319085D"/>
    <w:rsid w:val="135E2714"/>
    <w:rsid w:val="13622204"/>
    <w:rsid w:val="13855EF2"/>
    <w:rsid w:val="138C102F"/>
    <w:rsid w:val="138F0B1F"/>
    <w:rsid w:val="13946135"/>
    <w:rsid w:val="13951726"/>
    <w:rsid w:val="13961EAE"/>
    <w:rsid w:val="139F22A2"/>
    <w:rsid w:val="13C74BBE"/>
    <w:rsid w:val="13DC1FB6"/>
    <w:rsid w:val="13E85A91"/>
    <w:rsid w:val="140B1FEC"/>
    <w:rsid w:val="14107EB2"/>
    <w:rsid w:val="142E20E6"/>
    <w:rsid w:val="14396509"/>
    <w:rsid w:val="1447165C"/>
    <w:rsid w:val="14492261"/>
    <w:rsid w:val="14522278"/>
    <w:rsid w:val="14553B17"/>
    <w:rsid w:val="145A1CE5"/>
    <w:rsid w:val="145C4EA5"/>
    <w:rsid w:val="149E726C"/>
    <w:rsid w:val="14AD5701"/>
    <w:rsid w:val="14BA1BCC"/>
    <w:rsid w:val="14C34F24"/>
    <w:rsid w:val="14D26F15"/>
    <w:rsid w:val="15065FB8"/>
    <w:rsid w:val="154871D8"/>
    <w:rsid w:val="1549430F"/>
    <w:rsid w:val="155023CF"/>
    <w:rsid w:val="15510782"/>
    <w:rsid w:val="15763D67"/>
    <w:rsid w:val="1598015F"/>
    <w:rsid w:val="15A577C4"/>
    <w:rsid w:val="15B12FCF"/>
    <w:rsid w:val="15C72C05"/>
    <w:rsid w:val="15CC0C89"/>
    <w:rsid w:val="15D31197"/>
    <w:rsid w:val="15DB629E"/>
    <w:rsid w:val="15E04F64"/>
    <w:rsid w:val="15F13669"/>
    <w:rsid w:val="15F65866"/>
    <w:rsid w:val="16105F47"/>
    <w:rsid w:val="16314110"/>
    <w:rsid w:val="16340FFE"/>
    <w:rsid w:val="164B51D1"/>
    <w:rsid w:val="166167A3"/>
    <w:rsid w:val="166D15EC"/>
    <w:rsid w:val="167B0167"/>
    <w:rsid w:val="167C2D1D"/>
    <w:rsid w:val="169D7F44"/>
    <w:rsid w:val="16A13043"/>
    <w:rsid w:val="16BF171B"/>
    <w:rsid w:val="16C84A74"/>
    <w:rsid w:val="16CB00C0"/>
    <w:rsid w:val="16CD5BE6"/>
    <w:rsid w:val="16E86A2E"/>
    <w:rsid w:val="16F21AF1"/>
    <w:rsid w:val="16F74B8C"/>
    <w:rsid w:val="170B670F"/>
    <w:rsid w:val="17171557"/>
    <w:rsid w:val="172B7CA6"/>
    <w:rsid w:val="1732013F"/>
    <w:rsid w:val="1752258F"/>
    <w:rsid w:val="17676279"/>
    <w:rsid w:val="17710C68"/>
    <w:rsid w:val="17735226"/>
    <w:rsid w:val="17A32DEB"/>
    <w:rsid w:val="17A5171C"/>
    <w:rsid w:val="17A806FA"/>
    <w:rsid w:val="17C81174"/>
    <w:rsid w:val="17CA481C"/>
    <w:rsid w:val="17D44B46"/>
    <w:rsid w:val="17EB6C6C"/>
    <w:rsid w:val="18001FEB"/>
    <w:rsid w:val="18057602"/>
    <w:rsid w:val="181141F9"/>
    <w:rsid w:val="1824217E"/>
    <w:rsid w:val="183D3240"/>
    <w:rsid w:val="18494B82"/>
    <w:rsid w:val="18AE7C99"/>
    <w:rsid w:val="18C9062F"/>
    <w:rsid w:val="18CA54A8"/>
    <w:rsid w:val="18D51F0F"/>
    <w:rsid w:val="18E330A5"/>
    <w:rsid w:val="18E35613"/>
    <w:rsid w:val="18F17B89"/>
    <w:rsid w:val="18F27B86"/>
    <w:rsid w:val="190C5EC1"/>
    <w:rsid w:val="19121FD6"/>
    <w:rsid w:val="19141836"/>
    <w:rsid w:val="1921046B"/>
    <w:rsid w:val="19212219"/>
    <w:rsid w:val="19393A07"/>
    <w:rsid w:val="19515D36"/>
    <w:rsid w:val="19595958"/>
    <w:rsid w:val="195F03FF"/>
    <w:rsid w:val="19670574"/>
    <w:rsid w:val="19742C91"/>
    <w:rsid w:val="197B5DCD"/>
    <w:rsid w:val="197E766C"/>
    <w:rsid w:val="199155F1"/>
    <w:rsid w:val="19976A31"/>
    <w:rsid w:val="199F200C"/>
    <w:rsid w:val="19A35324"/>
    <w:rsid w:val="19B65375"/>
    <w:rsid w:val="19B66E06"/>
    <w:rsid w:val="19BC1F42"/>
    <w:rsid w:val="19BF4893"/>
    <w:rsid w:val="19E41BC5"/>
    <w:rsid w:val="1A1C66C0"/>
    <w:rsid w:val="1A3C5D88"/>
    <w:rsid w:val="1A42393B"/>
    <w:rsid w:val="1A46462D"/>
    <w:rsid w:val="1A472154"/>
    <w:rsid w:val="1A5328A6"/>
    <w:rsid w:val="1A58610F"/>
    <w:rsid w:val="1A5A3C35"/>
    <w:rsid w:val="1A660624"/>
    <w:rsid w:val="1A660973"/>
    <w:rsid w:val="1A6B1F4C"/>
    <w:rsid w:val="1A7578F5"/>
    <w:rsid w:val="1A7A6085"/>
    <w:rsid w:val="1A7A7E33"/>
    <w:rsid w:val="1A8E78C8"/>
    <w:rsid w:val="1A9829AF"/>
    <w:rsid w:val="1A9B7C43"/>
    <w:rsid w:val="1AB70990"/>
    <w:rsid w:val="1AB772D9"/>
    <w:rsid w:val="1AB931EA"/>
    <w:rsid w:val="1ABA0AB0"/>
    <w:rsid w:val="1ABD031C"/>
    <w:rsid w:val="1AC81784"/>
    <w:rsid w:val="1AE259D8"/>
    <w:rsid w:val="1AEE27A6"/>
    <w:rsid w:val="1AF20311"/>
    <w:rsid w:val="1AF36070"/>
    <w:rsid w:val="1B046F80"/>
    <w:rsid w:val="1B3267B5"/>
    <w:rsid w:val="1B455918"/>
    <w:rsid w:val="1B642891"/>
    <w:rsid w:val="1B6805D3"/>
    <w:rsid w:val="1B6D7998"/>
    <w:rsid w:val="1B731EBB"/>
    <w:rsid w:val="1B827539"/>
    <w:rsid w:val="1B9E5DA3"/>
    <w:rsid w:val="1BAA299A"/>
    <w:rsid w:val="1BB22A05"/>
    <w:rsid w:val="1BC0585B"/>
    <w:rsid w:val="1BC25DC8"/>
    <w:rsid w:val="1BC84F1B"/>
    <w:rsid w:val="1BCC1635"/>
    <w:rsid w:val="1BD23C9F"/>
    <w:rsid w:val="1BE063BC"/>
    <w:rsid w:val="1BE73992"/>
    <w:rsid w:val="1BF00AD8"/>
    <w:rsid w:val="1BFB4FA4"/>
    <w:rsid w:val="1BFC2ACA"/>
    <w:rsid w:val="1BFC4701"/>
    <w:rsid w:val="1C006A5E"/>
    <w:rsid w:val="1C0302FC"/>
    <w:rsid w:val="1C161DDD"/>
    <w:rsid w:val="1C183DA8"/>
    <w:rsid w:val="1C1B0F6D"/>
    <w:rsid w:val="1C1B2F7B"/>
    <w:rsid w:val="1C2233F4"/>
    <w:rsid w:val="1C454471"/>
    <w:rsid w:val="1C463DD2"/>
    <w:rsid w:val="1C5E7925"/>
    <w:rsid w:val="1C63497A"/>
    <w:rsid w:val="1C782A98"/>
    <w:rsid w:val="1C7A6810"/>
    <w:rsid w:val="1C7D1E5D"/>
    <w:rsid w:val="1C8036FB"/>
    <w:rsid w:val="1C887FC8"/>
    <w:rsid w:val="1C954CD6"/>
    <w:rsid w:val="1C9B22E3"/>
    <w:rsid w:val="1CAE7202"/>
    <w:rsid w:val="1CBF1617"/>
    <w:rsid w:val="1CEF02A3"/>
    <w:rsid w:val="1D16215F"/>
    <w:rsid w:val="1D320E99"/>
    <w:rsid w:val="1D352737"/>
    <w:rsid w:val="1D37025D"/>
    <w:rsid w:val="1D3B13F4"/>
    <w:rsid w:val="1D474C36"/>
    <w:rsid w:val="1D5F6196"/>
    <w:rsid w:val="1D6132A5"/>
    <w:rsid w:val="1D750D86"/>
    <w:rsid w:val="1D852EF3"/>
    <w:rsid w:val="1D8E56D5"/>
    <w:rsid w:val="1DA022A7"/>
    <w:rsid w:val="1DCF0496"/>
    <w:rsid w:val="1DD11EF5"/>
    <w:rsid w:val="1DDC2BB3"/>
    <w:rsid w:val="1DDE2DCF"/>
    <w:rsid w:val="1DE81558"/>
    <w:rsid w:val="1DF42051"/>
    <w:rsid w:val="1DF517C5"/>
    <w:rsid w:val="1DFC18B3"/>
    <w:rsid w:val="1E0438CE"/>
    <w:rsid w:val="1E0A7720"/>
    <w:rsid w:val="1E110AAE"/>
    <w:rsid w:val="1E225137"/>
    <w:rsid w:val="1E3E386E"/>
    <w:rsid w:val="1E4075E6"/>
    <w:rsid w:val="1E4C1AE7"/>
    <w:rsid w:val="1E6908EA"/>
    <w:rsid w:val="1E7A43DA"/>
    <w:rsid w:val="1EB277FE"/>
    <w:rsid w:val="1EBA30CC"/>
    <w:rsid w:val="1EC024D4"/>
    <w:rsid w:val="1EDA7BB3"/>
    <w:rsid w:val="1EDF6DFF"/>
    <w:rsid w:val="1EEB57A3"/>
    <w:rsid w:val="1F1840BF"/>
    <w:rsid w:val="1F184D1C"/>
    <w:rsid w:val="1F262A7C"/>
    <w:rsid w:val="1F264A2D"/>
    <w:rsid w:val="1F2B2044"/>
    <w:rsid w:val="1F3D7B34"/>
    <w:rsid w:val="1F4570D0"/>
    <w:rsid w:val="1F4C08A8"/>
    <w:rsid w:val="1F5350F7"/>
    <w:rsid w:val="1F5922CD"/>
    <w:rsid w:val="1F6D440A"/>
    <w:rsid w:val="1F7E6617"/>
    <w:rsid w:val="1F8352B0"/>
    <w:rsid w:val="1FA140B4"/>
    <w:rsid w:val="1FA53B6D"/>
    <w:rsid w:val="1FCE2AE6"/>
    <w:rsid w:val="1FD224BF"/>
    <w:rsid w:val="1FE346CD"/>
    <w:rsid w:val="1FE67D19"/>
    <w:rsid w:val="1FE7539E"/>
    <w:rsid w:val="1FEA6512"/>
    <w:rsid w:val="1FEB532F"/>
    <w:rsid w:val="1FF35C5B"/>
    <w:rsid w:val="200A1C59"/>
    <w:rsid w:val="200C18AC"/>
    <w:rsid w:val="200D169D"/>
    <w:rsid w:val="20104D96"/>
    <w:rsid w:val="201070BF"/>
    <w:rsid w:val="201B3E66"/>
    <w:rsid w:val="203B0065"/>
    <w:rsid w:val="205630F0"/>
    <w:rsid w:val="206F5F60"/>
    <w:rsid w:val="207460B1"/>
    <w:rsid w:val="20803CC9"/>
    <w:rsid w:val="208576B6"/>
    <w:rsid w:val="20917462"/>
    <w:rsid w:val="20963CB8"/>
    <w:rsid w:val="209D4F4E"/>
    <w:rsid w:val="20B07FB6"/>
    <w:rsid w:val="20B120D5"/>
    <w:rsid w:val="20D561D7"/>
    <w:rsid w:val="20DE51BB"/>
    <w:rsid w:val="210E39CB"/>
    <w:rsid w:val="211D3C0E"/>
    <w:rsid w:val="212251A4"/>
    <w:rsid w:val="21226EA3"/>
    <w:rsid w:val="213A47C0"/>
    <w:rsid w:val="213B74B1"/>
    <w:rsid w:val="213D605E"/>
    <w:rsid w:val="21511635"/>
    <w:rsid w:val="21577120"/>
    <w:rsid w:val="215A2310"/>
    <w:rsid w:val="21617F9F"/>
    <w:rsid w:val="216929AF"/>
    <w:rsid w:val="217575A6"/>
    <w:rsid w:val="217D6FA5"/>
    <w:rsid w:val="217E28FF"/>
    <w:rsid w:val="219F2875"/>
    <w:rsid w:val="21A734D8"/>
    <w:rsid w:val="21B17BF7"/>
    <w:rsid w:val="21BE2CFB"/>
    <w:rsid w:val="21C127EB"/>
    <w:rsid w:val="21C75A6D"/>
    <w:rsid w:val="21D4251F"/>
    <w:rsid w:val="21D7200F"/>
    <w:rsid w:val="21DA565B"/>
    <w:rsid w:val="21DC37D4"/>
    <w:rsid w:val="21DE318A"/>
    <w:rsid w:val="21EF5B80"/>
    <w:rsid w:val="21FF0FBD"/>
    <w:rsid w:val="22044FB8"/>
    <w:rsid w:val="220A5F40"/>
    <w:rsid w:val="221548E5"/>
    <w:rsid w:val="22510509"/>
    <w:rsid w:val="22510FE7"/>
    <w:rsid w:val="22576990"/>
    <w:rsid w:val="22576CAC"/>
    <w:rsid w:val="22717D6E"/>
    <w:rsid w:val="22736352"/>
    <w:rsid w:val="22737995"/>
    <w:rsid w:val="227B6E3E"/>
    <w:rsid w:val="228A3CA2"/>
    <w:rsid w:val="229C4EAB"/>
    <w:rsid w:val="22A92FC0"/>
    <w:rsid w:val="22AB3233"/>
    <w:rsid w:val="22B717AA"/>
    <w:rsid w:val="22C04F40"/>
    <w:rsid w:val="22D60519"/>
    <w:rsid w:val="22FB6DBB"/>
    <w:rsid w:val="22FF7A6F"/>
    <w:rsid w:val="23001318"/>
    <w:rsid w:val="23103A2A"/>
    <w:rsid w:val="231132FF"/>
    <w:rsid w:val="2328666A"/>
    <w:rsid w:val="234348AC"/>
    <w:rsid w:val="23461B9F"/>
    <w:rsid w:val="234C3850"/>
    <w:rsid w:val="238B1303"/>
    <w:rsid w:val="238E0DF3"/>
    <w:rsid w:val="23E26A49"/>
    <w:rsid w:val="23ED5B1A"/>
    <w:rsid w:val="23F944BF"/>
    <w:rsid w:val="23FF75FB"/>
    <w:rsid w:val="24117358"/>
    <w:rsid w:val="24212F0F"/>
    <w:rsid w:val="242576DC"/>
    <w:rsid w:val="243467B4"/>
    <w:rsid w:val="24444F16"/>
    <w:rsid w:val="244514B2"/>
    <w:rsid w:val="244F47D6"/>
    <w:rsid w:val="24577437"/>
    <w:rsid w:val="24600681"/>
    <w:rsid w:val="24967F5F"/>
    <w:rsid w:val="24A77F65"/>
    <w:rsid w:val="24AA32E6"/>
    <w:rsid w:val="24AA57B9"/>
    <w:rsid w:val="24B2466D"/>
    <w:rsid w:val="24B71C84"/>
    <w:rsid w:val="24C3687B"/>
    <w:rsid w:val="24C75E0E"/>
    <w:rsid w:val="24D42836"/>
    <w:rsid w:val="24DE624F"/>
    <w:rsid w:val="24F86DAC"/>
    <w:rsid w:val="250D0E48"/>
    <w:rsid w:val="251315B0"/>
    <w:rsid w:val="25237319"/>
    <w:rsid w:val="252C0DB5"/>
    <w:rsid w:val="252D53FE"/>
    <w:rsid w:val="253A156C"/>
    <w:rsid w:val="25736817"/>
    <w:rsid w:val="257D763C"/>
    <w:rsid w:val="258A1146"/>
    <w:rsid w:val="25911C34"/>
    <w:rsid w:val="25981AB5"/>
    <w:rsid w:val="25A3170C"/>
    <w:rsid w:val="25A8619C"/>
    <w:rsid w:val="25AD6BEE"/>
    <w:rsid w:val="25C32FD6"/>
    <w:rsid w:val="25E116AE"/>
    <w:rsid w:val="25EC2D81"/>
    <w:rsid w:val="25F50CB6"/>
    <w:rsid w:val="25FC0296"/>
    <w:rsid w:val="26024DE0"/>
    <w:rsid w:val="26064C71"/>
    <w:rsid w:val="26084E8D"/>
    <w:rsid w:val="260B2287"/>
    <w:rsid w:val="261B5221"/>
    <w:rsid w:val="26213859"/>
    <w:rsid w:val="262D3150"/>
    <w:rsid w:val="262E3697"/>
    <w:rsid w:val="264528BD"/>
    <w:rsid w:val="264A1001"/>
    <w:rsid w:val="264D0AF2"/>
    <w:rsid w:val="26697889"/>
    <w:rsid w:val="266B541C"/>
    <w:rsid w:val="266D4CF0"/>
    <w:rsid w:val="266F6CBA"/>
    <w:rsid w:val="267B5DCA"/>
    <w:rsid w:val="26812549"/>
    <w:rsid w:val="269F0C21"/>
    <w:rsid w:val="26B11081"/>
    <w:rsid w:val="26B50445"/>
    <w:rsid w:val="26C8461C"/>
    <w:rsid w:val="26CC5EBA"/>
    <w:rsid w:val="26CD1C32"/>
    <w:rsid w:val="26D44D6F"/>
    <w:rsid w:val="27124E5F"/>
    <w:rsid w:val="27170840"/>
    <w:rsid w:val="271866BD"/>
    <w:rsid w:val="271E248E"/>
    <w:rsid w:val="27256F7F"/>
    <w:rsid w:val="274F0899"/>
    <w:rsid w:val="276B714E"/>
    <w:rsid w:val="27716A62"/>
    <w:rsid w:val="2772524E"/>
    <w:rsid w:val="278510AC"/>
    <w:rsid w:val="279064BF"/>
    <w:rsid w:val="27912C60"/>
    <w:rsid w:val="27AC64E8"/>
    <w:rsid w:val="27AC7A9A"/>
    <w:rsid w:val="27B32BD6"/>
    <w:rsid w:val="27B40F5F"/>
    <w:rsid w:val="27B740EB"/>
    <w:rsid w:val="27C939AE"/>
    <w:rsid w:val="27D15DD1"/>
    <w:rsid w:val="27E55A5D"/>
    <w:rsid w:val="27E93325"/>
    <w:rsid w:val="280276BA"/>
    <w:rsid w:val="280C5449"/>
    <w:rsid w:val="2818512F"/>
    <w:rsid w:val="2822781A"/>
    <w:rsid w:val="285A3418"/>
    <w:rsid w:val="288051AE"/>
    <w:rsid w:val="28877DE9"/>
    <w:rsid w:val="289472E1"/>
    <w:rsid w:val="289F39F9"/>
    <w:rsid w:val="28A15125"/>
    <w:rsid w:val="28A30E9D"/>
    <w:rsid w:val="28A644E9"/>
    <w:rsid w:val="28A76295"/>
    <w:rsid w:val="28B704A4"/>
    <w:rsid w:val="28FB4835"/>
    <w:rsid w:val="291D2EB4"/>
    <w:rsid w:val="29206EB8"/>
    <w:rsid w:val="292B0388"/>
    <w:rsid w:val="2934650A"/>
    <w:rsid w:val="294A756A"/>
    <w:rsid w:val="294C5AD2"/>
    <w:rsid w:val="294C7E51"/>
    <w:rsid w:val="2952510D"/>
    <w:rsid w:val="295D54F0"/>
    <w:rsid w:val="2975293D"/>
    <w:rsid w:val="298567F4"/>
    <w:rsid w:val="298E7457"/>
    <w:rsid w:val="299D3B3E"/>
    <w:rsid w:val="29A22DDE"/>
    <w:rsid w:val="29AA75E0"/>
    <w:rsid w:val="29B823C8"/>
    <w:rsid w:val="29C72DBB"/>
    <w:rsid w:val="29C74208"/>
    <w:rsid w:val="29D71CDA"/>
    <w:rsid w:val="29DD218D"/>
    <w:rsid w:val="29DF7CB3"/>
    <w:rsid w:val="29E325E0"/>
    <w:rsid w:val="29E9546E"/>
    <w:rsid w:val="29F179E6"/>
    <w:rsid w:val="29F85218"/>
    <w:rsid w:val="29FD282F"/>
    <w:rsid w:val="29FD638B"/>
    <w:rsid w:val="2A0552F1"/>
    <w:rsid w:val="2A0E0EA1"/>
    <w:rsid w:val="2A1A0CEB"/>
    <w:rsid w:val="2A204F8D"/>
    <w:rsid w:val="2A452503"/>
    <w:rsid w:val="2A5A1A2F"/>
    <w:rsid w:val="2A5F2D91"/>
    <w:rsid w:val="2A680A87"/>
    <w:rsid w:val="2A7C47D4"/>
    <w:rsid w:val="2A992557"/>
    <w:rsid w:val="2A9E6D4C"/>
    <w:rsid w:val="2AA131BA"/>
    <w:rsid w:val="2AAD6003"/>
    <w:rsid w:val="2ABB0720"/>
    <w:rsid w:val="2AD01A7A"/>
    <w:rsid w:val="2AE00615"/>
    <w:rsid w:val="2B0D71CD"/>
    <w:rsid w:val="2B243A89"/>
    <w:rsid w:val="2B2A1401"/>
    <w:rsid w:val="2B317534"/>
    <w:rsid w:val="2B606BD1"/>
    <w:rsid w:val="2B6C1A1A"/>
    <w:rsid w:val="2B753952"/>
    <w:rsid w:val="2BA936A8"/>
    <w:rsid w:val="2BAD7E8C"/>
    <w:rsid w:val="2BC52ED8"/>
    <w:rsid w:val="2BC5737C"/>
    <w:rsid w:val="2BD01C52"/>
    <w:rsid w:val="2BFC07F2"/>
    <w:rsid w:val="2BFD1B79"/>
    <w:rsid w:val="2C0003B4"/>
    <w:rsid w:val="2C167BD8"/>
    <w:rsid w:val="2C273B93"/>
    <w:rsid w:val="2C29268F"/>
    <w:rsid w:val="2C315A5A"/>
    <w:rsid w:val="2C3758DA"/>
    <w:rsid w:val="2C385DA0"/>
    <w:rsid w:val="2C3F0EDD"/>
    <w:rsid w:val="2C752B50"/>
    <w:rsid w:val="2C83526D"/>
    <w:rsid w:val="2C842D93"/>
    <w:rsid w:val="2C8763E0"/>
    <w:rsid w:val="2CBB537D"/>
    <w:rsid w:val="2CCB09C2"/>
    <w:rsid w:val="2CD535EF"/>
    <w:rsid w:val="2CD77293"/>
    <w:rsid w:val="2CF076B6"/>
    <w:rsid w:val="2D087E61"/>
    <w:rsid w:val="2D256324"/>
    <w:rsid w:val="2D287BC3"/>
    <w:rsid w:val="2D297497"/>
    <w:rsid w:val="2D306A77"/>
    <w:rsid w:val="2D37340D"/>
    <w:rsid w:val="2D4D2A86"/>
    <w:rsid w:val="2D61122B"/>
    <w:rsid w:val="2D76092E"/>
    <w:rsid w:val="2D917516"/>
    <w:rsid w:val="2D9E56F5"/>
    <w:rsid w:val="2DBE22D5"/>
    <w:rsid w:val="2DC55411"/>
    <w:rsid w:val="2DCB59DC"/>
    <w:rsid w:val="2DF45832"/>
    <w:rsid w:val="2DF745EF"/>
    <w:rsid w:val="2E166E98"/>
    <w:rsid w:val="2E1B4CEA"/>
    <w:rsid w:val="2E2E2FB7"/>
    <w:rsid w:val="2E433BD4"/>
    <w:rsid w:val="2E4610C5"/>
    <w:rsid w:val="2E532A1D"/>
    <w:rsid w:val="2E5549E7"/>
    <w:rsid w:val="2E667F96"/>
    <w:rsid w:val="2E6966E5"/>
    <w:rsid w:val="2E6E0F52"/>
    <w:rsid w:val="2E6F2765"/>
    <w:rsid w:val="2E734E6D"/>
    <w:rsid w:val="2E8157DC"/>
    <w:rsid w:val="2E8226AB"/>
    <w:rsid w:val="2E9276CB"/>
    <w:rsid w:val="2E99312E"/>
    <w:rsid w:val="2E9E25BD"/>
    <w:rsid w:val="2EA17C2D"/>
    <w:rsid w:val="2EAC4B33"/>
    <w:rsid w:val="2EAE6C4B"/>
    <w:rsid w:val="2EB01C1E"/>
    <w:rsid w:val="2EBF00B3"/>
    <w:rsid w:val="2EC12093"/>
    <w:rsid w:val="2ECD27D0"/>
    <w:rsid w:val="2ED753FC"/>
    <w:rsid w:val="2EFE7C09"/>
    <w:rsid w:val="2F081A5A"/>
    <w:rsid w:val="2F313E39"/>
    <w:rsid w:val="2F3A598B"/>
    <w:rsid w:val="2F3C1703"/>
    <w:rsid w:val="2F477631"/>
    <w:rsid w:val="2F4A2072"/>
    <w:rsid w:val="2F5469B2"/>
    <w:rsid w:val="2F5729E1"/>
    <w:rsid w:val="2F6B1FE9"/>
    <w:rsid w:val="2F6C4D1C"/>
    <w:rsid w:val="2F6D7B0F"/>
    <w:rsid w:val="2F7013AD"/>
    <w:rsid w:val="2F723377"/>
    <w:rsid w:val="2F832C79"/>
    <w:rsid w:val="2F927575"/>
    <w:rsid w:val="2F985BB8"/>
    <w:rsid w:val="2FA01C92"/>
    <w:rsid w:val="2FA33530"/>
    <w:rsid w:val="2FB90FA6"/>
    <w:rsid w:val="2FC07A03"/>
    <w:rsid w:val="2FDD4C94"/>
    <w:rsid w:val="2FE204FD"/>
    <w:rsid w:val="2FE57FED"/>
    <w:rsid w:val="2FEF2D58"/>
    <w:rsid w:val="300264A9"/>
    <w:rsid w:val="300844C5"/>
    <w:rsid w:val="301F6647"/>
    <w:rsid w:val="3025663B"/>
    <w:rsid w:val="302B2C09"/>
    <w:rsid w:val="30336FAA"/>
    <w:rsid w:val="3049730B"/>
    <w:rsid w:val="30517430"/>
    <w:rsid w:val="30580BC9"/>
    <w:rsid w:val="306A10C8"/>
    <w:rsid w:val="307A0735"/>
    <w:rsid w:val="30AE03DF"/>
    <w:rsid w:val="30B71989"/>
    <w:rsid w:val="30C35D16"/>
    <w:rsid w:val="30CB2D3F"/>
    <w:rsid w:val="30DB21E2"/>
    <w:rsid w:val="30DB345E"/>
    <w:rsid w:val="30E21733"/>
    <w:rsid w:val="30E42053"/>
    <w:rsid w:val="30E42DF1"/>
    <w:rsid w:val="30F063B0"/>
    <w:rsid w:val="30F42CCB"/>
    <w:rsid w:val="30F73B34"/>
    <w:rsid w:val="310C576F"/>
    <w:rsid w:val="3115220C"/>
    <w:rsid w:val="311E2ED7"/>
    <w:rsid w:val="312132A7"/>
    <w:rsid w:val="312243DD"/>
    <w:rsid w:val="31224929"/>
    <w:rsid w:val="31233F6B"/>
    <w:rsid w:val="312D39F9"/>
    <w:rsid w:val="3133601F"/>
    <w:rsid w:val="3148438F"/>
    <w:rsid w:val="31572824"/>
    <w:rsid w:val="315C42DF"/>
    <w:rsid w:val="315C449C"/>
    <w:rsid w:val="316250E0"/>
    <w:rsid w:val="316D2048"/>
    <w:rsid w:val="318006D9"/>
    <w:rsid w:val="319E66A5"/>
    <w:rsid w:val="31A85EDD"/>
    <w:rsid w:val="31B163D9"/>
    <w:rsid w:val="31B82709"/>
    <w:rsid w:val="31D2634F"/>
    <w:rsid w:val="31D50CAE"/>
    <w:rsid w:val="31D9148B"/>
    <w:rsid w:val="31DD43DD"/>
    <w:rsid w:val="31EA5447"/>
    <w:rsid w:val="31F86357"/>
    <w:rsid w:val="32116E77"/>
    <w:rsid w:val="3212499D"/>
    <w:rsid w:val="32384404"/>
    <w:rsid w:val="323F06E5"/>
    <w:rsid w:val="32400B34"/>
    <w:rsid w:val="32494863"/>
    <w:rsid w:val="324A70A0"/>
    <w:rsid w:val="32572EF1"/>
    <w:rsid w:val="32594F85"/>
    <w:rsid w:val="32655415"/>
    <w:rsid w:val="326649B8"/>
    <w:rsid w:val="326B5925"/>
    <w:rsid w:val="32782821"/>
    <w:rsid w:val="32867865"/>
    <w:rsid w:val="329E6876"/>
    <w:rsid w:val="32B02833"/>
    <w:rsid w:val="32B048E2"/>
    <w:rsid w:val="32BA12BD"/>
    <w:rsid w:val="32E1088C"/>
    <w:rsid w:val="3304078A"/>
    <w:rsid w:val="330E33B7"/>
    <w:rsid w:val="33240E2C"/>
    <w:rsid w:val="3341378C"/>
    <w:rsid w:val="334A7E22"/>
    <w:rsid w:val="336F02F9"/>
    <w:rsid w:val="337C47C4"/>
    <w:rsid w:val="3391440C"/>
    <w:rsid w:val="33BA5704"/>
    <w:rsid w:val="33C06DA7"/>
    <w:rsid w:val="33D934D4"/>
    <w:rsid w:val="33DC5263"/>
    <w:rsid w:val="33E74334"/>
    <w:rsid w:val="33FE2F6A"/>
    <w:rsid w:val="34017CB5"/>
    <w:rsid w:val="341E642D"/>
    <w:rsid w:val="3422536C"/>
    <w:rsid w:val="342256D1"/>
    <w:rsid w:val="342F3E2C"/>
    <w:rsid w:val="34443AB5"/>
    <w:rsid w:val="3447392B"/>
    <w:rsid w:val="344A2B14"/>
    <w:rsid w:val="344C4197"/>
    <w:rsid w:val="34574FF0"/>
    <w:rsid w:val="345E3ECA"/>
    <w:rsid w:val="346A0AC1"/>
    <w:rsid w:val="3474193F"/>
    <w:rsid w:val="34757B91"/>
    <w:rsid w:val="347E631A"/>
    <w:rsid w:val="347F3272"/>
    <w:rsid w:val="3488696F"/>
    <w:rsid w:val="3489363D"/>
    <w:rsid w:val="34A277E4"/>
    <w:rsid w:val="34A87EF5"/>
    <w:rsid w:val="34B61F58"/>
    <w:rsid w:val="34CF3F19"/>
    <w:rsid w:val="34D1048B"/>
    <w:rsid w:val="34EC7728"/>
    <w:rsid w:val="350031D3"/>
    <w:rsid w:val="35054CFD"/>
    <w:rsid w:val="351647A5"/>
    <w:rsid w:val="35260E8C"/>
    <w:rsid w:val="35584DBD"/>
    <w:rsid w:val="355A0B35"/>
    <w:rsid w:val="35645510"/>
    <w:rsid w:val="35664722"/>
    <w:rsid w:val="3578382F"/>
    <w:rsid w:val="357C0AAC"/>
    <w:rsid w:val="35A3428A"/>
    <w:rsid w:val="35AB262E"/>
    <w:rsid w:val="35B4484A"/>
    <w:rsid w:val="35B71AE4"/>
    <w:rsid w:val="35C91817"/>
    <w:rsid w:val="35D2691D"/>
    <w:rsid w:val="35D77BA3"/>
    <w:rsid w:val="35E84393"/>
    <w:rsid w:val="35EA010B"/>
    <w:rsid w:val="35EE4665"/>
    <w:rsid w:val="35F37FDF"/>
    <w:rsid w:val="36054D5D"/>
    <w:rsid w:val="36062A6B"/>
    <w:rsid w:val="36074A7F"/>
    <w:rsid w:val="362966B9"/>
    <w:rsid w:val="36372C24"/>
    <w:rsid w:val="365C2A91"/>
    <w:rsid w:val="366605C1"/>
    <w:rsid w:val="366E255A"/>
    <w:rsid w:val="36923549"/>
    <w:rsid w:val="369849BD"/>
    <w:rsid w:val="369E2CA4"/>
    <w:rsid w:val="369E4A52"/>
    <w:rsid w:val="36A55DE0"/>
    <w:rsid w:val="36A61FEF"/>
    <w:rsid w:val="36A926BA"/>
    <w:rsid w:val="36B75FBF"/>
    <w:rsid w:val="36BE0161"/>
    <w:rsid w:val="36EA0D42"/>
    <w:rsid w:val="36EC376B"/>
    <w:rsid w:val="36FB4891"/>
    <w:rsid w:val="36FF3742"/>
    <w:rsid w:val="372413FB"/>
    <w:rsid w:val="37307DA0"/>
    <w:rsid w:val="374750E9"/>
    <w:rsid w:val="374C49E0"/>
    <w:rsid w:val="375021F0"/>
    <w:rsid w:val="37654361"/>
    <w:rsid w:val="37732E50"/>
    <w:rsid w:val="377B46F5"/>
    <w:rsid w:val="377C2FB4"/>
    <w:rsid w:val="37A809B4"/>
    <w:rsid w:val="37C93D50"/>
    <w:rsid w:val="37CB5D1A"/>
    <w:rsid w:val="37CB7AC8"/>
    <w:rsid w:val="37CD4F08"/>
    <w:rsid w:val="37D526F5"/>
    <w:rsid w:val="37ED7A3F"/>
    <w:rsid w:val="38174ABC"/>
    <w:rsid w:val="38271FD7"/>
    <w:rsid w:val="383E025E"/>
    <w:rsid w:val="38593C76"/>
    <w:rsid w:val="38657F1D"/>
    <w:rsid w:val="38683569"/>
    <w:rsid w:val="38707A07"/>
    <w:rsid w:val="38710670"/>
    <w:rsid w:val="387C0DC3"/>
    <w:rsid w:val="3881462B"/>
    <w:rsid w:val="388D1222"/>
    <w:rsid w:val="38991974"/>
    <w:rsid w:val="38AF2F46"/>
    <w:rsid w:val="38DA279F"/>
    <w:rsid w:val="38EC7CF6"/>
    <w:rsid w:val="38F12CD3"/>
    <w:rsid w:val="38F94775"/>
    <w:rsid w:val="38FB1D0B"/>
    <w:rsid w:val="39007C46"/>
    <w:rsid w:val="3902576C"/>
    <w:rsid w:val="390B4E92"/>
    <w:rsid w:val="390C0398"/>
    <w:rsid w:val="391C5552"/>
    <w:rsid w:val="39227BBC"/>
    <w:rsid w:val="392971ED"/>
    <w:rsid w:val="393B2A2C"/>
    <w:rsid w:val="39561EE2"/>
    <w:rsid w:val="395871B1"/>
    <w:rsid w:val="396106E4"/>
    <w:rsid w:val="39633218"/>
    <w:rsid w:val="39693A3D"/>
    <w:rsid w:val="3971469F"/>
    <w:rsid w:val="397A3554"/>
    <w:rsid w:val="39902D77"/>
    <w:rsid w:val="39C649EB"/>
    <w:rsid w:val="39EA717E"/>
    <w:rsid w:val="39F10560"/>
    <w:rsid w:val="3A4335A9"/>
    <w:rsid w:val="3A6665B9"/>
    <w:rsid w:val="3A6D4E67"/>
    <w:rsid w:val="3A72247D"/>
    <w:rsid w:val="3A773C64"/>
    <w:rsid w:val="3A8B1822"/>
    <w:rsid w:val="3AB331C1"/>
    <w:rsid w:val="3AB962FE"/>
    <w:rsid w:val="3AC0768C"/>
    <w:rsid w:val="3AC54CA3"/>
    <w:rsid w:val="3AC76C6D"/>
    <w:rsid w:val="3AD62A0C"/>
    <w:rsid w:val="3AD76784"/>
    <w:rsid w:val="3ADD4291"/>
    <w:rsid w:val="3AF663C1"/>
    <w:rsid w:val="3AF9494C"/>
    <w:rsid w:val="3AFC045B"/>
    <w:rsid w:val="3B0035A2"/>
    <w:rsid w:val="3B3763D1"/>
    <w:rsid w:val="3B3836EE"/>
    <w:rsid w:val="3B3F4A55"/>
    <w:rsid w:val="3B5D312D"/>
    <w:rsid w:val="3B5F5750"/>
    <w:rsid w:val="3B6567D9"/>
    <w:rsid w:val="3B673FAC"/>
    <w:rsid w:val="3B752BFF"/>
    <w:rsid w:val="3B7C2623"/>
    <w:rsid w:val="3B7D37CF"/>
    <w:rsid w:val="3B8612BB"/>
    <w:rsid w:val="3B940EDF"/>
    <w:rsid w:val="3B9C1B4D"/>
    <w:rsid w:val="3B9D4C98"/>
    <w:rsid w:val="3BA1126C"/>
    <w:rsid w:val="3BB56AC5"/>
    <w:rsid w:val="3BE3534E"/>
    <w:rsid w:val="3BE455FD"/>
    <w:rsid w:val="3BE92650"/>
    <w:rsid w:val="3BEB0739"/>
    <w:rsid w:val="3BF375EE"/>
    <w:rsid w:val="3C0761D6"/>
    <w:rsid w:val="3C097069"/>
    <w:rsid w:val="3C1C6B44"/>
    <w:rsid w:val="3C27466A"/>
    <w:rsid w:val="3C30439E"/>
    <w:rsid w:val="3C333E8E"/>
    <w:rsid w:val="3C3C2D43"/>
    <w:rsid w:val="3C3D6ABB"/>
    <w:rsid w:val="3C6109FB"/>
    <w:rsid w:val="3C685A3C"/>
    <w:rsid w:val="3C8808DE"/>
    <w:rsid w:val="3CA628B2"/>
    <w:rsid w:val="3CB7686D"/>
    <w:rsid w:val="3CD25455"/>
    <w:rsid w:val="3CDA245A"/>
    <w:rsid w:val="3CDD30F6"/>
    <w:rsid w:val="3CE358B4"/>
    <w:rsid w:val="3CE50B63"/>
    <w:rsid w:val="3CE520B7"/>
    <w:rsid w:val="3CED04E1"/>
    <w:rsid w:val="3CEE0A37"/>
    <w:rsid w:val="3D0A4BEF"/>
    <w:rsid w:val="3D257C7B"/>
    <w:rsid w:val="3D281519"/>
    <w:rsid w:val="3D324146"/>
    <w:rsid w:val="3D4070E8"/>
    <w:rsid w:val="3D687B67"/>
    <w:rsid w:val="3D6C76C2"/>
    <w:rsid w:val="3D840E45"/>
    <w:rsid w:val="3D8E3A72"/>
    <w:rsid w:val="3D956BAE"/>
    <w:rsid w:val="3D9D3CB5"/>
    <w:rsid w:val="3DA467FC"/>
    <w:rsid w:val="3DB66B25"/>
    <w:rsid w:val="3DBC05DF"/>
    <w:rsid w:val="3DD516A1"/>
    <w:rsid w:val="3DDA38B1"/>
    <w:rsid w:val="3DE3191F"/>
    <w:rsid w:val="3DF80EEB"/>
    <w:rsid w:val="3DFB09DB"/>
    <w:rsid w:val="3DFF005A"/>
    <w:rsid w:val="3E1C2553"/>
    <w:rsid w:val="3E222DE5"/>
    <w:rsid w:val="3E29379B"/>
    <w:rsid w:val="3E353EED"/>
    <w:rsid w:val="3E3839DE"/>
    <w:rsid w:val="3E434C35"/>
    <w:rsid w:val="3E52684D"/>
    <w:rsid w:val="3E5F6F2E"/>
    <w:rsid w:val="3E693B97"/>
    <w:rsid w:val="3E745FA0"/>
    <w:rsid w:val="3E76169E"/>
    <w:rsid w:val="3E7D047A"/>
    <w:rsid w:val="3E8D7F99"/>
    <w:rsid w:val="3E921340"/>
    <w:rsid w:val="3EA472ED"/>
    <w:rsid w:val="3EAF0633"/>
    <w:rsid w:val="3EB56DDC"/>
    <w:rsid w:val="3EC768F4"/>
    <w:rsid w:val="3ED675AA"/>
    <w:rsid w:val="3EDD6FEC"/>
    <w:rsid w:val="3EDE4585"/>
    <w:rsid w:val="3EE939CC"/>
    <w:rsid w:val="3EF142B8"/>
    <w:rsid w:val="3EFB5137"/>
    <w:rsid w:val="3F042F21"/>
    <w:rsid w:val="3F06105C"/>
    <w:rsid w:val="3F185CE9"/>
    <w:rsid w:val="3F3A77D6"/>
    <w:rsid w:val="3F4A39C9"/>
    <w:rsid w:val="3F5860E5"/>
    <w:rsid w:val="3F593C0C"/>
    <w:rsid w:val="3F660E74"/>
    <w:rsid w:val="3F6A05CF"/>
    <w:rsid w:val="3F732F1F"/>
    <w:rsid w:val="3F795F1D"/>
    <w:rsid w:val="3F7F7B16"/>
    <w:rsid w:val="3F864C9D"/>
    <w:rsid w:val="3F8769CB"/>
    <w:rsid w:val="3FBB6674"/>
    <w:rsid w:val="3FC45529"/>
    <w:rsid w:val="3FC65745"/>
    <w:rsid w:val="3FC714BD"/>
    <w:rsid w:val="3FCC262F"/>
    <w:rsid w:val="3FD15B73"/>
    <w:rsid w:val="3FD2156D"/>
    <w:rsid w:val="3FD63366"/>
    <w:rsid w:val="3FDE03B7"/>
    <w:rsid w:val="3FE80DB9"/>
    <w:rsid w:val="3FF04570"/>
    <w:rsid w:val="3FF51B86"/>
    <w:rsid w:val="3FFC00F9"/>
    <w:rsid w:val="40063D93"/>
    <w:rsid w:val="40097685"/>
    <w:rsid w:val="40104C12"/>
    <w:rsid w:val="40460634"/>
    <w:rsid w:val="404F2906"/>
    <w:rsid w:val="40747AD3"/>
    <w:rsid w:val="407623F3"/>
    <w:rsid w:val="40786313"/>
    <w:rsid w:val="407A6407"/>
    <w:rsid w:val="409A0980"/>
    <w:rsid w:val="40A610D2"/>
    <w:rsid w:val="40A62E81"/>
    <w:rsid w:val="40AF4FAA"/>
    <w:rsid w:val="40B05AAD"/>
    <w:rsid w:val="40D914A8"/>
    <w:rsid w:val="40E67721"/>
    <w:rsid w:val="40EB606D"/>
    <w:rsid w:val="40F97454"/>
    <w:rsid w:val="40FA369A"/>
    <w:rsid w:val="40FD165F"/>
    <w:rsid w:val="41160725"/>
    <w:rsid w:val="411C1395"/>
    <w:rsid w:val="411E335F"/>
    <w:rsid w:val="412020E6"/>
    <w:rsid w:val="412D2AD6"/>
    <w:rsid w:val="412F2E76"/>
    <w:rsid w:val="41436921"/>
    <w:rsid w:val="414845C1"/>
    <w:rsid w:val="418426C5"/>
    <w:rsid w:val="41847666"/>
    <w:rsid w:val="41872CB2"/>
    <w:rsid w:val="418D5DEE"/>
    <w:rsid w:val="41B16A4B"/>
    <w:rsid w:val="41B20F4B"/>
    <w:rsid w:val="41B415CD"/>
    <w:rsid w:val="41CE2E0E"/>
    <w:rsid w:val="41DC5E77"/>
    <w:rsid w:val="41F63994"/>
    <w:rsid w:val="42022339"/>
    <w:rsid w:val="42092793"/>
    <w:rsid w:val="422601E3"/>
    <w:rsid w:val="42353CCD"/>
    <w:rsid w:val="423A3BCC"/>
    <w:rsid w:val="423D5A66"/>
    <w:rsid w:val="42437CF5"/>
    <w:rsid w:val="4265439A"/>
    <w:rsid w:val="42722B78"/>
    <w:rsid w:val="42764A3E"/>
    <w:rsid w:val="427A45C5"/>
    <w:rsid w:val="4281050D"/>
    <w:rsid w:val="42931F04"/>
    <w:rsid w:val="42A76C14"/>
    <w:rsid w:val="42B71375"/>
    <w:rsid w:val="42C6780A"/>
    <w:rsid w:val="42CA7F23"/>
    <w:rsid w:val="42D37DB5"/>
    <w:rsid w:val="42D9578F"/>
    <w:rsid w:val="42DB72D5"/>
    <w:rsid w:val="42DF77E8"/>
    <w:rsid w:val="42E1384A"/>
    <w:rsid w:val="42ED4D97"/>
    <w:rsid w:val="42F56341"/>
    <w:rsid w:val="43041806"/>
    <w:rsid w:val="430A3EE5"/>
    <w:rsid w:val="430B40D6"/>
    <w:rsid w:val="431C38CE"/>
    <w:rsid w:val="432602A9"/>
    <w:rsid w:val="433A6FE6"/>
    <w:rsid w:val="433C7ACC"/>
    <w:rsid w:val="4340580E"/>
    <w:rsid w:val="434314A4"/>
    <w:rsid w:val="43432C09"/>
    <w:rsid w:val="434D2655"/>
    <w:rsid w:val="4350713C"/>
    <w:rsid w:val="43572B58"/>
    <w:rsid w:val="435B61A4"/>
    <w:rsid w:val="436653E0"/>
    <w:rsid w:val="4367298D"/>
    <w:rsid w:val="437234EE"/>
    <w:rsid w:val="43853221"/>
    <w:rsid w:val="43993170"/>
    <w:rsid w:val="43A22025"/>
    <w:rsid w:val="43C95E9E"/>
    <w:rsid w:val="43D3781F"/>
    <w:rsid w:val="43EC7EAE"/>
    <w:rsid w:val="43F62371"/>
    <w:rsid w:val="441571FA"/>
    <w:rsid w:val="441778C8"/>
    <w:rsid w:val="441D16AC"/>
    <w:rsid w:val="44230847"/>
    <w:rsid w:val="445D368E"/>
    <w:rsid w:val="447144B6"/>
    <w:rsid w:val="447818A3"/>
    <w:rsid w:val="4487121B"/>
    <w:rsid w:val="44913E48"/>
    <w:rsid w:val="44A76EDD"/>
    <w:rsid w:val="44AD0C81"/>
    <w:rsid w:val="44B813D4"/>
    <w:rsid w:val="44BB13F3"/>
    <w:rsid w:val="44BD68E4"/>
    <w:rsid w:val="44CD14E0"/>
    <w:rsid w:val="44DA759D"/>
    <w:rsid w:val="44E73A68"/>
    <w:rsid w:val="45045743"/>
    <w:rsid w:val="45401AF6"/>
    <w:rsid w:val="4546767F"/>
    <w:rsid w:val="45486BFC"/>
    <w:rsid w:val="456255F2"/>
    <w:rsid w:val="456B4699"/>
    <w:rsid w:val="456E5263"/>
    <w:rsid w:val="457A7B12"/>
    <w:rsid w:val="45837C34"/>
    <w:rsid w:val="458946E9"/>
    <w:rsid w:val="458973BB"/>
    <w:rsid w:val="45A62948"/>
    <w:rsid w:val="45A70DCA"/>
    <w:rsid w:val="45AB1D5B"/>
    <w:rsid w:val="45B93656"/>
    <w:rsid w:val="45BB64F1"/>
    <w:rsid w:val="45CC15DB"/>
    <w:rsid w:val="45D1274E"/>
    <w:rsid w:val="460A2104"/>
    <w:rsid w:val="46133EBF"/>
    <w:rsid w:val="4613720A"/>
    <w:rsid w:val="4618037D"/>
    <w:rsid w:val="46240264"/>
    <w:rsid w:val="462B3D56"/>
    <w:rsid w:val="46301DAF"/>
    <w:rsid w:val="463B050F"/>
    <w:rsid w:val="465F02D9"/>
    <w:rsid w:val="469B0FAE"/>
    <w:rsid w:val="469C5730"/>
    <w:rsid w:val="46BF7389"/>
    <w:rsid w:val="46CF6A32"/>
    <w:rsid w:val="46D149CF"/>
    <w:rsid w:val="46D450AA"/>
    <w:rsid w:val="46D52711"/>
    <w:rsid w:val="46D955A7"/>
    <w:rsid w:val="46DF533E"/>
    <w:rsid w:val="47090753"/>
    <w:rsid w:val="47133957"/>
    <w:rsid w:val="47281A42"/>
    <w:rsid w:val="474358CD"/>
    <w:rsid w:val="47490A0A"/>
    <w:rsid w:val="474C4D82"/>
    <w:rsid w:val="474D5D60"/>
    <w:rsid w:val="475D213E"/>
    <w:rsid w:val="47633879"/>
    <w:rsid w:val="4779329E"/>
    <w:rsid w:val="477C3513"/>
    <w:rsid w:val="477E6905"/>
    <w:rsid w:val="478A7058"/>
    <w:rsid w:val="47971775"/>
    <w:rsid w:val="47A07E0C"/>
    <w:rsid w:val="47AC6F41"/>
    <w:rsid w:val="47BA22EE"/>
    <w:rsid w:val="47BC567F"/>
    <w:rsid w:val="47C50090"/>
    <w:rsid w:val="47EB680E"/>
    <w:rsid w:val="47FD589E"/>
    <w:rsid w:val="48082673"/>
    <w:rsid w:val="48231BCD"/>
    <w:rsid w:val="48452D6C"/>
    <w:rsid w:val="485B09F4"/>
    <w:rsid w:val="48627FD5"/>
    <w:rsid w:val="4870272E"/>
    <w:rsid w:val="48790E7B"/>
    <w:rsid w:val="487B2E45"/>
    <w:rsid w:val="4885562E"/>
    <w:rsid w:val="488C5052"/>
    <w:rsid w:val="48902522"/>
    <w:rsid w:val="489932CB"/>
    <w:rsid w:val="48A71C73"/>
    <w:rsid w:val="48B00D40"/>
    <w:rsid w:val="48B124D9"/>
    <w:rsid w:val="48B30830"/>
    <w:rsid w:val="48C90054"/>
    <w:rsid w:val="48D569F9"/>
    <w:rsid w:val="48D93D7E"/>
    <w:rsid w:val="48E85B1A"/>
    <w:rsid w:val="48E944E1"/>
    <w:rsid w:val="48F76E73"/>
    <w:rsid w:val="49044BE8"/>
    <w:rsid w:val="49143AC3"/>
    <w:rsid w:val="491D31B2"/>
    <w:rsid w:val="49380D36"/>
    <w:rsid w:val="4938794E"/>
    <w:rsid w:val="493B769A"/>
    <w:rsid w:val="496062FA"/>
    <w:rsid w:val="4972249A"/>
    <w:rsid w:val="49724231"/>
    <w:rsid w:val="497C0C22"/>
    <w:rsid w:val="49906437"/>
    <w:rsid w:val="49927B74"/>
    <w:rsid w:val="49A14402"/>
    <w:rsid w:val="49B02FC2"/>
    <w:rsid w:val="49B52171"/>
    <w:rsid w:val="49C01457"/>
    <w:rsid w:val="49DC7715"/>
    <w:rsid w:val="49E50AE6"/>
    <w:rsid w:val="49F64E79"/>
    <w:rsid w:val="49F90151"/>
    <w:rsid w:val="4A023139"/>
    <w:rsid w:val="4A0A4518"/>
    <w:rsid w:val="4A204737"/>
    <w:rsid w:val="4A25750C"/>
    <w:rsid w:val="4A2D63C1"/>
    <w:rsid w:val="4A314103"/>
    <w:rsid w:val="4A413C1A"/>
    <w:rsid w:val="4A563B69"/>
    <w:rsid w:val="4A5C2802"/>
    <w:rsid w:val="4A630034"/>
    <w:rsid w:val="4A7B576F"/>
    <w:rsid w:val="4A804742"/>
    <w:rsid w:val="4A864144"/>
    <w:rsid w:val="4A914BA1"/>
    <w:rsid w:val="4A993A56"/>
    <w:rsid w:val="4AB16FF2"/>
    <w:rsid w:val="4AB443EC"/>
    <w:rsid w:val="4AB50890"/>
    <w:rsid w:val="4ADA02F6"/>
    <w:rsid w:val="4AE2561D"/>
    <w:rsid w:val="4B0A3602"/>
    <w:rsid w:val="4B0C3FD0"/>
    <w:rsid w:val="4B1355B6"/>
    <w:rsid w:val="4B306168"/>
    <w:rsid w:val="4B646353"/>
    <w:rsid w:val="4B8A5FB1"/>
    <w:rsid w:val="4B8E2E8F"/>
    <w:rsid w:val="4BA83F51"/>
    <w:rsid w:val="4BB26B7D"/>
    <w:rsid w:val="4BBF129A"/>
    <w:rsid w:val="4BDC009E"/>
    <w:rsid w:val="4C035E32"/>
    <w:rsid w:val="4C0B44E0"/>
    <w:rsid w:val="4C2061DD"/>
    <w:rsid w:val="4C237A7B"/>
    <w:rsid w:val="4C3752D5"/>
    <w:rsid w:val="4C431ECB"/>
    <w:rsid w:val="4C485734"/>
    <w:rsid w:val="4C4A0649"/>
    <w:rsid w:val="4C577456"/>
    <w:rsid w:val="4C5B5467"/>
    <w:rsid w:val="4C987581"/>
    <w:rsid w:val="4CA40570"/>
    <w:rsid w:val="4CAB3506"/>
    <w:rsid w:val="4CAF7561"/>
    <w:rsid w:val="4CD07C03"/>
    <w:rsid w:val="4CD40D75"/>
    <w:rsid w:val="4CE05399"/>
    <w:rsid w:val="4CE470D3"/>
    <w:rsid w:val="4CF33589"/>
    <w:rsid w:val="4D1D096E"/>
    <w:rsid w:val="4D2A4CD7"/>
    <w:rsid w:val="4D2C2AA8"/>
    <w:rsid w:val="4D53613E"/>
    <w:rsid w:val="4D5C1497"/>
    <w:rsid w:val="4D6028E9"/>
    <w:rsid w:val="4D724A1E"/>
    <w:rsid w:val="4D901140"/>
    <w:rsid w:val="4DAB0995"/>
    <w:rsid w:val="4DAB1C82"/>
    <w:rsid w:val="4DAC4E52"/>
    <w:rsid w:val="4DEC4FB0"/>
    <w:rsid w:val="4DF0398D"/>
    <w:rsid w:val="4DF47921"/>
    <w:rsid w:val="4DF711BF"/>
    <w:rsid w:val="4E037B64"/>
    <w:rsid w:val="4E075D8A"/>
    <w:rsid w:val="4E0F02B7"/>
    <w:rsid w:val="4E291FE4"/>
    <w:rsid w:val="4E320449"/>
    <w:rsid w:val="4E3740B1"/>
    <w:rsid w:val="4E4361B3"/>
    <w:rsid w:val="4E467A51"/>
    <w:rsid w:val="4E50229D"/>
    <w:rsid w:val="4E516261"/>
    <w:rsid w:val="4E51661F"/>
    <w:rsid w:val="4E6A08AC"/>
    <w:rsid w:val="4E6B6CEB"/>
    <w:rsid w:val="4E7378F2"/>
    <w:rsid w:val="4E824F2D"/>
    <w:rsid w:val="4E8A2033"/>
    <w:rsid w:val="4E927F77"/>
    <w:rsid w:val="4E9514C2"/>
    <w:rsid w:val="4EB15812"/>
    <w:rsid w:val="4EBB6BD4"/>
    <w:rsid w:val="4ED4505D"/>
    <w:rsid w:val="4EDD03B5"/>
    <w:rsid w:val="4EDD2544"/>
    <w:rsid w:val="4EE94FAC"/>
    <w:rsid w:val="4EF63225"/>
    <w:rsid w:val="4EF94AC3"/>
    <w:rsid w:val="4F0C2F29"/>
    <w:rsid w:val="4F1418FD"/>
    <w:rsid w:val="4F155DA1"/>
    <w:rsid w:val="4F1A0BCA"/>
    <w:rsid w:val="4F3302E1"/>
    <w:rsid w:val="4F337FD5"/>
    <w:rsid w:val="4F4E4E0F"/>
    <w:rsid w:val="4F54761A"/>
    <w:rsid w:val="4F6E2D92"/>
    <w:rsid w:val="4F8F6FB2"/>
    <w:rsid w:val="4F917CD0"/>
    <w:rsid w:val="4F9273F2"/>
    <w:rsid w:val="4FA71E03"/>
    <w:rsid w:val="4FB34490"/>
    <w:rsid w:val="4FB940D4"/>
    <w:rsid w:val="4FC62A8C"/>
    <w:rsid w:val="4FCB46B2"/>
    <w:rsid w:val="4FD10ADB"/>
    <w:rsid w:val="4FD27B6B"/>
    <w:rsid w:val="4FDF1F0B"/>
    <w:rsid w:val="4FE20F0D"/>
    <w:rsid w:val="4FE61EC7"/>
    <w:rsid w:val="4FF85BA4"/>
    <w:rsid w:val="50120532"/>
    <w:rsid w:val="501870B4"/>
    <w:rsid w:val="501F2469"/>
    <w:rsid w:val="502142D2"/>
    <w:rsid w:val="502B2D1F"/>
    <w:rsid w:val="50504C4B"/>
    <w:rsid w:val="505508C7"/>
    <w:rsid w:val="505C7A00"/>
    <w:rsid w:val="507765E7"/>
    <w:rsid w:val="509273D8"/>
    <w:rsid w:val="509C604E"/>
    <w:rsid w:val="509C6E7C"/>
    <w:rsid w:val="50A15412"/>
    <w:rsid w:val="50AD0C01"/>
    <w:rsid w:val="50B3628B"/>
    <w:rsid w:val="50B43C08"/>
    <w:rsid w:val="50B52C6C"/>
    <w:rsid w:val="50C03AEB"/>
    <w:rsid w:val="50C17863"/>
    <w:rsid w:val="50CE3319"/>
    <w:rsid w:val="50CF3D2E"/>
    <w:rsid w:val="50D20A33"/>
    <w:rsid w:val="50E1178F"/>
    <w:rsid w:val="50F21294"/>
    <w:rsid w:val="51087240"/>
    <w:rsid w:val="513A3041"/>
    <w:rsid w:val="513B1E2E"/>
    <w:rsid w:val="51453FF0"/>
    <w:rsid w:val="51477D68"/>
    <w:rsid w:val="51501312"/>
    <w:rsid w:val="5162104E"/>
    <w:rsid w:val="51647E65"/>
    <w:rsid w:val="516E79EA"/>
    <w:rsid w:val="516F72BF"/>
    <w:rsid w:val="518E3BE9"/>
    <w:rsid w:val="51A0391C"/>
    <w:rsid w:val="51BB20EF"/>
    <w:rsid w:val="51BF3641"/>
    <w:rsid w:val="51C13FBE"/>
    <w:rsid w:val="51CE23C5"/>
    <w:rsid w:val="51E13E09"/>
    <w:rsid w:val="51F54737"/>
    <w:rsid w:val="51F92090"/>
    <w:rsid w:val="521C2FA3"/>
    <w:rsid w:val="521D4930"/>
    <w:rsid w:val="522105B9"/>
    <w:rsid w:val="52233BBC"/>
    <w:rsid w:val="5233779B"/>
    <w:rsid w:val="52374C03"/>
    <w:rsid w:val="5237602E"/>
    <w:rsid w:val="523A2FF9"/>
    <w:rsid w:val="52452709"/>
    <w:rsid w:val="5248023B"/>
    <w:rsid w:val="525309A8"/>
    <w:rsid w:val="52552958"/>
    <w:rsid w:val="528079D5"/>
    <w:rsid w:val="52831274"/>
    <w:rsid w:val="52B73C12"/>
    <w:rsid w:val="52B8052D"/>
    <w:rsid w:val="52DF055B"/>
    <w:rsid w:val="52E066C6"/>
    <w:rsid w:val="52FE4D9E"/>
    <w:rsid w:val="53163E96"/>
    <w:rsid w:val="531A0D52"/>
    <w:rsid w:val="534722A1"/>
    <w:rsid w:val="53690469"/>
    <w:rsid w:val="53690833"/>
    <w:rsid w:val="536E3CD2"/>
    <w:rsid w:val="538C5F06"/>
    <w:rsid w:val="53A039CC"/>
    <w:rsid w:val="53A1505A"/>
    <w:rsid w:val="53A47698"/>
    <w:rsid w:val="53D004E8"/>
    <w:rsid w:val="53D333E6"/>
    <w:rsid w:val="53EE6BC1"/>
    <w:rsid w:val="53F51CFD"/>
    <w:rsid w:val="54063E08"/>
    <w:rsid w:val="54332825"/>
    <w:rsid w:val="543437E8"/>
    <w:rsid w:val="544A5133"/>
    <w:rsid w:val="54617393"/>
    <w:rsid w:val="54813591"/>
    <w:rsid w:val="54837309"/>
    <w:rsid w:val="549C377F"/>
    <w:rsid w:val="54DB547E"/>
    <w:rsid w:val="54EA55DA"/>
    <w:rsid w:val="54EF499E"/>
    <w:rsid w:val="550F4B19"/>
    <w:rsid w:val="552B1DC2"/>
    <w:rsid w:val="554B2223"/>
    <w:rsid w:val="554C3B9F"/>
    <w:rsid w:val="5560589C"/>
    <w:rsid w:val="5564434F"/>
    <w:rsid w:val="556A671B"/>
    <w:rsid w:val="556F5ADF"/>
    <w:rsid w:val="55734E71"/>
    <w:rsid w:val="558D0F88"/>
    <w:rsid w:val="559144C5"/>
    <w:rsid w:val="55983288"/>
    <w:rsid w:val="55990DAE"/>
    <w:rsid w:val="559B174B"/>
    <w:rsid w:val="55A97243"/>
    <w:rsid w:val="55C91693"/>
    <w:rsid w:val="55CE0CF4"/>
    <w:rsid w:val="55E72F2E"/>
    <w:rsid w:val="55EE10FA"/>
    <w:rsid w:val="55F52488"/>
    <w:rsid w:val="56026953"/>
    <w:rsid w:val="5604091D"/>
    <w:rsid w:val="56102E1E"/>
    <w:rsid w:val="56246DA9"/>
    <w:rsid w:val="562E70CC"/>
    <w:rsid w:val="563167DC"/>
    <w:rsid w:val="564231F4"/>
    <w:rsid w:val="56474D13"/>
    <w:rsid w:val="564A1EC4"/>
    <w:rsid w:val="56521689"/>
    <w:rsid w:val="56530F5D"/>
    <w:rsid w:val="565A678F"/>
    <w:rsid w:val="56680EAC"/>
    <w:rsid w:val="56981066"/>
    <w:rsid w:val="569C2904"/>
    <w:rsid w:val="569F23F4"/>
    <w:rsid w:val="56B22A9C"/>
    <w:rsid w:val="56C1615A"/>
    <w:rsid w:val="56CE6835"/>
    <w:rsid w:val="56D007FF"/>
    <w:rsid w:val="56D025AE"/>
    <w:rsid w:val="56D17126"/>
    <w:rsid w:val="56D8506C"/>
    <w:rsid w:val="56DC71A4"/>
    <w:rsid w:val="56F06902"/>
    <w:rsid w:val="570109B9"/>
    <w:rsid w:val="570A1FFE"/>
    <w:rsid w:val="572C1045"/>
    <w:rsid w:val="57407733"/>
    <w:rsid w:val="574511ED"/>
    <w:rsid w:val="57521214"/>
    <w:rsid w:val="57B72A76"/>
    <w:rsid w:val="57C956CF"/>
    <w:rsid w:val="57D12A81"/>
    <w:rsid w:val="57D85BBE"/>
    <w:rsid w:val="57E00BAF"/>
    <w:rsid w:val="57E25368"/>
    <w:rsid w:val="57EE718F"/>
    <w:rsid w:val="57F30C49"/>
    <w:rsid w:val="57FF139C"/>
    <w:rsid w:val="58044C05"/>
    <w:rsid w:val="580D02D9"/>
    <w:rsid w:val="580E58D8"/>
    <w:rsid w:val="5827444F"/>
    <w:rsid w:val="584A6390"/>
    <w:rsid w:val="585A7245"/>
    <w:rsid w:val="585B234B"/>
    <w:rsid w:val="585B7BCD"/>
    <w:rsid w:val="585E654E"/>
    <w:rsid w:val="58686145"/>
    <w:rsid w:val="587D70AA"/>
    <w:rsid w:val="5882242B"/>
    <w:rsid w:val="58BD5714"/>
    <w:rsid w:val="58F3077A"/>
    <w:rsid w:val="59012EF2"/>
    <w:rsid w:val="59103135"/>
    <w:rsid w:val="591C1ADA"/>
    <w:rsid w:val="592C753A"/>
    <w:rsid w:val="594A4899"/>
    <w:rsid w:val="594A6647"/>
    <w:rsid w:val="59545718"/>
    <w:rsid w:val="59934492"/>
    <w:rsid w:val="59A55F73"/>
    <w:rsid w:val="59A81837"/>
    <w:rsid w:val="59AA5338"/>
    <w:rsid w:val="59B166C6"/>
    <w:rsid w:val="59BE5287"/>
    <w:rsid w:val="59C04B5B"/>
    <w:rsid w:val="59C77BB1"/>
    <w:rsid w:val="59CA675D"/>
    <w:rsid w:val="59E93B12"/>
    <w:rsid w:val="59EA4662"/>
    <w:rsid w:val="5A0031AA"/>
    <w:rsid w:val="5A096502"/>
    <w:rsid w:val="5A1E24C2"/>
    <w:rsid w:val="5A2C4278"/>
    <w:rsid w:val="5A3A2B60"/>
    <w:rsid w:val="5A3C747D"/>
    <w:rsid w:val="5A4237C2"/>
    <w:rsid w:val="5A490FF5"/>
    <w:rsid w:val="5A4A4E95"/>
    <w:rsid w:val="5A8D15E3"/>
    <w:rsid w:val="5A9C6CB5"/>
    <w:rsid w:val="5A9F6E67"/>
    <w:rsid w:val="5AA12BDF"/>
    <w:rsid w:val="5AA77AC9"/>
    <w:rsid w:val="5ABE2233"/>
    <w:rsid w:val="5ACF7A46"/>
    <w:rsid w:val="5AE825BC"/>
    <w:rsid w:val="5AF70A51"/>
    <w:rsid w:val="5B01542B"/>
    <w:rsid w:val="5B1038C0"/>
    <w:rsid w:val="5B13515F"/>
    <w:rsid w:val="5B21162A"/>
    <w:rsid w:val="5B266C40"/>
    <w:rsid w:val="5B276D18"/>
    <w:rsid w:val="5B61236E"/>
    <w:rsid w:val="5B667984"/>
    <w:rsid w:val="5B751975"/>
    <w:rsid w:val="5B7819D9"/>
    <w:rsid w:val="5B7976B8"/>
    <w:rsid w:val="5B962018"/>
    <w:rsid w:val="5B995664"/>
    <w:rsid w:val="5BA601E6"/>
    <w:rsid w:val="5BB527B0"/>
    <w:rsid w:val="5BC528FD"/>
    <w:rsid w:val="5BC87CF7"/>
    <w:rsid w:val="5BD13050"/>
    <w:rsid w:val="5BDE2DB4"/>
    <w:rsid w:val="5BDF5D95"/>
    <w:rsid w:val="5BF46D3E"/>
    <w:rsid w:val="5BF61043"/>
    <w:rsid w:val="5BFA6D15"/>
    <w:rsid w:val="5C0007F6"/>
    <w:rsid w:val="5C036F81"/>
    <w:rsid w:val="5C084598"/>
    <w:rsid w:val="5C095896"/>
    <w:rsid w:val="5C0F0B21"/>
    <w:rsid w:val="5C3929A3"/>
    <w:rsid w:val="5C425CFC"/>
    <w:rsid w:val="5C471564"/>
    <w:rsid w:val="5C4A4C2C"/>
    <w:rsid w:val="5C630774"/>
    <w:rsid w:val="5C9F37A0"/>
    <w:rsid w:val="5CA95D7B"/>
    <w:rsid w:val="5CB211C6"/>
    <w:rsid w:val="5CBC5AAE"/>
    <w:rsid w:val="5CBF559E"/>
    <w:rsid w:val="5CEB6393"/>
    <w:rsid w:val="5CF214D0"/>
    <w:rsid w:val="5D0E5BDE"/>
    <w:rsid w:val="5D3D64C3"/>
    <w:rsid w:val="5D4D4B30"/>
    <w:rsid w:val="5D547467"/>
    <w:rsid w:val="5D55380D"/>
    <w:rsid w:val="5D5A1089"/>
    <w:rsid w:val="5D5C7A80"/>
    <w:rsid w:val="5D600B2F"/>
    <w:rsid w:val="5D645056"/>
    <w:rsid w:val="5D663C6C"/>
    <w:rsid w:val="5DBF70F0"/>
    <w:rsid w:val="5DCD7847"/>
    <w:rsid w:val="5DDB1B1C"/>
    <w:rsid w:val="5DE27796"/>
    <w:rsid w:val="5DE52DE2"/>
    <w:rsid w:val="5DF179D9"/>
    <w:rsid w:val="5DF87A0F"/>
    <w:rsid w:val="5DFD637E"/>
    <w:rsid w:val="5E251431"/>
    <w:rsid w:val="5E413D91"/>
    <w:rsid w:val="5E455F5D"/>
    <w:rsid w:val="5E532442"/>
    <w:rsid w:val="5E5D6E1D"/>
    <w:rsid w:val="5E637F4B"/>
    <w:rsid w:val="5E8425FB"/>
    <w:rsid w:val="5E897C12"/>
    <w:rsid w:val="5E8B37F3"/>
    <w:rsid w:val="5E9B4F41"/>
    <w:rsid w:val="5EA762EA"/>
    <w:rsid w:val="5EAC38A1"/>
    <w:rsid w:val="5EB50A07"/>
    <w:rsid w:val="5EC7698C"/>
    <w:rsid w:val="5ED13367"/>
    <w:rsid w:val="5ED752A6"/>
    <w:rsid w:val="5ED87C0A"/>
    <w:rsid w:val="5EE72758"/>
    <w:rsid w:val="5F047298"/>
    <w:rsid w:val="5F061262"/>
    <w:rsid w:val="5F0C25F1"/>
    <w:rsid w:val="5F1A2B43"/>
    <w:rsid w:val="5F2E3793"/>
    <w:rsid w:val="5F5F6BC4"/>
    <w:rsid w:val="5F6D7533"/>
    <w:rsid w:val="5F8328B3"/>
    <w:rsid w:val="5F8A538A"/>
    <w:rsid w:val="5F906D7E"/>
    <w:rsid w:val="5F9A19AB"/>
    <w:rsid w:val="5FAB0D50"/>
    <w:rsid w:val="5FB24F46"/>
    <w:rsid w:val="5FB52C88"/>
    <w:rsid w:val="5FB7392A"/>
    <w:rsid w:val="5FB837BB"/>
    <w:rsid w:val="5FD255E8"/>
    <w:rsid w:val="5FD41360"/>
    <w:rsid w:val="5FE008C0"/>
    <w:rsid w:val="5FFF6C2F"/>
    <w:rsid w:val="600F2399"/>
    <w:rsid w:val="601C6864"/>
    <w:rsid w:val="60237BF2"/>
    <w:rsid w:val="602A71D2"/>
    <w:rsid w:val="603158D4"/>
    <w:rsid w:val="60432042"/>
    <w:rsid w:val="604364E6"/>
    <w:rsid w:val="60597AB8"/>
    <w:rsid w:val="60636A6E"/>
    <w:rsid w:val="60715FD9"/>
    <w:rsid w:val="60791F08"/>
    <w:rsid w:val="607C7302"/>
    <w:rsid w:val="607E751E"/>
    <w:rsid w:val="60853036"/>
    <w:rsid w:val="608763D3"/>
    <w:rsid w:val="609D5BF6"/>
    <w:rsid w:val="60B3541A"/>
    <w:rsid w:val="60B77FA4"/>
    <w:rsid w:val="60C018E5"/>
    <w:rsid w:val="60C17FAD"/>
    <w:rsid w:val="60CE5647"/>
    <w:rsid w:val="60D30936"/>
    <w:rsid w:val="60D84E80"/>
    <w:rsid w:val="60DD2497"/>
    <w:rsid w:val="60E02CC9"/>
    <w:rsid w:val="60E02F3A"/>
    <w:rsid w:val="60E5134B"/>
    <w:rsid w:val="60F021CA"/>
    <w:rsid w:val="60F02332"/>
    <w:rsid w:val="60F4333C"/>
    <w:rsid w:val="60F61844"/>
    <w:rsid w:val="60FB291D"/>
    <w:rsid w:val="61206B21"/>
    <w:rsid w:val="6125059E"/>
    <w:rsid w:val="6126799A"/>
    <w:rsid w:val="6138591F"/>
    <w:rsid w:val="613B0C96"/>
    <w:rsid w:val="613D4CE3"/>
    <w:rsid w:val="613E75F5"/>
    <w:rsid w:val="617B2ED2"/>
    <w:rsid w:val="61824E34"/>
    <w:rsid w:val="61A73945"/>
    <w:rsid w:val="61A86601"/>
    <w:rsid w:val="61BE325C"/>
    <w:rsid w:val="61C13B66"/>
    <w:rsid w:val="61E41603"/>
    <w:rsid w:val="61F07923"/>
    <w:rsid w:val="6200468F"/>
    <w:rsid w:val="621041A6"/>
    <w:rsid w:val="623205C0"/>
    <w:rsid w:val="62364782"/>
    <w:rsid w:val="623F189C"/>
    <w:rsid w:val="62456545"/>
    <w:rsid w:val="625E0BAD"/>
    <w:rsid w:val="62685D90"/>
    <w:rsid w:val="627C5292"/>
    <w:rsid w:val="6280132C"/>
    <w:rsid w:val="62853BC4"/>
    <w:rsid w:val="6299063F"/>
    <w:rsid w:val="62A56FE4"/>
    <w:rsid w:val="62AC3ECF"/>
    <w:rsid w:val="62C05BCC"/>
    <w:rsid w:val="62C13751"/>
    <w:rsid w:val="62C3746A"/>
    <w:rsid w:val="62CA6A4B"/>
    <w:rsid w:val="62D358FF"/>
    <w:rsid w:val="62E52571"/>
    <w:rsid w:val="62EA2C49"/>
    <w:rsid w:val="62EC64BB"/>
    <w:rsid w:val="62FF66F4"/>
    <w:rsid w:val="631B2E02"/>
    <w:rsid w:val="6337519D"/>
    <w:rsid w:val="634A1969"/>
    <w:rsid w:val="63533494"/>
    <w:rsid w:val="635A392B"/>
    <w:rsid w:val="635C1045"/>
    <w:rsid w:val="63620A31"/>
    <w:rsid w:val="636522D0"/>
    <w:rsid w:val="6369505F"/>
    <w:rsid w:val="636C18B0"/>
    <w:rsid w:val="63874C3D"/>
    <w:rsid w:val="638B70B3"/>
    <w:rsid w:val="638C3D00"/>
    <w:rsid w:val="63B079EF"/>
    <w:rsid w:val="63B95393"/>
    <w:rsid w:val="63C60FC0"/>
    <w:rsid w:val="63D062E3"/>
    <w:rsid w:val="63D40BE9"/>
    <w:rsid w:val="63DB5069"/>
    <w:rsid w:val="63E0211F"/>
    <w:rsid w:val="63FC70D8"/>
    <w:rsid w:val="63FF44D2"/>
    <w:rsid w:val="64044497"/>
    <w:rsid w:val="6408782B"/>
    <w:rsid w:val="64204650"/>
    <w:rsid w:val="642253A5"/>
    <w:rsid w:val="64395C36"/>
    <w:rsid w:val="645C7B76"/>
    <w:rsid w:val="64722EF6"/>
    <w:rsid w:val="64754A6B"/>
    <w:rsid w:val="647C1FC7"/>
    <w:rsid w:val="647E2D29"/>
    <w:rsid w:val="64805613"/>
    <w:rsid w:val="64986E00"/>
    <w:rsid w:val="64A07A63"/>
    <w:rsid w:val="64A31301"/>
    <w:rsid w:val="64AF6153"/>
    <w:rsid w:val="64D8391C"/>
    <w:rsid w:val="64EF363E"/>
    <w:rsid w:val="64F810B6"/>
    <w:rsid w:val="64FF6124"/>
    <w:rsid w:val="650C10E2"/>
    <w:rsid w:val="651B358E"/>
    <w:rsid w:val="652266CA"/>
    <w:rsid w:val="65373578"/>
    <w:rsid w:val="65387C9C"/>
    <w:rsid w:val="654D6C87"/>
    <w:rsid w:val="65605444"/>
    <w:rsid w:val="658C6239"/>
    <w:rsid w:val="65A81050"/>
    <w:rsid w:val="65A849FF"/>
    <w:rsid w:val="65A86685"/>
    <w:rsid w:val="65D025CA"/>
    <w:rsid w:val="65D24630"/>
    <w:rsid w:val="65DD0843"/>
    <w:rsid w:val="65DE4CE7"/>
    <w:rsid w:val="65E7174E"/>
    <w:rsid w:val="65EE47FE"/>
    <w:rsid w:val="65F07C46"/>
    <w:rsid w:val="660677E1"/>
    <w:rsid w:val="6607400B"/>
    <w:rsid w:val="66157FDD"/>
    <w:rsid w:val="661C136B"/>
    <w:rsid w:val="661F0E5C"/>
    <w:rsid w:val="662841B4"/>
    <w:rsid w:val="662D3578"/>
    <w:rsid w:val="662D5327"/>
    <w:rsid w:val="664061B8"/>
    <w:rsid w:val="664408C2"/>
    <w:rsid w:val="66482160"/>
    <w:rsid w:val="664A237C"/>
    <w:rsid w:val="665C3E5E"/>
    <w:rsid w:val="666C3121"/>
    <w:rsid w:val="66756CCD"/>
    <w:rsid w:val="66860EDB"/>
    <w:rsid w:val="66863138"/>
    <w:rsid w:val="669058B5"/>
    <w:rsid w:val="669E7FD2"/>
    <w:rsid w:val="66A46635"/>
    <w:rsid w:val="66B27F22"/>
    <w:rsid w:val="66C814F3"/>
    <w:rsid w:val="66CD5E28"/>
    <w:rsid w:val="66CE332E"/>
    <w:rsid w:val="66DB0439"/>
    <w:rsid w:val="670D5DDA"/>
    <w:rsid w:val="672506F4"/>
    <w:rsid w:val="6726154F"/>
    <w:rsid w:val="673F2C7A"/>
    <w:rsid w:val="674C08AA"/>
    <w:rsid w:val="67580AC9"/>
    <w:rsid w:val="67752149"/>
    <w:rsid w:val="67787D50"/>
    <w:rsid w:val="67874F0A"/>
    <w:rsid w:val="678E6673"/>
    <w:rsid w:val="67903BF4"/>
    <w:rsid w:val="67915D89"/>
    <w:rsid w:val="67966EFB"/>
    <w:rsid w:val="67A552B7"/>
    <w:rsid w:val="67C021CA"/>
    <w:rsid w:val="67E20393"/>
    <w:rsid w:val="67E934CF"/>
    <w:rsid w:val="67FC1454"/>
    <w:rsid w:val="680711D9"/>
    <w:rsid w:val="681F6961"/>
    <w:rsid w:val="682409AB"/>
    <w:rsid w:val="68294213"/>
    <w:rsid w:val="682C2166"/>
    <w:rsid w:val="68400EBA"/>
    <w:rsid w:val="685C1EF3"/>
    <w:rsid w:val="68610A2F"/>
    <w:rsid w:val="68701E42"/>
    <w:rsid w:val="687A681D"/>
    <w:rsid w:val="68805514"/>
    <w:rsid w:val="688651C2"/>
    <w:rsid w:val="68B735CD"/>
    <w:rsid w:val="68BA7285"/>
    <w:rsid w:val="68C301C4"/>
    <w:rsid w:val="68C659C4"/>
    <w:rsid w:val="68D66127"/>
    <w:rsid w:val="68D93D4B"/>
    <w:rsid w:val="690C6728"/>
    <w:rsid w:val="69167590"/>
    <w:rsid w:val="692073C4"/>
    <w:rsid w:val="69244D4F"/>
    <w:rsid w:val="69286353"/>
    <w:rsid w:val="692A37F7"/>
    <w:rsid w:val="69382960"/>
    <w:rsid w:val="693F76E3"/>
    <w:rsid w:val="694D7A8E"/>
    <w:rsid w:val="694E2071"/>
    <w:rsid w:val="696A6892"/>
    <w:rsid w:val="697A3B33"/>
    <w:rsid w:val="697E141D"/>
    <w:rsid w:val="69937B96"/>
    <w:rsid w:val="699B2EEF"/>
    <w:rsid w:val="699D4CD3"/>
    <w:rsid w:val="699E2456"/>
    <w:rsid w:val="69AC0A3C"/>
    <w:rsid w:val="69B83AA1"/>
    <w:rsid w:val="69BF152D"/>
    <w:rsid w:val="69C443BE"/>
    <w:rsid w:val="69CA7330"/>
    <w:rsid w:val="69CE5543"/>
    <w:rsid w:val="69E623BC"/>
    <w:rsid w:val="69E95A08"/>
    <w:rsid w:val="69FC1BE0"/>
    <w:rsid w:val="6A0A597F"/>
    <w:rsid w:val="6A154A4F"/>
    <w:rsid w:val="6A164324"/>
    <w:rsid w:val="6A31115D"/>
    <w:rsid w:val="6A336057"/>
    <w:rsid w:val="6A667059"/>
    <w:rsid w:val="6A707002"/>
    <w:rsid w:val="6A7379C8"/>
    <w:rsid w:val="6A7F45BF"/>
    <w:rsid w:val="6AA95198"/>
    <w:rsid w:val="6AAE27AE"/>
    <w:rsid w:val="6AAF6C52"/>
    <w:rsid w:val="6AB2229E"/>
    <w:rsid w:val="6AB37DC4"/>
    <w:rsid w:val="6ABC4ECB"/>
    <w:rsid w:val="6AC972F4"/>
    <w:rsid w:val="6AE12B83"/>
    <w:rsid w:val="6AE663EC"/>
    <w:rsid w:val="6AF40B09"/>
    <w:rsid w:val="6B071588"/>
    <w:rsid w:val="6B0C26B5"/>
    <w:rsid w:val="6B0E066F"/>
    <w:rsid w:val="6B1940CB"/>
    <w:rsid w:val="6B217709"/>
    <w:rsid w:val="6B2D5D6A"/>
    <w:rsid w:val="6B2E5977"/>
    <w:rsid w:val="6B322639"/>
    <w:rsid w:val="6B3D2825"/>
    <w:rsid w:val="6B4007C8"/>
    <w:rsid w:val="6B43383E"/>
    <w:rsid w:val="6B515625"/>
    <w:rsid w:val="6B5E5F82"/>
    <w:rsid w:val="6B60619E"/>
    <w:rsid w:val="6B6A2B79"/>
    <w:rsid w:val="6B6D5031"/>
    <w:rsid w:val="6B894F68"/>
    <w:rsid w:val="6B9D4CFC"/>
    <w:rsid w:val="6B9D69DC"/>
    <w:rsid w:val="6BA17ED9"/>
    <w:rsid w:val="6BA570F6"/>
    <w:rsid w:val="6BB43DF4"/>
    <w:rsid w:val="6BCC55E2"/>
    <w:rsid w:val="6BCE135A"/>
    <w:rsid w:val="6BDF70C3"/>
    <w:rsid w:val="6BE558C2"/>
    <w:rsid w:val="6BEC7A32"/>
    <w:rsid w:val="6BF17CBB"/>
    <w:rsid w:val="6BFF7765"/>
    <w:rsid w:val="6C007039"/>
    <w:rsid w:val="6C0A78B0"/>
    <w:rsid w:val="6C0A7EB8"/>
    <w:rsid w:val="6C101BEF"/>
    <w:rsid w:val="6C2C21A8"/>
    <w:rsid w:val="6C301002"/>
    <w:rsid w:val="6C376EFF"/>
    <w:rsid w:val="6C3A1127"/>
    <w:rsid w:val="6C4C5516"/>
    <w:rsid w:val="6C636C38"/>
    <w:rsid w:val="6C691082"/>
    <w:rsid w:val="6C794405"/>
    <w:rsid w:val="6C871EB0"/>
    <w:rsid w:val="6C9A0567"/>
    <w:rsid w:val="6CC26721"/>
    <w:rsid w:val="6CC85DA9"/>
    <w:rsid w:val="6CD7423E"/>
    <w:rsid w:val="6CD91CC4"/>
    <w:rsid w:val="6CE64481"/>
    <w:rsid w:val="6CF22E26"/>
    <w:rsid w:val="6CF3094C"/>
    <w:rsid w:val="6D125276"/>
    <w:rsid w:val="6D2D3E5E"/>
    <w:rsid w:val="6D365409"/>
    <w:rsid w:val="6D540DA1"/>
    <w:rsid w:val="6D597BED"/>
    <w:rsid w:val="6D800432"/>
    <w:rsid w:val="6D8D0DA1"/>
    <w:rsid w:val="6D8D2B4F"/>
    <w:rsid w:val="6DA0787D"/>
    <w:rsid w:val="6DAB2AD4"/>
    <w:rsid w:val="6DB34098"/>
    <w:rsid w:val="6DB545B6"/>
    <w:rsid w:val="6DE36C13"/>
    <w:rsid w:val="6DF332FA"/>
    <w:rsid w:val="6DF57E44"/>
    <w:rsid w:val="6E005A16"/>
    <w:rsid w:val="6E027099"/>
    <w:rsid w:val="6E1374F8"/>
    <w:rsid w:val="6E18241F"/>
    <w:rsid w:val="6E182D60"/>
    <w:rsid w:val="6E184B0E"/>
    <w:rsid w:val="6E2C680B"/>
    <w:rsid w:val="6E380A90"/>
    <w:rsid w:val="6E3A0E77"/>
    <w:rsid w:val="6E3D4902"/>
    <w:rsid w:val="6E4375A0"/>
    <w:rsid w:val="6E514CED"/>
    <w:rsid w:val="6E526272"/>
    <w:rsid w:val="6E663ACB"/>
    <w:rsid w:val="6E7855AD"/>
    <w:rsid w:val="6E79491A"/>
    <w:rsid w:val="6E7F4B8D"/>
    <w:rsid w:val="6E880137"/>
    <w:rsid w:val="6EA36ACE"/>
    <w:rsid w:val="6EA91C0A"/>
    <w:rsid w:val="6EB563D5"/>
    <w:rsid w:val="6EB85C88"/>
    <w:rsid w:val="6EBE3907"/>
    <w:rsid w:val="6ECB1B80"/>
    <w:rsid w:val="6ED3687D"/>
    <w:rsid w:val="6EE36ECA"/>
    <w:rsid w:val="6EEE3AC1"/>
    <w:rsid w:val="6EFE2F7A"/>
    <w:rsid w:val="6F03131A"/>
    <w:rsid w:val="6F03595C"/>
    <w:rsid w:val="6F225983"/>
    <w:rsid w:val="6F35524C"/>
    <w:rsid w:val="6F3843B2"/>
    <w:rsid w:val="6F40256E"/>
    <w:rsid w:val="6F471479"/>
    <w:rsid w:val="6F5778B8"/>
    <w:rsid w:val="6F8D7DF9"/>
    <w:rsid w:val="6F9A6322"/>
    <w:rsid w:val="6FB46AB9"/>
    <w:rsid w:val="6FC30AAA"/>
    <w:rsid w:val="6FD269AB"/>
    <w:rsid w:val="6FDD7DBD"/>
    <w:rsid w:val="6FE3224A"/>
    <w:rsid w:val="6FFB0457"/>
    <w:rsid w:val="6FFC5590"/>
    <w:rsid w:val="7003534A"/>
    <w:rsid w:val="70111815"/>
    <w:rsid w:val="701503CC"/>
    <w:rsid w:val="70161521"/>
    <w:rsid w:val="70182BA3"/>
    <w:rsid w:val="70301DA3"/>
    <w:rsid w:val="70360C21"/>
    <w:rsid w:val="703A3509"/>
    <w:rsid w:val="70567859"/>
    <w:rsid w:val="706D1DD0"/>
    <w:rsid w:val="7071190B"/>
    <w:rsid w:val="707149AA"/>
    <w:rsid w:val="70827064"/>
    <w:rsid w:val="70856B87"/>
    <w:rsid w:val="709B37D5"/>
    <w:rsid w:val="70AB3A18"/>
    <w:rsid w:val="70AD67FB"/>
    <w:rsid w:val="70C64CF5"/>
    <w:rsid w:val="70C745CA"/>
    <w:rsid w:val="70D527EE"/>
    <w:rsid w:val="70F27898"/>
    <w:rsid w:val="71052443"/>
    <w:rsid w:val="71081111"/>
    <w:rsid w:val="71121555"/>
    <w:rsid w:val="71122218"/>
    <w:rsid w:val="711F7F62"/>
    <w:rsid w:val="71582CB1"/>
    <w:rsid w:val="71586291"/>
    <w:rsid w:val="715916C6"/>
    <w:rsid w:val="715B5300"/>
    <w:rsid w:val="715F4BD7"/>
    <w:rsid w:val="716562BC"/>
    <w:rsid w:val="716A5681"/>
    <w:rsid w:val="717007BD"/>
    <w:rsid w:val="7177299A"/>
    <w:rsid w:val="71783771"/>
    <w:rsid w:val="71844269"/>
    <w:rsid w:val="718A5D23"/>
    <w:rsid w:val="718B3849"/>
    <w:rsid w:val="718E69B6"/>
    <w:rsid w:val="71973F9C"/>
    <w:rsid w:val="719C7A2E"/>
    <w:rsid w:val="71B92164"/>
    <w:rsid w:val="71CC633B"/>
    <w:rsid w:val="71D27F8A"/>
    <w:rsid w:val="71D32236"/>
    <w:rsid w:val="71D8659D"/>
    <w:rsid w:val="71DE1BCB"/>
    <w:rsid w:val="71F744C6"/>
    <w:rsid w:val="71F87130"/>
    <w:rsid w:val="71F960CF"/>
    <w:rsid w:val="71FB452B"/>
    <w:rsid w:val="72077373"/>
    <w:rsid w:val="720C6738"/>
    <w:rsid w:val="724A3704"/>
    <w:rsid w:val="724D0AFE"/>
    <w:rsid w:val="7259157B"/>
    <w:rsid w:val="725D048E"/>
    <w:rsid w:val="726755B9"/>
    <w:rsid w:val="7285473C"/>
    <w:rsid w:val="728E539F"/>
    <w:rsid w:val="72987FCC"/>
    <w:rsid w:val="72A050D2"/>
    <w:rsid w:val="72A42E14"/>
    <w:rsid w:val="72B1108D"/>
    <w:rsid w:val="72B648F6"/>
    <w:rsid w:val="72CC4119"/>
    <w:rsid w:val="72CE60E3"/>
    <w:rsid w:val="72DA05E4"/>
    <w:rsid w:val="72DE2E02"/>
    <w:rsid w:val="72EE0533"/>
    <w:rsid w:val="73025D8D"/>
    <w:rsid w:val="73075151"/>
    <w:rsid w:val="73076EFF"/>
    <w:rsid w:val="731F5D5E"/>
    <w:rsid w:val="732C4583"/>
    <w:rsid w:val="734A5997"/>
    <w:rsid w:val="73532145"/>
    <w:rsid w:val="735A102B"/>
    <w:rsid w:val="73610D05"/>
    <w:rsid w:val="737B1D72"/>
    <w:rsid w:val="73830C7C"/>
    <w:rsid w:val="738654F2"/>
    <w:rsid w:val="73877A65"/>
    <w:rsid w:val="739C1D3D"/>
    <w:rsid w:val="739F538A"/>
    <w:rsid w:val="73A62BBC"/>
    <w:rsid w:val="73B70925"/>
    <w:rsid w:val="73B726D3"/>
    <w:rsid w:val="73C80D84"/>
    <w:rsid w:val="73CD0149"/>
    <w:rsid w:val="73E7745D"/>
    <w:rsid w:val="73EB5235"/>
    <w:rsid w:val="7400407A"/>
    <w:rsid w:val="741E793C"/>
    <w:rsid w:val="742835D1"/>
    <w:rsid w:val="743B50B2"/>
    <w:rsid w:val="74542618"/>
    <w:rsid w:val="7476258E"/>
    <w:rsid w:val="74795BDB"/>
    <w:rsid w:val="748D4F7E"/>
    <w:rsid w:val="749869A9"/>
    <w:rsid w:val="74BD1F6B"/>
    <w:rsid w:val="74DF1EE2"/>
    <w:rsid w:val="74E53E36"/>
    <w:rsid w:val="74F57957"/>
    <w:rsid w:val="750E6C6B"/>
    <w:rsid w:val="75267B11"/>
    <w:rsid w:val="753F3D6E"/>
    <w:rsid w:val="75491A51"/>
    <w:rsid w:val="754E52B9"/>
    <w:rsid w:val="75565720"/>
    <w:rsid w:val="75575F1C"/>
    <w:rsid w:val="75577D71"/>
    <w:rsid w:val="755D54FC"/>
    <w:rsid w:val="75640639"/>
    <w:rsid w:val="7564635F"/>
    <w:rsid w:val="758D75E2"/>
    <w:rsid w:val="75A734D1"/>
    <w:rsid w:val="75B07D22"/>
    <w:rsid w:val="75B229AC"/>
    <w:rsid w:val="75C26B5E"/>
    <w:rsid w:val="75D73501"/>
    <w:rsid w:val="75F44423"/>
    <w:rsid w:val="76124539"/>
    <w:rsid w:val="762A1882"/>
    <w:rsid w:val="762A3631"/>
    <w:rsid w:val="762D1373"/>
    <w:rsid w:val="763C15B6"/>
    <w:rsid w:val="763F3DF8"/>
    <w:rsid w:val="764364A0"/>
    <w:rsid w:val="764E2556"/>
    <w:rsid w:val="7650251E"/>
    <w:rsid w:val="7660015C"/>
    <w:rsid w:val="766052A4"/>
    <w:rsid w:val="76612DCA"/>
    <w:rsid w:val="76785167"/>
    <w:rsid w:val="768052EC"/>
    <w:rsid w:val="76944F4E"/>
    <w:rsid w:val="769F401E"/>
    <w:rsid w:val="769F582D"/>
    <w:rsid w:val="76B36A39"/>
    <w:rsid w:val="76E71522"/>
    <w:rsid w:val="77253DF8"/>
    <w:rsid w:val="775F5B79"/>
    <w:rsid w:val="7769177D"/>
    <w:rsid w:val="7769462C"/>
    <w:rsid w:val="776C1A27"/>
    <w:rsid w:val="77762421"/>
    <w:rsid w:val="777628C0"/>
    <w:rsid w:val="777F0DB7"/>
    <w:rsid w:val="77935205"/>
    <w:rsid w:val="7798281C"/>
    <w:rsid w:val="779C1A04"/>
    <w:rsid w:val="77BC475C"/>
    <w:rsid w:val="77C27899"/>
    <w:rsid w:val="77E93077"/>
    <w:rsid w:val="77F51D1A"/>
    <w:rsid w:val="77FA7283"/>
    <w:rsid w:val="780659D7"/>
    <w:rsid w:val="780F09F4"/>
    <w:rsid w:val="781E653B"/>
    <w:rsid w:val="78224195"/>
    <w:rsid w:val="78241686"/>
    <w:rsid w:val="783E33C3"/>
    <w:rsid w:val="784B788E"/>
    <w:rsid w:val="78650950"/>
    <w:rsid w:val="787053ED"/>
    <w:rsid w:val="78757A9E"/>
    <w:rsid w:val="78782D79"/>
    <w:rsid w:val="789A43FF"/>
    <w:rsid w:val="789C4F47"/>
    <w:rsid w:val="789E003C"/>
    <w:rsid w:val="78A90480"/>
    <w:rsid w:val="78AA0A59"/>
    <w:rsid w:val="78D67AA0"/>
    <w:rsid w:val="78D87374"/>
    <w:rsid w:val="78DB50B6"/>
    <w:rsid w:val="78DD0C76"/>
    <w:rsid w:val="7900183A"/>
    <w:rsid w:val="79137359"/>
    <w:rsid w:val="792720A9"/>
    <w:rsid w:val="794013BD"/>
    <w:rsid w:val="7943071A"/>
    <w:rsid w:val="79441BAA"/>
    <w:rsid w:val="79442C5B"/>
    <w:rsid w:val="796706F8"/>
    <w:rsid w:val="796926C2"/>
    <w:rsid w:val="79751067"/>
    <w:rsid w:val="797A48CF"/>
    <w:rsid w:val="797D616D"/>
    <w:rsid w:val="79811327"/>
    <w:rsid w:val="7985309E"/>
    <w:rsid w:val="799A287B"/>
    <w:rsid w:val="79A61220"/>
    <w:rsid w:val="79AB2CDA"/>
    <w:rsid w:val="79AC25AE"/>
    <w:rsid w:val="79BA116F"/>
    <w:rsid w:val="79CF78A7"/>
    <w:rsid w:val="79EA2C5F"/>
    <w:rsid w:val="79FA77BE"/>
    <w:rsid w:val="7A077518"/>
    <w:rsid w:val="7A353F9D"/>
    <w:rsid w:val="7A364017"/>
    <w:rsid w:val="7A4A42A1"/>
    <w:rsid w:val="7A545120"/>
    <w:rsid w:val="7A5C3FD5"/>
    <w:rsid w:val="7A626F5E"/>
    <w:rsid w:val="7A8265E1"/>
    <w:rsid w:val="7A8C7444"/>
    <w:rsid w:val="7A925C48"/>
    <w:rsid w:val="7AE55D78"/>
    <w:rsid w:val="7AE71AF0"/>
    <w:rsid w:val="7AEF4E49"/>
    <w:rsid w:val="7AF80F26"/>
    <w:rsid w:val="7B1A0118"/>
    <w:rsid w:val="7B2D6604"/>
    <w:rsid w:val="7B361630"/>
    <w:rsid w:val="7B494559"/>
    <w:rsid w:val="7B58479C"/>
    <w:rsid w:val="7B590514"/>
    <w:rsid w:val="7B686D42"/>
    <w:rsid w:val="7B6C0247"/>
    <w:rsid w:val="7B6F1AE6"/>
    <w:rsid w:val="7B75029D"/>
    <w:rsid w:val="7B767318"/>
    <w:rsid w:val="7B7C5344"/>
    <w:rsid w:val="7B841746"/>
    <w:rsid w:val="7B845591"/>
    <w:rsid w:val="7B9A1258"/>
    <w:rsid w:val="7B9D6653"/>
    <w:rsid w:val="7BB045D8"/>
    <w:rsid w:val="7BB65339"/>
    <w:rsid w:val="7BC57958"/>
    <w:rsid w:val="7BC65BA9"/>
    <w:rsid w:val="7BC736D0"/>
    <w:rsid w:val="7BC9409A"/>
    <w:rsid w:val="7BD52290"/>
    <w:rsid w:val="7BD81D81"/>
    <w:rsid w:val="7BDD499F"/>
    <w:rsid w:val="7BF02C26"/>
    <w:rsid w:val="7BFF2E69"/>
    <w:rsid w:val="7C0B7A60"/>
    <w:rsid w:val="7C176405"/>
    <w:rsid w:val="7C324FED"/>
    <w:rsid w:val="7C3C5E6C"/>
    <w:rsid w:val="7C541407"/>
    <w:rsid w:val="7C655D5E"/>
    <w:rsid w:val="7C6F6241"/>
    <w:rsid w:val="7C7D684C"/>
    <w:rsid w:val="7C936E87"/>
    <w:rsid w:val="7CA103C5"/>
    <w:rsid w:val="7CB24380"/>
    <w:rsid w:val="7CE502B1"/>
    <w:rsid w:val="7D0239FF"/>
    <w:rsid w:val="7D052701"/>
    <w:rsid w:val="7D0C1CE2"/>
    <w:rsid w:val="7D0E5A5A"/>
    <w:rsid w:val="7D1E38C2"/>
    <w:rsid w:val="7D2A44BA"/>
    <w:rsid w:val="7D2D1264"/>
    <w:rsid w:val="7D3D4EC3"/>
    <w:rsid w:val="7D5E40CD"/>
    <w:rsid w:val="7D693BED"/>
    <w:rsid w:val="7D823D52"/>
    <w:rsid w:val="7D8437D7"/>
    <w:rsid w:val="7D9013A0"/>
    <w:rsid w:val="7D935F5F"/>
    <w:rsid w:val="7D951CD7"/>
    <w:rsid w:val="7D957F29"/>
    <w:rsid w:val="7D98438D"/>
    <w:rsid w:val="7DB008BF"/>
    <w:rsid w:val="7DBB7264"/>
    <w:rsid w:val="7DC9372F"/>
    <w:rsid w:val="7DE85222"/>
    <w:rsid w:val="7DF22338"/>
    <w:rsid w:val="7DF42489"/>
    <w:rsid w:val="7E026A83"/>
    <w:rsid w:val="7E074FA5"/>
    <w:rsid w:val="7E154BC6"/>
    <w:rsid w:val="7E2117BD"/>
    <w:rsid w:val="7E2272E3"/>
    <w:rsid w:val="7E374D98"/>
    <w:rsid w:val="7E4251F7"/>
    <w:rsid w:val="7E5C0A47"/>
    <w:rsid w:val="7E5E47BF"/>
    <w:rsid w:val="7EA47CF8"/>
    <w:rsid w:val="7EB77A2B"/>
    <w:rsid w:val="7EBE525E"/>
    <w:rsid w:val="7ECB34D7"/>
    <w:rsid w:val="7ED44C97"/>
    <w:rsid w:val="7EE34CC4"/>
    <w:rsid w:val="7EE36A72"/>
    <w:rsid w:val="7EEC1DCB"/>
    <w:rsid w:val="7EEE70C5"/>
    <w:rsid w:val="7F037115"/>
    <w:rsid w:val="7F1D5547"/>
    <w:rsid w:val="7F297FD8"/>
    <w:rsid w:val="7F435763"/>
    <w:rsid w:val="7F473538"/>
    <w:rsid w:val="7F484B27"/>
    <w:rsid w:val="7F6106E9"/>
    <w:rsid w:val="7F633A45"/>
    <w:rsid w:val="7F7067F1"/>
    <w:rsid w:val="7F8C710A"/>
    <w:rsid w:val="7FC543CA"/>
    <w:rsid w:val="7FC91371"/>
    <w:rsid w:val="7FD73D04"/>
    <w:rsid w:val="7FE42AA2"/>
    <w:rsid w:val="7FE47E50"/>
    <w:rsid w:val="7FE846DB"/>
    <w:rsid w:val="7FEB2083"/>
    <w:rsid w:val="7FFA407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ocked="1"/>
    <w:lsdException w:unhideWhenUsed="0" w:uiPriority="0" w:semiHidden="0" w:name="heading 3" w:locked="1"/>
    <w:lsdException w:unhideWhenUsed="0" w:uiPriority="0" w:semiHidden="0" w:name="heading 4" w:locked="1"/>
    <w:lsdException w:unhideWhenUsed="0" w:uiPriority="0" w:semiHidden="0" w:name="heading 5" w:locked="1"/>
    <w:lsdException w:unhideWhenUsed="0" w:uiPriority="0" w:semiHidden="0" w:name="heading 6" w:locked="1"/>
    <w:lsdException w:unhideWhenUsed="0" w:uiPriority="0" w:semiHidden="0" w:name="heading 7" w:locked="1"/>
    <w:lsdException w:unhideWhenUsed="0" w:uiPriority="0" w:semiHidden="0" w:name="heading 8" w:locked="1"/>
    <w:lsdException w:unhideWhenUsed="0" w:uiPriority="0" w:semiHidden="0" w:name="heading 9" w:locked="1"/>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nhideWhenUsed="0" w:uiPriority="0" w:semiHidden="0" w:name="Normal Indent"/>
    <w:lsdException w:unhideWhenUsed="0" w:uiPriority="0" w:semiHidden="0" w:name="footnote text"/>
    <w:lsdException w:qFormat="1" w:unhideWhenUsed="0" w:uiPriority="0" w:name="annotation text"/>
    <w:lsdException w:qFormat="1" w:unhideWhenUsed="0" w:uiPriority="0" w:semiHidden="0" w:name="header"/>
    <w:lsdException w:qFormat="1" w:unhideWhenUsed="0" w:uiPriority="0" w:semiHidden="0" w:name="footer"/>
    <w:lsdException w:unhideWhenUsed="0" w:uiPriority="0" w:semiHidden="0" w:name="index heading"/>
    <w:lsdException w:unhideWhenUsed="0" w:uiPriority="0" w:semiHidden="0" w:name="caption" w:locked="1"/>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unhideWhenUsed="0" w:uiPriority="0" w:semiHidden="0" w:name="Title" w:locked="1"/>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unhideWhenUsed="0" w:uiPriority="0" w:semiHidden="0" w:name="Subtitle" w:locked="1"/>
    <w:lsdException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ocked="1"/>
    <w:lsdException w:unhideWhenUsed="0" w:uiPriority="0" w:semiHidden="0" w:name="Emphasis" w:locked="1"/>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3"/>
    <w:qFormat/>
    <w:uiPriority w:val="0"/>
    <w:pPr>
      <w:keepNext/>
      <w:overflowPunct w:val="0"/>
      <w:snapToGrid w:val="0"/>
      <w:spacing w:before="120" w:after="160" w:line="259" w:lineRule="auto"/>
      <w:ind w:left="432" w:hanging="432"/>
      <w:outlineLvl w:val="0"/>
    </w:pPr>
    <w:rPr>
      <w:rFonts w:eastAsia="黑体"/>
      <w:b/>
      <w:bCs/>
      <w:color w:val="000000"/>
      <w:kern w:val="44"/>
      <w:sz w:val="30"/>
      <w:szCs w:val="30"/>
    </w:rPr>
  </w:style>
  <w:style w:type="paragraph" w:styleId="3">
    <w:name w:val="heading 2"/>
    <w:basedOn w:val="1"/>
    <w:next w:val="1"/>
    <w:link w:val="25"/>
    <w:qFormat/>
    <w:locked/>
    <w:uiPriority w:val="0"/>
    <w:pPr>
      <w:keepNext/>
      <w:keepLines/>
      <w:spacing w:before="260" w:beforeLines="0" w:beforeAutospacing="0" w:after="260" w:afterLines="0" w:afterAutospacing="0" w:line="413" w:lineRule="auto"/>
      <w:outlineLvl w:val="1"/>
    </w:pPr>
    <w:rPr>
      <w:rFonts w:ascii="Arial" w:hAnsi="Arial" w:eastAsia="黑体"/>
      <w:b/>
      <w:sz w:val="32"/>
    </w:rPr>
  </w:style>
  <w:style w:type="character" w:default="1" w:styleId="17">
    <w:name w:val="Default Paragraph Font"/>
    <w:semiHidden/>
    <w:qFormat/>
    <w:uiPriority w:val="0"/>
  </w:style>
  <w:style w:type="table" w:default="1" w:styleId="21">
    <w:name w:val="Normal Table"/>
    <w:semiHidden/>
    <w:qFormat/>
    <w:uiPriority w:val="0"/>
    <w:pPr>
      <w:keepNext w:val="0"/>
      <w:keepLines w:val="0"/>
      <w:widowControl/>
      <w:suppressLineNumbers w:val="0"/>
      <w:spacing w:before="0" w:beforeAutospacing="0" w:after="0" w:afterAutospacing="0"/>
      <w:ind w:left="0" w:right="0"/>
    </w:pPr>
    <w:rPr>
      <w:rFonts w:ascii="Calibri" w:hAnsi="Calibri" w:cs="Times New Roman"/>
      <w:sz w:val="20"/>
      <w:szCs w:val="20"/>
    </w:rPr>
    <w:tblPr>
      <w:tblLayout w:type="fixed"/>
      <w:tblCellMar>
        <w:top w:w="0" w:type="dxa"/>
        <w:left w:w="108" w:type="dxa"/>
        <w:bottom w:w="0" w:type="dxa"/>
        <w:right w:w="108" w:type="dxa"/>
      </w:tblCellMar>
    </w:tblPr>
  </w:style>
  <w:style w:type="paragraph" w:styleId="4">
    <w:name w:val="annotation subject"/>
    <w:basedOn w:val="5"/>
    <w:next w:val="5"/>
    <w:link w:val="34"/>
    <w:semiHidden/>
    <w:qFormat/>
    <w:uiPriority w:val="0"/>
    <w:rPr>
      <w:b/>
      <w:bCs/>
    </w:rPr>
  </w:style>
  <w:style w:type="paragraph" w:styleId="5">
    <w:name w:val="annotation text"/>
    <w:basedOn w:val="1"/>
    <w:link w:val="26"/>
    <w:semiHidden/>
    <w:qFormat/>
    <w:uiPriority w:val="0"/>
    <w:pPr>
      <w:jc w:val="left"/>
    </w:pPr>
    <w:rPr>
      <w:kern w:val="0"/>
      <w:sz w:val="20"/>
    </w:rPr>
  </w:style>
  <w:style w:type="paragraph" w:styleId="6">
    <w:name w:val="Body Text"/>
    <w:basedOn w:val="1"/>
    <w:link w:val="27"/>
    <w:qFormat/>
    <w:uiPriority w:val="0"/>
    <w:pPr>
      <w:widowControl/>
      <w:snapToGrid w:val="0"/>
      <w:spacing w:before="60" w:after="160" w:line="259" w:lineRule="auto"/>
      <w:ind w:right="113"/>
    </w:pPr>
    <w:rPr>
      <w:kern w:val="0"/>
      <w:sz w:val="18"/>
      <w:szCs w:val="18"/>
    </w:rPr>
  </w:style>
  <w:style w:type="paragraph" w:styleId="7">
    <w:name w:val="Body Text Indent"/>
    <w:basedOn w:val="1"/>
    <w:link w:val="28"/>
    <w:semiHidden/>
    <w:qFormat/>
    <w:uiPriority w:val="0"/>
    <w:pPr>
      <w:spacing w:after="120"/>
      <w:ind w:left="420" w:leftChars="200"/>
    </w:pPr>
  </w:style>
  <w:style w:type="paragraph" w:styleId="8">
    <w:name w:val="Plain Text"/>
    <w:basedOn w:val="1"/>
    <w:qFormat/>
    <w:uiPriority w:val="0"/>
    <w:rPr>
      <w:rFonts w:ascii="宋体" w:hAnsi="Courier New" w:cs="Courier New"/>
      <w:szCs w:val="21"/>
    </w:rPr>
  </w:style>
  <w:style w:type="paragraph" w:styleId="9">
    <w:name w:val="Date"/>
    <w:basedOn w:val="1"/>
    <w:next w:val="1"/>
    <w:link w:val="29"/>
    <w:qFormat/>
    <w:uiPriority w:val="0"/>
    <w:pPr>
      <w:ind w:left="100" w:leftChars="2500"/>
    </w:pPr>
    <w:rPr>
      <w:kern w:val="0"/>
      <w:sz w:val="20"/>
    </w:rPr>
  </w:style>
  <w:style w:type="paragraph" w:styleId="10">
    <w:name w:val="Balloon Text"/>
    <w:basedOn w:val="1"/>
    <w:link w:val="30"/>
    <w:semiHidden/>
    <w:qFormat/>
    <w:uiPriority w:val="0"/>
    <w:rPr>
      <w:sz w:val="18"/>
      <w:szCs w:val="18"/>
    </w:rPr>
  </w:style>
  <w:style w:type="paragraph" w:styleId="11">
    <w:name w:val="footer"/>
    <w:basedOn w:val="1"/>
    <w:link w:val="31"/>
    <w:qFormat/>
    <w:uiPriority w:val="0"/>
    <w:pPr>
      <w:tabs>
        <w:tab w:val="center" w:pos="4153"/>
        <w:tab w:val="right" w:pos="8306"/>
      </w:tabs>
      <w:snapToGrid w:val="0"/>
      <w:jc w:val="left"/>
    </w:pPr>
    <w:rPr>
      <w:sz w:val="18"/>
      <w:szCs w:val="18"/>
    </w:rPr>
  </w:style>
  <w:style w:type="paragraph" w:styleId="12">
    <w:name w:val="Body Text First Indent 2"/>
    <w:basedOn w:val="7"/>
    <w:qFormat/>
    <w:uiPriority w:val="0"/>
    <w:pPr>
      <w:ind w:firstLine="420" w:firstLineChars="200"/>
    </w:pPr>
  </w:style>
  <w:style w:type="paragraph" w:styleId="13">
    <w:name w:val="header"/>
    <w:basedOn w:val="1"/>
    <w:link w:val="32"/>
    <w:qFormat/>
    <w:uiPriority w:val="0"/>
    <w:pPr>
      <w:pBdr>
        <w:bottom w:val="single" w:color="auto" w:sz="6" w:space="1"/>
      </w:pBdr>
      <w:tabs>
        <w:tab w:val="center" w:pos="4153"/>
        <w:tab w:val="right" w:pos="8306"/>
      </w:tabs>
      <w:snapToGrid w:val="0"/>
      <w:jc w:val="center"/>
    </w:pPr>
    <w:rPr>
      <w:sz w:val="18"/>
      <w:szCs w:val="18"/>
    </w:rPr>
  </w:style>
  <w:style w:type="paragraph" w:styleId="14">
    <w:name w:val="toc 1"/>
    <w:basedOn w:val="1"/>
    <w:next w:val="1"/>
    <w:qFormat/>
    <w:locked/>
    <w:uiPriority w:val="0"/>
  </w:style>
  <w:style w:type="paragraph" w:styleId="15">
    <w:name w:val="List"/>
    <w:basedOn w:val="1"/>
    <w:qFormat/>
    <w:uiPriority w:val="0"/>
    <w:pPr>
      <w:ind w:left="200" w:hanging="200" w:hangingChars="200"/>
    </w:pPr>
  </w:style>
  <w:style w:type="paragraph" w:styleId="16">
    <w:name w:val="Normal (Web)"/>
    <w:basedOn w:val="1"/>
    <w:link w:val="33"/>
    <w:qFormat/>
    <w:uiPriority w:val="0"/>
    <w:pPr>
      <w:widowControl/>
      <w:spacing w:before="100" w:beforeAutospacing="1" w:after="100" w:afterAutospacing="1"/>
      <w:jc w:val="left"/>
    </w:pPr>
    <w:rPr>
      <w:rFonts w:ascii="宋体" w:hAnsi="宋体"/>
      <w:kern w:val="0"/>
      <w:sz w:val="24"/>
    </w:rPr>
  </w:style>
  <w:style w:type="character" w:styleId="18">
    <w:name w:val="Strong"/>
    <w:basedOn w:val="17"/>
    <w:qFormat/>
    <w:locked/>
    <w:uiPriority w:val="0"/>
    <w:rPr>
      <w:b/>
    </w:rPr>
  </w:style>
  <w:style w:type="character" w:styleId="19">
    <w:name w:val="page number"/>
    <w:basedOn w:val="17"/>
    <w:qFormat/>
    <w:uiPriority w:val="0"/>
  </w:style>
  <w:style w:type="character" w:styleId="20">
    <w:name w:val="annotation reference"/>
    <w:basedOn w:val="17"/>
    <w:semiHidden/>
    <w:qFormat/>
    <w:uiPriority w:val="0"/>
    <w:rPr>
      <w:sz w:val="21"/>
    </w:rPr>
  </w:style>
  <w:style w:type="table" w:styleId="22">
    <w:name w:val="Table Grid"/>
    <w:basedOn w:val="21"/>
    <w:qFormat/>
    <w:uiPriority w:val="0"/>
    <w:rPr>
      <w:lang w:val="en-US" w:eastAsia="zh-CN" w:bidi="ar-SA"/>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23">
    <w:name w:val="标题 1 Char"/>
    <w:link w:val="2"/>
    <w:qFormat/>
    <w:uiPriority w:val="0"/>
    <w:rPr>
      <w:rFonts w:eastAsia="黑体"/>
      <w:b/>
      <w:bCs/>
      <w:color w:val="000000"/>
      <w:kern w:val="44"/>
      <w:sz w:val="30"/>
      <w:szCs w:val="30"/>
    </w:rPr>
  </w:style>
  <w:style w:type="paragraph" w:customStyle="1" w:styleId="24">
    <w:name w:val="BodyText"/>
    <w:basedOn w:val="1"/>
    <w:next w:val="1"/>
    <w:qFormat/>
    <w:uiPriority w:val="0"/>
    <w:pPr>
      <w:spacing w:after="120"/>
      <w:jc w:val="both"/>
      <w:textAlignment w:val="baseline"/>
    </w:pPr>
  </w:style>
  <w:style w:type="character" w:customStyle="1" w:styleId="25">
    <w:name w:val="标题 2 Char"/>
    <w:link w:val="3"/>
    <w:qFormat/>
    <w:uiPriority w:val="0"/>
    <w:rPr>
      <w:rFonts w:ascii="Arial" w:hAnsi="Arial" w:eastAsia="黑体"/>
      <w:b/>
      <w:sz w:val="32"/>
    </w:rPr>
  </w:style>
  <w:style w:type="character" w:customStyle="1" w:styleId="26">
    <w:name w:val="Comment Text Char"/>
    <w:link w:val="5"/>
    <w:qFormat/>
    <w:locked/>
    <w:uiPriority w:val="0"/>
    <w:rPr>
      <w:rFonts w:ascii="Times New Roman" w:hAnsi="Times New Roman" w:eastAsia="宋体"/>
      <w:sz w:val="24"/>
    </w:rPr>
  </w:style>
  <w:style w:type="character" w:customStyle="1" w:styleId="27">
    <w:name w:val="Body Text Char"/>
    <w:link w:val="6"/>
    <w:qFormat/>
    <w:locked/>
    <w:uiPriority w:val="0"/>
    <w:rPr>
      <w:sz w:val="18"/>
    </w:rPr>
  </w:style>
  <w:style w:type="character" w:customStyle="1" w:styleId="28">
    <w:name w:val="Body Text Indent Char"/>
    <w:basedOn w:val="17"/>
    <w:link w:val="7"/>
    <w:semiHidden/>
    <w:qFormat/>
    <w:locked/>
    <w:uiPriority w:val="0"/>
    <w:rPr>
      <w:rFonts w:ascii="Times New Roman" w:hAnsi="Times New Roman" w:eastAsia="宋体" w:cs="Times New Roman"/>
      <w:sz w:val="24"/>
      <w:szCs w:val="24"/>
    </w:rPr>
  </w:style>
  <w:style w:type="character" w:customStyle="1" w:styleId="29">
    <w:name w:val="Date Char"/>
    <w:link w:val="9"/>
    <w:qFormat/>
    <w:locked/>
    <w:uiPriority w:val="0"/>
    <w:rPr>
      <w:rFonts w:ascii="Times New Roman" w:hAnsi="Times New Roman" w:eastAsia="宋体"/>
      <w:sz w:val="24"/>
    </w:rPr>
  </w:style>
  <w:style w:type="character" w:customStyle="1" w:styleId="30">
    <w:name w:val="Balloon Text Char"/>
    <w:basedOn w:val="17"/>
    <w:link w:val="10"/>
    <w:semiHidden/>
    <w:qFormat/>
    <w:locked/>
    <w:uiPriority w:val="0"/>
    <w:rPr>
      <w:rFonts w:ascii="Times New Roman" w:hAnsi="Times New Roman" w:eastAsia="宋体" w:cs="Times New Roman"/>
      <w:sz w:val="18"/>
      <w:szCs w:val="18"/>
    </w:rPr>
  </w:style>
  <w:style w:type="character" w:customStyle="1" w:styleId="31">
    <w:name w:val="Footer Char"/>
    <w:basedOn w:val="17"/>
    <w:link w:val="11"/>
    <w:qFormat/>
    <w:locked/>
    <w:uiPriority w:val="0"/>
    <w:rPr>
      <w:rFonts w:cs="Times New Roman"/>
      <w:sz w:val="18"/>
      <w:szCs w:val="18"/>
    </w:rPr>
  </w:style>
  <w:style w:type="character" w:customStyle="1" w:styleId="32">
    <w:name w:val="Header Char"/>
    <w:basedOn w:val="17"/>
    <w:link w:val="13"/>
    <w:qFormat/>
    <w:locked/>
    <w:uiPriority w:val="0"/>
    <w:rPr>
      <w:rFonts w:cs="Times New Roman"/>
      <w:sz w:val="18"/>
      <w:szCs w:val="18"/>
    </w:rPr>
  </w:style>
  <w:style w:type="character" w:customStyle="1" w:styleId="33">
    <w:name w:val="Normal (Web) Char"/>
    <w:link w:val="16"/>
    <w:qFormat/>
    <w:locked/>
    <w:uiPriority w:val="0"/>
    <w:rPr>
      <w:rFonts w:ascii="宋体" w:hAnsi="宋体" w:eastAsia="宋体"/>
      <w:sz w:val="24"/>
    </w:rPr>
  </w:style>
  <w:style w:type="character" w:customStyle="1" w:styleId="34">
    <w:name w:val="Comment Subject Char"/>
    <w:basedOn w:val="26"/>
    <w:link w:val="4"/>
    <w:semiHidden/>
    <w:qFormat/>
    <w:locked/>
    <w:uiPriority w:val="0"/>
    <w:rPr>
      <w:rFonts w:cs="Times New Roman"/>
      <w:b/>
      <w:bCs/>
      <w:kern w:val="2"/>
      <w:szCs w:val="24"/>
    </w:rPr>
  </w:style>
  <w:style w:type="character" w:customStyle="1" w:styleId="35">
    <w:name w:val="日期 字符"/>
    <w:basedOn w:val="17"/>
    <w:semiHidden/>
    <w:qFormat/>
    <w:uiPriority w:val="0"/>
    <w:rPr>
      <w:rFonts w:ascii="Times New Roman" w:hAnsi="Times New Roman" w:eastAsia="宋体" w:cs="Times New Roman"/>
      <w:sz w:val="24"/>
      <w:szCs w:val="24"/>
    </w:rPr>
  </w:style>
  <w:style w:type="character" w:customStyle="1" w:styleId="36">
    <w:name w:val="正文文本 字符1"/>
    <w:basedOn w:val="17"/>
    <w:semiHidden/>
    <w:qFormat/>
    <w:uiPriority w:val="0"/>
    <w:rPr>
      <w:rFonts w:ascii="Times New Roman" w:hAnsi="Times New Roman" w:eastAsia="宋体" w:cs="Times New Roman"/>
      <w:sz w:val="24"/>
      <w:szCs w:val="24"/>
    </w:rPr>
  </w:style>
  <w:style w:type="paragraph" w:customStyle="1" w:styleId="37">
    <w:name w:val="普通(网站)2"/>
    <w:basedOn w:val="1"/>
    <w:qFormat/>
    <w:uiPriority w:val="0"/>
    <w:pPr>
      <w:widowControl/>
      <w:spacing w:before="100" w:beforeAutospacing="1" w:after="100" w:afterAutospacing="1"/>
      <w:jc w:val="left"/>
    </w:pPr>
    <w:rPr>
      <w:rFonts w:ascii="宋体" w:hAnsi="宋体"/>
      <w:sz w:val="24"/>
      <w:szCs w:val="20"/>
    </w:rPr>
  </w:style>
  <w:style w:type="character" w:customStyle="1" w:styleId="38">
    <w:name w:val="表格 Char"/>
    <w:link w:val="39"/>
    <w:qFormat/>
    <w:locked/>
    <w:uiPriority w:val="0"/>
    <w:rPr>
      <w:rFonts w:ascii="宋体"/>
      <w:sz w:val="21"/>
    </w:rPr>
  </w:style>
  <w:style w:type="paragraph" w:customStyle="1" w:styleId="39">
    <w:name w:val="表格"/>
    <w:basedOn w:val="15"/>
    <w:next w:val="1"/>
    <w:link w:val="38"/>
    <w:qFormat/>
    <w:uiPriority w:val="0"/>
    <w:pPr>
      <w:adjustRightInd w:val="0"/>
      <w:snapToGrid w:val="0"/>
      <w:spacing w:beforeLines="10" w:afterLines="10" w:line="259" w:lineRule="auto"/>
      <w:jc w:val="center"/>
    </w:pPr>
    <w:rPr>
      <w:rFonts w:ascii="宋体"/>
      <w:kern w:val="0"/>
      <w:sz w:val="20"/>
      <w:szCs w:val="21"/>
    </w:rPr>
  </w:style>
  <w:style w:type="character" w:customStyle="1" w:styleId="40">
    <w:name w:val="批注文字 字符1"/>
    <w:basedOn w:val="17"/>
    <w:semiHidden/>
    <w:qFormat/>
    <w:uiPriority w:val="0"/>
    <w:rPr>
      <w:rFonts w:ascii="Times New Roman" w:hAnsi="Times New Roman" w:eastAsia="宋体" w:cs="Times New Roman"/>
      <w:sz w:val="24"/>
      <w:szCs w:val="24"/>
    </w:rPr>
  </w:style>
  <w:style w:type="character" w:customStyle="1" w:styleId="41">
    <w:name w:val="普通(网站) Char"/>
    <w:qFormat/>
    <w:locked/>
    <w:uiPriority w:val="0"/>
    <w:rPr>
      <w:rFonts w:ascii="宋体" w:hAnsi="宋体" w:eastAsia="宋体"/>
      <w:sz w:val="24"/>
    </w:rPr>
  </w:style>
  <w:style w:type="character" w:customStyle="1" w:styleId="42">
    <w:name w:val="font81"/>
    <w:basedOn w:val="17"/>
    <w:qFormat/>
    <w:uiPriority w:val="0"/>
    <w:rPr>
      <w:rFonts w:ascii="宋体" w:hAnsi="宋体" w:eastAsia="宋体" w:cs="宋体"/>
      <w:b/>
      <w:bCs/>
      <w:color w:val="000000"/>
      <w:sz w:val="20"/>
      <w:szCs w:val="20"/>
      <w:u w:val="single"/>
    </w:rPr>
  </w:style>
  <w:style w:type="character" w:customStyle="1" w:styleId="43">
    <w:name w:val="font91"/>
    <w:basedOn w:val="17"/>
    <w:qFormat/>
    <w:uiPriority w:val="0"/>
    <w:rPr>
      <w:rFonts w:ascii="宋体" w:hAnsi="宋体" w:eastAsia="宋体" w:cs="宋体"/>
      <w:color w:val="000000"/>
      <w:sz w:val="20"/>
      <w:szCs w:val="20"/>
      <w:u w:val="single"/>
    </w:rPr>
  </w:style>
  <w:style w:type="character" w:customStyle="1" w:styleId="44">
    <w:name w:val="font101"/>
    <w:basedOn w:val="17"/>
    <w:qFormat/>
    <w:uiPriority w:val="0"/>
    <w:rPr>
      <w:rFonts w:hint="default" w:ascii="Times New Roman" w:hAnsi="Times New Roman" w:cs="Times New Roman"/>
      <w:color w:val="000000"/>
      <w:sz w:val="20"/>
      <w:szCs w:val="20"/>
      <w:u w:val="none"/>
    </w:rPr>
  </w:style>
  <w:style w:type="character" w:customStyle="1" w:styleId="45">
    <w:name w:val="font112"/>
    <w:basedOn w:val="17"/>
    <w:qFormat/>
    <w:uiPriority w:val="0"/>
    <w:rPr>
      <w:rFonts w:hint="default" w:ascii="Times New Roman" w:hAnsi="Times New Roman" w:cs="Times New Roman"/>
      <w:color w:val="000000"/>
      <w:sz w:val="20"/>
      <w:szCs w:val="20"/>
      <w:u w:val="single"/>
    </w:rPr>
  </w:style>
  <w:style w:type="character" w:customStyle="1" w:styleId="46">
    <w:name w:val="font121"/>
    <w:basedOn w:val="17"/>
    <w:qFormat/>
    <w:uiPriority w:val="0"/>
    <w:rPr>
      <w:rFonts w:hint="default" w:ascii="Times New Roman" w:hAnsi="Times New Roman" w:cs="Times New Roman"/>
      <w:i/>
      <w:iCs/>
      <w:color w:val="000000"/>
      <w:sz w:val="20"/>
      <w:szCs w:val="20"/>
      <w:u w:val="single"/>
    </w:rPr>
  </w:style>
  <w:style w:type="character" w:customStyle="1" w:styleId="47">
    <w:name w:val="font131"/>
    <w:basedOn w:val="17"/>
    <w:qFormat/>
    <w:uiPriority w:val="0"/>
    <w:rPr>
      <w:rFonts w:ascii="宋体" w:hAnsi="宋体" w:eastAsia="宋体" w:cs="宋体"/>
      <w:color w:val="000000"/>
      <w:sz w:val="20"/>
      <w:szCs w:val="20"/>
      <w:u w:val="none"/>
    </w:rPr>
  </w:style>
  <w:style w:type="character" w:customStyle="1" w:styleId="48">
    <w:name w:val="font141"/>
    <w:basedOn w:val="17"/>
    <w:qFormat/>
    <w:uiPriority w:val="0"/>
    <w:rPr>
      <w:rFonts w:hint="default" w:ascii="Times New Roman" w:hAnsi="Times New Roman" w:cs="Times New Roman"/>
      <w:color w:val="000000"/>
      <w:sz w:val="22"/>
      <w:szCs w:val="22"/>
      <w:u w:val="single"/>
    </w:rPr>
  </w:style>
  <w:style w:type="character" w:customStyle="1" w:styleId="49">
    <w:name w:val="font151"/>
    <w:basedOn w:val="17"/>
    <w:qFormat/>
    <w:uiPriority w:val="0"/>
    <w:rPr>
      <w:rFonts w:hint="default" w:ascii="Times New Roman" w:hAnsi="Times New Roman" w:cs="Times New Roman"/>
      <w:i/>
      <w:iCs/>
      <w:color w:val="000000"/>
      <w:sz w:val="22"/>
      <w:szCs w:val="22"/>
      <w:u w:val="single"/>
    </w:rPr>
  </w:style>
  <w:style w:type="character" w:customStyle="1" w:styleId="50">
    <w:name w:val="font161"/>
    <w:basedOn w:val="17"/>
    <w:qFormat/>
    <w:uiPriority w:val="0"/>
    <w:rPr>
      <w:rFonts w:hint="default" w:ascii="Times New Roman" w:hAnsi="Times New Roman" w:cs="Times New Roman"/>
      <w:i/>
      <w:iCs/>
      <w:color w:val="000000"/>
      <w:sz w:val="22"/>
      <w:szCs w:val="22"/>
      <w:u w:val="none"/>
    </w:rPr>
  </w:style>
  <w:style w:type="character" w:customStyle="1" w:styleId="51">
    <w:name w:val="font171"/>
    <w:basedOn w:val="17"/>
    <w:qFormat/>
    <w:uiPriority w:val="0"/>
    <w:rPr>
      <w:rFonts w:ascii="宋体" w:hAnsi="宋体" w:eastAsia="宋体" w:cs="宋体"/>
      <w:color w:val="000000"/>
      <w:sz w:val="22"/>
      <w:szCs w:val="22"/>
      <w:u w:val="single"/>
    </w:rPr>
  </w:style>
  <w:style w:type="character" w:customStyle="1" w:styleId="52">
    <w:name w:val="font181"/>
    <w:basedOn w:val="17"/>
    <w:qFormat/>
    <w:uiPriority w:val="0"/>
    <w:rPr>
      <w:rFonts w:hint="default" w:ascii="Times New Roman" w:hAnsi="Times New Roman" w:cs="Times New Roman"/>
      <w:i/>
      <w:iCs/>
      <w:color w:val="000000"/>
      <w:sz w:val="20"/>
      <w:szCs w:val="20"/>
      <w:u w:val="none"/>
    </w:rPr>
  </w:style>
  <w:style w:type="character" w:customStyle="1" w:styleId="53">
    <w:name w:val="font71"/>
    <w:basedOn w:val="17"/>
    <w:qFormat/>
    <w:uiPriority w:val="0"/>
    <w:rPr>
      <w:rFonts w:ascii="宋体" w:hAnsi="宋体" w:eastAsia="宋体" w:cs="宋体"/>
      <w:color w:val="000000"/>
      <w:sz w:val="20"/>
      <w:szCs w:val="20"/>
      <w:u w:val="none"/>
    </w:rPr>
  </w:style>
  <w:style w:type="character" w:customStyle="1" w:styleId="54">
    <w:name w:val="font61"/>
    <w:basedOn w:val="17"/>
    <w:qFormat/>
    <w:uiPriority w:val="0"/>
    <w:rPr>
      <w:rFonts w:hint="default" w:ascii="Times New Roman" w:hAnsi="Times New Roman" w:cs="Times New Roman"/>
      <w:color w:val="0C0C0C"/>
      <w:sz w:val="20"/>
      <w:szCs w:val="20"/>
      <w:u w:val="none"/>
    </w:rPr>
  </w:style>
  <w:style w:type="character" w:customStyle="1" w:styleId="55">
    <w:name w:val="font41"/>
    <w:basedOn w:val="17"/>
    <w:qFormat/>
    <w:uiPriority w:val="0"/>
    <w:rPr>
      <w:rFonts w:hint="default" w:ascii="Times New Roman" w:hAnsi="Times New Roman" w:cs="Times New Roman"/>
      <w:color w:val="0C0C0C"/>
      <w:sz w:val="12"/>
      <w:szCs w:val="12"/>
      <w:u w:val="none"/>
    </w:rPr>
  </w:style>
  <w:style w:type="character" w:customStyle="1" w:styleId="56">
    <w:name w:val="font51"/>
    <w:basedOn w:val="17"/>
    <w:qFormat/>
    <w:uiPriority w:val="0"/>
    <w:rPr>
      <w:rFonts w:ascii="宋体" w:hAnsi="宋体" w:eastAsia="宋体" w:cs="宋体"/>
      <w:color w:val="0C0C0C"/>
      <w:sz w:val="20"/>
      <w:szCs w:val="20"/>
      <w:u w:val="none"/>
    </w:rPr>
  </w:style>
  <w:style w:type="character" w:customStyle="1" w:styleId="57">
    <w:name w:val="font31"/>
    <w:basedOn w:val="17"/>
    <w:qFormat/>
    <w:uiPriority w:val="0"/>
    <w:rPr>
      <w:rFonts w:ascii="宋体" w:hAnsi="宋体" w:eastAsia="宋体" w:cs="宋体"/>
      <w:b/>
      <w:bCs/>
      <w:color w:val="000000"/>
      <w:sz w:val="20"/>
      <w:szCs w:val="20"/>
      <w:u w:val="single"/>
    </w:rPr>
  </w:style>
  <w:style w:type="character" w:customStyle="1" w:styleId="58">
    <w:name w:val="font111"/>
    <w:basedOn w:val="17"/>
    <w:qFormat/>
    <w:uiPriority w:val="0"/>
    <w:rPr>
      <w:rFonts w:hint="default" w:ascii="Arial" w:hAnsi="Arial" w:cs="Arial"/>
      <w:color w:val="000000"/>
      <w:sz w:val="21"/>
      <w:szCs w:val="21"/>
      <w:u w:val="none"/>
    </w:rPr>
  </w:style>
  <w:style w:type="paragraph" w:customStyle="1" w:styleId="59">
    <w:name w:val="Table Text"/>
    <w:basedOn w:val="1"/>
    <w:unhideWhenUsed/>
    <w:qFormat/>
    <w:uiPriority w:val="0"/>
    <w:pPr>
      <w:spacing w:beforeLines="0" w:afterLines="0"/>
    </w:pPr>
    <w:rPr>
      <w:rFonts w:hint="default" w:ascii="Times New Roman" w:hAnsi="Times New Roman" w:eastAsia="Times New Roman" w:cs="Times New Roman"/>
      <w:sz w:val="20"/>
      <w:szCs w:val="20"/>
    </w:rPr>
  </w:style>
  <w:style w:type="paragraph" w:customStyle="1" w:styleId="60">
    <w:name w:val="WPSOffice手动目录 1"/>
    <w:qFormat/>
    <w:uiPriority w:val="0"/>
    <w:pPr>
      <w:ind w:leftChars="0"/>
    </w:pPr>
    <w:rPr>
      <w:rFonts w:ascii="Times New Roman" w:hAnsi="Times New Roman" w:eastAsia="宋体" w:cs="Times New Roman"/>
      <w:sz w:val="20"/>
      <w:szCs w:val="20"/>
    </w:rPr>
  </w:style>
  <w:style w:type="character" w:customStyle="1" w:styleId="61">
    <w:name w:val="明显强调1"/>
    <w:qFormat/>
    <w:uiPriority w:val="21"/>
  </w:style>
  <w:style w:type="paragraph" w:customStyle="1" w:styleId="62">
    <w:name w:val="正文内容"/>
    <w:basedOn w:val="7"/>
    <w:qFormat/>
    <w:uiPriority w:val="0"/>
    <w:pPr>
      <w:spacing w:before="156" w:beforeLines="50" w:after="156" w:afterLines="50" w:line="360" w:lineRule="auto"/>
      <w:ind w:left="0" w:leftChars="0" w:firstLine="480" w:firstLineChars="200"/>
    </w:pPr>
    <w:rPr>
      <w:sz w:val="24"/>
    </w:rPr>
  </w:style>
  <w:style w:type="table" w:customStyle="1" w:styleId="63">
    <w:name w:val="Table Normal"/>
    <w:semiHidden/>
    <w:unhideWhenUsed/>
    <w:qFormat/>
    <w:uiPriority w:val="0"/>
    <w:tblPr>
      <w:tblLayout w:type="fixed"/>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image" Target="media/image4.jpeg"/><Relationship Id="rId8" Type="http://schemas.openxmlformats.org/officeDocument/2006/relationships/image" Target="media/image3.jpeg"/><Relationship Id="rId7" Type="http://schemas.openxmlformats.org/officeDocument/2006/relationships/image" Target="media/image2.jpeg"/><Relationship Id="rId6" Type="http://schemas.openxmlformats.org/officeDocument/2006/relationships/image" Target="media/image1.jpeg"/><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image" Target="media/image19.jpeg"/><Relationship Id="rId24" Type="http://schemas.openxmlformats.org/officeDocument/2006/relationships/image" Target="media/image18.png"/><Relationship Id="rId23" Type="http://schemas.openxmlformats.org/officeDocument/2006/relationships/image" Target="media/image17.png"/><Relationship Id="rId22" Type="http://schemas.openxmlformats.org/officeDocument/2006/relationships/image" Target="media/image16.jpeg"/><Relationship Id="rId21" Type="http://schemas.openxmlformats.org/officeDocument/2006/relationships/image" Target="media/image15.png"/><Relationship Id="rId20" Type="http://schemas.openxmlformats.org/officeDocument/2006/relationships/image" Target="media/image14.png"/><Relationship Id="rId2" Type="http://schemas.openxmlformats.org/officeDocument/2006/relationships/settings" Target="settings.xml"/><Relationship Id="rId19" Type="http://schemas.openxmlformats.org/officeDocument/2006/relationships/image" Target="media/image13.png"/><Relationship Id="rId18" Type="http://schemas.openxmlformats.org/officeDocument/2006/relationships/image" Target="media/image12.png"/><Relationship Id="rId17" Type="http://schemas.openxmlformats.org/officeDocument/2006/relationships/image" Target="media/image11.png"/><Relationship Id="rId16" Type="http://schemas.openxmlformats.org/officeDocument/2006/relationships/image" Target="media/image10.wmf"/><Relationship Id="rId15" Type="http://schemas.openxmlformats.org/officeDocument/2006/relationships/oleObject" Target="embeddings/oleObject1.bin"/><Relationship Id="rId14" Type="http://schemas.openxmlformats.org/officeDocument/2006/relationships/image" Target="media/image9.png"/><Relationship Id="rId13" Type="http://schemas.openxmlformats.org/officeDocument/2006/relationships/image" Target="media/image8.png"/><Relationship Id="rId12" Type="http://schemas.openxmlformats.org/officeDocument/2006/relationships/image" Target="media/image7.jpeg"/><Relationship Id="rId11" Type="http://schemas.openxmlformats.org/officeDocument/2006/relationships/image" Target="media/image6.jpeg"/><Relationship Id="rId10" Type="http://schemas.openxmlformats.org/officeDocument/2006/relationships/image" Target="media/image5.jpeg"/><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Template>
  <Company>微软中国</Company>
  <Pages>162</Pages>
  <Words>8954</Words>
  <Characters>9547</Characters>
  <Lines>9</Lines>
  <Paragraphs>2</Paragraphs>
  <TotalTime>12</TotalTime>
  <ScaleCrop>false</ScaleCrop>
  <LinksUpToDate>false</LinksUpToDate>
  <CharactersWithSpaces>9633</CharactersWithSpaces>
  <Application>WPS Office_11.8.2.8053_F1E327BC-269C-435d-A152-05C5408002CA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2020-12-24T01:42:00Z</dcterms:created>
  <dc:creator>lhj</dc:creator>
  <cp:lastModifiedBy>Administrator</cp:lastModifiedBy>
  <cp:lastPrinted>2020-12-24T01:50:00Z</cp:lastPrinted>
  <dcterms:modified xsi:type="dcterms:W3CDTF">2025-02-24T08:13:27Z</dcterms:modified>
  <cp:revision>46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y fmtid="{D5CDD505-2E9C-101B-9397-08002B2CF9AE}" pid="3" name="ICV">
    <vt:lpwstr>474E0FCD212E446A80BEC3F7EB81998F_13</vt:lpwstr>
  </property>
  <property fmtid="{D5CDD505-2E9C-101B-9397-08002B2CF9AE}" pid="4" name="KSOTemplateDocerSaveRecord">
    <vt:lpwstr>eyJoZGlkIjoiYjMwZGU5NTAxOTMxYmRhYzY4MzVlZjA1NmU4OGE3OTEiLCJ1c2VySWQiOiI0MDI2NTY0NjIifQ==</vt:lpwstr>
  </property>
</Properties>
</file>