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left"/>
        <w:rPr>
          <w:rFonts w:ascii="仿宋_GB2312" w:hAnsi="仿宋_GB2312" w:eastAsia="仿宋_GB2312" w:cs="仿宋_GB2312"/>
          <w:sz w:val="36"/>
          <w:szCs w:val="36"/>
        </w:rPr>
      </w:pPr>
      <w:bookmarkStart w:id="23" w:name="_GoBack"/>
      <w:bookmarkEnd w:id="23"/>
    </w:p>
    <w:p>
      <w:pPr>
        <w:pStyle w:val="2"/>
      </w:pPr>
    </w:p>
    <w:p>
      <w:pPr>
        <w:pStyle w:val="2"/>
        <w:rPr>
          <w:rFonts w:ascii="仿宋_GB2312" w:hAnsi="仿宋_GB2312" w:eastAsia="仿宋_GB2312" w:cs="仿宋_GB2312"/>
          <w:sz w:val="36"/>
          <w:szCs w:val="36"/>
        </w:rPr>
      </w:pPr>
    </w:p>
    <w:p>
      <w:pPr>
        <w:outlineLvl w:val="9"/>
      </w:pPr>
    </w:p>
    <w:p>
      <w:pPr>
        <w:outlineLvl w:val="9"/>
        <w:rPr>
          <w:rFonts w:ascii="仿宋_GB2312" w:hAnsi="仿宋_GB2312" w:eastAsia="仿宋_GB2312" w:cs="仿宋_GB2312"/>
          <w:sz w:val="36"/>
          <w:szCs w:val="36"/>
        </w:rPr>
      </w:pPr>
    </w:p>
    <w:p>
      <w:pPr>
        <w:adjustRightInd w:val="0"/>
        <w:snapToGrid w:val="0"/>
        <w:jc w:val="center"/>
        <w:outlineLvl w:val="9"/>
        <w:rPr>
          <w:rFonts w:hint="eastAsia" w:ascii="方正小标宋_GBK" w:eastAsia="方正小标宋_GBK"/>
          <w:bCs/>
          <w:sz w:val="72"/>
          <w:szCs w:val="72"/>
        </w:rPr>
      </w:pPr>
      <w:bookmarkStart w:id="0" w:name="_Toc29426"/>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outlineLvl w:val="9"/>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outlineLvl w:val="9"/>
        <w:rPr>
          <w:rFonts w:hint="eastAsia" w:ascii="楷体_GB2312" w:eastAsia="楷体_GB2312"/>
          <w:bCs/>
          <w:sz w:val="32"/>
          <w:szCs w:val="32"/>
        </w:rPr>
      </w:pPr>
      <w:r>
        <w:rPr>
          <w:rFonts w:hint="eastAsia" w:ascii="楷体_GB2312" w:eastAsia="楷体_GB2312"/>
          <w:bCs/>
          <w:sz w:val="32"/>
          <w:szCs w:val="32"/>
        </w:rPr>
        <w:t>（</w:t>
      </w:r>
      <w:r>
        <w:rPr>
          <w:rFonts w:hint="eastAsia" w:ascii="楷体_GB2312" w:eastAsia="楷体_GB2312"/>
          <w:bCs/>
          <w:sz w:val="32"/>
          <w:szCs w:val="32"/>
          <w:lang w:val="en-US" w:eastAsia="zh-CN"/>
        </w:rPr>
        <w:t>报批稿</w:t>
      </w:r>
      <w:r>
        <w:rPr>
          <w:rFonts w:hint="eastAsia" w:ascii="楷体_GB2312" w:eastAsia="楷体_GB2312"/>
          <w:bCs/>
          <w:sz w:val="32"/>
          <w:szCs w:val="32"/>
        </w:rPr>
        <w:t>）</w:t>
      </w:r>
    </w:p>
    <w:p>
      <w:pPr>
        <w:pStyle w:val="8"/>
        <w:outlineLvl w:val="9"/>
        <w:rPr>
          <w:rFonts w:hint="eastAsia"/>
        </w:rPr>
      </w:pP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outlineLvl w:val="9"/>
        <w:rPr>
          <w:rFonts w:eastAsia="仿宋"/>
          <w:sz w:val="52"/>
          <w:szCs w:val="52"/>
        </w:rPr>
      </w:pPr>
    </w:p>
    <w:p>
      <w:pPr>
        <w:ind w:firstLine="1040"/>
        <w:outlineLvl w:val="9"/>
        <w:rPr>
          <w:rFonts w:eastAsia="仿宋"/>
          <w:sz w:val="44"/>
          <w:szCs w:val="44"/>
        </w:rPr>
      </w:pPr>
    </w:p>
    <w:p>
      <w:pPr>
        <w:ind w:firstLine="1040"/>
        <w:outlineLvl w:val="9"/>
        <w:rPr>
          <w:rFonts w:eastAsia="仿宋"/>
          <w:sz w:val="44"/>
          <w:szCs w:val="44"/>
        </w:rPr>
      </w:pPr>
    </w:p>
    <w:p>
      <w:pPr>
        <w:adjustRightInd w:val="0"/>
        <w:snapToGrid w:val="0"/>
        <w:spacing w:line="480" w:lineRule="auto"/>
        <w:ind w:firstLine="1040"/>
        <w:outlineLvl w:val="9"/>
        <w:rPr>
          <w:rFonts w:hint="eastAsia" w:ascii="仿宋_GB2312" w:eastAsia="仿宋_GB2312"/>
          <w:sz w:val="36"/>
          <w:szCs w:val="36"/>
          <w:u w:val="single"/>
          <w:lang w:eastAsia="zh-CN"/>
        </w:rPr>
      </w:pPr>
      <w:r>
        <w:rPr>
          <w:rFonts w:hint="eastAsia" w:ascii="仿宋_GB2312" w:eastAsia="仿宋_GB2312"/>
          <w:sz w:val="36"/>
          <w:szCs w:val="36"/>
        </w:rPr>
        <w:t>项目名称：</w:t>
      </w:r>
      <w:r>
        <w:rPr>
          <w:rFonts w:hint="eastAsia" w:ascii="仿宋_GB2312" w:eastAsia="仿宋_GB2312"/>
          <w:sz w:val="36"/>
          <w:szCs w:val="36"/>
          <w:u w:val="single"/>
          <w:lang w:eastAsia="zh-CN"/>
        </w:rPr>
        <w:t>年产50万平方米钢化玻璃、30万平方</w:t>
      </w:r>
    </w:p>
    <w:p>
      <w:pPr>
        <w:adjustRightInd w:val="0"/>
        <w:snapToGrid w:val="0"/>
        <w:spacing w:line="480" w:lineRule="auto"/>
        <w:ind w:firstLine="2858" w:firstLineChars="794"/>
        <w:outlineLvl w:val="9"/>
        <w:rPr>
          <w:rFonts w:hint="default" w:ascii="仿宋_GB2312" w:eastAsia="仿宋_GB2312"/>
          <w:sz w:val="36"/>
          <w:szCs w:val="36"/>
          <w:u w:val="single"/>
          <w:lang w:val="en-US" w:eastAsia="zh-CN"/>
        </w:rPr>
      </w:pPr>
      <w:r>
        <w:rPr>
          <w:rFonts w:hint="eastAsia" w:ascii="仿宋_GB2312" w:eastAsia="仿宋_GB2312"/>
          <w:sz w:val="36"/>
          <w:szCs w:val="36"/>
          <w:u w:val="single"/>
          <w:lang w:eastAsia="zh-CN"/>
        </w:rPr>
        <w:t>米中空玻璃扩建项目</w:t>
      </w:r>
      <w:r>
        <w:rPr>
          <w:rFonts w:hint="eastAsia" w:ascii="仿宋_GB2312" w:eastAsia="仿宋_GB2312"/>
          <w:sz w:val="36"/>
          <w:szCs w:val="36"/>
          <w:u w:val="single"/>
          <w:lang w:val="en-US" w:eastAsia="zh-CN"/>
        </w:rPr>
        <w:t xml:space="preserve">  </w:t>
      </w:r>
    </w:p>
    <w:p>
      <w:pPr>
        <w:adjustRightInd w:val="0"/>
        <w:snapToGrid w:val="0"/>
        <w:spacing w:line="480" w:lineRule="auto"/>
        <w:ind w:firstLine="1040"/>
        <w:outlineLvl w:val="9"/>
        <w:rPr>
          <w:rFonts w:hint="eastAsia" w:ascii="仿宋_GB2312" w:eastAsia="仿宋_GB2312"/>
          <w:sz w:val="36"/>
          <w:szCs w:val="36"/>
          <w:u w:val="single"/>
          <w:lang w:eastAsia="zh-CN"/>
        </w:rPr>
      </w:pPr>
      <w:r>
        <w:rPr>
          <w:rFonts w:hint="eastAsia" w:ascii="仿宋_GB2312" w:eastAsia="仿宋_GB2312"/>
          <w:sz w:val="36"/>
          <w:szCs w:val="36"/>
        </w:rPr>
        <w:t>建设单位（盖章）：</w:t>
      </w:r>
      <w:r>
        <w:rPr>
          <w:rFonts w:hint="eastAsia" w:ascii="仿宋_GB2312" w:eastAsia="仿宋_GB2312"/>
          <w:sz w:val="36"/>
          <w:szCs w:val="36"/>
          <w:u w:val="single"/>
        </w:rPr>
        <w:t>永州市湘源玻璃</w:t>
      </w:r>
      <w:r>
        <w:rPr>
          <w:rFonts w:hint="eastAsia" w:ascii="仿宋_GB2312" w:eastAsia="仿宋_GB2312"/>
          <w:sz w:val="36"/>
          <w:szCs w:val="36"/>
          <w:u w:val="single"/>
          <w:lang w:eastAsia="zh-CN"/>
        </w:rPr>
        <w:t>制品</w:t>
      </w:r>
      <w:r>
        <w:rPr>
          <w:rFonts w:hint="eastAsia" w:ascii="仿宋_GB2312" w:eastAsia="仿宋_GB2312"/>
          <w:sz w:val="36"/>
          <w:szCs w:val="36"/>
          <w:u w:val="single"/>
        </w:rPr>
        <w:t>有限公司</w:t>
      </w:r>
    </w:p>
    <w:p>
      <w:pPr>
        <w:adjustRightInd w:val="0"/>
        <w:snapToGrid w:val="0"/>
        <w:spacing w:line="480" w:lineRule="auto"/>
        <w:ind w:firstLine="1040"/>
        <w:outlineLvl w:val="9"/>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 xml:space="preserve">       2024年10月               </w:t>
      </w:r>
    </w:p>
    <w:p>
      <w:pPr>
        <w:adjustRightInd w:val="0"/>
        <w:snapToGrid w:val="0"/>
        <w:spacing w:line="288" w:lineRule="auto"/>
        <w:ind w:firstLine="1040"/>
        <w:outlineLvl w:val="9"/>
        <w:rPr>
          <w:rFonts w:ascii="仿宋_GB2312" w:eastAsia="仿宋_GB2312"/>
          <w:sz w:val="36"/>
          <w:szCs w:val="36"/>
          <w:u w:val="single"/>
        </w:rPr>
      </w:pPr>
      <w:bookmarkStart w:id="1" w:name="_Hlk57884087"/>
    </w:p>
    <w:p>
      <w:pPr>
        <w:adjustRightInd w:val="0"/>
        <w:snapToGrid w:val="0"/>
        <w:spacing w:line="288" w:lineRule="auto"/>
        <w:ind w:firstLine="1040"/>
        <w:outlineLvl w:val="9"/>
        <w:rPr>
          <w:rFonts w:hint="eastAsia" w:ascii="仿宋_GB2312" w:eastAsia="仿宋_GB2312"/>
          <w:sz w:val="36"/>
          <w:szCs w:val="36"/>
        </w:rPr>
      </w:pPr>
    </w:p>
    <w:bookmarkEnd w:id="1"/>
    <w:p>
      <w:pPr>
        <w:adjustRightInd w:val="0"/>
        <w:snapToGrid w:val="0"/>
        <w:spacing w:line="288" w:lineRule="auto"/>
        <w:jc w:val="center"/>
        <w:outlineLvl w:val="9"/>
        <w:rPr>
          <w:rFonts w:hint="eastAsia" w:ascii="楷体_GB2312" w:eastAsia="楷体_GB2312"/>
          <w:sz w:val="36"/>
          <w:szCs w:val="36"/>
        </w:rPr>
      </w:pPr>
      <w:bookmarkStart w:id="2" w:name="_Toc25719"/>
      <w:r>
        <w:rPr>
          <w:rFonts w:hint="eastAsia" w:ascii="楷体_GB2312" w:eastAsia="楷体_GB2312"/>
          <w:sz w:val="36"/>
          <w:szCs w:val="36"/>
        </w:rPr>
        <w:t>中华人民共和国生态环境部制</w:t>
      </w:r>
      <w:bookmarkEnd w:id="2"/>
    </w:p>
    <w:p>
      <w:pPr>
        <w:pStyle w:val="2"/>
        <w:ind w:left="0" w:leftChars="0" w:right="0" w:rightChars="0" w:firstLine="0" w:firstLineChars="0"/>
        <w:jc w:val="center"/>
      </w:pPr>
    </w:p>
    <w:p>
      <w:pPr>
        <w:rPr>
          <w:rFonts w:hint="eastAsia" w:eastAsia="宋体"/>
          <w:lang w:eastAsia="zh-CN"/>
        </w:rPr>
      </w:pPr>
    </w:p>
    <w:p>
      <w:pPr>
        <w:pStyle w:val="2"/>
        <w:ind w:left="0" w:leftChars="0" w:firstLine="0" w:firstLineChars="0"/>
        <w:rPr>
          <w:rFonts w:hint="eastAsia"/>
          <w:lang w:eastAsia="zh-CN"/>
        </w:rPr>
      </w:pPr>
    </w:p>
    <w:p>
      <w:pPr>
        <w:pStyle w:val="2"/>
        <w:ind w:left="0" w:leftChars="0" w:firstLine="0" w:firstLineChars="0"/>
        <w:outlineLvl w:val="9"/>
        <w:sectPr>
          <w:footerReference r:id="rId3" w:type="default"/>
          <w:pgSz w:w="11906" w:h="16838"/>
          <w:pgMar w:top="720" w:right="720" w:bottom="720" w:left="1140" w:header="851" w:footer="1077" w:gutter="0"/>
          <w:pgBorders>
            <w:top w:val="none" w:sz="0" w:space="0"/>
            <w:left w:val="none" w:sz="0" w:space="0"/>
            <w:bottom w:val="none" w:sz="0" w:space="0"/>
            <w:right w:val="none" w:sz="0" w:space="0"/>
          </w:pgBorders>
          <w:pgNumType w:fmt="upperRoman" w:start="1"/>
          <w:cols w:space="720" w:num="1"/>
          <w:docGrid w:linePitch="312" w:charSpace="0"/>
        </w:sectPr>
      </w:pPr>
    </w:p>
    <w:sdt>
      <w:sdtPr>
        <w:rPr>
          <w:rFonts w:ascii="宋体" w:hAnsi="宋体" w:eastAsia="宋体" w:cs="Times New Roman"/>
          <w:kern w:val="2"/>
          <w:sz w:val="21"/>
          <w:szCs w:val="24"/>
          <w:lang w:val="en-US" w:eastAsia="zh-CN" w:bidi="ar-SA"/>
        </w:rPr>
        <w:id w:val="147469870"/>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黑体" w:hAnsi="黑体" w:eastAsia="黑体" w:cs="黑体"/>
              <w:b/>
              <w:bCs/>
              <w:sz w:val="32"/>
              <w:szCs w:val="32"/>
            </w:rPr>
          </w:pPr>
          <w:bookmarkStart w:id="3" w:name="_Toc10986"/>
          <w:r>
            <w:rPr>
              <w:rFonts w:hint="eastAsia" w:ascii="黑体" w:hAnsi="黑体" w:eastAsia="黑体" w:cs="黑体"/>
              <w:b/>
              <w:bCs/>
              <w:sz w:val="32"/>
              <w:szCs w:val="32"/>
            </w:rPr>
            <w:t>目</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录</w:t>
          </w:r>
        </w:p>
        <w:p>
          <w:pPr>
            <w:pStyle w:val="13"/>
            <w:tabs>
              <w:tab w:val="right" w:leader="dot" w:pos="8844"/>
            </w:tabs>
            <w:spacing w:line="360" w:lineRule="auto"/>
          </w:pPr>
          <w:r>
            <w:fldChar w:fldCharType="begin"/>
          </w:r>
          <w:r>
            <w:instrText xml:space="preserve">TOC \o "1-1" \h \u </w:instrText>
          </w:r>
          <w:r>
            <w:fldChar w:fldCharType="separate"/>
          </w:r>
          <w:r>
            <w:fldChar w:fldCharType="begin"/>
          </w:r>
          <w:r>
            <w:instrText xml:space="preserve"> HYPERLINK \l _Toc22680 </w:instrText>
          </w:r>
          <w:r>
            <w:fldChar w:fldCharType="separate"/>
          </w:r>
          <w:r>
            <w:rPr>
              <w:rFonts w:hint="eastAsia" w:ascii="黑体" w:hAnsi="黑体" w:eastAsia="黑体"/>
              <w:snapToGrid w:val="0"/>
              <w:szCs w:val="30"/>
            </w:rPr>
            <w:t>一、建设项目基本情况</w:t>
          </w:r>
          <w:r>
            <w:tab/>
          </w:r>
          <w:r>
            <w:fldChar w:fldCharType="begin"/>
          </w:r>
          <w:r>
            <w:instrText xml:space="preserve"> PAGEREF _Toc22680 \h </w:instrText>
          </w:r>
          <w:r>
            <w:fldChar w:fldCharType="separate"/>
          </w:r>
          <w:r>
            <w:t>- 1 -</w:t>
          </w:r>
          <w:r>
            <w:fldChar w:fldCharType="end"/>
          </w:r>
          <w:r>
            <w:fldChar w:fldCharType="end"/>
          </w:r>
        </w:p>
        <w:p>
          <w:pPr>
            <w:pStyle w:val="13"/>
            <w:tabs>
              <w:tab w:val="right" w:leader="dot" w:pos="8844"/>
            </w:tabs>
            <w:spacing w:line="360" w:lineRule="auto"/>
          </w:pPr>
          <w:r>
            <w:fldChar w:fldCharType="begin"/>
          </w:r>
          <w:r>
            <w:instrText xml:space="preserve"> HYPERLINK \l _Toc10664 </w:instrText>
          </w:r>
          <w:r>
            <w:fldChar w:fldCharType="separate"/>
          </w:r>
          <w:r>
            <w:rPr>
              <w:rFonts w:hint="eastAsia" w:ascii="黑体" w:hAnsi="黑体" w:eastAsia="黑体"/>
              <w:snapToGrid w:val="0"/>
              <w:szCs w:val="30"/>
            </w:rPr>
            <w:t>二、建设项目工程分析</w:t>
          </w:r>
          <w:r>
            <w:tab/>
          </w:r>
          <w:r>
            <w:fldChar w:fldCharType="begin"/>
          </w:r>
          <w:r>
            <w:instrText xml:space="preserve"> PAGEREF _Toc10664 \h </w:instrText>
          </w:r>
          <w:r>
            <w:fldChar w:fldCharType="separate"/>
          </w:r>
          <w:r>
            <w:t>- 7 -</w:t>
          </w:r>
          <w:r>
            <w:fldChar w:fldCharType="end"/>
          </w:r>
          <w:r>
            <w:fldChar w:fldCharType="end"/>
          </w:r>
        </w:p>
        <w:p>
          <w:pPr>
            <w:pStyle w:val="13"/>
            <w:tabs>
              <w:tab w:val="right" w:leader="dot" w:pos="8844"/>
            </w:tabs>
            <w:spacing w:line="360" w:lineRule="auto"/>
          </w:pPr>
          <w:r>
            <w:fldChar w:fldCharType="begin"/>
          </w:r>
          <w:r>
            <w:instrText xml:space="preserve"> HYPERLINK \l _Toc16928 </w:instrText>
          </w:r>
          <w: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_Toc16928 \h </w:instrText>
          </w:r>
          <w:r>
            <w:fldChar w:fldCharType="separate"/>
          </w:r>
          <w:r>
            <w:t>- 30 -</w:t>
          </w:r>
          <w:r>
            <w:fldChar w:fldCharType="end"/>
          </w:r>
          <w:r>
            <w:fldChar w:fldCharType="end"/>
          </w:r>
        </w:p>
        <w:p>
          <w:pPr>
            <w:pStyle w:val="13"/>
            <w:tabs>
              <w:tab w:val="right" w:leader="dot" w:pos="8844"/>
            </w:tabs>
            <w:spacing w:line="360" w:lineRule="auto"/>
          </w:pPr>
          <w:r>
            <w:fldChar w:fldCharType="begin"/>
          </w:r>
          <w:r>
            <w:instrText xml:space="preserve"> HYPERLINK \l _Toc22126 </w:instrText>
          </w:r>
          <w:r>
            <w:fldChar w:fldCharType="separate"/>
          </w:r>
          <w:r>
            <w:rPr>
              <w:rFonts w:hint="eastAsia" w:ascii="黑体" w:hAnsi="黑体" w:eastAsia="黑体"/>
              <w:snapToGrid w:val="0"/>
              <w:szCs w:val="30"/>
            </w:rPr>
            <w:t>四、主要环境影响和保护措施</w:t>
          </w:r>
          <w:r>
            <w:tab/>
          </w:r>
          <w:r>
            <w:fldChar w:fldCharType="begin"/>
          </w:r>
          <w:r>
            <w:instrText xml:space="preserve"> PAGEREF _Toc22126 \h </w:instrText>
          </w:r>
          <w:r>
            <w:fldChar w:fldCharType="separate"/>
          </w:r>
          <w:r>
            <w:t>- 36 -</w:t>
          </w:r>
          <w:r>
            <w:fldChar w:fldCharType="end"/>
          </w:r>
          <w:r>
            <w:fldChar w:fldCharType="end"/>
          </w:r>
        </w:p>
        <w:p>
          <w:pPr>
            <w:pStyle w:val="13"/>
            <w:tabs>
              <w:tab w:val="right" w:leader="dot" w:pos="8844"/>
            </w:tabs>
            <w:spacing w:line="360" w:lineRule="auto"/>
          </w:pPr>
          <w:r>
            <w:fldChar w:fldCharType="begin"/>
          </w:r>
          <w:r>
            <w:instrText xml:space="preserve"> HYPERLINK \l _Toc15951 </w:instrText>
          </w:r>
          <w:r>
            <w:fldChar w:fldCharType="separate"/>
          </w:r>
          <w:r>
            <w:rPr>
              <w:rFonts w:hint="eastAsia" w:ascii="黑体" w:hAnsi="黑体" w:eastAsia="黑体"/>
              <w:snapToGrid w:val="0"/>
              <w:szCs w:val="30"/>
            </w:rPr>
            <w:t>五、环境保护措施监督检查清单</w:t>
          </w:r>
          <w:r>
            <w:tab/>
          </w:r>
          <w:r>
            <w:fldChar w:fldCharType="begin"/>
          </w:r>
          <w:r>
            <w:instrText xml:space="preserve"> PAGEREF _Toc15951 \h </w:instrText>
          </w:r>
          <w:r>
            <w:fldChar w:fldCharType="separate"/>
          </w:r>
          <w:r>
            <w:t>- 52 -</w:t>
          </w:r>
          <w:r>
            <w:fldChar w:fldCharType="end"/>
          </w:r>
          <w:r>
            <w:fldChar w:fldCharType="end"/>
          </w:r>
        </w:p>
        <w:p>
          <w:pPr>
            <w:pStyle w:val="13"/>
            <w:tabs>
              <w:tab w:val="right" w:leader="dot" w:pos="8844"/>
            </w:tabs>
            <w:spacing w:line="360" w:lineRule="auto"/>
          </w:pPr>
          <w:r>
            <w:fldChar w:fldCharType="begin"/>
          </w:r>
          <w:r>
            <w:instrText xml:space="preserve"> HYPERLINK \l _Toc7801 </w:instrText>
          </w:r>
          <w:r>
            <w:fldChar w:fldCharType="separate"/>
          </w:r>
          <w:r>
            <w:rPr>
              <w:rFonts w:hint="eastAsia" w:ascii="黑体" w:hAnsi="黑体" w:eastAsia="黑体"/>
              <w:snapToGrid w:val="0"/>
              <w:szCs w:val="30"/>
            </w:rPr>
            <w:t>六、结论</w:t>
          </w:r>
          <w:r>
            <w:tab/>
          </w:r>
          <w:r>
            <w:fldChar w:fldCharType="begin"/>
          </w:r>
          <w:r>
            <w:instrText xml:space="preserve"> PAGEREF _Toc7801 \h </w:instrText>
          </w:r>
          <w:r>
            <w:fldChar w:fldCharType="separate"/>
          </w:r>
          <w:r>
            <w:t>- 54 -</w:t>
          </w:r>
          <w:r>
            <w:fldChar w:fldCharType="end"/>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_Toc25606 </w:instrText>
          </w:r>
          <w:r>
            <w:fldChar w:fldCharType="separate"/>
          </w:r>
          <w:r>
            <w:rPr>
              <w:rFonts w:hint="eastAsia"/>
              <w:lang w:eastAsia="zh-CN"/>
            </w:rPr>
            <w:t>附件1：委托书</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_Toc6385 </w:instrText>
          </w:r>
          <w:r>
            <w:fldChar w:fldCharType="separate"/>
          </w:r>
          <w:r>
            <w:rPr>
              <w:rFonts w:hint="eastAsia"/>
              <w:bCs/>
              <w:szCs w:val="28"/>
              <w:lang w:eastAsia="zh-CN"/>
            </w:rPr>
            <w:t>附件2：营业执照</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rPr>
              <w:rFonts w:hint="eastAsia"/>
            </w:rPr>
          </w:pPr>
          <w:r>
            <w:rPr>
              <w:rFonts w:hint="eastAsia"/>
            </w:rPr>
            <w:t>附件</w:t>
          </w:r>
          <w:r>
            <w:rPr>
              <w:rFonts w:hint="eastAsia"/>
              <w:lang w:val="en-US" w:eastAsia="zh-CN"/>
            </w:rPr>
            <w:t>3</w:t>
          </w:r>
          <w:r>
            <w:rPr>
              <w:rFonts w:hint="eastAsia"/>
            </w:rPr>
            <w:t>：现有排污许可证</w:t>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rPr>
              <w:rFonts w:hint="eastAsia"/>
            </w:rPr>
          </w:pPr>
          <w:r>
            <w:rPr>
              <w:rFonts w:hint="eastAsia"/>
            </w:rPr>
            <w:t>附件4</w:t>
          </w:r>
          <w:r>
            <w:rPr>
              <w:rFonts w:hint="eastAsia"/>
              <w:lang w:eastAsia="zh-CN"/>
            </w:rPr>
            <w:t>：</w:t>
          </w:r>
          <w:r>
            <w:rPr>
              <w:rFonts w:hint="eastAsia"/>
            </w:rPr>
            <w:t>现有工程自主验收意见</w:t>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_Toc620 </w:instrText>
          </w:r>
          <w:r>
            <w:fldChar w:fldCharType="separate"/>
          </w:r>
          <w:r>
            <w:rPr>
              <w:rFonts w:hint="eastAsia"/>
              <w:bCs/>
              <w:szCs w:val="28"/>
              <w:lang w:eastAsia="zh-CN"/>
            </w:rPr>
            <w:t>附件</w:t>
          </w:r>
          <w:r>
            <w:rPr>
              <w:rFonts w:hint="eastAsia"/>
              <w:bCs/>
              <w:szCs w:val="28"/>
              <w:lang w:val="en-US" w:eastAsia="zh-CN"/>
            </w:rPr>
            <w:t>5</w:t>
          </w:r>
          <w:r>
            <w:rPr>
              <w:rFonts w:hint="eastAsia"/>
              <w:bCs/>
              <w:szCs w:val="28"/>
              <w:lang w:eastAsia="zh-CN"/>
            </w:rPr>
            <w:t>：国土证</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_Toc8824 </w:instrText>
          </w:r>
          <w:r>
            <w:fldChar w:fldCharType="separate"/>
          </w:r>
          <w:r>
            <w:rPr>
              <w:rFonts w:hint="eastAsia"/>
              <w:bCs/>
              <w:szCs w:val="28"/>
              <w:lang w:eastAsia="zh-CN"/>
            </w:rPr>
            <w:t>附件</w:t>
          </w:r>
          <w:r>
            <w:rPr>
              <w:rFonts w:hint="eastAsia"/>
              <w:bCs/>
              <w:szCs w:val="28"/>
              <w:lang w:val="en-US" w:eastAsia="zh-CN"/>
            </w:rPr>
            <w:t>6</w:t>
          </w:r>
          <w:r>
            <w:rPr>
              <w:rFonts w:hint="eastAsia"/>
              <w:bCs/>
              <w:szCs w:val="28"/>
              <w:lang w:eastAsia="zh-CN"/>
            </w:rPr>
            <w:t>：租赁合同</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_Toc3402 </w:instrText>
          </w:r>
          <w:r>
            <w:fldChar w:fldCharType="separate"/>
          </w:r>
          <w:r>
            <w:rPr>
              <w:rFonts w:hint="eastAsia"/>
              <w:bCs/>
              <w:szCs w:val="28"/>
              <w:lang w:val="en-US" w:eastAsia="zh-CN"/>
            </w:rPr>
            <w:t>附件7：丁基胶检测报告</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_Toc2717 </w:instrText>
          </w:r>
          <w:r>
            <w:fldChar w:fldCharType="separate"/>
          </w:r>
          <w:r>
            <w:rPr>
              <w:rFonts w:hint="eastAsia"/>
              <w:bCs/>
              <w:szCs w:val="28"/>
              <w:lang w:val="en-US" w:eastAsia="zh-CN"/>
            </w:rPr>
            <w:t>附件8：硅酮密封胶检测报告</w:t>
          </w:r>
          <w:r>
            <w:fldChar w:fldCharType="end"/>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附件9：评审专家意见</w:t>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_Toc15677 </w:instrText>
          </w:r>
          <w:r>
            <w:fldChar w:fldCharType="separate"/>
          </w:r>
          <w:r>
            <w:rPr>
              <w:rFonts w:hint="eastAsia"/>
              <w:bCs/>
              <w:szCs w:val="28"/>
              <w:lang w:eastAsia="zh-CN"/>
            </w:rPr>
            <w:t>附图1：项目地理位置图</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_Toc14790 </w:instrText>
          </w:r>
          <w:r>
            <w:fldChar w:fldCharType="separate"/>
          </w:r>
          <w:r>
            <w:rPr>
              <w:rFonts w:hint="eastAsia"/>
              <w:bCs/>
              <w:szCs w:val="28"/>
              <w:lang w:eastAsia="zh-CN"/>
            </w:rPr>
            <w:t>附图2：平面布置图</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_Toc2654 </w:instrText>
          </w:r>
          <w:r>
            <w:fldChar w:fldCharType="separate"/>
          </w:r>
          <w:r>
            <w:rPr>
              <w:rFonts w:hint="eastAsia"/>
              <w:bCs/>
              <w:szCs w:val="28"/>
              <w:lang w:eastAsia="zh-CN"/>
            </w:rPr>
            <w:t>附图3：项目外环境及敏感点关系图</w:t>
          </w:r>
          <w: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spacing w:before="0" w:beforeLines="0" w:line="500" w:lineRule="exact"/>
            <w:textAlignment w:val="auto"/>
          </w:pPr>
          <w:r>
            <w:fldChar w:fldCharType="begin"/>
          </w:r>
          <w:r>
            <w:instrText xml:space="preserve"> HYPERLINK \l _Toc31665 </w:instrText>
          </w:r>
          <w:r>
            <w:fldChar w:fldCharType="separate"/>
          </w:r>
          <w:r>
            <w:rPr>
              <w:rFonts w:hint="eastAsia"/>
              <w:bCs/>
              <w:szCs w:val="28"/>
              <w:lang w:eastAsia="zh-CN"/>
            </w:rPr>
            <w:t>附图4：富家桥镇污水处理厂纳污管网</w:t>
          </w:r>
          <w:r>
            <w:fldChar w:fldCharType="end"/>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附图</w:t>
          </w:r>
          <w:r>
            <w:rPr>
              <w:rFonts w:hint="eastAsia" w:ascii="黑体" w:hAnsi="黑体" w:eastAsia="黑体" w:cs="黑体"/>
              <w:b/>
              <w:bCs/>
              <w:sz w:val="28"/>
              <w:szCs w:val="28"/>
              <w:lang w:val="en-US" w:eastAsia="zh-CN"/>
            </w:rPr>
            <w:t>5</w:t>
          </w:r>
          <w:r>
            <w:rPr>
              <w:rFonts w:hint="eastAsia" w:ascii="黑体" w:hAnsi="黑体" w:eastAsia="黑体" w:cs="黑体"/>
              <w:b/>
              <w:bCs/>
              <w:sz w:val="28"/>
              <w:szCs w:val="28"/>
            </w:rPr>
            <w:t>：水系图</w:t>
          </w:r>
        </w:p>
        <w:p>
          <w:pPr>
            <w:spacing w:line="360" w:lineRule="auto"/>
            <w:sectPr>
              <w:headerReference r:id="rId4" w:type="default"/>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r>
            <w:fldChar w:fldCharType="end"/>
          </w:r>
        </w:p>
      </w:sdtContent>
    </w:sdt>
    <w:p>
      <w:pPr>
        <w:pStyle w:val="27"/>
        <w:jc w:val="center"/>
        <w:outlineLvl w:val="0"/>
        <w:rPr>
          <w:rFonts w:hint="eastAsia" w:ascii="黑体" w:hAnsi="黑体" w:eastAsia="黑体"/>
          <w:snapToGrid w:val="0"/>
          <w:sz w:val="30"/>
          <w:szCs w:val="30"/>
        </w:rPr>
      </w:pPr>
      <w:bookmarkStart w:id="4" w:name="_Toc22680"/>
      <w:r>
        <w:rPr>
          <w:rFonts w:hint="eastAsia" w:ascii="黑体" w:hAnsi="黑体" w:eastAsia="黑体"/>
          <w:snapToGrid w:val="0"/>
          <w:sz w:val="30"/>
          <w:szCs w:val="30"/>
        </w:rPr>
        <w:t>一、建设项目基本情况</w:t>
      </w:r>
      <w:bookmarkEnd w:id="3"/>
      <w:bookmarkEnd w:id="4"/>
    </w:p>
    <w:tbl>
      <w:tblPr>
        <w:tblStyle w:val="31"/>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70"/>
        <w:gridCol w:w="194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03"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建设项目名称</w:t>
            </w:r>
          </w:p>
        </w:tc>
        <w:tc>
          <w:tcPr>
            <w:tcW w:w="6800"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年产50万平方米钢化玻璃、30万平方米中空玻璃扩建项目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07"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项目代码</w:t>
            </w:r>
          </w:p>
        </w:tc>
        <w:tc>
          <w:tcPr>
            <w:tcW w:w="6800"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07"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建设单位联系人</w:t>
            </w:r>
          </w:p>
        </w:tc>
        <w:tc>
          <w:tcPr>
            <w:tcW w:w="194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刘辉</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联系方式</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15971586671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7"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建设地点</w:t>
            </w:r>
          </w:p>
        </w:tc>
        <w:tc>
          <w:tcPr>
            <w:tcW w:w="6800"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u w:val="none"/>
                <w:lang w:val="en-US" w:eastAsia="zh-CN"/>
                <w14:textFill>
                  <w14:solidFill>
                    <w14:schemeClr w14:val="tx1">
                      <w14:lumMod w14:val="95000"/>
                      <w14:lumOff w14:val="5000"/>
                    </w14:schemeClr>
                  </w14:solidFill>
                </w14:textFill>
              </w:rPr>
              <w:t>湖南省永州市零陵区富家桥镇永福大道旁北边</w:t>
            </w:r>
            <w:r>
              <w:rPr>
                <w:rFonts w:hint="eastAsia" w:ascii="宋体" w:hAnsi="宋体" w:eastAsia="宋体" w:cs="宋体"/>
                <w:color w:val="0D0D0D" w:themeColor="text1" w:themeTint="F2"/>
                <w:sz w:val="24"/>
                <w:szCs w:val="24"/>
                <w:u w:val="none"/>
                <w:lang w:val="en-US" w:eastAsia="zh-CN"/>
                <w14:textFill>
                  <w14:solidFill>
                    <w14:schemeClr w14:val="tx1">
                      <w14:lumMod w14:val="95000"/>
                      <w14:lumOff w14:val="5000"/>
                    </w14:schemeClr>
                  </w14:solidFill>
                </w14:textFill>
              </w:rPr>
              <w:t>（镇政府对面）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07"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地理坐标</w:t>
            </w:r>
          </w:p>
        </w:tc>
        <w:tc>
          <w:tcPr>
            <w:tcW w:w="6800"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u w:val="none"/>
                <w:lang w:val="en-US" w:eastAsia="zh-CN"/>
                <w14:textFill>
                  <w14:solidFill>
                    <w14:schemeClr w14:val="tx1">
                      <w14:lumMod w14:val="95000"/>
                      <w14:lumOff w14:val="5000"/>
                    </w14:schemeClr>
                  </w14:solidFill>
                </w14:textFill>
              </w:rPr>
              <w:t>中心经度：111°37′9.05"</w:t>
            </w:r>
            <w:r>
              <w:rPr>
                <w:rFonts w:hint="eastAsia" w:ascii="宋体" w:hAnsi="宋体" w:cs="宋体"/>
                <w:color w:val="0D0D0D" w:themeColor="text1" w:themeTint="F2"/>
                <w:sz w:val="24"/>
                <w:szCs w:val="24"/>
                <w:u w:val="none"/>
                <w:lang w:val="en-US"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u w:val="none"/>
                <w:lang w:val="en-US" w:eastAsia="zh-CN"/>
                <w14:textFill>
                  <w14:solidFill>
                    <w14:schemeClr w14:val="tx1">
                      <w14:lumMod w14:val="95000"/>
                      <w14:lumOff w14:val="5000"/>
                    </w14:schemeClr>
                  </w14:solidFill>
                </w14:textFill>
              </w:rPr>
              <w:t>中心纬度：26°8′18.67"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国民经济</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行业类别</w:t>
            </w:r>
          </w:p>
        </w:tc>
        <w:tc>
          <w:tcPr>
            <w:tcW w:w="194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技术玻璃制品制造</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C30</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51</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bookmarkStart w:id="5" w:name="_Hlk49843745"/>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行业类别</w:t>
            </w:r>
            <w:bookmarkEnd w:id="5"/>
          </w:p>
        </w:tc>
        <w:tc>
          <w:tcPr>
            <w:tcW w:w="2639" w:type="dxa"/>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C30</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5</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玻璃</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制品</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建设性质</w:t>
            </w:r>
          </w:p>
        </w:tc>
        <w:tc>
          <w:tcPr>
            <w:tcW w:w="1949" w:type="dxa"/>
            <w:noWrap w:val="0"/>
            <w:vAlign w:val="center"/>
          </w:tcPr>
          <w:p>
            <w:pPr>
              <w:keepNext w:val="0"/>
              <w:keepLines w:val="0"/>
              <w:suppressLineNumbers w:val="0"/>
              <w:spacing w:before="0" w:beforeAutospacing="0" w:after="0" w:afterAutospacing="0"/>
              <w:ind w:left="0" w:leftChars="0" w:right="0" w:firstLine="38" w:firstLineChars="16"/>
              <w:jc w:val="left"/>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□新建（迁建）</w:t>
            </w:r>
          </w:p>
          <w:p>
            <w:pPr>
              <w:keepNext w:val="0"/>
              <w:keepLines w:val="0"/>
              <w:suppressLineNumbers w:val="0"/>
              <w:spacing w:before="0" w:beforeAutospacing="0" w:after="0" w:afterAutospacing="0"/>
              <w:ind w:left="0" w:leftChars="0" w:right="0" w:firstLine="38" w:firstLineChars="16"/>
              <w:jc w:val="left"/>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改建</w:t>
            </w:r>
          </w:p>
          <w:p>
            <w:pPr>
              <w:keepNext w:val="0"/>
              <w:keepLines w:val="0"/>
              <w:suppressLineNumbers w:val="0"/>
              <w:spacing w:before="0" w:beforeAutospacing="0" w:after="0" w:afterAutospacing="0"/>
              <w:ind w:left="0" w:leftChars="0" w:right="0" w:firstLine="38" w:firstLineChars="16"/>
              <w:jc w:val="left"/>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扩建</w:t>
            </w:r>
          </w:p>
          <w:p>
            <w:pPr>
              <w:keepNext w:val="0"/>
              <w:keepLines w:val="0"/>
              <w:suppressLineNumbers w:val="0"/>
              <w:spacing w:before="0" w:beforeAutospacing="0" w:after="0" w:afterAutospacing="0"/>
              <w:ind w:left="0" w:leftChars="0" w:right="0" w:firstLine="38" w:firstLineChars="16"/>
              <w:jc w:val="left"/>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申报情形</w:t>
            </w:r>
          </w:p>
        </w:tc>
        <w:tc>
          <w:tcPr>
            <w:tcW w:w="2639" w:type="dxa"/>
            <w:noWrap w:val="0"/>
            <w:vAlign w:val="center"/>
          </w:tcPr>
          <w:p>
            <w:pPr>
              <w:keepNext w:val="0"/>
              <w:keepLines w:val="0"/>
              <w:suppressLineNumbers w:val="0"/>
              <w:spacing w:before="0" w:beforeAutospacing="0" w:after="0" w:afterAutospacing="0"/>
              <w:ind w:left="0" w:leftChars="0" w:right="0" w:rightChars="0" w:firstLine="38" w:firstLineChars="16"/>
              <w:jc w:val="left"/>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sym w:font="Wingdings 2" w:char="0052"/>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首次申报项目</w:t>
            </w:r>
          </w:p>
          <w:p>
            <w:pPr>
              <w:keepNext w:val="0"/>
              <w:keepLines w:val="0"/>
              <w:suppressLineNumbers w:val="0"/>
              <w:spacing w:before="0" w:beforeAutospacing="0" w:after="0" w:afterAutospacing="0"/>
              <w:ind w:left="0" w:leftChars="0" w:right="0" w:rightChars="0" w:firstLine="38" w:firstLineChars="16"/>
              <w:jc w:val="left"/>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□不予批准后再次申报项目</w:t>
            </w:r>
          </w:p>
          <w:p>
            <w:pPr>
              <w:keepNext w:val="0"/>
              <w:keepLines w:val="0"/>
              <w:suppressLineNumbers w:val="0"/>
              <w:spacing w:before="0" w:beforeAutospacing="0" w:after="0" w:afterAutospacing="0"/>
              <w:ind w:left="0" w:leftChars="0" w:right="0" w:rightChars="0" w:firstLine="38" w:firstLineChars="16"/>
              <w:jc w:val="left"/>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sym w:font="Wingdings 2" w:char="00A3"/>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超五年重新审核项目</w:t>
            </w:r>
          </w:p>
          <w:p>
            <w:pPr>
              <w:keepNext w:val="0"/>
              <w:keepLines w:val="0"/>
              <w:suppressLineNumbers w:val="0"/>
              <w:spacing w:before="0" w:beforeAutospacing="0" w:after="0" w:afterAutospacing="0"/>
              <w:ind w:left="0" w:leftChars="0" w:right="0" w:rightChars="0" w:firstLine="38" w:firstLineChars="16"/>
              <w:jc w:val="left"/>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项目审批（核准/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备案）部门（选填）</w:t>
            </w:r>
          </w:p>
        </w:tc>
        <w:tc>
          <w:tcPr>
            <w:tcW w:w="194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项目审批（核准/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9"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总投资（万元）</w:t>
            </w:r>
          </w:p>
        </w:tc>
        <w:tc>
          <w:tcPr>
            <w:tcW w:w="194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00</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19"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环保投资占比（%）</w:t>
            </w:r>
          </w:p>
        </w:tc>
        <w:tc>
          <w:tcPr>
            <w:tcW w:w="194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7</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.5</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07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是否开工建设</w:t>
            </w:r>
          </w:p>
        </w:tc>
        <w:tc>
          <w:tcPr>
            <w:tcW w:w="1949" w:type="dxa"/>
            <w:noWrap w:val="0"/>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sym w:font="Wingdings 2" w:char="0052"/>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否</w:t>
            </w:r>
          </w:p>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sym w:font="Wingdings 2" w:char="00A3"/>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是：</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pacing w:val="-6"/>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pacing w:val="-6"/>
                <w:sz w:val="24"/>
                <w:szCs w:val="24"/>
                <w14:textFill>
                  <w14:solidFill>
                    <w14:schemeClr w14:val="tx1">
                      <w14:lumMod w14:val="95000"/>
                      <w14:lumOff w14:val="5000"/>
                    </w14:schemeClr>
                  </w14:solidFill>
                </w14:textFill>
              </w:rPr>
              <w:t>用地（用海）</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pacing w:val="-6"/>
                <w:sz w:val="24"/>
                <w:szCs w:val="24"/>
                <w14:textFill>
                  <w14:solidFill>
                    <w14:schemeClr w14:val="tx1">
                      <w14:lumMod w14:val="95000"/>
                      <w14:lumOff w14:val="5000"/>
                    </w14:schemeClr>
                  </w14:solidFill>
                </w14:textFill>
              </w:rPr>
              <w:t>面积（</w:t>
            </w:r>
            <w:r>
              <w:rPr>
                <w:rFonts w:hint="eastAsia" w:ascii="宋体" w:hAnsi="宋体" w:cs="宋体"/>
                <w:color w:val="0D0D0D" w:themeColor="text1" w:themeTint="F2"/>
                <w:spacing w:val="-6"/>
                <w:sz w:val="24"/>
                <w:szCs w:val="24"/>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pacing w:val="-6"/>
                <w:sz w:val="24"/>
                <w:szCs w:val="24"/>
                <w14:textFill>
                  <w14:solidFill>
                    <w14:schemeClr w14:val="tx1">
                      <w14:lumMod w14:val="95000"/>
                      <w14:lumOff w14:val="5000"/>
                    </w14:schemeClr>
                  </w14:solidFill>
                </w14:textFill>
              </w:rPr>
              <w:t>）</w:t>
            </w:r>
          </w:p>
        </w:tc>
        <w:tc>
          <w:tcPr>
            <w:tcW w:w="2639" w:type="dxa"/>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6666.7</w:t>
            </w: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7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t>专项评价设置情况</w:t>
            </w:r>
          </w:p>
        </w:tc>
        <w:tc>
          <w:tcPr>
            <w:tcW w:w="6800"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b/>
                <w:bCs/>
                <w:color w:val="0D0D0D" w:themeColor="text1" w:themeTint="F2"/>
                <w:kern w:val="0"/>
                <w:sz w:val="28"/>
                <w:szCs w:val="28"/>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8"/>
                <w:szCs w:val="28"/>
                <w:lang w:val="en-US" w:eastAsia="zh-CN"/>
                <w14:textFill>
                  <w14:solidFill>
                    <w14:schemeClr w14:val="tx1">
                      <w14:lumMod w14:val="95000"/>
                      <w14:lumOff w14:val="5000"/>
                    </w14:schemeClr>
                  </w14:solidFill>
                </w14:textFill>
              </w:rPr>
              <w:t>无</w:t>
            </w:r>
          </w:p>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①本排放废气不涉及有毒有害污染物、二噁英、苯并[a]芘、氰化物、氯气，无需开展大气专项评价；</w:t>
            </w:r>
          </w:p>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②</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本扩建项目</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不涉及新增工业废水直接排放，无需开展地表水专项评价；</w:t>
            </w:r>
          </w:p>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③</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本扩建项目</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风险物质未超过临界量，无需开展环境风险专项评价；</w:t>
            </w:r>
          </w:p>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④</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本扩建项目</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不涉及河道取水，无需开展生态专项评价；</w:t>
            </w:r>
          </w:p>
          <w:p>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⑤</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本扩建项目</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不涉及集中式饮用水水源和热水、矿泉水、温泉等特殊地下水资源保护区，无需开展地下水专项评价。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jc w:val="center"/>
        </w:trPr>
        <w:tc>
          <w:tcPr>
            <w:tcW w:w="207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规划情况</w:t>
            </w:r>
          </w:p>
        </w:tc>
        <w:tc>
          <w:tcPr>
            <w:tcW w:w="6800"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20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规划环境影响</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评价情况</w:t>
            </w:r>
          </w:p>
        </w:tc>
        <w:tc>
          <w:tcPr>
            <w:tcW w:w="6800"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7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t>影响评价符合性分析</w:t>
            </w:r>
          </w:p>
        </w:tc>
        <w:tc>
          <w:tcPr>
            <w:tcW w:w="6800"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7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14:textFill>
                  <w14:solidFill>
                    <w14:schemeClr w14:val="tx1">
                      <w14:lumMod w14:val="95000"/>
                      <w14:lumOff w14:val="5000"/>
                    </w14:schemeClr>
                  </w14:solidFill>
                </w14:textFill>
              </w:rPr>
              <w:t>其他符合性分析</w:t>
            </w:r>
          </w:p>
        </w:tc>
        <w:tc>
          <w:tcPr>
            <w:tcW w:w="6800"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color w:val="0D0D0D" w:themeColor="text1" w:themeTint="F2"/>
                <w:kern w:val="0"/>
                <w:sz w:val="24"/>
                <w:szCs w:val="24"/>
                <w:u w:val="single"/>
                <w:lang w:val="en-US" w:eastAsia="zh-CN"/>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u w:val="single"/>
                <w:lang w:val="en-US" w:eastAsia="zh-CN"/>
                <w14:textFill>
                  <w14:solidFill>
                    <w14:schemeClr w14:val="tx1">
                      <w14:lumMod w14:val="95000"/>
                      <w14:lumOff w14:val="5000"/>
                    </w14:schemeClr>
                  </w14:solidFill>
                </w14:textFill>
              </w:rPr>
              <w:t>1</w:t>
            </w:r>
            <w:r>
              <w:rPr>
                <w:rFonts w:hint="eastAsia" w:ascii="宋体" w:hAnsi="宋体" w:eastAsia="宋体" w:cs="宋体"/>
                <w:b/>
                <w:bCs/>
                <w:color w:val="0D0D0D" w:themeColor="text1" w:themeTint="F2"/>
                <w:kern w:val="0"/>
                <w:sz w:val="24"/>
                <w:szCs w:val="24"/>
                <w:u w:val="single"/>
                <w:lang w:val="en-US" w:eastAsia="zh-CN"/>
                <w14:textFill>
                  <w14:solidFill>
                    <w14:schemeClr w14:val="tx1">
                      <w14:lumMod w14:val="95000"/>
                      <w14:lumOff w14:val="5000"/>
                    </w14:schemeClr>
                  </w14:solidFill>
                </w14:textFill>
              </w:rPr>
              <w:t>、与“三线一单”符合性分析</w:t>
            </w:r>
          </w:p>
          <w:p>
            <w:pPr>
              <w:pStyle w:val="2"/>
              <w:numPr>
                <w:ilvl w:val="0"/>
                <w:numId w:val="0"/>
              </w:numPr>
              <w:spacing w:before="0" w:beforeAutospacing="0"/>
              <w:ind w:left="0" w:leftChars="0" w:right="0" w:firstLine="420" w:firstLineChars="175"/>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1）生态红线</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本扩建项目位于湖南省永州市零陵区富家桥镇永福大道旁北边（镇政府对面），为建设用地，对照《关于划定并严守生态保护红线的若干意见》和永州市生态红线范围，本扩建项目不在永州市生态红线保护区内，符合永州市生态保护红线要求。</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2）环境质量底线</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根据现状监测数据可知，本扩建项目项目所在区域地表水环境、环境空气、声环境等均满足相应环境质量标准，本扩建项目所在区域环境质量良好。本扩建项目所产生的污染物均采取相应防治措施，采取相应防治措施后对区域环境影响较小，满足区域环境质量底线要求。</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3）资源利用上线</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本扩建项目营运过程中将消耗一定量的资源，项目资源消耗相对区域资料利用总量较少，项目所在地资源完全能够满足本项目需求，符合资源利用上线要求。</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4）环境负面清单</w:t>
            </w:r>
          </w:p>
          <w:p>
            <w:pPr>
              <w:pStyle w:val="2"/>
              <w:numPr>
                <w:ilvl w:val="0"/>
                <w:numId w:val="0"/>
              </w:numPr>
              <w:spacing w:before="0" w:beforeAutospacing="0"/>
              <w:ind w:right="0" w:firstLine="480" w:firstLineChars="20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建设项目严格执行建设项目环境影响评价制度。禁止严重破坏生态环境、危机劳动者生命安全和人民健康或国家、地方明令禁止、淘汰、限值的落后生产企业、工艺和设备进入。根据《国民经济行业分类》（GB/T4754-2022）本扩建项目属于技术玻璃制品制造C3051。本项目不属于《产业结构调整指导目录（2024年本）》中的鼓励类、限制类和淘汰类项目，因此，本扩建项目符合现行国家产业政策。不在负面清单中。</w:t>
            </w:r>
          </w:p>
          <w:p>
            <w:pPr>
              <w:pStyle w:val="2"/>
              <w:numPr>
                <w:ilvl w:val="0"/>
                <w:numId w:val="0"/>
              </w:numPr>
              <w:spacing w:before="0" w:beforeAutospacing="0"/>
              <w:ind w:right="0" w:firstLine="480" w:firstLineChars="200"/>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综上，本扩建项目建设符合生态保护红线、环境质量底线、资源利用上线要求，不属于负面清单内建设项目。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根据永州市人民政府关于“三线一单”生态环境分区管控的实施意见（永政发〔2020〕11号），项目三线一单的符合性如下：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bCs/>
                <w:color w:val="0D0D0D" w:themeColor="text1" w:themeTint="F2"/>
                <w:kern w:val="0"/>
                <w:sz w:val="21"/>
                <w:szCs w:val="21"/>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lang w:val="en-US" w:eastAsia="zh-CN"/>
                <w14:textFill>
                  <w14:solidFill>
                    <w14:schemeClr w14:val="tx1">
                      <w14:lumMod w14:val="95000"/>
                      <w14:lumOff w14:val="5000"/>
                    </w14:schemeClr>
                  </w14:solidFill>
                </w14:textFill>
              </w:rPr>
              <w:t>表1-</w:t>
            </w:r>
            <w:r>
              <w:rPr>
                <w:rFonts w:hint="eastAsia" w:ascii="宋体" w:hAnsi="宋体" w:cs="宋体"/>
                <w:b/>
                <w:bCs/>
                <w:color w:val="0D0D0D" w:themeColor="text1" w:themeTint="F2"/>
                <w:kern w:val="0"/>
                <w:sz w:val="21"/>
                <w:szCs w:val="21"/>
                <w:lang w:val="en-US" w:eastAsia="zh-CN"/>
                <w14:textFill>
                  <w14:solidFill>
                    <w14:schemeClr w14:val="tx1">
                      <w14:lumMod w14:val="95000"/>
                      <w14:lumOff w14:val="5000"/>
                    </w14:schemeClr>
                  </w14:solidFill>
                </w14:textFill>
              </w:rPr>
              <w:t>1</w:t>
            </w:r>
            <w:r>
              <w:rPr>
                <w:rFonts w:hint="eastAsia" w:ascii="宋体" w:hAnsi="宋体" w:eastAsia="宋体" w:cs="宋体"/>
                <w:b/>
                <w:bCs/>
                <w:color w:val="0D0D0D" w:themeColor="text1" w:themeTint="F2"/>
                <w:kern w:val="0"/>
                <w:sz w:val="21"/>
                <w:szCs w:val="21"/>
                <w:lang w:val="en-US" w:eastAsia="zh-CN"/>
                <w14:textFill>
                  <w14:solidFill>
                    <w14:schemeClr w14:val="tx1">
                      <w14:lumMod w14:val="95000"/>
                      <w14:lumOff w14:val="5000"/>
                    </w14:schemeClr>
                  </w14:solidFill>
                </w14:textFill>
              </w:rPr>
              <w:t>“三线一单”的符合性</w:t>
            </w:r>
          </w:p>
          <w:tbl>
            <w:tblPr>
              <w:tblStyle w:val="31"/>
              <w:tblW w:w="667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89"/>
              <w:gridCol w:w="1216"/>
              <w:gridCol w:w="3236"/>
              <w:gridCol w:w="1079"/>
              <w:gridCol w:w="5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restart"/>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生态保护红线</w:t>
                  </w: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项目位置</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湖南省湖南省永州市零陵区富家桥镇永福大道旁北边（镇政府对面）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单元分类</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优先保护单元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环境管控单元编码</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ZH43110210001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主体功能定位</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省级重点开发区域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经济产业布局</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旅游业、竹木加工、采矿业、商贸物流等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主要属性</w:t>
                  </w:r>
                </w:p>
              </w:tc>
              <w:tc>
                <w:tcPr>
                  <w:tcW w:w="4873"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富家桥镇：生态保护红线/一般生态空间</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公益林/森林公园/生物多样性保护功能重要区/湿地公园/水土保持功能重要区/水土流失敏感区/水源涵养重要区/饮用水水源保护区</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；水环境优先保护区</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湖南零陵潇水国家湿地公园、永州市零陵区潇水饮用水水源保护区</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/水环境一般管控区；大气环境布局敏感重点管控区/大气环境一般管控区；农用地优先保护区/其他土壤重点管控区</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市县级采矿权</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/土壤污染风险一般管控区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t>管控维度</w:t>
                  </w:r>
                </w:p>
              </w:tc>
              <w:tc>
                <w:tcPr>
                  <w:tcW w:w="323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t>管控要求</w:t>
                  </w:r>
                </w:p>
              </w:tc>
              <w:tc>
                <w:tcPr>
                  <w:tcW w:w="107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t>本项目情况</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sz w:val="21"/>
                      <w:szCs w:val="21"/>
                      <w:u w:val="none"/>
                      <w:lang w:val="en-US" w:eastAsia="zh-CN"/>
                      <w14:textFill>
                        <w14:solidFill>
                          <w14:schemeClr w14:val="tx1">
                            <w14:lumMod w14:val="95000"/>
                            <w14:lumOff w14:val="5000"/>
                          </w14:schemeClr>
                        </w14:solidFill>
                      </w14:textFill>
                    </w:rPr>
                    <w:t>是否满足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空间布局约束</w:t>
                  </w:r>
                </w:p>
              </w:tc>
              <w:tc>
                <w:tcPr>
                  <w:tcW w:w="323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1.1）永州市零陵区潇水饮用水水源保护区：严格控制旅游、航运、项目建设等开发行为，禁止燃油船舶在饮用水源保护区内游玩，严格控制二级保护区范围内新上旅游开发项目。禁止在南津渡水厂、娘子岭水厂取水口上游1000米，下游200米范围内垂钓、停泊渔船和电鱼捕鱼。</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1.2）湖南零陵潇水国家湿地公园：湿地公园内不得设立开发区、度假区。禁止擅自在水面设置竹箔等障碍物，禁止非法引进外来物种或擅自放生，确需修建相关工程的，应当进行科学论证、评估，并征求相关部门的意见。已退耕还湿的地域禁止新建居民点或者其他永久性建筑物、构筑物。湿地公园管理局划定的植被恢复区，禁止放牧和种植。</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（1.3）畜禽养殖布局应符合《零陵区畜禽规模养殖“三区”划定方案》。</w:t>
                  </w:r>
                </w:p>
              </w:tc>
              <w:tc>
                <w:tcPr>
                  <w:tcW w:w="107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占地不涉及永州市零陵区潇水饮用水水源保护区和湖南零陵潇水国家湿地公园；</w:t>
                  </w:r>
                </w:p>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不属于畜禽养殖项目。</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污染物排放管控</w:t>
                  </w:r>
                </w:p>
              </w:tc>
              <w:tc>
                <w:tcPr>
                  <w:tcW w:w="323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2.1）湖南零陵潇水国家湿地公园：禁止任意存储固体废弃物，对农用薄膜和渔网等不可降解的废弃物，使用者应当采取回收利用等措施。湿地公园内航行的船舶，应当配置符合国家规定的防污设备，不得排放污染物、生活污水及固体垃圾。</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（2.2）新建、改建、扩建规模化畜禽养殖场（小区）要实施雨污分流、粪便污水资源化利用，散养密集区要实行畜禽粪便污水分户收集、集中处理利用。</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（2.3）所有江河水库全部退出承包经营，采取“人放天养”生态养殖模式，力保水源水质达标。</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（2.4）完善生活污水、工业废水收集处理设施及排水管网。</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（2.5）重点餐饮经营场所</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6个灶头以上</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全部要求安装高效油烟净化设施，实现油气分离，确保油烟达标排放，逐步推广到中小型餐饮经营场所。禁止露天无序烧烤。</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（2.6）加强对露天焚烧生活垃圾和</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秸秆</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的管理，严禁露天焚烧生活垃圾和</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秸秆</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（2.7）富家桥镇、朝阳街道按相关规划完善集镇和农村垃圾收运处理系统。</w:t>
                  </w:r>
                </w:p>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（2.8）朝阳街道：三湘电化须严格做好各项污染防治设施的运行管理和维护，确保生产工艺废水稳定实现全部回用不外排，并做好含铬盐泥的收集、暂存、转移管理。</w:t>
                  </w:r>
                </w:p>
              </w:tc>
              <w:tc>
                <w:tcPr>
                  <w:tcW w:w="107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本扩建项目在场界周围的初期雨水汇集至雨水收集池沉淀后进入厂区前市政雨水管网排放；原料清洗废水经沉淀处理后回用，不</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排放；</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生活污水</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经化粪池预处理后，进入零陵区富家桥镇污水处理厂处理达标后外排</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p>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生活垃圾交由环卫部门集中处置。</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环境风险防控</w:t>
                  </w:r>
                </w:p>
              </w:tc>
              <w:tc>
                <w:tcPr>
                  <w:tcW w:w="323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（3.1）朝阳街道：三湘电化要进一步加强环境风险防范工作，切实防范环境风险事故发生。</w:t>
                  </w:r>
                </w:p>
              </w:tc>
              <w:tc>
                <w:tcPr>
                  <w:tcW w:w="107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本扩建项目不位于朝阳街道管辖范围</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vMerge w:val="continue"/>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p>
              </w:tc>
              <w:tc>
                <w:tcPr>
                  <w:tcW w:w="121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资源开发</w:t>
                  </w:r>
                </w:p>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效率要求</w:t>
                  </w:r>
                </w:p>
              </w:tc>
              <w:tc>
                <w:tcPr>
                  <w:tcW w:w="3236"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（4.1）能源</w:t>
                  </w:r>
                </w:p>
                <w:p>
                  <w:pPr>
                    <w:pStyle w:val="53"/>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（4.1.1）实行低硫煤政策，禁止使用含硫量大于1%，含灰量大于20%的燃煤。</w:t>
                  </w:r>
                </w:p>
                <w:p>
                  <w:pPr>
                    <w:pStyle w:val="53"/>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（4.1.2）全面提高工业锅炉准入标准，禁止新建、扩建和改建燃煤锅炉，凡申请新、扩、改建锅炉的，一律要求使用电、天然气、液化石油气、轻质燃油、水煤浆、生物质成型燃料等低污染燃料。</w:t>
                  </w:r>
                </w:p>
                <w:p>
                  <w:pPr>
                    <w:pStyle w:val="53"/>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（4.1.3）高污染燃料禁燃区严格执行《永州市人民政府关于调整高污染燃料禁燃区的通告》（永政函〔2020〕30号）的规定。</w:t>
                  </w:r>
                </w:p>
              </w:tc>
              <w:tc>
                <w:tcPr>
                  <w:tcW w:w="107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本扩建项目生产无需供热工程</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环境质量底线</w:t>
                  </w:r>
                </w:p>
              </w:tc>
              <w:tc>
                <w:tcPr>
                  <w:tcW w:w="5531"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根据环境质量现状调查和环境影响分析，</w:t>
                  </w: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运营对区域内环境影响较小，环境质量可以保持现有水平</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资源利用上线</w:t>
                  </w:r>
                </w:p>
              </w:tc>
              <w:tc>
                <w:tcPr>
                  <w:tcW w:w="5531"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营运过程中消耗少量的水资源和电资源，区域内水源充足，能源主要依托当地电网供电，项目资源消耗相对区域资源利用总量较小，符合资源利用上线要求。实行低硫煤政策，禁止使用含硫量大于1%，含灰量大于20%的燃煤。</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none"/>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589"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highlight w:val="none"/>
                      <w:u w:val="none"/>
                      <w:lang w:val="en-US" w:eastAsia="zh-CN"/>
                      <w14:textFill>
                        <w14:solidFill>
                          <w14:schemeClr w14:val="tx1">
                            <w14:lumMod w14:val="95000"/>
                            <w14:lumOff w14:val="5000"/>
                          </w14:schemeClr>
                        </w14:solidFill>
                      </w14:textFill>
                    </w:rPr>
                    <w:t>生态准入清单</w:t>
                  </w:r>
                </w:p>
              </w:tc>
              <w:tc>
                <w:tcPr>
                  <w:tcW w:w="5531" w:type="dxa"/>
                  <w:gridSpan w:val="3"/>
                  <w:tcBorders>
                    <w:tl2br w:val="nil"/>
                    <w:tr2bl w:val="nil"/>
                  </w:tcBorders>
                  <w:noWrap w:val="0"/>
                  <w:vAlign w:val="center"/>
                </w:tcPr>
                <w:p>
                  <w:pPr>
                    <w:pStyle w:val="53"/>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eastAsia"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属于</w:t>
                  </w:r>
                  <w:r>
                    <w:rPr>
                      <w:rFonts w:hint="eastAsia"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玻璃制品制造</w:t>
                  </w:r>
                  <w:r>
                    <w:rPr>
                      <w:rFonts w:hint="eastAsia" w:ascii="Times New Roman" w:hAnsi="Times New Roman" w:eastAsia="宋体"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项目，经过与《永州市“三线一单”生态环境分区管控要求》进行对照，</w:t>
                  </w:r>
                  <w:r>
                    <w:rPr>
                      <w:rFonts w:hint="eastAsia"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b w:val="0"/>
                      <w:bCs/>
                      <w:color w:val="0D0D0D" w:themeColor="text1" w:themeTint="F2"/>
                      <w:sz w:val="21"/>
                      <w:szCs w:val="21"/>
                      <w:highlight w:val="none"/>
                      <w:u w:val="single"/>
                      <w:lang w:val="en-US" w:eastAsia="zh-CN"/>
                      <w14:textFill>
                        <w14:solidFill>
                          <w14:schemeClr w14:val="tx1">
                            <w14:lumMod w14:val="95000"/>
                            <w14:lumOff w14:val="5000"/>
                          </w14:schemeClr>
                        </w14:solidFill>
                      </w14:textFill>
                    </w:rPr>
                    <w:t>不在生态保护红线、水环境优先保护区、大气环境布局敏感重点管控区范围内，项目符合永州市“三线一单”生态环境分区管控要求；未超出环境质量底线及资源利用上线。项目符合生态环境准入要求。</w:t>
                  </w:r>
                </w:p>
              </w:tc>
              <w:tc>
                <w:tcPr>
                  <w:tcW w:w="558" w:type="dxa"/>
                  <w:tcBorders>
                    <w:tl2br w:val="nil"/>
                    <w:tr2bl w:val="nil"/>
                  </w:tcBorders>
                  <w:noWrap w:val="0"/>
                  <w:vAlign w:val="center"/>
                </w:tcPr>
                <w:p>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b w:val="0"/>
                      <w:bCs/>
                      <w:color w:val="0D0D0D" w:themeColor="text1" w:themeTint="F2"/>
                      <w:sz w:val="21"/>
                      <w:szCs w:val="21"/>
                      <w:u w:val="singl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color w:val="0D0D0D" w:themeColor="text1" w:themeTint="F2"/>
                      <w:sz w:val="21"/>
                      <w:szCs w:val="21"/>
                      <w:u w:val="single"/>
                      <w:lang w:val="en-US" w:eastAsia="zh-CN"/>
                      <w14:textFill>
                        <w14:solidFill>
                          <w14:schemeClr w14:val="tx1">
                            <w14:lumMod w14:val="95000"/>
                            <w14:lumOff w14:val="5000"/>
                          </w14:schemeClr>
                        </w14:solidFill>
                      </w14:textFill>
                    </w:rPr>
                    <w:t>符合</w:t>
                  </w:r>
                </w:p>
              </w:tc>
            </w:tr>
          </w:tbl>
          <w:p>
            <w:pPr>
              <w:keepNext w:val="0"/>
              <w:keepLines w:val="0"/>
              <w:suppressLineNumbers w:val="0"/>
              <w:spacing w:before="0" w:beforeAutospacing="0" w:after="0" w:afterAutospacing="0" w:line="360" w:lineRule="auto"/>
              <w:ind w:left="0" w:right="0" w:firstLine="480" w:firstLineChars="200"/>
              <w:rPr>
                <w:rFonts w:hint="eastAsia"/>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u w:val="single"/>
                <w14:textFill>
                  <w14:solidFill>
                    <w14:schemeClr w14:val="tx1">
                      <w14:lumMod w14:val="95000"/>
                      <w14:lumOff w14:val="5000"/>
                    </w14:schemeClr>
                  </w14:solidFill>
                </w14:textFill>
              </w:rPr>
              <w:t>根据永州市人民政府发布的“关于“三线一单”生态环境分区管控的实施意见”（永政发〔2020〕11号），</w:t>
            </w:r>
            <w:r>
              <w:rPr>
                <w:rFonts w:hint="eastAsia"/>
                <w:color w:val="0D0D0D" w:themeColor="text1" w:themeTint="F2"/>
                <w:sz w:val="24"/>
                <w:szCs w:val="24"/>
                <w:u w:val="single"/>
                <w:lang w:eastAsia="zh-CN"/>
                <w14:textFill>
                  <w14:solidFill>
                    <w14:schemeClr w14:val="tx1">
                      <w14:lumMod w14:val="95000"/>
                      <w14:lumOff w14:val="5000"/>
                    </w14:schemeClr>
                  </w14:solidFill>
                </w14:textFill>
              </w:rPr>
              <w:t>本扩建项目</w:t>
            </w:r>
            <w:r>
              <w:rPr>
                <w:rFonts w:hint="eastAsia"/>
                <w:color w:val="0D0D0D" w:themeColor="text1" w:themeTint="F2"/>
                <w:sz w:val="24"/>
                <w:szCs w:val="24"/>
                <w:u w:val="single"/>
                <w14:textFill>
                  <w14:solidFill>
                    <w14:schemeClr w14:val="tx1">
                      <w14:lumMod w14:val="95000"/>
                      <w14:lumOff w14:val="5000"/>
                    </w14:schemeClr>
                  </w14:solidFill>
                </w14:textFill>
              </w:rPr>
              <w:t>位于湖南省</w:t>
            </w:r>
            <w:r>
              <w:rPr>
                <w:rFonts w:hint="eastAsia"/>
                <w:color w:val="0D0D0D" w:themeColor="text1" w:themeTint="F2"/>
                <w:sz w:val="24"/>
                <w:szCs w:val="24"/>
                <w:u w:val="single"/>
                <w:lang w:eastAsia="zh-CN"/>
                <w14:textFill>
                  <w14:solidFill>
                    <w14:schemeClr w14:val="tx1">
                      <w14:lumMod w14:val="95000"/>
                      <w14:lumOff w14:val="5000"/>
                    </w14:schemeClr>
                  </w14:solidFill>
                </w14:textFill>
              </w:rPr>
              <w:t>湖南省永州市零陵区富家桥镇永福大道旁北边</w:t>
            </w:r>
            <w:r>
              <w:rPr>
                <w:rFonts w:hint="eastAsia"/>
                <w:color w:val="0D0D0D" w:themeColor="text1" w:themeTint="F2"/>
                <w:sz w:val="24"/>
                <w:szCs w:val="24"/>
                <w:u w:val="single"/>
                <w14:textFill>
                  <w14:solidFill>
                    <w14:schemeClr w14:val="tx1">
                      <w14:lumMod w14:val="95000"/>
                      <w14:lumOff w14:val="5000"/>
                    </w14:schemeClr>
                  </w14:solidFill>
                </w14:textFill>
              </w:rPr>
              <w:t>（镇政府对面），所在区域为优先保护单元，区域无明显环境问题，故</w:t>
            </w:r>
            <w:r>
              <w:rPr>
                <w:rFonts w:hint="eastAsia"/>
                <w:color w:val="0D0D0D" w:themeColor="text1" w:themeTint="F2"/>
                <w:sz w:val="24"/>
                <w:szCs w:val="24"/>
                <w:u w:val="single"/>
                <w:lang w:eastAsia="zh-CN"/>
                <w14:textFill>
                  <w14:solidFill>
                    <w14:schemeClr w14:val="tx1">
                      <w14:lumMod w14:val="95000"/>
                      <w14:lumOff w14:val="5000"/>
                    </w14:schemeClr>
                  </w14:solidFill>
                </w14:textFill>
              </w:rPr>
              <w:t>本扩建项目</w:t>
            </w:r>
            <w:r>
              <w:rPr>
                <w:rFonts w:hint="eastAsia"/>
                <w:color w:val="0D0D0D" w:themeColor="text1" w:themeTint="F2"/>
                <w:sz w:val="24"/>
                <w:szCs w:val="24"/>
                <w:u w:val="single"/>
                <w14:textFill>
                  <w14:solidFill>
                    <w14:schemeClr w14:val="tx1">
                      <w14:lumMod w14:val="95000"/>
                      <w14:lumOff w14:val="5000"/>
                    </w14:schemeClr>
                  </w14:solidFill>
                </w14:textFill>
              </w:rPr>
              <w:t>满足单元管控要求。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b/>
                <w:color w:val="0D0D0D" w:themeColor="text1" w:themeTint="F2"/>
                <w:sz w:val="24"/>
                <w:szCs w:val="24"/>
                <w:lang w:eastAsia="zh-CN"/>
                <w14:textFill>
                  <w14:solidFill>
                    <w14:schemeClr w14:val="tx1">
                      <w14:lumMod w14:val="95000"/>
                      <w14:lumOff w14:val="5000"/>
                    </w14:schemeClr>
                  </w14:solidFill>
                </w14:textFill>
              </w:rPr>
            </w:pPr>
            <w:r>
              <w:rPr>
                <w:rFonts w:hint="eastAsia"/>
                <w:b/>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Times New Roman" w:hAnsi="Times New Roman" w:eastAsia="宋体"/>
                <w:b/>
                <w:color w:val="0D0D0D" w:themeColor="text1" w:themeTint="F2"/>
                <w:sz w:val="24"/>
                <w:szCs w:val="24"/>
                <w:lang w:val="en-US" w:eastAsia="zh-CN"/>
                <w14:textFill>
                  <w14:solidFill>
                    <w14:schemeClr w14:val="tx1">
                      <w14:lumMod w14:val="95000"/>
                      <w14:lumOff w14:val="5000"/>
                    </w14:schemeClr>
                  </w14:solidFill>
                </w14:textFill>
              </w:rPr>
              <w:t>、</w:t>
            </w:r>
            <w:r>
              <w:rPr>
                <w:rFonts w:hint="eastAsia" w:ascii="Times New Roman" w:hAnsi="Times New Roman" w:eastAsia="宋体"/>
                <w:b/>
                <w:color w:val="0D0D0D" w:themeColor="text1" w:themeTint="F2"/>
                <w:sz w:val="24"/>
                <w:szCs w:val="24"/>
                <w:lang w:eastAsia="zh-CN"/>
                <w14:textFill>
                  <w14:solidFill>
                    <w14:schemeClr w14:val="tx1">
                      <w14:lumMod w14:val="95000"/>
                      <w14:lumOff w14:val="5000"/>
                    </w14:schemeClr>
                  </w14:solidFill>
                </w14:textFill>
              </w:rPr>
              <w:t>与《挥发性有机物无组织控制标准》符合性分析</w:t>
            </w:r>
          </w:p>
          <w:p>
            <w:pPr>
              <w:pStyle w:val="58"/>
              <w:keepNext w:val="0"/>
              <w:keepLines w:val="0"/>
              <w:pageBreakBefore w:val="0"/>
              <w:widowControl w:val="0"/>
              <w:suppressLineNumbers w:val="0"/>
              <w:tabs>
                <w:tab w:val="left" w:pos="1485"/>
                <w:tab w:val="center" w:pos="4113"/>
                <w:tab w:val="clear" w:pos="0"/>
              </w:tabs>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表1-</w:t>
            </w:r>
            <w:r>
              <w:rPr>
                <w:rFonts w:hint="eastAsia"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2</w:t>
            </w:r>
            <w:r>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 xml:space="preserve">  项目与《挥发性有机物无组织控制标准》相符性分析情况一览表</w:t>
            </w:r>
          </w:p>
          <w:tbl>
            <w:tblPr>
              <w:tblStyle w:val="31"/>
              <w:tblW w:w="669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1850"/>
              <w:gridCol w:w="8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396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要求内容</w:t>
                  </w:r>
                </w:p>
              </w:tc>
              <w:tc>
                <w:tcPr>
                  <w:tcW w:w="185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本项目实际情况</w:t>
                  </w:r>
                </w:p>
              </w:tc>
              <w:tc>
                <w:tcPr>
                  <w:tcW w:w="889"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01" w:hRule="atLeast"/>
                <w:jc w:val="center"/>
              </w:trPr>
              <w:tc>
                <w:tcPr>
                  <w:tcW w:w="396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物料应储存于密闭的容器、包装袋、储罐、储库、料仓中。</w:t>
                  </w:r>
                </w:p>
                <w:p>
                  <w:pPr>
                    <w:pStyle w:val="76"/>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2.盛装</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物料的容器或包装袋应存放于室内，或存放于设置有雨棚、遮阳和防渗设施的专用场地。盛装</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物料的容器或包装袋在非取用状态时应加盖、封口、保持密闭。</w:t>
                  </w:r>
                </w:p>
              </w:tc>
              <w:tc>
                <w:tcPr>
                  <w:tcW w:w="185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含</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的胶粘剂为密闭包装，并存放于</w:t>
                  </w:r>
                  <w:r>
                    <w:rPr>
                      <w:rFonts w:hint="eastAsia" w:cs="Times New Roman"/>
                      <w:color w:val="0D0D0D" w:themeColor="text1" w:themeTint="F2"/>
                      <w:lang w:val="en-US" w:eastAsia="zh-CN"/>
                      <w14:textFill>
                        <w14:solidFill>
                          <w14:schemeClr w14:val="tx1">
                            <w14:lumMod w14:val="95000"/>
                            <w14:lumOff w14:val="5000"/>
                          </w14:schemeClr>
                        </w14:solidFill>
                      </w14:textFill>
                    </w:rPr>
                    <w:t>辅料存放区</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w:t>
                  </w:r>
                </w:p>
              </w:tc>
              <w:tc>
                <w:tcPr>
                  <w:tcW w:w="889"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6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质量占比大于等于10%的含</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产品，其使用过程应采用密闭设备或密闭空间内操作，废气应排至</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废气收集处理系统；无法密闭的，应采取气体收集措施，废气应排至</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废气收集处理系统。</w:t>
                  </w:r>
                </w:p>
              </w:tc>
              <w:tc>
                <w:tcPr>
                  <w:tcW w:w="185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使用</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的胶粘剂符合国家低</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含量产品的规定</w:t>
                  </w:r>
                  <w:r>
                    <w:rPr>
                      <w:rFonts w:hint="eastAsia" w:eastAsia="宋体" w:cs="Times New Roman"/>
                      <w:color w:val="0D0D0D" w:themeColor="text1" w:themeTint="F2"/>
                      <w:lang w:val="en-US" w:eastAsia="zh-CN"/>
                      <w14:textFill>
                        <w14:solidFill>
                          <w14:schemeClr w14:val="tx1">
                            <w14:lumMod w14:val="95000"/>
                            <w14:lumOff w14:val="5000"/>
                          </w14:schemeClr>
                        </w14:solidFill>
                      </w14:textFill>
                    </w:rPr>
                    <w:t>。</w:t>
                  </w:r>
                </w:p>
              </w:tc>
              <w:tc>
                <w:tcPr>
                  <w:tcW w:w="889"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符合</w:t>
                  </w:r>
                </w:p>
              </w:tc>
            </w:tr>
          </w:tbl>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color w:val="0D0D0D" w:themeColor="text1" w:themeTint="F2"/>
                <w:sz w:val="24"/>
                <w:szCs w:val="24"/>
                <w:lang w:val="en-US" w:eastAsia="zh-CN"/>
                <w14:textFill>
                  <w14:solidFill>
                    <w14:schemeClr w14:val="tx1">
                      <w14:lumMod w14:val="95000"/>
                      <w14:lumOff w14:val="5000"/>
                    </w14:schemeClr>
                  </w14:solidFill>
                </w14:textFill>
              </w:rPr>
            </w:pPr>
            <w:r>
              <w:rPr>
                <w:rFonts w:hint="eastAsia" w:cs="Times New Roman"/>
                <w:b/>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Times New Roman" w:hAnsi="Times New Roman" w:eastAsia="宋体" w:cs="Times New Roman"/>
                <w:b/>
                <w:color w:val="0D0D0D" w:themeColor="text1" w:themeTint="F2"/>
                <w:sz w:val="24"/>
                <w:szCs w:val="24"/>
                <w:lang w:val="en-US" w:eastAsia="zh-CN"/>
                <w14:textFill>
                  <w14:solidFill>
                    <w14:schemeClr w14:val="tx1">
                      <w14:lumMod w14:val="95000"/>
                      <w14:lumOff w14:val="5000"/>
                    </w14:schemeClr>
                  </w14:solidFill>
                </w14:textFill>
              </w:rPr>
              <w:t>、与《重点行业挥发性有机物综合治理方案》（环大气【2019】53号，2019年6月26日）的符合性分析</w:t>
            </w:r>
          </w:p>
          <w:p>
            <w:pPr>
              <w:pStyle w:val="58"/>
              <w:keepNext w:val="0"/>
              <w:keepLines w:val="0"/>
              <w:suppressLineNumbers w:val="0"/>
              <w:tabs>
                <w:tab w:val="left" w:pos="1485"/>
                <w:tab w:val="center" w:pos="4113"/>
                <w:tab w:val="clear" w:pos="0"/>
              </w:tabs>
              <w:spacing w:before="0" w:beforeAutospacing="0" w:after="0" w:afterAutospacing="0" w:line="240" w:lineRule="auto"/>
              <w:ind w:left="0" w:right="0"/>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表1-</w:t>
            </w:r>
            <w:r>
              <w:rPr>
                <w:rFonts w:hint="eastAsia"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3</w:t>
            </w:r>
            <w:r>
              <w:rPr>
                <w:rFonts w:hint="eastAsia" w:ascii="Times New Roman" w:hAnsi="Times New Roman" w:eastAsia="宋体" w:cs="Times New Roman"/>
                <w:color w:val="0D0D0D" w:themeColor="text1" w:themeTint="F2"/>
                <w:kern w:val="2"/>
                <w:sz w:val="21"/>
                <w:szCs w:val="21"/>
                <w:lang w:val="en-US" w:eastAsia="zh-CN"/>
                <w14:textFill>
                  <w14:solidFill>
                    <w14:schemeClr w14:val="tx1">
                      <w14:lumMod w14:val="95000"/>
                      <w14:lumOff w14:val="5000"/>
                    </w14:schemeClr>
                  </w14:solidFill>
                </w14:textFill>
              </w:rPr>
              <w:t xml:space="preserve">  项目与《重点行业挥发性有机物综合治理方案》相符性分析情况一览表</w:t>
            </w:r>
          </w:p>
          <w:tbl>
            <w:tblPr>
              <w:tblStyle w:val="31"/>
              <w:tblW w:w="66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59"/>
              <w:gridCol w:w="1760"/>
              <w:gridCol w:w="1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3859"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要求内容</w:t>
                  </w:r>
                </w:p>
              </w:tc>
              <w:tc>
                <w:tcPr>
                  <w:tcW w:w="176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本项目实际情况</w:t>
                  </w:r>
                </w:p>
              </w:tc>
              <w:tc>
                <w:tcPr>
                  <w:tcW w:w="1020" w:type="dxa"/>
                  <w:tcBorders>
                    <w:tl2br w:val="nil"/>
                    <w:tr2bl w:val="nil"/>
                  </w:tcBorders>
                  <w:noWrap w:val="0"/>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3859"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加强政策引导。企业采用符合国家有关低</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s含量产品规定的涂料、油墨、胶粘剂等，排放浓度稳定达标且排放速率、排放绩效等满足相关规定的，相应生产工序可不要求建设末端治理设施。使用的原辅材料</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s含量（质量比）低于10%的工序，可不要求采取无组织排放收集措施。</w:t>
                  </w:r>
                </w:p>
              </w:tc>
              <w:tc>
                <w:tcPr>
                  <w:tcW w:w="1760"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使用</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的胶粘剂符合国家低</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含量产品的规定。</w:t>
                  </w:r>
                </w:p>
              </w:tc>
              <w:tc>
                <w:tcPr>
                  <w:tcW w:w="1020"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jc w:val="center"/>
              </w:trPr>
              <w:tc>
                <w:tcPr>
                  <w:tcW w:w="3859"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包装印刷行业</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综合治理。重点推进塑料软包装印刷、印铁质罐等</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治理，积极推进使用低（无）</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含量的原辅材料和环境友好型技术替代，全面加强无组织排放控制，建设高效末端净化设施。</w:t>
                  </w:r>
                </w:p>
              </w:tc>
              <w:tc>
                <w:tcPr>
                  <w:tcW w:w="1760"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使用</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的胶粘剂符合国家低</w:t>
                  </w: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VOCs</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含量产品的规定。</w:t>
                  </w:r>
                </w:p>
              </w:tc>
              <w:tc>
                <w:tcPr>
                  <w:tcW w:w="1020" w:type="dxa"/>
                  <w:tcBorders>
                    <w:tl2br w:val="nil"/>
                    <w:tr2bl w:val="nil"/>
                  </w:tcBorders>
                  <w:noWrap w:val="0"/>
                  <w:tcMar>
                    <w:top w:w="0" w:type="dxa"/>
                    <w:left w:w="51" w:type="dxa"/>
                    <w:bottom w:w="0" w:type="dxa"/>
                    <w:right w:w="51" w:type="dxa"/>
                  </w:tcMar>
                  <w:vAlign w:val="center"/>
                </w:tcPr>
                <w:p>
                  <w:pPr>
                    <w:pStyle w:val="76"/>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符合</w:t>
                  </w:r>
                </w:p>
              </w:tc>
            </w:tr>
          </w:tbl>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4、选址合理性分析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 w:val="0"/>
                <w:bCs w:val="0"/>
                <w:color w:val="0D0D0D" w:themeColor="text1" w:themeTint="F2"/>
                <w:kern w:val="0"/>
                <w:sz w:val="24"/>
                <w:szCs w:val="24"/>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0"/>
                <w:sz w:val="24"/>
                <w:szCs w:val="24"/>
                <w:lang w:val="en-US" w:eastAsia="zh-CN" w:bidi="ar"/>
                <w14:textFill>
                  <w14:solidFill>
                    <w14:schemeClr w14:val="tx1">
                      <w14:lumMod w14:val="95000"/>
                      <w14:lumOff w14:val="5000"/>
                    </w14:schemeClr>
                  </w14:solidFill>
                </w14:textFill>
              </w:rPr>
              <w:t>本扩建项目位于湖南省永州市零陵区富家桥镇永福大道旁北边（镇政府对面），租用永州市湘永香杉木业有限公司内用地，项目不在零陵区生态保护红线范围内，不属于规划区，不属于自然保护区、风景名胜区、森林公园、饮用水水源保护区、重要湖泊周边、文物古迹所在地、地质遗迹保护区；不在铁路、国道、省道两侧及景区的直观可视范围内，周边无古树名木、珍稀濒危物种和国家保护植物；厂区营运期做好降噪措施，项目产生的环境影响可控制在周围环境可接受的程度内。项目所在区域的水环境质量、空气环境质量以及声环境质量符合相应功能区的标准，区域生态环境良好。根据实地调查，所在区域供电、供气、通信等均能满足项目生产及员工生活要求，且项目所在地的交通较便利。综上，本扩建项目选址合理。</w:t>
            </w:r>
          </w:p>
          <w:p>
            <w:pPr>
              <w:pStyle w:val="8"/>
              <w:keepNext w:val="0"/>
              <w:keepLines w:val="0"/>
              <w:suppressLineNumbers w:val="0"/>
              <w:spacing w:beforeAutospacing="0" w:afterAutospacing="0" w:line="360" w:lineRule="auto"/>
              <w:ind w:left="0" w:right="-56" w:rightChars="0" w:firstLine="480" w:firstLineChars="200"/>
              <w:rPr>
                <w:rFonts w:hint="eastAsia"/>
                <w:color w:val="0D0D0D" w:themeColor="text1" w:themeTint="F2"/>
                <w:sz w:val="24"/>
                <w:szCs w:val="24"/>
                <w14:textFill>
                  <w14:solidFill>
                    <w14:schemeClr w14:val="tx1">
                      <w14:lumMod w14:val="95000"/>
                      <w14:lumOff w14:val="5000"/>
                    </w14:schemeClr>
                  </w14:solidFill>
                </w14:textFill>
              </w:rPr>
            </w:pPr>
          </w:p>
          <w:p>
            <w:pPr>
              <w:pStyle w:val="8"/>
              <w:keepNext w:val="0"/>
              <w:keepLines w:val="0"/>
              <w:suppressLineNumbers w:val="0"/>
              <w:spacing w:beforeAutospacing="0" w:afterAutospacing="0" w:line="360" w:lineRule="auto"/>
              <w:ind w:left="0" w:right="-56" w:rightChars="0" w:firstLine="480" w:firstLineChars="200"/>
              <w:rPr>
                <w:rFonts w:hint="eastAsia"/>
                <w:color w:val="0D0D0D" w:themeColor="text1" w:themeTint="F2"/>
                <w:sz w:val="24"/>
                <w:szCs w:val="24"/>
                <w:lang w:val="en-US" w:eastAsia="zh-CN"/>
                <w14:textFill>
                  <w14:solidFill>
                    <w14:schemeClr w14:val="tx1">
                      <w14:lumMod w14:val="95000"/>
                      <w14:lumOff w14:val="5000"/>
                    </w14:schemeClr>
                  </w14:solidFill>
                </w14:textFill>
              </w:rPr>
            </w:pPr>
          </w:p>
        </w:tc>
      </w:tr>
    </w:tbl>
    <w:p>
      <w:pPr>
        <w:spacing w:line="360" w:lineRule="auto"/>
        <w:outlineLvl w:val="9"/>
        <w:rPr>
          <w:rFonts w:eastAsia="黑体"/>
          <w:sz w:val="30"/>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7"/>
        <w:jc w:val="center"/>
        <w:outlineLvl w:val="0"/>
        <w:rPr>
          <w:rFonts w:ascii="黑体" w:hAnsi="黑体" w:eastAsia="黑体"/>
          <w:snapToGrid w:val="0"/>
          <w:sz w:val="30"/>
          <w:szCs w:val="30"/>
        </w:rPr>
      </w:pPr>
      <w:bookmarkStart w:id="6" w:name="_Toc10664"/>
      <w:bookmarkStart w:id="7" w:name="_Toc47"/>
      <w:r>
        <w:rPr>
          <w:rFonts w:hint="eastAsia" w:ascii="黑体" w:hAnsi="黑体" w:eastAsia="黑体"/>
          <w:snapToGrid w:val="0"/>
          <w:sz w:val="30"/>
          <w:szCs w:val="30"/>
        </w:rPr>
        <w:t>二、建设项目工程分析</w:t>
      </w:r>
      <w:bookmarkEnd w:id="6"/>
      <w:bookmarkEnd w:id="7"/>
    </w:p>
    <w:tbl>
      <w:tblPr>
        <w:tblStyle w:val="31"/>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40" w:hRule="atLeast"/>
          <w:jc w:val="center"/>
        </w:trPr>
        <w:tc>
          <w:tcPr>
            <w:tcW w:w="823"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t>建设内容</w:t>
            </w:r>
          </w:p>
        </w:tc>
        <w:tc>
          <w:tcPr>
            <w:tcW w:w="8161" w:type="dxa"/>
            <w:noWrap w:val="0"/>
            <w:vAlign w:val="top"/>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color w:val="0D0D0D" w:themeColor="text1" w:themeTint="F2"/>
                <w:kern w:val="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4"/>
                <w:szCs w:val="24"/>
                <w:highlight w:val="none"/>
                <w:lang w:val="en-US" w:eastAsia="zh-CN" w:bidi="ar"/>
                <w14:textFill>
                  <w14:solidFill>
                    <w14:schemeClr w14:val="tx1">
                      <w14:lumMod w14:val="95000"/>
                      <w14:lumOff w14:val="5000"/>
                    </w14:schemeClr>
                  </w14:solidFill>
                </w14:textFill>
              </w:rPr>
              <w:t>2.1</w:t>
            </w:r>
            <w:r>
              <w:rPr>
                <w:rFonts w:hint="default" w:ascii="Times New Roman" w:hAnsi="Times New Roman" w:eastAsia="宋体" w:cs="Times New Roman"/>
                <w:b/>
                <w:bCs/>
                <w:color w:val="0D0D0D" w:themeColor="text1" w:themeTint="F2"/>
                <w:kern w:val="2"/>
                <w:sz w:val="24"/>
                <w:szCs w:val="24"/>
                <w:highlight w:val="none"/>
                <w:lang w:val="en-US" w:eastAsia="zh-CN" w:bidi="ar"/>
                <w14:textFill>
                  <w14:solidFill>
                    <w14:schemeClr w14:val="tx1">
                      <w14:lumMod w14:val="95000"/>
                      <w14:lumOff w14:val="5000"/>
                    </w14:schemeClr>
                  </w14:solidFill>
                </w14:textFill>
              </w:rPr>
              <w:t>、</w:t>
            </w:r>
            <w:r>
              <w:rPr>
                <w:rFonts w:hint="eastAsia" w:cs="Times New Roman"/>
                <w:b/>
                <w:bCs/>
                <w:color w:val="0D0D0D" w:themeColor="text1" w:themeTint="F2"/>
                <w:kern w:val="2"/>
                <w:sz w:val="24"/>
                <w:szCs w:val="24"/>
                <w:highlight w:val="none"/>
                <w:lang w:val="en-US" w:eastAsia="zh-CN" w:bidi="ar"/>
                <w14:textFill>
                  <w14:solidFill>
                    <w14:schemeClr w14:val="tx1">
                      <w14:lumMod w14:val="95000"/>
                      <w14:lumOff w14:val="5000"/>
                    </w14:schemeClr>
                  </w14:solidFill>
                </w14:textFill>
              </w:rPr>
              <w:t>扩建</w:t>
            </w:r>
            <w:r>
              <w:rPr>
                <w:rFonts w:hint="default" w:ascii="Times New Roman" w:hAnsi="Times New Roman" w:eastAsia="宋体" w:cs="Times New Roman"/>
                <w:b/>
                <w:bCs/>
                <w:color w:val="0D0D0D" w:themeColor="text1" w:themeTint="F2"/>
                <w:kern w:val="2"/>
                <w:sz w:val="24"/>
                <w:szCs w:val="24"/>
                <w:highlight w:val="none"/>
                <w:lang w:val="en-US" w:eastAsia="zh-CN" w:bidi="ar"/>
                <w14:textFill>
                  <w14:solidFill>
                    <w14:schemeClr w14:val="tx1">
                      <w14:lumMod w14:val="95000"/>
                      <w14:lumOff w14:val="5000"/>
                    </w14:schemeClr>
                  </w14:solidFill>
                </w14:textFill>
              </w:rPr>
              <w:t>项目由来</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highlight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钢化玻璃是一种新型的节能环保产品，在美化建筑外观的同时，还具有节能降耗和降低噪音污染两重环保功效，能够有效地提升广大用户的居住舒适度。在降低室内噪音的同时，进一步阻隔了外界热量，极大的降低了室内制冷或制热的用电量。现已广泛地运用于各种高层和低层建筑，发展前景相当广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永州市湘源玻璃</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制品</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有限公司2019年租赁永州市湘永香杉木业有限公司内3600㎡厂房（项目选址中心点经纬度：111°37′9.05"：26°8′18.67"）建设“年生产50万平方米钢化玻璃生产项目”，</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本项目</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总投资</w:t>
            </w:r>
            <w:r>
              <w:rPr>
                <w:rFonts w:hint="eastAsia"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00万元，总占地面积为6666.7平方米，总建筑面积约为3880平方米</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2019年8月27</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日</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获得原永州市零陵</w:t>
            </w:r>
            <w:r>
              <w:rPr>
                <w:rFonts w:hint="eastAsia"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区</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环境保</w:t>
            </w:r>
            <w:r>
              <w:rPr>
                <w:rFonts w:hint="eastAsia"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护</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局《关于零陵区年产50万平方米钢化玻璃生产项目环境影响报告表》零环评（2019）52号批复。</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2022年1月21日，永州市湘源玻璃制品有限公司主持召开了“零陵区年产50万平方米钢化玻璃生产项目”竣工环境保护验收会，通过专家验收，项目竣工环境保护验收合格。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D0D0D" w:themeColor="text1" w:themeTint="F2"/>
                <w:kern w:val="2"/>
                <w:sz w:val="24"/>
                <w:szCs w:val="24"/>
                <w:highlight w:val="none"/>
                <w:lang w:val="en-US"/>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本</w:t>
            </w:r>
            <w:r>
              <w:rPr>
                <w:rFonts w:hint="eastAsia"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扩建</w:t>
            </w: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项目拟扩建新增中空自动化生产线2条，</w:t>
            </w:r>
            <w:r>
              <w:rPr>
                <w:rFonts w:hint="default" w:ascii="Times New Roman" w:hAnsi="Times New Roman"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新增</w:t>
            </w: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自动清洗机</w:t>
            </w:r>
            <w:r>
              <w:rPr>
                <w:rFonts w:hint="default" w:ascii="Times New Roman" w:hAnsi="Times New Roman"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自动磨边机</w:t>
            </w:r>
            <w:r>
              <w:rPr>
                <w:rFonts w:hint="default" w:ascii="Times New Roman" w:hAnsi="Times New Roman"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等配套设备</w:t>
            </w: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，拟</w:t>
            </w:r>
            <w:r>
              <w:rPr>
                <w:rFonts w:hint="eastAsia"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扩</w:t>
            </w:r>
            <w:r>
              <w:rPr>
                <w:rFonts w:hint="default" w:ascii="Times New Roman" w:hAnsi="Times New Roman"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建</w:t>
            </w:r>
            <w:r>
              <w:rPr>
                <w:rFonts w:hint="eastAsia"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后</w:t>
            </w:r>
            <w:r>
              <w:rPr>
                <w:rFonts w:hint="default"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年产50万平方米钢化玻璃、30万平方米中空玻璃。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根据《建设项目环境影响评价分类管理名录（2021年版）》、《中华人民共和国环境保护法》和《中华人民共和国环境影响评价法》的规定，项目属于“二十七、非金属矿物制品业”中的“57</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玻璃</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制品</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制造30</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 xml:space="preserve">5 </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特种玻璃制造</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其他玻璃制造”，应该编制环境影响报告表。受永州市湘源玻璃</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制品</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有限公司委托湖南坤榕环境评估有限公司承担了该项目的环境影响评价工作，评价单位承担任务后以业主提供资料为依据，对工程所在地进行了环境现状查勘、收集了相关环境背景资料，在上述工作的基础上，按照环境影响评价技术导则的要求，编制完成了《年产50万平方米钢化玻璃、30万平方米中空玻璃</w:t>
            </w:r>
            <w:r>
              <w:rPr>
                <w:rFonts w:hint="default" w:ascii="Times New Roman" w:hAnsi="Times New Roman"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扩建</w:t>
            </w:r>
            <w:r>
              <w:rPr>
                <w:rFonts w:hint="default" w:ascii="Times New Roman" w:hAnsi="Times New Roman" w:eastAsia="宋体" w:cs="Times New Roman"/>
                <w:color w:val="0D0D0D" w:themeColor="text1" w:themeTint="F2"/>
                <w:kern w:val="2"/>
                <w:sz w:val="24"/>
                <w:szCs w:val="24"/>
                <w:highlight w:val="none"/>
                <w:lang w:val="en-US" w:eastAsia="zh-CN" w:bidi="ar"/>
                <w14:textFill>
                  <w14:solidFill>
                    <w14:schemeClr w14:val="tx1">
                      <w14:lumMod w14:val="95000"/>
                      <w14:lumOff w14:val="5000"/>
                    </w14:schemeClr>
                  </w14:solidFill>
                </w14:textFill>
              </w:rPr>
              <w:t>项目环境影响报告表》。</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2.2扩建</w:t>
            </w:r>
            <w:r>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t>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项目名称：年产50万平方米钢化玻璃、30万平方米中空玻璃</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扩建项目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建设性质：</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扩</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建设地点：</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永州市零陵区富家桥镇永福大道旁北边</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（镇政府对面）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建设单位：永州市湘源玻璃</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制品</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有限公司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项目投资：500万元。</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其中环保投资15万元，点总投资3%。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项目</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位置：湖南省永州市零陵区富家桥镇永福大道旁北边（镇政府对面），</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项目周边环境见附图</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1项目地理位置图</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2.3</w:t>
            </w:r>
            <w:r>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t>、</w:t>
            </w:r>
            <w:r>
              <w:rPr>
                <w:rFonts w:hint="default" w:ascii="Times New Roman" w:hAnsi="Times New Roman"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扩建工程内容和规模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0D0D0D" w:themeColor="text1" w:themeTint="F2"/>
                <w:sz w:val="24"/>
                <w:szCs w:val="24"/>
                <w:highlight w:val="none"/>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总投资500万，项目选址</w:t>
            </w:r>
            <w:r>
              <w:rPr>
                <w:rFonts w:hint="eastAsia"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位</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于永州市湘永香杉木业有限公司内。</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总占地面积约6666.7</w:t>
            </w:r>
            <w:r>
              <w:rPr>
                <w:rFonts w:hint="default" w:ascii="Times New Roman" w:hAnsi="Times New Roman" w:eastAsia="宋体" w:cs="Times New Roman"/>
                <w:bCs/>
                <w:color w:val="0D0D0D" w:themeColor="text1" w:themeTint="F2"/>
                <w:sz w:val="24"/>
                <w:szCs w:val="24"/>
                <w:highlight w:val="none"/>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，总建筑面积约为3880</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拟在原厂房内新增2条中</w:t>
            </w:r>
            <w:r>
              <w:rPr>
                <w:rFonts w:hint="eastAsia"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空</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玻璃生产线、配套设施及相关的环保设施等，主要建设内容详见下表</w:t>
            </w:r>
            <w:r>
              <w:rPr>
                <w:rFonts w:hint="default" w:ascii="Times New Roman" w:hAnsi="Times New Roman" w:cs="Times New Roman"/>
                <w:bCs/>
                <w:color w:val="0D0D0D" w:themeColor="text1" w:themeTint="F2"/>
                <w:sz w:val="24"/>
                <w:szCs w:val="24"/>
                <w:highlight w:val="none"/>
                <w:u w:val="none"/>
                <w:lang w:val="en-US" w:eastAsia="zh-CN"/>
                <w14:textFill>
                  <w14:solidFill>
                    <w14:schemeClr w14:val="tx1">
                      <w14:lumMod w14:val="95000"/>
                      <w14:lumOff w14:val="5000"/>
                    </w14:schemeClr>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t>表</w:t>
            </w:r>
            <w:r>
              <w:rPr>
                <w:rFonts w:hint="default" w:ascii="Times New Roman" w:hAnsi="Times New Roman" w:cs="Times New Roman"/>
                <w:b/>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t>-1</w:t>
            </w:r>
            <w:r>
              <w:rPr>
                <w:rFonts w:hint="default" w:ascii="Times New Roman" w:hAnsi="Times New Roman" w:cs="Times New Roman"/>
                <w:b/>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扩建建设内容及规模</w:t>
            </w:r>
            <w:r>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t>一览表</w:t>
            </w:r>
          </w:p>
          <w:tbl>
            <w:tblPr>
              <w:tblStyle w:val="31"/>
              <w:tblW w:w="799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29"/>
              <w:gridCol w:w="641"/>
              <w:gridCol w:w="2659"/>
              <w:gridCol w:w="2541"/>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类型</w:t>
                  </w:r>
                </w:p>
              </w:tc>
              <w:tc>
                <w:tcPr>
                  <w:tcW w:w="1070" w:type="dxa"/>
                  <w:gridSpan w:val="2"/>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名称</w:t>
                  </w:r>
                </w:p>
              </w:tc>
              <w:tc>
                <w:tcPr>
                  <w:tcW w:w="520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建设内容</w:t>
                  </w:r>
                </w:p>
              </w:tc>
              <w:tc>
                <w:tcPr>
                  <w:tcW w:w="1066" w:type="dxa"/>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070" w:type="dxa"/>
                  <w:gridSpan w:val="2"/>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现有工程</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改扩建后全厂</w:t>
                  </w:r>
                </w:p>
              </w:tc>
              <w:tc>
                <w:tcPr>
                  <w:tcW w:w="1066"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主体工程</w:t>
                  </w: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生产车间</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生产车间，1F，层高约7.98m，占地面积约3600</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vertAlign w:val="superscript"/>
                      <w:lang w:val="en-US" w:eastAsia="zh-CN"/>
                      <w14:textFill>
                        <w14:solidFill>
                          <w14:schemeClr w14:val="tx1">
                            <w14:lumMod w14:val="95000"/>
                            <w14:lumOff w14:val="5000"/>
                          </w14:schemeClr>
                        </w14:solidFill>
                      </w14:textFill>
                    </w:rPr>
                    <w:t xml:space="preserve"> </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。车间为钢结构，主要设置钢化玻璃生产线。内设玻璃原片存放区、磨边及清洗区、钢化玻璃加工区成品堆放区等。建成后，年产钢化玻璃50万</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生产车间，1F，层高约7.98m，占地面积约3600㎡。车间为钢结构，</w:t>
                  </w: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主要设置钢化玻璃生产设备。</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内设玻璃原片存放区、</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切割区、</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磨边及清洗区、钢化玻璃加工区</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成品堆放区等。</w:t>
                  </w: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拟新增中空玻璃自动</w:t>
                  </w:r>
                  <w:r>
                    <w:rPr>
                      <w:rFonts w:hint="eastAsia"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化</w:t>
                  </w: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生产线2条，建成后，拟年产钢化玻璃50万㎡，中空玻璃30万㎡</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依托原有扩建</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新增中空玻璃生产线及设备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kern w:val="0"/>
                      <w:sz w:val="21"/>
                      <w:szCs w:val="21"/>
                      <w:highlight w:val="none"/>
                      <w:u w:val="single"/>
                      <w14:textFill>
                        <w14:solidFill>
                          <w14:schemeClr w14:val="tx1">
                            <w14:lumMod w14:val="95000"/>
                            <w14:lumOff w14:val="5000"/>
                          </w14:schemeClr>
                        </w14:solidFill>
                      </w14:textFill>
                    </w:rPr>
                    <w:t>辅助工程</w:t>
                  </w: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办公用房</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合计120㎡</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合计120㎡</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kern w:val="0"/>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宿舍</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合计100㎡</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合计100㎡</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食堂</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合计60</w:t>
                  </w: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合计60㎡</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公用</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工程</w:t>
                  </w: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供电系统</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由</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当地市政</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供给。</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由当地市政供给。</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 xml:space="preserve">新增用电 </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给水</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由</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当地市政</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供给。</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由当地市政供给。</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排水</w:t>
                  </w:r>
                </w:p>
              </w:tc>
              <w:tc>
                <w:tcPr>
                  <w:tcW w:w="2659"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项目厂区采取雨污分流制，玻璃清洗及玻璃湿法磨边废水通过沉淀池（容积</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1</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00m</w:t>
                  </w:r>
                  <w:r>
                    <w:rPr>
                      <w:rFonts w:hint="default" w:ascii="Times New Roman" w:hAnsi="Times New Roman" w:cs="Times New Roman"/>
                      <w:color w:val="0D0D0D" w:themeColor="text1" w:themeTint="F2"/>
                      <w:sz w:val="21"/>
                      <w:szCs w:val="21"/>
                      <w:highlight w:val="none"/>
                      <w:u w:val="singl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沉淀后定期清渣后循环使用，不外排；项目食堂废水经隔油池隔油处理后与其他生活污水一并进入化粪池处理，经预处理后经过地埋式一体化处理设施处理后满足《污水综合排放标准》（GB8978-1996）中的一级标准，用于厂区及周边的绿化</w:t>
                  </w:r>
                </w:p>
              </w:tc>
              <w:tc>
                <w:tcPr>
                  <w:tcW w:w="2541"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项目厂区采取雨污分流制，玻璃清洗及玻璃湿法磨边废水通过沉淀池（容积100m</w:t>
                  </w:r>
                  <w:r>
                    <w:rPr>
                      <w:rFonts w:hint="default" w:ascii="Times New Roman" w:hAnsi="Times New Roman" w:cs="Times New Roman"/>
                      <w:color w:val="0D0D0D" w:themeColor="text1" w:themeTint="F2"/>
                      <w:sz w:val="21"/>
                      <w:szCs w:val="21"/>
                      <w:highlight w:val="none"/>
                      <w:u w:val="singl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）沉淀后循环使用，不外排；项目食堂废水经隔油池隔油处理后与其他生活污水一并进入化粪池处理后，进入零陵区富家桥镇污水处理厂处理达标后外排，满足</w:t>
                  </w:r>
                  <w:r>
                    <w:rPr>
                      <w:rFonts w:hint="eastAsia"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《城镇污水处理厂污染物排放标准》（GB 18918-2002）</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中的</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一级 B 标准</w:t>
                  </w:r>
                  <w:r>
                    <w:rPr>
                      <w:rFonts w:hint="default" w:ascii="Times New Roman" w:hAnsi="Times New Roman"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排入潇水。</w:t>
                  </w:r>
                </w:p>
              </w:tc>
              <w:tc>
                <w:tcPr>
                  <w:tcW w:w="1066" w:type="dxa"/>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改</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扩建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restart"/>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环保</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工程</w:t>
                  </w:r>
                </w:p>
              </w:tc>
              <w:tc>
                <w:tcPr>
                  <w:tcW w:w="1070" w:type="dxa"/>
                  <w:gridSpan w:val="2"/>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废水治理</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化粪池、隔油池、一体化处理设施</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生活污水进入零陵区富家桥镇污水处理厂处理</w:t>
                  </w:r>
                </w:p>
              </w:tc>
              <w:tc>
                <w:tcPr>
                  <w:tcW w:w="1066"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right="10" w:rightChars="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改</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生产废水</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本项目生产废水</w:t>
                  </w:r>
                  <w:r>
                    <w:rPr>
                      <w:rFonts w:hint="default" w:ascii="Times New Roman" w:hAnsi="Times New Roman"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经沉淀池（</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100m</w:t>
                  </w:r>
                  <w:r>
                    <w:rPr>
                      <w:rFonts w:hint="default" w:ascii="Times New Roman" w:hAnsi="Times New Roman" w:cs="Times New Roman"/>
                      <w:color w:val="0D0D0D" w:themeColor="text1" w:themeTint="F2"/>
                      <w:sz w:val="21"/>
                      <w:szCs w:val="21"/>
                      <w:highlight w:val="none"/>
                      <w:u w:val="singl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沉淀循环使用，不外排。</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清洗废水经沉淀池沉淀后回用于生产，</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不外排。</w:t>
                  </w:r>
                </w:p>
              </w:tc>
              <w:tc>
                <w:tcPr>
                  <w:tcW w:w="1066"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right="10" w:rightChars="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改</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扩建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14:textFill>
                        <w14:solidFill>
                          <w14:schemeClr w14:val="tx1">
                            <w14:lumMod w14:val="95000"/>
                            <w14:lumOff w14:val="5000"/>
                          </w14:schemeClr>
                        </w14:solidFill>
                      </w14:textFill>
                    </w:rPr>
                    <w:t>废气治理</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油烟废气经净化处理后排放，公厕废气经排气扇外排</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油烟废气经净化处理后排放，公厕废气经排气扇外排</w:t>
                  </w:r>
                </w:p>
              </w:tc>
              <w:tc>
                <w:tcPr>
                  <w:tcW w:w="1066"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right="10" w:rightChars="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1070" w:type="dxa"/>
                  <w:gridSpan w:val="2"/>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噪声处理系统</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合理布局，基础减震，距离衰减，加强绿化</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主要为设备运行噪声，采用合理布局，墙体隔声、减振降噪措施后对周边环境影响较小</w:t>
                  </w:r>
                </w:p>
              </w:tc>
              <w:tc>
                <w:tcPr>
                  <w:tcW w:w="1066"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right="10" w:rightChars="0"/>
                    <w:jc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429" w:type="dxa"/>
                  <w:vMerge w:val="restart"/>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固废</w:t>
                  </w: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处理系统</w:t>
                  </w:r>
                </w:p>
              </w:tc>
              <w:tc>
                <w:tcPr>
                  <w:tcW w:w="641" w:type="dxa"/>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生活垃圾</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设置生活垃圾收集桶</w:t>
                  </w:r>
                  <w:r>
                    <w:rPr>
                      <w:rFonts w:hint="default" w:ascii="Times New Roman" w:hAnsi="Times New Roman"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餐厨垃圾交由镇环卫部门处理</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设置生活垃圾收集桶，餐厨垃圾交由镇环卫部门处理</w:t>
                  </w:r>
                </w:p>
              </w:tc>
              <w:tc>
                <w:tcPr>
                  <w:tcW w:w="1066" w:type="dxa"/>
                  <w:vMerge w:val="restart"/>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right="10" w:rightChars="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429" w:type="dxa"/>
                  <w:vMerge w:val="continue"/>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641" w:type="dxa"/>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危险废物</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eastAsia="宋体"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设有危险暂存间10㎡。废机油，交由取得危废经营许可资质的单位处理</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设有危险暂存间10㎡。废机油，交由取得危废经营许可资质的单位处理</w:t>
                  </w:r>
                </w:p>
              </w:tc>
              <w:tc>
                <w:tcPr>
                  <w:tcW w:w="1066" w:type="dxa"/>
                  <w:vMerge w:val="continue"/>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663" w:type="dxa"/>
                  <w:vMerge w:val="continue"/>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429" w:type="dxa"/>
                  <w:vMerge w:val="continue"/>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c>
                <w:tcPr>
                  <w:tcW w:w="641" w:type="dxa"/>
                  <w:tcBorders>
                    <w:tl2br w:val="nil"/>
                    <w:tr2bl w:val="nil"/>
                  </w:tcBorders>
                  <w:noWrap w:val="0"/>
                  <w:tcMar>
                    <w:top w:w="0" w:type="dxa"/>
                    <w:left w:w="51" w:type="dxa"/>
                    <w:bottom w:w="0" w:type="dxa"/>
                    <w:right w:w="5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一般</w:t>
                  </w: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固废</w:t>
                  </w:r>
                </w:p>
              </w:tc>
              <w:tc>
                <w:tcPr>
                  <w:tcW w:w="2659"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设置有一般废物间30㎡</w:t>
                  </w:r>
                </w:p>
              </w:tc>
              <w:tc>
                <w:tcPr>
                  <w:tcW w:w="2541" w:type="dxa"/>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lang w:val="en-US"/>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14:textFill>
                        <w14:solidFill>
                          <w14:schemeClr w14:val="tx1">
                            <w14:lumMod w14:val="95000"/>
                            <w14:lumOff w14:val="5000"/>
                          </w14:schemeClr>
                        </w14:solidFill>
                      </w14:textFill>
                    </w:rPr>
                    <w:t>设置有一般废物间30㎡</w:t>
                  </w:r>
                </w:p>
              </w:tc>
              <w:tc>
                <w:tcPr>
                  <w:tcW w:w="1066" w:type="dxa"/>
                  <w:vMerge w:val="continue"/>
                  <w:tcBorders>
                    <w:tl2br w:val="nil"/>
                    <w:tr2bl w:val="nil"/>
                  </w:tcBorders>
                  <w:noWrap w:val="0"/>
                  <w:tcMar>
                    <w:top w:w="0" w:type="dxa"/>
                    <w:left w:w="51" w:type="dxa"/>
                    <w:bottom w:w="0" w:type="dxa"/>
                    <w:right w:w="57" w:type="dxa"/>
                  </w:tcMar>
                  <w:vAlign w:val="center"/>
                </w:tcPr>
                <w:p>
                  <w:pPr>
                    <w:pStyle w:val="8"/>
                    <w:keepNext w:val="0"/>
                    <w:keepLines w:val="0"/>
                    <w:suppressLineNumbers w:val="0"/>
                    <w:spacing w:beforeAutospacing="0" w:after="0" w:afterAutospacing="0" w:line="240" w:lineRule="auto"/>
                    <w:ind w:left="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p>
              </w:tc>
            </w:tr>
          </w:tbl>
          <w:p>
            <w:pPr>
              <w:pStyle w:val="51"/>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highlight w:val="none"/>
                <w:u w:val="single"/>
                <w:lang w:val="en-US" w:eastAsia="zh-CN"/>
                <w14:textFill>
                  <w14:solidFill>
                    <w14:schemeClr w14:val="tx1">
                      <w14:lumMod w14:val="95000"/>
                      <w14:lumOff w14:val="5000"/>
                    </w14:schemeClr>
                  </w14:solidFill>
                </w14:textFill>
              </w:rPr>
              <w:t>2.4</w:t>
            </w:r>
            <w:r>
              <w:rPr>
                <w:rFonts w:hint="default" w:ascii="Times New Roman" w:hAnsi="Times New Roman" w:cs="Times New Roman"/>
                <w:b/>
                <w:color w:val="0D0D0D" w:themeColor="text1" w:themeTint="F2"/>
                <w:sz w:val="24"/>
                <w:szCs w:val="24"/>
                <w:highlight w:val="none"/>
                <w:u w:val="single"/>
                <w14:textFill>
                  <w14:solidFill>
                    <w14:schemeClr w14:val="tx1">
                      <w14:lumMod w14:val="95000"/>
                      <w14:lumOff w14:val="5000"/>
                    </w14:schemeClr>
                  </w14:solidFill>
                </w14:textFill>
              </w:rPr>
              <w:t>、</w:t>
            </w:r>
            <w:r>
              <w:rPr>
                <w:rFonts w:hint="default" w:ascii="Times New Roman" w:hAnsi="Times New Roman" w:cs="Times New Roman"/>
                <w:b/>
                <w:color w:val="0D0D0D" w:themeColor="text1" w:themeTint="F2"/>
                <w:sz w:val="24"/>
                <w:szCs w:val="24"/>
                <w:highlight w:val="none"/>
                <w:u w:val="single"/>
                <w:lang w:val="en-US" w:eastAsia="zh-CN"/>
                <w14:textFill>
                  <w14:solidFill>
                    <w14:schemeClr w14:val="tx1">
                      <w14:lumMod w14:val="95000"/>
                      <w14:lumOff w14:val="5000"/>
                    </w14:schemeClr>
                  </w14:solidFill>
                </w14:textFill>
              </w:rPr>
              <w:t>扩建项目产品方案</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本扩建项目建成后拟年产钢化玻璃50万㎡，中空玻璃30万㎡，本扩建项目主要产品方案见下表2-2。</w:t>
            </w:r>
          </w:p>
          <w:p>
            <w:pPr>
              <w:pStyle w:val="8"/>
              <w:keepNext w:val="0"/>
              <w:keepLines w:val="0"/>
              <w:suppressLineNumbers w:val="0"/>
              <w:spacing w:beforeAutospacing="0" w:afterAutospacing="0"/>
              <w:ind w:left="0"/>
              <w:jc w:val="cente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t>表</w:t>
            </w:r>
            <w:r>
              <w:rPr>
                <w:rFonts w:hint="default" w:ascii="Times New Roman" w:hAnsi="Times New Roman" w:cs="Times New Roman"/>
                <w:b/>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cs="Times New Roman"/>
                <w:b/>
                <w:bCs w:val="0"/>
                <w:color w:val="0D0D0D" w:themeColor="text1" w:themeTint="F2"/>
                <w:sz w:val="21"/>
                <w:szCs w:val="21"/>
                <w:highlight w:val="none"/>
                <w:u w:val="single"/>
                <w14:textFill>
                  <w14:solidFill>
                    <w14:schemeClr w14:val="tx1">
                      <w14:lumMod w14:val="95000"/>
                      <w14:lumOff w14:val="5000"/>
                    </w14:schemeClr>
                  </w14:solidFill>
                </w14:textFill>
              </w:rPr>
              <w:t>-</w:t>
            </w:r>
            <w:r>
              <w:rPr>
                <w:rFonts w:hint="default" w:ascii="Times New Roman" w:hAnsi="Times New Roman" w:cs="Times New Roman"/>
                <w:b/>
                <w:bCs w:val="0"/>
                <w:color w:val="0D0D0D" w:themeColor="text1" w:themeTint="F2"/>
                <w:sz w:val="21"/>
                <w:szCs w:val="21"/>
                <w:highlight w:val="none"/>
                <w:u w:val="single"/>
                <w:lang w:val="en-US" w:eastAsia="zh-CN"/>
                <w14:textFill>
                  <w14:solidFill>
                    <w14:schemeClr w14:val="tx1">
                      <w14:lumMod w14:val="95000"/>
                      <w14:lumOff w14:val="5000"/>
                    </w14:schemeClr>
                  </w14:solidFill>
                </w14:textFill>
              </w:rPr>
              <w:t>2扩建项目项目产品方案一览表</w:t>
            </w:r>
          </w:p>
          <w:tbl>
            <w:tblPr>
              <w:tblStyle w:val="32"/>
              <w:tblW w:w="8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013"/>
              <w:gridCol w:w="1232"/>
              <w:gridCol w:w="973"/>
              <w:gridCol w:w="964"/>
              <w:gridCol w:w="1193"/>
              <w:gridCol w:w="1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715"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序号</w:t>
                  </w:r>
                </w:p>
              </w:tc>
              <w:tc>
                <w:tcPr>
                  <w:tcW w:w="1013"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产品名称</w:t>
                  </w:r>
                </w:p>
              </w:tc>
              <w:tc>
                <w:tcPr>
                  <w:tcW w:w="1232"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规格</w:t>
                  </w:r>
                </w:p>
              </w:tc>
              <w:tc>
                <w:tcPr>
                  <w:tcW w:w="3130" w:type="dxa"/>
                  <w:gridSpan w:val="3"/>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年产量（万㎡）</w:t>
                  </w:r>
                </w:p>
              </w:tc>
              <w:tc>
                <w:tcPr>
                  <w:tcW w:w="1967"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产品标准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715"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013"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232"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97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现有项目</w:t>
                  </w:r>
                </w:p>
              </w:tc>
              <w:tc>
                <w:tcPr>
                  <w:tcW w:w="964"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扩建项目</w:t>
                  </w:r>
                </w:p>
              </w:tc>
              <w:tc>
                <w:tcPr>
                  <w:tcW w:w="119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扩建后全厂</w:t>
                  </w:r>
                </w:p>
              </w:tc>
              <w:tc>
                <w:tcPr>
                  <w:tcW w:w="1967"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715"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w:t>
                  </w:r>
                </w:p>
              </w:tc>
              <w:tc>
                <w:tcPr>
                  <w:tcW w:w="1013"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钢化玻璃</w:t>
                  </w:r>
                </w:p>
              </w:tc>
              <w:tc>
                <w:tcPr>
                  <w:tcW w:w="1232"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根据客户需求制定规格</w:t>
                  </w:r>
                </w:p>
              </w:tc>
              <w:tc>
                <w:tcPr>
                  <w:tcW w:w="97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D0D0D" w:themeColor="text1" w:themeTint="F2"/>
                      <w:kern w:val="0"/>
                      <w:sz w:val="21"/>
                      <w:szCs w:val="21"/>
                      <w:highlight w:val="none"/>
                      <w:u w:val="single"/>
                      <w:vertAlign w:val="baseline"/>
                      <w:lang w:val="en-US" w:eastAsia="zh-CN" w:bidi="ar-SA"/>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50</w:t>
                  </w:r>
                </w:p>
              </w:tc>
              <w:tc>
                <w:tcPr>
                  <w:tcW w:w="964"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+60</w:t>
                  </w:r>
                </w:p>
              </w:tc>
              <w:tc>
                <w:tcPr>
                  <w:tcW w:w="119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110</w:t>
                  </w:r>
                </w:p>
              </w:tc>
              <w:tc>
                <w:tcPr>
                  <w:tcW w:w="1967"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建筑用安全玻璃（GB1</w:t>
                  </w:r>
                  <w:r>
                    <w:rPr>
                      <w:rFonts w:hint="eastAsia"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480</w:t>
                  </w: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3.2-2005）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15"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2</w:t>
                  </w:r>
                </w:p>
              </w:tc>
              <w:tc>
                <w:tcPr>
                  <w:tcW w:w="1013"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中空玻璃（双层）</w:t>
                  </w:r>
                </w:p>
              </w:tc>
              <w:tc>
                <w:tcPr>
                  <w:tcW w:w="1232"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根据客户需求制定规格</w:t>
                  </w:r>
                </w:p>
              </w:tc>
              <w:tc>
                <w:tcPr>
                  <w:tcW w:w="97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D0D0D" w:themeColor="text1" w:themeTint="F2"/>
                      <w:kern w:val="0"/>
                      <w:sz w:val="21"/>
                      <w:szCs w:val="21"/>
                      <w:highlight w:val="none"/>
                      <w:u w:val="single"/>
                      <w:vertAlign w:val="baseline"/>
                      <w:lang w:val="en-US" w:eastAsia="zh-CN" w:bidi="ar-SA"/>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0</w:t>
                  </w:r>
                </w:p>
              </w:tc>
              <w:tc>
                <w:tcPr>
                  <w:tcW w:w="964"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+30</w:t>
                  </w:r>
                </w:p>
              </w:tc>
              <w:tc>
                <w:tcPr>
                  <w:tcW w:w="1193" w:type="dxa"/>
                  <w:tcBorders>
                    <w:tl2br w:val="nil"/>
                    <w:tr2bl w:val="nil"/>
                  </w:tcBorders>
                  <w:shd w:val="clear" w:color="auto" w:fill="auto"/>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30</w:t>
                  </w:r>
                </w:p>
              </w:tc>
              <w:tc>
                <w:tcPr>
                  <w:tcW w:w="1967"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《中空玻璃》（GB/T11944-2012）</w:t>
                  </w:r>
                </w:p>
              </w:tc>
            </w:tr>
          </w:tbl>
          <w:p>
            <w:pPr>
              <w:keepNext w:val="0"/>
              <w:keepLines w:val="0"/>
              <w:suppressLineNumbers w:val="0"/>
              <w:bidi w:val="0"/>
              <w:spacing w:before="0" w:beforeAutospacing="0" w:after="0" w:afterAutospacing="0" w:line="360" w:lineRule="auto"/>
              <w:ind w:left="0" w:right="0"/>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注：本项目中空玻璃由两片钢化玻璃生产而成。</w:t>
            </w:r>
          </w:p>
          <w:p>
            <w:pPr>
              <w:keepNext w:val="0"/>
              <w:keepLines w:val="0"/>
              <w:suppressLineNumbers w:val="0"/>
              <w:bidi w:val="0"/>
              <w:spacing w:before="0" w:beforeAutospacing="0" w:after="0" w:afterAutospacing="0" w:line="360" w:lineRule="auto"/>
              <w:ind w:left="0" w:right="0"/>
              <w:rPr>
                <w:rFonts w:hint="default" w:ascii="Times New Roman" w:hAnsi="Times New Roman"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t>产品简介如下：</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钢化玻璃：钢化玻璃是将普通退火玻璃先切割成要求尺寸，然后加热到接近软化点的700度左右，再进行快速均匀的冷却而得到的（通常5-6MM的玻璃在700度高温下加热240秒左右，降温150秒左右。8-10MM玻璃在700度高温下加热500秒左右，降温300秒左右。总之，根据玻璃厚度不同，选择加热降温的时间也不同）。钢化处理后玻璃表面形成均匀压应力，而内部则形成张应力，使玻璃的抗弯和抗冲击强度得以提高，其强度约是普通退火玻璃的四倍以上。</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D0D0D" w:themeColor="text1" w:themeTint="F2"/>
                <w:sz w:val="24"/>
                <w:szCs w:val="24"/>
                <w:highlight w:val="none"/>
                <w:u w:val="singl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2.5</w:t>
            </w:r>
            <w:r>
              <w:rPr>
                <w:rFonts w:hint="default" w:ascii="Times New Roman" w:hAnsi="Times New Roman" w:cs="Times New Roman"/>
                <w:b/>
                <w:bCs/>
                <w:color w:val="0D0D0D" w:themeColor="text1" w:themeTint="F2"/>
                <w:sz w:val="24"/>
                <w:szCs w:val="24"/>
                <w:highlight w:val="none"/>
                <w:u w:val="single"/>
                <w14:textFill>
                  <w14:solidFill>
                    <w14:schemeClr w14:val="tx1">
                      <w14:lumMod w14:val="95000"/>
                      <w14:lumOff w14:val="5000"/>
                    </w14:schemeClr>
                  </w14:solidFill>
                </w14:textFill>
              </w:rPr>
              <w:t>、扩建项目主要原辅材料</w:t>
            </w: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及能源</w:t>
            </w:r>
            <w:r>
              <w:rPr>
                <w:rFonts w:hint="default" w:ascii="Times New Roman" w:hAnsi="Times New Roman" w:cs="Times New Roman"/>
                <w:b/>
                <w:bCs/>
                <w:color w:val="0D0D0D" w:themeColor="text1" w:themeTint="F2"/>
                <w:sz w:val="24"/>
                <w:szCs w:val="24"/>
                <w:highlight w:val="none"/>
                <w:u w:val="single"/>
                <w14:textFill>
                  <w14:solidFill>
                    <w14:schemeClr w14:val="tx1">
                      <w14:lumMod w14:val="95000"/>
                      <w14:lumOff w14:val="5000"/>
                    </w14:schemeClr>
                  </w14:solidFill>
                </w14:textFill>
              </w:rPr>
              <w:t>消耗量</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113" w:firstLine="480" w:firstLineChars="200"/>
              <w:textAlignment w:val="auto"/>
              <w:rPr>
                <w:rFonts w:hint="default" w:ascii="Times New Roman" w:hAnsi="Times New Roman" w:cs="Times New Roman"/>
                <w:color w:val="0D0D0D" w:themeColor="text1" w:themeTint="F2"/>
                <w:kern w:val="2"/>
                <w:highlight w:val="none"/>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1、</w:t>
            </w:r>
            <w:r>
              <w:rPr>
                <w:rFonts w:hint="default" w:ascii="Times New Roman" w:hAnsi="Times New Roman" w:cs="Times New Roman"/>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本扩建项目运营期的原辅料能耗消耗情况见表2-3。</w:t>
            </w:r>
          </w:p>
          <w:p>
            <w:pPr>
              <w:pStyle w:val="14"/>
              <w:keepNext w:val="0"/>
              <w:keepLines w:val="0"/>
              <w:suppressLineNumbers w:val="0"/>
              <w:spacing w:before="0" w:beforeAutospacing="0" w:after="0" w:afterAutospacing="0" w:line="360" w:lineRule="auto"/>
              <w:ind w:left="0" w:right="0"/>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表</w:t>
            </w:r>
            <w: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t>2-3扩建项目</w:t>
            </w: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项目主要原辅料</w:t>
            </w:r>
            <w: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t>能耗</w:t>
            </w: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表</w:t>
            </w:r>
          </w:p>
          <w:tbl>
            <w:tblPr>
              <w:tblStyle w:val="31"/>
              <w:tblW w:w="79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468"/>
              <w:gridCol w:w="1076"/>
              <w:gridCol w:w="1270"/>
              <w:gridCol w:w="1280"/>
              <w:gridCol w:w="1180"/>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69" w:type="dxa"/>
                  <w:vMerge w:val="restart"/>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序号</w:t>
                  </w:r>
                </w:p>
              </w:tc>
              <w:tc>
                <w:tcPr>
                  <w:tcW w:w="1468"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原辅材料名称</w:t>
                  </w:r>
                </w:p>
              </w:tc>
              <w:tc>
                <w:tcPr>
                  <w:tcW w:w="3626" w:type="dxa"/>
                  <w:gridSpan w:val="3"/>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年用量</w:t>
                  </w:r>
                </w:p>
              </w:tc>
              <w:tc>
                <w:tcPr>
                  <w:tcW w:w="1180" w:type="dxa"/>
                  <w:vMerge w:val="restart"/>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储存位置</w:t>
                  </w:r>
                </w:p>
              </w:tc>
              <w:tc>
                <w:tcPr>
                  <w:tcW w:w="1054"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最大存</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669" w:type="dxa"/>
                  <w:vMerge w:val="continue"/>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468" w:type="dxa"/>
                  <w:vMerge w:val="continue"/>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现有项目</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扩建项目</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扩建后全厂</w:t>
                  </w:r>
                </w:p>
              </w:tc>
              <w:tc>
                <w:tcPr>
                  <w:tcW w:w="1180" w:type="dxa"/>
                  <w:vMerge w:val="continue"/>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p>
              </w:tc>
              <w:tc>
                <w:tcPr>
                  <w:tcW w:w="1054" w:type="dxa"/>
                  <w:vMerge w:val="continue"/>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玻璃原片</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50.9</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万㎡</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6362.5t</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61.08</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万㎡</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7500</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t</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111.98</w:t>
                  </w: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万㎡</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3862.5</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t</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原片区</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40t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中空铝条</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+6t/a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6t/a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原</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料仓库</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3</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丁基胶</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原料仓库</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4</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硅酮密封胶</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+20t/a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20t/a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原料仓库</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t>分子筛</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原料仓库</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6</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空压机油</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0</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+0.1t/a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0.1t/a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原料仓库</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0.1t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7</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水</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1392</w:t>
                  </w:r>
                  <w:r>
                    <w:rPr>
                      <w:rFonts w:hint="default"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t</w:t>
                  </w:r>
                  <w: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/a</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+80t/a</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1472t</w:t>
                  </w: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/a</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66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8</w:t>
                  </w:r>
                </w:p>
              </w:tc>
              <w:tc>
                <w:tcPr>
                  <w:tcW w:w="1468"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电</w:t>
                  </w:r>
                </w:p>
              </w:tc>
              <w:tc>
                <w:tcPr>
                  <w:tcW w:w="10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216</w:t>
                  </w: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万</w:t>
                  </w: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kW·h</w:t>
                  </w:r>
                </w:p>
              </w:tc>
              <w:tc>
                <w:tcPr>
                  <w:tcW w:w="127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+84万kW·h</w:t>
                  </w:r>
                </w:p>
              </w:tc>
              <w:tc>
                <w:tcPr>
                  <w:tcW w:w="12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320万</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kW·h</w:t>
                  </w:r>
                </w:p>
              </w:tc>
              <w:tc>
                <w:tcPr>
                  <w:tcW w:w="1180"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w:t>
                  </w:r>
                </w:p>
              </w:tc>
              <w:tc>
                <w:tcPr>
                  <w:tcW w:w="1054"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w:t>
                  </w:r>
                </w:p>
              </w:tc>
            </w:tr>
          </w:tbl>
          <w:p>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主要化学品原辅材料理化性质：</w:t>
            </w:r>
          </w:p>
          <w:p>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丁基胶：</w:t>
            </w:r>
            <w:r>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中空玻璃丁基胶是丁基密封胶的一种，是以异丁烯类聚合物为主体材料的密封胶，属于热塑类中空玻璃胶，在中空玻璃的制作中起到第一道密封作用。</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丁基胶以聚异丁烯橡胶为基料的固态弹性体。该产品具有优异的抗紫外光老化、极低的水蒸气通过率和对玻璃与金属有良好的粘接强度等特点。大量使用于中空玻璃的内道密封，具有粘度适中、粘接密封迅速等特点。该品是一种单组份、无溶剂、不出雾、不硫化、具有永久塑性的中空玻璃第一道对玻璃、铝合金、镀锌钢、不锈钢等材料有良好的粘合性。由于其极低的水汽透过率，它可以与弹性密封剂一起构成一个优异的抗湿气系统，不涉及重金属成分。当温度达到125℃~130℃之间时会熔化。丁基胶成份：50%丁基橡胶、45%聚异丁烯、5%（碳黑、钙粉、石油树脂、碳酸钙、二氧化硅等）。丁基胶为热熔型胶粘剂，属于本体型胶粘剂。其热失重值为0.6%，VOC含量为4.0g/kg，即VOCs含量（质量比）为0.4%，满足《胶粘剂挥发性有机化合物限量》（GB33372-2020）中表3本体型胶粘剂VOC含量限值（≤50g/kg）要求，属于低VOC型胶粘剂。</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硅酮密封胶：</w:t>
            </w:r>
            <w:r>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为中空玻璃第二道密封胶，膏状物，在室温下通过与空气中的水发生硬固化形成弹性硅橡胶，由A胶和B胶组成，A胶和B胶混合比（体积比）为10：1，A为白胶，B为黑胶，A和B混合后为黑灰色。A胶主要成分为25%硅橡胶、30%硅油和45%石头粉；B胶为固化剂，主要成分为硫化剂，A、B组分常温下操作，不挥发。硅橡胶是一种直链状的高分子量的聚硅氧烷，分子量一般在15万以上，具有耐高温、耐低温、防潮、绝缘、耐老化等优异性能。项目第二道涂密封胶在室温下操作，硅酮密封胶使用时预聚体与空气中的微量水分反应后，在硅酮胶其他助剂催化作用下交联固化，固化会释放小分子物质副产物，即产生少量小分子有机废气。项目使用的硅酮密封胶为脱醇型，不涉及重金属成分。其VOC含量为16g/kg，即VOCs含量（质量比）为1.</w:t>
            </w:r>
            <w:r>
              <w:rPr>
                <w:rFonts w:hint="eastAsia"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6</w:t>
            </w:r>
            <w:r>
              <w:rPr>
                <w:rFonts w:hint="default" w:ascii="Times New Roman" w:hAnsi="Times New Roman" w:cs="Times New Roman"/>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%，满足《胶粘剂挥发性有机化合物限量》（GB33372-2020）中表3本体型胶粘剂VOC含量限值（≤100g/kg）要求，属于低VOC型胶粘剂。</w:t>
            </w:r>
          </w:p>
          <w:p>
            <w:pPr>
              <w:pStyle w:val="33"/>
              <w:keepNext w:val="0"/>
              <w:keepLines w:val="0"/>
              <w:suppressLineNumbers w:val="0"/>
              <w:spacing w:beforeAutospacing="0" w:afterAutospacing="0" w:line="360" w:lineRule="auto"/>
              <w:ind w:left="0" w:right="0" w:firstLine="480"/>
              <w:jc w:val="both"/>
              <w:rPr>
                <w:rFonts w:hint="default" w:ascii="Times New Roman" w:hAnsi="Times New Roman" w:cs="Times New Roman"/>
                <w:color w:val="0D0D0D" w:themeColor="text1" w:themeTint="F2"/>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u w:val="single"/>
                <w:lang w:val="en-US" w:eastAsia="zh-CN"/>
                <w14:textFill>
                  <w14:solidFill>
                    <w14:schemeClr w14:val="tx1">
                      <w14:lumMod w14:val="95000"/>
                      <w14:lumOff w14:val="5000"/>
                    </w14:schemeClr>
                  </w14:solidFill>
                </w14:textFill>
              </w:rPr>
              <w:t>分子筛干燥剂：</w:t>
            </w:r>
            <w:r>
              <w:rPr>
                <w:rFonts w:hint="default" w:ascii="Times New Roman" w:hAnsi="Times New Roman" w:cs="Times New Roman"/>
                <w:color w:val="0D0D0D" w:themeColor="text1" w:themeTint="F2"/>
                <w:highlight w:val="none"/>
                <w:u w:val="single"/>
                <w:lang w:val="en-US" w:eastAsia="zh-CN"/>
                <w14:textFill>
                  <w14:solidFill>
                    <w14:schemeClr w14:val="tx1">
                      <w14:lumMod w14:val="95000"/>
                      <w14:lumOff w14:val="5000"/>
                    </w14:schemeClr>
                  </w14:solidFill>
                </w14:textFill>
              </w:rPr>
              <w:t>是一种具有立方晶格的硅酸盐化合物，主要由硅铝通过氧桥连接组成空旷的骨架结构，在结构中有很多孔径均匀的孔道和排列整齐、内表面积很大的空穴，一种人工合成且对水分子有较强吸附性的干燥剂产品。可吸附中空玻璃中的水分和残留有机物，使中空玻璃即使在很低温度下仍然保持光洁透明，不涉及重金属成分。广泛用于气体和液体的干燥、脱水、净化、分离和回收等，用于中空玻璃中的空气干燥。</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u w:val="single"/>
                <w:lang w:val="en-US" w:eastAsia="zh-CN"/>
                <w14:textFill>
                  <w14:solidFill>
                    <w14:schemeClr w14:val="tx1">
                      <w14:lumMod w14:val="95000"/>
                      <w14:lumOff w14:val="5000"/>
                    </w14:schemeClr>
                  </w14:solidFill>
                </w14:textFill>
              </w:rPr>
              <w:t>硅酮胶以及丁基胶均属于本体型有机硅类密封胶。根据《胶粘剂挥发性有机化合物限量》（GB33372-2020），本扩建项目硅酮胶、丁基胶符合其表3（建筑）技术要求；具体如下。</w:t>
            </w:r>
          </w:p>
          <w:p>
            <w:pPr>
              <w:pStyle w:val="33"/>
              <w:keepNext w:val="0"/>
              <w:keepLines w:val="0"/>
              <w:suppressLineNumbers w:val="0"/>
              <w:spacing w:beforeAutospacing="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表 2-4 粘胶剂与相关质量标准相符性分析</w:t>
            </w:r>
          </w:p>
          <w:tbl>
            <w:tblPr>
              <w:tblStyle w:val="32"/>
              <w:tblW w:w="8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282"/>
              <w:gridCol w:w="1391"/>
              <w:gridCol w:w="1540"/>
              <w:gridCol w:w="2140"/>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90"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序号</w:t>
                  </w:r>
                </w:p>
              </w:tc>
              <w:tc>
                <w:tcPr>
                  <w:tcW w:w="1282"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材料名称</w:t>
                  </w:r>
                </w:p>
              </w:tc>
              <w:tc>
                <w:tcPr>
                  <w:tcW w:w="1391"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挥发份含量</w:t>
                  </w:r>
                </w:p>
              </w:tc>
              <w:tc>
                <w:tcPr>
                  <w:tcW w:w="1540"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标准限值</w:t>
                  </w:r>
                </w:p>
              </w:tc>
              <w:tc>
                <w:tcPr>
                  <w:tcW w:w="2140"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标准名称</w:t>
                  </w:r>
                </w:p>
              </w:tc>
              <w:tc>
                <w:tcPr>
                  <w:tcW w:w="814"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890"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1282"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1391"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lang w:val="en-US" w:eastAsia="zh-CN"/>
                      <w14:textFill>
                        <w14:solidFill>
                          <w14:schemeClr w14:val="tx1">
                            <w14:lumMod w14:val="95000"/>
                            <w14:lumOff w14:val="5000"/>
                          </w14:schemeClr>
                        </w14:solidFill>
                      </w14:textFill>
                    </w:rPr>
                    <w:t>g/kg</w:t>
                  </w:r>
                </w:p>
              </w:tc>
              <w:tc>
                <w:tcPr>
                  <w:tcW w:w="1540"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2140"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814"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890"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1</w:t>
                  </w:r>
                </w:p>
              </w:tc>
              <w:tc>
                <w:tcPr>
                  <w:tcW w:w="1282"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硅酮胶</w:t>
                  </w:r>
                </w:p>
              </w:tc>
              <w:tc>
                <w:tcPr>
                  <w:tcW w:w="1391"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16</w:t>
                  </w:r>
                </w:p>
              </w:tc>
              <w:tc>
                <w:tcPr>
                  <w:tcW w:w="1540"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≤100g/kg</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（有机硅类）</w:t>
                  </w:r>
                </w:p>
              </w:tc>
              <w:tc>
                <w:tcPr>
                  <w:tcW w:w="2140" w:type="dxa"/>
                  <w:vMerge w:val="restart"/>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《胶粘剂挥发性有机化合物限量》</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（GB33372-2020）表3</w:t>
                  </w:r>
                </w:p>
              </w:tc>
              <w:tc>
                <w:tcPr>
                  <w:tcW w:w="814"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890"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2</w:t>
                  </w:r>
                </w:p>
              </w:tc>
              <w:tc>
                <w:tcPr>
                  <w:tcW w:w="1282"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丁基胶</w:t>
                  </w:r>
                </w:p>
              </w:tc>
              <w:tc>
                <w:tcPr>
                  <w:tcW w:w="1391"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5</w:t>
                  </w:r>
                </w:p>
              </w:tc>
              <w:tc>
                <w:tcPr>
                  <w:tcW w:w="1540"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≤50g/kg</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（其他）</w:t>
                  </w:r>
                </w:p>
              </w:tc>
              <w:tc>
                <w:tcPr>
                  <w:tcW w:w="2140" w:type="dxa"/>
                  <w:vMerge w:val="continue"/>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814" w:type="dxa"/>
                  <w:tcBorders>
                    <w:tl2br w:val="nil"/>
                    <w:tr2bl w:val="nil"/>
                  </w:tcBorders>
                  <w:tcMar>
                    <w:top w:w="0" w:type="dxa"/>
                    <w:left w:w="51" w:type="dxa"/>
                    <w:bottom w:w="0" w:type="dxa"/>
                    <w:right w:w="51" w:type="dxa"/>
                  </w:tcMar>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8057" w:type="dxa"/>
                  <w:gridSpan w:val="6"/>
                  <w:tcBorders>
                    <w:tl2br w:val="nil"/>
                    <w:tr2bl w:val="nil"/>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cente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注：①硅酮胶：根据业主提供的硅酮胶成分表及检测报告，硅酮胶挥发份含量为16g/kg；</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center"/>
                    <w:rPr>
                      <w:rFonts w:hint="default" w:ascii="Times New Roman" w:hAnsi="Times New Roman" w:cs="Times New Roman"/>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②丁基胶：以最大损失量0.5%计，挥发份含量为5g/kg。</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t>2、</w:t>
            </w:r>
            <w:r>
              <w:rPr>
                <w:rFonts w:hint="default" w:ascii="Times New Roman" w:hAnsi="Times New Roman"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t>全厂物料平衡见下表：</w:t>
            </w:r>
          </w:p>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lang w:val="en-US" w:eastAsia="zh-CN"/>
                <w14:textFill>
                  <w14:solidFill>
                    <w14:schemeClr w14:val="tx1">
                      <w14:lumMod w14:val="95000"/>
                      <w14:lumOff w14:val="5000"/>
                    </w14:schemeClr>
                  </w14:solidFill>
                </w14:textFill>
              </w:rPr>
              <w:t>表2-5 扩建项目物料平衡一览表（单位：t/a)</w:t>
            </w:r>
          </w:p>
          <w:tbl>
            <w:tblPr>
              <w:tblStyle w:val="32"/>
              <w:tblW w:w="80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010"/>
              <w:gridCol w:w="2009"/>
              <w:gridCol w:w="2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4019" w:type="dxa"/>
                  <w:gridSpan w:val="2"/>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投入</w:t>
                  </w:r>
                </w:p>
              </w:tc>
              <w:tc>
                <w:tcPr>
                  <w:tcW w:w="4020" w:type="dxa"/>
                  <w:gridSpan w:val="2"/>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名称</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投入量</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名称</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物料含量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原片玻璃</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112.98</w:t>
                  </w: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14122.5</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钢化玻璃</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50</w:t>
                  </w: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6250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丁基胶</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5</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中空玻璃</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（双层单面玻璃）</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30</w:t>
                  </w: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7535.94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硅酮密封A组分</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18</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磨边打孔颗粒物</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0.6519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硅酮密封B组分</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2</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铝条切割粉尘</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分子筛干燥剂</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5</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VOCS</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0.0345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铝条</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6</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废玻璃</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365.981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玻璃粉渣</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5.8671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铝条边角料及碎屑</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0.0606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合计</w:t>
                  </w:r>
                </w:p>
              </w:tc>
              <w:tc>
                <w:tcPr>
                  <w:tcW w:w="201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14158.5</w:t>
                  </w:r>
                </w:p>
              </w:tc>
              <w:tc>
                <w:tcPr>
                  <w:tcW w:w="200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合计</w:t>
                  </w:r>
                </w:p>
              </w:tc>
              <w:tc>
                <w:tcPr>
                  <w:tcW w:w="201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sz w:val="21"/>
                      <w:szCs w:val="21"/>
                      <w:highlight w:val="none"/>
                      <w:u w:val="single"/>
                      <w:vertAlign w:val="baseline"/>
                      <w:lang w:val="en-US" w:eastAsia="zh-CN"/>
                      <w14:textFill>
                        <w14:solidFill>
                          <w14:schemeClr w14:val="tx1">
                            <w14:lumMod w14:val="95000"/>
                            <w14:lumOff w14:val="5000"/>
                          </w14:schemeClr>
                        </w14:solidFill>
                      </w14:textFill>
                    </w:rPr>
                    <w:t>14158.5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2.6</w:t>
            </w:r>
            <w:r>
              <w:rPr>
                <w:rFonts w:hint="default" w:ascii="Times New Roman" w:hAnsi="Times New Roman" w:cs="Times New Roman"/>
                <w:b/>
                <w:bCs/>
                <w:color w:val="0D0D0D" w:themeColor="text1" w:themeTint="F2"/>
                <w:sz w:val="24"/>
                <w:szCs w:val="24"/>
                <w:highlight w:val="none"/>
                <w:u w:val="single"/>
                <w14:textFill>
                  <w14:solidFill>
                    <w14:schemeClr w14:val="tx1">
                      <w14:lumMod w14:val="95000"/>
                      <w14:lumOff w14:val="5000"/>
                    </w14:schemeClr>
                  </w14:solidFill>
                </w14:textFill>
              </w:rPr>
              <w:t>、扩建项目</w:t>
            </w: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主要生产设备</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kern w:val="2"/>
                <w:sz w:val="24"/>
                <w:szCs w:val="24"/>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本扩建项目主要生产设备见表</w:t>
            </w:r>
            <w:r>
              <w:rPr>
                <w:rFonts w:hint="default" w:ascii="Times New Roman" w:hAnsi="Times New Roman" w:cs="Times New Roman"/>
                <w:color w:val="0D0D0D" w:themeColor="text1" w:themeTint="F2"/>
                <w:kern w:val="2"/>
                <w:sz w:val="24"/>
                <w:szCs w:val="24"/>
                <w:highlight w:val="none"/>
                <w:u w:val="single"/>
                <w:lang w:val="en-US" w:eastAsia="zh-CN" w:bidi="ar-SA"/>
                <w14:textFill>
                  <w14:solidFill>
                    <w14:schemeClr w14:val="tx1">
                      <w14:lumMod w14:val="95000"/>
                      <w14:lumOff w14:val="5000"/>
                    </w14:schemeClr>
                  </w14:solidFill>
                </w14:textFill>
              </w:rPr>
              <w:t>2-6。</w:t>
            </w:r>
          </w:p>
          <w:p>
            <w:pPr>
              <w:pStyle w:val="14"/>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表</w:t>
            </w:r>
            <w: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t xml:space="preserve">6 </w:t>
            </w:r>
            <w:r>
              <w:rPr>
                <w:rFonts w:hint="default" w:ascii="Times New Roman" w:hAnsi="Times New Roman" w:cs="Times New Roman"/>
                <w:bCs/>
                <w:color w:val="0D0D0D" w:themeColor="text1" w:themeTint="F2"/>
                <w:sz w:val="21"/>
                <w:szCs w:val="21"/>
                <w:highlight w:val="none"/>
                <w:u w:val="single"/>
                <w14:textFill>
                  <w14:solidFill>
                    <w14:schemeClr w14:val="tx1">
                      <w14:lumMod w14:val="95000"/>
                      <w14:lumOff w14:val="5000"/>
                    </w14:schemeClr>
                  </w14:solidFill>
                </w14:textFill>
              </w:rPr>
              <w:t>项目主要</w:t>
            </w:r>
            <w:r>
              <w:rPr>
                <w:rFonts w:hint="default" w:ascii="Times New Roman" w:hAnsi="Times New Roman" w:cs="Times New Roman"/>
                <w:bCs/>
                <w:color w:val="0D0D0D" w:themeColor="text1" w:themeTint="F2"/>
                <w:sz w:val="21"/>
                <w:szCs w:val="21"/>
                <w:highlight w:val="none"/>
                <w:u w:val="single"/>
                <w:lang w:val="en-US" w:eastAsia="zh-CN"/>
                <w14:textFill>
                  <w14:solidFill>
                    <w14:schemeClr w14:val="tx1">
                      <w14:lumMod w14:val="95000"/>
                      <w14:lumOff w14:val="5000"/>
                    </w14:schemeClr>
                  </w14:solidFill>
                </w14:textFill>
              </w:rPr>
              <w:t>生产设备一览表</w:t>
            </w:r>
          </w:p>
          <w:tbl>
            <w:tblPr>
              <w:tblStyle w:val="31"/>
              <w:tblW w:w="8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826"/>
              <w:gridCol w:w="1354"/>
              <w:gridCol w:w="990"/>
              <w:gridCol w:w="1020"/>
              <w:gridCol w:w="1200"/>
              <w:gridCol w:w="1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Header/>
                <w:jc w:val="center"/>
              </w:trPr>
              <w:tc>
                <w:tcPr>
                  <w:tcW w:w="591"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t>序号</w:t>
                  </w:r>
                </w:p>
              </w:tc>
              <w:tc>
                <w:tcPr>
                  <w:tcW w:w="1826"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t>设备名称</w:t>
                  </w:r>
                </w:p>
              </w:tc>
              <w:tc>
                <w:tcPr>
                  <w:tcW w:w="1354"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t>规格型号</w:t>
                  </w:r>
                </w:p>
              </w:tc>
              <w:tc>
                <w:tcPr>
                  <w:tcW w:w="3210" w:type="dxa"/>
                  <w:gridSpan w:val="3"/>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数量（台/套）</w:t>
                  </w:r>
                </w:p>
              </w:tc>
              <w:tc>
                <w:tcPr>
                  <w:tcW w:w="1076" w:type="dxa"/>
                  <w:vMerge w:val="restart"/>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Header/>
                <w:jc w:val="center"/>
              </w:trPr>
              <w:tc>
                <w:tcPr>
                  <w:tcW w:w="591" w:type="dxa"/>
                  <w:vMerge w:val="continue"/>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826" w:type="dxa"/>
                  <w:vMerge w:val="continue"/>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1354" w:type="dxa"/>
                  <w:vMerge w:val="continue"/>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highlight w:val="none"/>
                      <w:u w:val="single"/>
                      <w14:textFill>
                        <w14:solidFill>
                          <w14:schemeClr w14:val="tx1">
                            <w14:lumMod w14:val="95000"/>
                            <w14:lumOff w14:val="5000"/>
                          </w14:schemeClr>
                        </w14:solidFill>
                      </w14:textFill>
                    </w:rPr>
                  </w:pP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现有项目</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扩建项目</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highlight w:val="none"/>
                      <w:u w:val="single"/>
                      <w:lang w:val="en-US" w:eastAsia="zh-CN"/>
                      <w14:textFill>
                        <w14:solidFill>
                          <w14:schemeClr w14:val="tx1">
                            <w14:lumMod w14:val="95000"/>
                            <w14:lumOff w14:val="5000"/>
                          </w14:schemeClr>
                        </w14:solidFill>
                      </w14:textFill>
                    </w:rPr>
                    <w:t>扩建后全厂</w:t>
                  </w:r>
                </w:p>
              </w:tc>
              <w:tc>
                <w:tcPr>
                  <w:tcW w:w="1076" w:type="dxa"/>
                  <w:vMerge w:val="continue"/>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sz w:val="21"/>
                      <w:highlight w:val="none"/>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1</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钢化炉</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北玻钢化炉2850-850</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钢化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2</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全自动玻璃</w:t>
                  </w: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切割机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朝阳玻切</w:t>
                  </w:r>
                  <w:r>
                    <w:rPr>
                      <w:rFonts w:hint="default" w:ascii="Times New Roman" w:hAnsi="Times New Roman" w:cs="Times New Roman"/>
                      <w:color w:val="0D0D0D" w:themeColor="text1" w:themeTint="F2"/>
                      <w:sz w:val="18"/>
                      <w:szCs w:val="18"/>
                      <w:highlight w:val="none"/>
                      <w:u w:val="single"/>
                      <w:lang w:val="en-US" w:eastAsia="zh-CN"/>
                      <w14:textFill>
                        <w14:solidFill>
                          <w14:schemeClr w14:val="tx1">
                            <w14:lumMod w14:val="95000"/>
                            <w14:lumOff w14:val="5000"/>
                          </w14:schemeClr>
                        </w14:solidFill>
                      </w14:textFill>
                    </w:rPr>
                    <w:t>CY-101010094</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切割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3</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双边</w:t>
                  </w: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磨边清洗机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高力威GS㎡040MR</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磨边、清洗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t>4</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全自动涂胶机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ZDJ-V-20</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涂胶、中空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全自动中空玻璃生产线</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LBW25000PC</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涂胶、合片、二</w:t>
                  </w:r>
                </w:p>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次密封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772"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6</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全自动铝条折弯机（扩展型）</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玻科ZLZW02</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铝条折弯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7</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玻璃清洗机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亿高YGX-2600B</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772"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8</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全自动精磨边机生产线</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高力威GSG11025BL</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磨边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9</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全自动分子筛动灌装机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玻科ZFGJ-02B</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90" w:rightChars="-43"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灌装分子筛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10</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直边机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贺氏</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磨边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11</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直线磨边机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ADZM4325</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磨边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12</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玻璃打沙机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玻豪2000</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玻璃磨沙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13</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自动贴膜机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玻璃贴膜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14</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打包机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打包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15</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玻璃钻孔机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ZQ222</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玻璃钻孔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16</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行吊</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5t</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装缷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17</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激光打标</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鑫勇激光</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玻璃打标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18</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螺杆式压缩机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南方聚才20A</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压缩空气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591"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19</w:t>
                  </w:r>
                </w:p>
              </w:tc>
              <w:tc>
                <w:tcPr>
                  <w:tcW w:w="182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螺杆式压缩机</w:t>
                  </w:r>
                </w:p>
              </w:tc>
              <w:tc>
                <w:tcPr>
                  <w:tcW w:w="1354"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JPM-30PMA</w:t>
                  </w:r>
                </w:p>
              </w:tc>
              <w:tc>
                <w:tcPr>
                  <w:tcW w:w="99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0</w:t>
                  </w:r>
                </w:p>
              </w:tc>
              <w:tc>
                <w:tcPr>
                  <w:tcW w:w="102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200"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2</w:t>
                  </w:r>
                </w:p>
              </w:tc>
              <w:tc>
                <w:tcPr>
                  <w:tcW w:w="1076" w:type="dxa"/>
                  <w:tcBorders>
                    <w:tl2br w:val="nil"/>
                    <w:tr2bl w:val="nil"/>
                  </w:tcBorders>
                  <w:noWrap w:val="0"/>
                  <w:tcMar>
                    <w:top w:w="0" w:type="dxa"/>
                    <w:left w:w="51" w:type="dxa"/>
                    <w:bottom w:w="0" w:type="dxa"/>
                    <w:right w:w="51" w:type="dxa"/>
                  </w:tcMar>
                  <w:vAlign w:val="center"/>
                </w:tcPr>
                <w:p>
                  <w:pPr>
                    <w:pStyle w:val="5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single"/>
                      <w:lang w:val="en-US" w:eastAsia="zh-CN"/>
                      <w14:textFill>
                        <w14:solidFill>
                          <w14:schemeClr w14:val="tx1">
                            <w14:lumMod w14:val="95000"/>
                            <w14:lumOff w14:val="5000"/>
                          </w14:schemeClr>
                        </w14:solidFill>
                      </w14:textFill>
                    </w:rPr>
                    <w:t>压缩空气</w:t>
                  </w:r>
                </w:p>
              </w:tc>
            </w:tr>
          </w:tbl>
          <w:p>
            <w:pPr>
              <w:keepNext w:val="0"/>
              <w:keepLines w:val="0"/>
              <w:suppressLineNumbers w:val="0"/>
              <w:bidi w:val="0"/>
              <w:spacing w:before="0" w:beforeAutospacing="0" w:after="0" w:afterAutospacing="0" w:line="360" w:lineRule="auto"/>
              <w:ind w:left="0" w:right="0"/>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主要生产设备介绍：</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kern w:val="2"/>
                <w:sz w:val="24"/>
                <w:szCs w:val="24"/>
                <w:highlight w:val="none"/>
                <w:u w:val="single"/>
                <w:lang w:val="en-US" w:eastAsia="zh-CN" w:bidi="ar-SA"/>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本扩建项目玻璃钢</w:t>
            </w:r>
            <w:r>
              <w:rPr>
                <w:rFonts w:hint="eastAsia"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化炉使用原项目北玻钢化炉2850-850型，北玻钢化炉2850-850是一款专业的钢化玻璃生产设备，具有高效率和高产量的特点。采用轨道平板方式，其最大加工尺寸为2800x2000mm，适用于生产各种规格的钢化玻璃。该设备采用先进的对流加热系统，能够处理不同厚度的玻璃，并且具有快速的生产速度和高质量的成品。按钢化5mm厚玻璃，钢化时间为30-40s,冷却时间为80s计算，每天最高钢化玻璃可达4000m</w:t>
            </w:r>
            <w:r>
              <w:rPr>
                <w:rFonts w:hint="eastAsia" w:cs="Times New Roman"/>
                <w:color w:val="0D0D0D" w:themeColor="text1" w:themeTint="F2"/>
                <w:sz w:val="24"/>
                <w:szCs w:val="24"/>
                <w:highlight w:val="none"/>
                <w:u w:val="single"/>
                <w:vertAlign w:val="superscript"/>
                <w:lang w:val="en-US" w:eastAsia="zh-CN"/>
                <w14:textFill>
                  <w14:solidFill>
                    <w14:schemeClr w14:val="tx1">
                      <w14:lumMod w14:val="95000"/>
                      <w14:lumOff w14:val="5000"/>
                    </w14:schemeClr>
                  </w14:solidFill>
                </w14:textFill>
              </w:rPr>
              <w:t>2</w:t>
            </w:r>
            <w:r>
              <w:rPr>
                <w:rFonts w:hint="eastAsia"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/d（24h)，年钢化玻璃120万m</w:t>
            </w:r>
            <w:r>
              <w:rPr>
                <w:rFonts w:hint="eastAsia" w:cs="Times New Roman"/>
                <w:color w:val="0D0D0D" w:themeColor="text1" w:themeTint="F2"/>
                <w:sz w:val="24"/>
                <w:szCs w:val="24"/>
                <w:highlight w:val="none"/>
                <w:u w:val="single"/>
                <w:vertAlign w:val="superscript"/>
                <w:lang w:val="en-US" w:eastAsia="zh-CN"/>
                <w14:textFill>
                  <w14:solidFill>
                    <w14:schemeClr w14:val="tx1">
                      <w14:lumMod w14:val="95000"/>
                      <w14:lumOff w14:val="5000"/>
                    </w14:schemeClr>
                  </w14:solidFill>
                </w14:textFill>
              </w:rPr>
              <w:t>2</w:t>
            </w:r>
            <w:r>
              <w:rPr>
                <w:rFonts w:hint="eastAsia"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/a，可满足扩建项目生产需要。</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t>2.7</w:t>
            </w:r>
            <w:r>
              <w:rPr>
                <w:rFonts w:hint="default" w:ascii="Times New Roman" w:hAnsi="Times New Roman" w:cs="Times New Roman"/>
                <w:b/>
                <w:bCs/>
                <w:color w:val="0D0D0D" w:themeColor="text1" w:themeTint="F2"/>
                <w:sz w:val="24"/>
                <w:szCs w:val="24"/>
                <w:highlight w:val="none"/>
                <w:u w:val="none"/>
                <w14:textFill>
                  <w14:solidFill>
                    <w14:schemeClr w14:val="tx1">
                      <w14:lumMod w14:val="95000"/>
                      <w14:lumOff w14:val="5000"/>
                    </w14:schemeClr>
                  </w14:solidFill>
                </w14:textFill>
              </w:rPr>
              <w:t>、</w:t>
            </w:r>
            <w:r>
              <w:rPr>
                <w:rFonts w:hint="eastAsia" w:cs="Times New Roman"/>
                <w:b/>
                <w:bCs/>
                <w:color w:val="0D0D0D" w:themeColor="text1" w:themeTint="F2"/>
                <w:sz w:val="24"/>
                <w:szCs w:val="24"/>
                <w:highlight w:val="none"/>
                <w:u w:val="none"/>
                <w:lang w:val="en-US" w:eastAsia="zh-CN"/>
                <w14:textFill>
                  <w14:solidFill>
                    <w14:schemeClr w14:val="tx1">
                      <w14:lumMod w14:val="95000"/>
                      <w14:lumOff w14:val="5000"/>
                    </w14:schemeClr>
                  </w14:solidFill>
                </w14:textFill>
              </w:rPr>
              <w:t>扩建</w:t>
            </w:r>
            <w:r>
              <w:rPr>
                <w:rFonts w:hint="default" w:ascii="Times New Roman" w:hAnsi="Times New Roman" w:cs="Times New Roman"/>
                <w:b/>
                <w:bCs/>
                <w:color w:val="0D0D0D" w:themeColor="text1" w:themeTint="F2"/>
                <w:sz w:val="24"/>
                <w:szCs w:val="24"/>
                <w:highlight w:val="none"/>
                <w:u w:val="none"/>
                <w14:textFill>
                  <w14:solidFill>
                    <w14:schemeClr w14:val="tx1">
                      <w14:lumMod w14:val="95000"/>
                      <w14:lumOff w14:val="5000"/>
                    </w14:schemeClr>
                  </w14:solidFill>
                </w14:textFill>
              </w:rPr>
              <w:t>项目公用及辅助工程</w:t>
            </w:r>
          </w:p>
          <w:p>
            <w:pPr>
              <w:pStyle w:val="5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1.给排水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9" w:firstLineChars="208"/>
              <w:jc w:val="left"/>
              <w:textAlignment w:val="auto"/>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项目用水由</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当地</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政给水管网供给，保证生产、生活等用水的需要。本</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扩建</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项目车间清洁采用扫把对其进行清扫，不对其生产车间地面进行冲洗，因此不产生地面冲洗废水。</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本</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扩建</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项目在营运期用水环节主要为职工生活用水、磨边设备用水及清洗玻璃用水。</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①磨边设备备用水及玻璃清洗废水</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在制作钢化玻璃前，需对玻璃表面进行清洗，以洗去玻璃表面的灰尘等杂质，玻璃清洗工序（</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不使用洗涤剂）；项目玻璃在磨边时玻璃局部过热，因此需用水冲洗砂轮和玻璃接触部位；玻璃清洗水和玻璃湿法磨边用水量约为</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15</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d</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4500</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/a</w:t>
            </w:r>
            <w:r>
              <w:rPr>
                <w:rFonts w:hint="eastAsia"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清洗废水和湿法磨边废水中的主要污染物为悬浮物，经</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三级</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沉淀过滤综合处理后可循环使用，循环过程中的损耗量采用新鲜水补充，清洗工序和湿法磨边损耗量约为总用水量的20%（</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900</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/a），损失的清洗水和湿法磨边水用新鲜水补充，则新鲜水用量为</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900</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/a。</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部分玻璃钻孔需要</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水从中空的钻头内流出，在有效抑尘的同时，对钻头进行冷却。</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由于钻孔用水对水质要求不高，该废水通过厂内沉淀池沉淀后全部循环使用。</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②生活用水</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预计设置劳动定员为</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35</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人，年工作时间约</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300</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天，</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设有食堂</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员工为周边居民无住</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宿</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人员</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，员工生活用水量参照《湖南省用水定额》（DB43T388-2014），职工生活每天用水定额取150L/人，则生活用水量为</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5.25</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/d（</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1575</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/a）。生活污水产生系数按0.8计，则项目生活污水产生量为</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4.2</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/d（</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1260</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/a）。</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用排水情况见下表</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7</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w:t>
            </w:r>
          </w:p>
          <w:p>
            <w:pPr>
              <w:pStyle w:val="14"/>
              <w:keepNext w:val="0"/>
              <w:keepLines w:val="0"/>
              <w:suppressLineNumbers w:val="0"/>
              <w:spacing w:before="0" w:beforeAutospacing="0" w:after="0" w:afterAutospacing="0" w:line="360" w:lineRule="auto"/>
              <w:ind w:left="0" w:right="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u w:val="none"/>
                <w14:textFill>
                  <w14:solidFill>
                    <w14:schemeClr w14:val="tx1">
                      <w14:lumMod w14:val="95000"/>
                      <w14:lumOff w14:val="5000"/>
                    </w14:schemeClr>
                  </w14:solidFill>
                </w14:textFill>
              </w:rPr>
              <w:t>表</w:t>
            </w:r>
            <w:r>
              <w:rPr>
                <w:rFonts w:hint="default" w:ascii="Times New Roman" w:hAnsi="Times New Roman" w:cs="Times New Roman"/>
                <w:bCs/>
                <w:color w:val="0D0D0D" w:themeColor="text1" w:themeTint="F2"/>
                <w:sz w:val="24"/>
                <w:szCs w:val="24"/>
                <w:highlight w:val="none"/>
                <w:u w:val="none"/>
                <w:lang w:val="en-US" w:eastAsia="zh-CN"/>
                <w14:textFill>
                  <w14:solidFill>
                    <w14:schemeClr w14:val="tx1">
                      <w14:lumMod w14:val="95000"/>
                      <w14:lumOff w14:val="5000"/>
                    </w14:schemeClr>
                  </w14:solidFill>
                </w14:textFill>
              </w:rPr>
              <w:t>2</w:t>
            </w:r>
            <w:r>
              <w:rPr>
                <w:rFonts w:hint="default" w:ascii="Times New Roman" w:hAnsi="Times New Roman" w:cs="Times New Roman"/>
                <w:bCs/>
                <w:color w:val="0D0D0D" w:themeColor="text1" w:themeTint="F2"/>
                <w:sz w:val="24"/>
                <w:szCs w:val="24"/>
                <w:highlight w:val="none"/>
                <w:u w:val="none"/>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u w:val="none"/>
                <w:lang w:val="en-US" w:eastAsia="zh-CN"/>
                <w14:textFill>
                  <w14:solidFill>
                    <w14:schemeClr w14:val="tx1">
                      <w14:lumMod w14:val="95000"/>
                      <w14:lumOff w14:val="5000"/>
                    </w14:schemeClr>
                  </w14:solidFill>
                </w14:textFill>
              </w:rPr>
              <w:t xml:space="preserve">7 </w:t>
            </w:r>
            <w:r>
              <w:rPr>
                <w:rFonts w:hint="default" w:ascii="Times New Roman" w:hAnsi="Times New Roman" w:cs="Times New Roman"/>
                <w:bCs/>
                <w:color w:val="0D0D0D" w:themeColor="text1" w:themeTint="F2"/>
                <w:sz w:val="24"/>
                <w:szCs w:val="24"/>
                <w:highlight w:val="none"/>
                <w:u w:val="none"/>
                <w14:textFill>
                  <w14:solidFill>
                    <w14:schemeClr w14:val="tx1">
                      <w14:lumMod w14:val="95000"/>
                      <w14:lumOff w14:val="5000"/>
                    </w14:schemeClr>
                  </w14:solidFill>
                </w14:textFill>
              </w:rPr>
              <w:t>项目用水及排水量分析表</w:t>
            </w:r>
          </w:p>
          <w:tbl>
            <w:tblPr>
              <w:tblStyle w:val="32"/>
              <w:tblW w:w="8065" w:type="dxa"/>
              <w:tblInd w:w="-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640"/>
              <w:gridCol w:w="1178"/>
              <w:gridCol w:w="980"/>
              <w:gridCol w:w="980"/>
              <w:gridCol w:w="1260"/>
              <w:gridCol w:w="1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0"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序号</w:t>
                  </w:r>
                </w:p>
              </w:tc>
              <w:tc>
                <w:tcPr>
                  <w:tcW w:w="1640"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用水单元</w:t>
                  </w:r>
                </w:p>
              </w:tc>
              <w:tc>
                <w:tcPr>
                  <w:tcW w:w="1178"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t>用水标准</w:t>
                  </w:r>
                </w:p>
              </w:tc>
              <w:tc>
                <w:tcPr>
                  <w:tcW w:w="3220" w:type="dxa"/>
                  <w:gridSpan w:val="3"/>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u w:val="none"/>
                      <w:vertAlign w:val="baselin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t>用水规模</w:t>
                  </w:r>
                  <w:r>
                    <w:rPr>
                      <w:rFonts w:hint="default" w:ascii="Times New Roman" w:hAnsi="Times New Roman" w:cs="Times New Roman"/>
                      <w:b/>
                      <w:bCs/>
                      <w:color w:val="0D0D0D" w:themeColor="text1" w:themeTint="F2"/>
                      <w:sz w:val="21"/>
                      <w:szCs w:val="21"/>
                      <w:highlight w:val="none"/>
                      <w:u w:val="none"/>
                      <w:vertAlign w:val="baseline"/>
                      <w:lang w:eastAsia="zh-CN"/>
                      <w14:textFill>
                        <w14:solidFill>
                          <w14:schemeClr w14:val="tx1">
                            <w14:lumMod w14:val="95000"/>
                            <w14:lumOff w14:val="5000"/>
                          </w14:schemeClr>
                        </w14:solidFill>
                      </w14:textFill>
                    </w:rPr>
                    <w:t>（</w:t>
                  </w:r>
                  <w:r>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t>m</w:t>
                  </w:r>
                  <w:r>
                    <w:rPr>
                      <w:rFonts w:hint="default" w:ascii="Times New Roman" w:hAnsi="Times New Roman" w:cs="Times New Roman"/>
                      <w:b/>
                      <w:bCs/>
                      <w:color w:val="0D0D0D" w:themeColor="text1" w:themeTint="F2"/>
                      <w:sz w:val="21"/>
                      <w:szCs w:val="21"/>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t>/a</w:t>
                  </w:r>
                  <w:r>
                    <w:rPr>
                      <w:rFonts w:hint="default" w:ascii="Times New Roman" w:hAnsi="Times New Roman" w:cs="Times New Roman"/>
                      <w:b/>
                      <w:bCs/>
                      <w:color w:val="0D0D0D" w:themeColor="text1" w:themeTint="F2"/>
                      <w:sz w:val="21"/>
                      <w:szCs w:val="21"/>
                      <w:highlight w:val="none"/>
                      <w:u w:val="none"/>
                      <w:vertAlign w:val="baseline"/>
                      <w:lang w:eastAsia="zh-CN"/>
                      <w14:textFill>
                        <w14:solidFill>
                          <w14:schemeClr w14:val="tx1">
                            <w14:lumMod w14:val="95000"/>
                            <w14:lumOff w14:val="5000"/>
                          </w14:schemeClr>
                        </w14:solidFill>
                      </w14:textFill>
                    </w:rPr>
                    <w:t>）</w:t>
                  </w:r>
                </w:p>
              </w:tc>
              <w:tc>
                <w:tcPr>
                  <w:tcW w:w="1287"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14:textFill>
                        <w14:solidFill>
                          <w14:schemeClr w14:val="tx1">
                            <w14:lumMod w14:val="95000"/>
                            <w14:lumOff w14:val="5000"/>
                          </w14:schemeClr>
                        </w14:solidFill>
                      </w14:textFill>
                    </w:rPr>
                    <w:t>污水产生量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740"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640"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178"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现有项目</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扩建项目</w:t>
                  </w:r>
                </w:p>
              </w:tc>
              <w:tc>
                <w:tcPr>
                  <w:tcW w:w="126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扩建后全厂</w:t>
                  </w:r>
                </w:p>
              </w:tc>
              <w:tc>
                <w:tcPr>
                  <w:tcW w:w="1287"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740"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1</w:t>
                  </w:r>
                </w:p>
              </w:tc>
              <w:tc>
                <w:tcPr>
                  <w:tcW w:w="1640"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t>磨边、玻璃清洗</w:t>
                  </w:r>
                </w:p>
              </w:tc>
              <w:tc>
                <w:tcPr>
                  <w:tcW w:w="1178"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循环水1536</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+2064</w:t>
                  </w:r>
                </w:p>
              </w:tc>
              <w:tc>
                <w:tcPr>
                  <w:tcW w:w="126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3600</w:t>
                  </w:r>
                </w:p>
              </w:tc>
              <w:tc>
                <w:tcPr>
                  <w:tcW w:w="1287" w:type="dxa"/>
                  <w:vMerge w:val="restart"/>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无生产废水外排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740"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640"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178"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新鲜水384吨</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+516</w:t>
                  </w:r>
                </w:p>
              </w:tc>
              <w:tc>
                <w:tcPr>
                  <w:tcW w:w="126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900</w:t>
                  </w:r>
                </w:p>
              </w:tc>
              <w:tc>
                <w:tcPr>
                  <w:tcW w:w="1287" w:type="dxa"/>
                  <w:vMerge w:val="continue"/>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74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2</w:t>
                  </w:r>
                </w:p>
              </w:tc>
              <w:tc>
                <w:tcPr>
                  <w:tcW w:w="164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t>职工生活</w:t>
                  </w:r>
                </w:p>
              </w:tc>
              <w:tc>
                <w:tcPr>
                  <w:tcW w:w="1178"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t>150L/人·d</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eastAsia="宋体"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1008</w:t>
                  </w:r>
                </w:p>
              </w:tc>
              <w:tc>
                <w:tcPr>
                  <w:tcW w:w="98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vertAlign w:val="baseline"/>
                      <w:lang w:val="en-US" w:eastAsia="zh-CN"/>
                      <w14:textFill>
                        <w14:solidFill>
                          <w14:schemeClr w14:val="tx1">
                            <w14:lumMod w14:val="95000"/>
                            <w14:lumOff w14:val="5000"/>
                          </w14:schemeClr>
                        </w14:solidFill>
                      </w14:textFill>
                    </w:rPr>
                    <w:t>+567</w:t>
                  </w:r>
                </w:p>
              </w:tc>
              <w:tc>
                <w:tcPr>
                  <w:tcW w:w="1260"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lang w:val="en-US" w:eastAsia="zh-CN"/>
                      <w14:textFill>
                        <w14:solidFill>
                          <w14:schemeClr w14:val="tx1">
                            <w14:lumMod w14:val="95000"/>
                            <w14:lumOff w14:val="5000"/>
                          </w14:schemeClr>
                        </w14:solidFill>
                      </w14:textFill>
                    </w:rPr>
                    <w:t>1575</w:t>
                  </w:r>
                </w:p>
              </w:tc>
              <w:tc>
                <w:tcPr>
                  <w:tcW w:w="1287" w:type="dxa"/>
                  <w:tcBorders>
                    <w:tl2br w:val="nil"/>
                    <w:tr2bl w:val="nil"/>
                  </w:tcBorders>
                  <w:noWrap w:val="0"/>
                  <w:tcMar>
                    <w:top w:w="0" w:type="dxa"/>
                    <w:left w:w="51" w:type="dxa"/>
                    <w:bottom w:w="0" w:type="dxa"/>
                    <w:right w:w="51"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Autospacing="0" w:after="40" w:afterAutospacing="0" w:line="240" w:lineRule="auto"/>
                    <w:ind w:left="0" w:leftChars="0" w:right="0" w:rightChars="0" w:firstLine="0" w:firstLineChars="0"/>
                    <w:jc w:val="center"/>
                    <w:textAlignment w:val="auto"/>
                    <w:rPr>
                      <w:rFonts w:hint="default" w:ascii="Times New Roman" w:hAnsi="Times New Roman" w:cs="Times New Roman"/>
                      <w:color w:val="0D0D0D" w:themeColor="text1" w:themeTint="F2"/>
                      <w:sz w:val="21"/>
                      <w:szCs w:val="21"/>
                      <w:highlight w:val="none"/>
                      <w:u w:val="none"/>
                      <w:vertAlign w:val="baseli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lang w:val="en-US" w:eastAsia="zh-CN"/>
                      <w14:textFill>
                        <w14:solidFill>
                          <w14:schemeClr w14:val="tx1">
                            <w14:lumMod w14:val="95000"/>
                            <w14:lumOff w14:val="5000"/>
                          </w14:schemeClr>
                        </w14:solidFill>
                      </w14:textFill>
                    </w:rPr>
                    <w:t>1260</w:t>
                  </w:r>
                  <w:r>
                    <w:rPr>
                      <w:rFonts w:hint="default" w:ascii="Times New Roman" w:hAnsi="Times New Roman" w:cs="Times New Roman"/>
                      <w:color w:val="0D0D0D" w:themeColor="text1" w:themeTint="F2"/>
                      <w:sz w:val="21"/>
                      <w:szCs w:val="21"/>
                      <w:highlight w:val="none"/>
                      <w:u w:val="none"/>
                      <w14:textFill>
                        <w14:solidFill>
                          <w14:schemeClr w14:val="tx1">
                            <w14:lumMod w14:val="95000"/>
                            <w14:lumOff w14:val="5000"/>
                          </w14:schemeClr>
                        </w14:solidFill>
                      </w14:textFill>
                    </w:rPr>
                    <w:t>m</w:t>
                  </w:r>
                  <w:r>
                    <w:rPr>
                      <w:rFonts w:hint="default" w:ascii="Times New Roman" w:hAnsi="Times New Roman" w:cs="Times New Roman"/>
                      <w:color w:val="0D0D0D" w:themeColor="text1" w:themeTint="F2"/>
                      <w:sz w:val="21"/>
                      <w:szCs w:val="21"/>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1"/>
                      <w:szCs w:val="21"/>
                      <w:highlight w:val="none"/>
                      <w:u w:val="none"/>
                      <w14:textFill>
                        <w14:solidFill>
                          <w14:schemeClr w14:val="tx1">
                            <w14:lumMod w14:val="95000"/>
                            <w14:lumOff w14:val="5000"/>
                          </w14:schemeClr>
                        </w14:solidFill>
                      </w14:textFill>
                    </w:rPr>
                    <w:t>/a</w:t>
                  </w:r>
                </w:p>
              </w:tc>
            </w:tr>
          </w:tbl>
          <w:p>
            <w:pPr>
              <w:pStyle w:val="5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2.排水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本扩建项目采取雨污分流方式。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项目产生的废水主要为职工生活污水，本扩建项目属于钢化玻璃的生产，无工艺废水排放；生产废水主要为玻璃磨边、表面清洗废水，工艺废水循环利用，不外排，定期对循环沉淀池进行底泥清掏。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本扩建项目生活污水经隔油池+化粪池进行预处理，经化粪池预处理后，进入零陵区富家桥镇污水处理厂处理达标后外排</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w:t>
            </w:r>
          </w:p>
          <w:p>
            <w:pPr>
              <w:pStyle w:val="7"/>
              <w:keepNext w:val="0"/>
              <w:keepLines w:val="0"/>
              <w:suppressLineNumbers w:val="0"/>
              <w:spacing w:beforeAutospacing="0" w:afterAutospacing="0" w:line="360" w:lineRule="auto"/>
              <w:ind w:left="0" w:firstLine="480" w:firstLineChars="200"/>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本扩建项目用水排水平衡如下图</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1-1</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所示：</w:t>
            </w:r>
          </w:p>
          <w:p>
            <w:pPr>
              <w:pStyle w:val="7"/>
              <w:keepNext w:val="0"/>
              <w:keepLines w:val="0"/>
              <w:suppressLineNumbers w:val="0"/>
              <w:spacing w:beforeAutospacing="0" w:afterAutospacing="0" w:line="360" w:lineRule="auto"/>
              <w:ind w:left="0" w:leftChars="0" w:firstLine="218" w:firstLineChars="91"/>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highlight w:val="none"/>
                <w14:textFill>
                  <w14:solidFill>
                    <w14:schemeClr w14:val="tx1">
                      <w14:lumMod w14:val="95000"/>
                      <w14:lumOff w14:val="5000"/>
                    </w14:schemeClr>
                  </w14:solidFill>
                </w14:textFill>
              </w:rPr>
              <mc:AlternateContent>
                <mc:Choice Requires="wpg">
                  <w:drawing>
                    <wp:inline distT="0" distB="0" distL="114300" distR="114300">
                      <wp:extent cx="4636770" cy="2293620"/>
                      <wp:effectExtent l="0" t="0" r="0" b="36195"/>
                      <wp:docPr id="5" name="组合 5"/>
                      <wp:cNvGraphicFramePr/>
                      <a:graphic xmlns:a="http://schemas.openxmlformats.org/drawingml/2006/main">
                        <a:graphicData uri="http://schemas.microsoft.com/office/word/2010/wordprocessingGroup">
                          <wpg:wgp>
                            <wpg:cNvGrpSpPr/>
                            <wpg:grpSpPr>
                              <a:xfrm>
                                <a:off x="0" y="0"/>
                                <a:ext cx="4636770" cy="2293620"/>
                                <a:chOff x="5758" y="296153"/>
                                <a:chExt cx="7302" cy="3612"/>
                              </a:xfrm>
                            </wpg:grpSpPr>
                            <wps:wsp>
                              <wps:cNvPr id="11" name="文本框 11"/>
                              <wps:cNvSpPr txBox="1"/>
                              <wps:spPr>
                                <a:xfrm>
                                  <a:off x="12185" y="297627"/>
                                  <a:ext cx="729" cy="445"/>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1260</w:t>
                                    </w:r>
                                  </w:p>
                                </w:txbxContent>
                              </wps:txbx>
                              <wps:bodyPr upright="1"/>
                            </wps:wsp>
                            <wpg:grpSp>
                              <wpg:cNvPr id="6" name="组合 3"/>
                              <wpg:cNvGrpSpPr/>
                              <wpg:grpSpPr>
                                <a:xfrm>
                                  <a:off x="5758" y="296153"/>
                                  <a:ext cx="7302" cy="3612"/>
                                  <a:chOff x="5758" y="296153"/>
                                  <a:chExt cx="7302" cy="3612"/>
                                </a:xfrm>
                              </wpg:grpSpPr>
                              <wps:wsp>
                                <wps:cNvPr id="26" name="直接箭头连接符 26"/>
                                <wps:cNvCnPr/>
                                <wps:spPr>
                                  <a:xfrm flipH="1">
                                    <a:off x="12128" y="297571"/>
                                    <a:ext cx="11" cy="459"/>
                                  </a:xfrm>
                                  <a:prstGeom prst="straightConnector1">
                                    <a:avLst/>
                                  </a:prstGeom>
                                  <a:ln w="9525" cap="flat" cmpd="sng">
                                    <a:solidFill>
                                      <a:srgbClr val="000000"/>
                                    </a:solidFill>
                                    <a:prstDash val="solid"/>
                                    <a:headEnd type="none" w="med" len="med"/>
                                    <a:tailEnd type="triangle" w="med" len="med"/>
                                  </a:ln>
                                </wps:spPr>
                                <wps:bodyPr/>
                              </wps:wsp>
                              <wpg:grpSp>
                                <wpg:cNvPr id="7" name="组合 1"/>
                                <wpg:cNvGrpSpPr/>
                                <wpg:grpSpPr>
                                  <a:xfrm>
                                    <a:off x="5758" y="296153"/>
                                    <a:ext cx="7303" cy="3612"/>
                                    <a:chOff x="5758" y="296153"/>
                                    <a:chExt cx="7303" cy="3612"/>
                                  </a:xfrm>
                                </wpg:grpSpPr>
                                <wps:wsp>
                                  <wps:cNvPr id="14" name="直接箭头连接符 14"/>
                                  <wps:cNvCnPr/>
                                  <wps:spPr>
                                    <a:xfrm>
                                      <a:off x="6745" y="298304"/>
                                      <a:ext cx="1138" cy="1"/>
                                    </a:xfrm>
                                    <a:prstGeom prst="straightConnector1">
                                      <a:avLst/>
                                    </a:prstGeom>
                                    <a:ln w="9525" cap="flat" cmpd="sng">
                                      <a:solidFill>
                                        <a:srgbClr val="000000"/>
                                      </a:solidFill>
                                      <a:prstDash val="solid"/>
                                      <a:headEnd type="none" w="med" len="med"/>
                                      <a:tailEnd type="triangle" w="med" len="med"/>
                                    </a:ln>
                                  </wps:spPr>
                                  <wps:bodyPr/>
                                </wps:wsp>
                                <wps:wsp>
                                  <wps:cNvPr id="16" name="文本框 16"/>
                                  <wps:cNvSpPr txBox="1"/>
                                  <wps:spPr>
                                    <a:xfrm>
                                      <a:off x="10370" y="299369"/>
                                      <a:ext cx="1229" cy="396"/>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循环:3600</w:t>
                                        </w:r>
                                      </w:p>
                                    </w:txbxContent>
                                  </wps:txbx>
                                  <wps:bodyPr upright="1"/>
                                </wps:wsp>
                                <wps:wsp>
                                  <wps:cNvPr id="24" name="文本框 24"/>
                                  <wps:cNvSpPr txBox="1"/>
                                  <wps:spPr>
                                    <a:xfrm>
                                      <a:off x="7734" y="296216"/>
                                      <a:ext cx="908" cy="404"/>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1575</w:t>
                                        </w:r>
                                      </w:p>
                                    </w:txbxContent>
                                  </wps:txbx>
                                  <wps:bodyPr upright="1"/>
                                </wps:wsp>
                                <wps:wsp>
                                  <wps:cNvPr id="23" name="文本框 23"/>
                                  <wps:cNvSpPr txBox="1"/>
                                  <wps:spPr>
                                    <a:xfrm>
                                      <a:off x="11072" y="296244"/>
                                      <a:ext cx="905" cy="380"/>
                                    </a:xfrm>
                                    <a:prstGeom prst="rect">
                                      <a:avLst/>
                                    </a:prstGeom>
                                    <a:no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1260</w:t>
                                        </w:r>
                                      </w:p>
                                    </w:txbxContent>
                                  </wps:txbx>
                                  <wps:bodyPr upright="1"/>
                                </wps:wsp>
                                <wps:wsp>
                                  <wps:cNvPr id="8" name="文本框 7"/>
                                  <wps:cNvSpPr txBox="1"/>
                                  <wps:spPr>
                                    <a:xfrm>
                                      <a:off x="9840" y="296153"/>
                                      <a:ext cx="757" cy="395"/>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315</w:t>
                                        </w:r>
                                      </w:p>
                                    </w:txbxContent>
                                  </wps:txbx>
                                  <wps:bodyPr upright="1"/>
                                </wps:wsp>
                                <wps:wsp>
                                  <wps:cNvPr id="25" name="直接箭头连接符 25"/>
                                  <wps:cNvCnPr/>
                                  <wps:spPr>
                                    <a:xfrm flipV="1">
                                      <a:off x="9369" y="296460"/>
                                      <a:ext cx="394" cy="150"/>
                                    </a:xfrm>
                                    <a:prstGeom prst="straightConnector1">
                                      <a:avLst/>
                                    </a:prstGeom>
                                    <a:ln w="9525" cap="flat" cmpd="sng">
                                      <a:solidFill>
                                        <a:srgbClr val="000000"/>
                                      </a:solidFill>
                                      <a:prstDash val="dash"/>
                                      <a:headEnd type="none" w="med" len="med"/>
                                      <a:tailEnd type="triangle" w="med" len="med"/>
                                    </a:ln>
                                  </wps:spPr>
                                  <wps:bodyPr/>
                                </wps:wsp>
                                <wps:wsp>
                                  <wps:cNvPr id="10" name="直接箭头连接符 10"/>
                                  <wps:cNvCnPr/>
                                  <wps:spPr>
                                    <a:xfrm>
                                      <a:off x="7834" y="296720"/>
                                      <a:ext cx="22" cy="2345"/>
                                    </a:xfrm>
                                    <a:prstGeom prst="straightConnector1">
                                      <a:avLst/>
                                    </a:prstGeom>
                                    <a:ln w="9525" cap="flat" cmpd="sng">
                                      <a:solidFill>
                                        <a:srgbClr val="000000"/>
                                      </a:solidFill>
                                      <a:prstDash val="solid"/>
                                      <a:headEnd type="none" w="med" len="med"/>
                                      <a:tailEnd type="none" w="med" len="med"/>
                                    </a:ln>
                                  </wps:spPr>
                                  <wps:bodyPr/>
                                </wps:wsp>
                                <wps:wsp>
                                  <wps:cNvPr id="20" name="直接箭头连接符 20"/>
                                  <wps:cNvCnPr/>
                                  <wps:spPr>
                                    <a:xfrm>
                                      <a:off x="12114" y="296716"/>
                                      <a:ext cx="5" cy="340"/>
                                    </a:xfrm>
                                    <a:prstGeom prst="straightConnector1">
                                      <a:avLst/>
                                    </a:prstGeom>
                                    <a:ln w="9525" cap="flat" cmpd="sng">
                                      <a:solidFill>
                                        <a:srgbClr val="000000"/>
                                      </a:solidFill>
                                      <a:prstDash val="solid"/>
                                      <a:headEnd type="none" w="med" len="med"/>
                                      <a:tailEnd type="triangle" w="med" len="med"/>
                                    </a:ln>
                                  </wps:spPr>
                                  <wps:bodyPr/>
                                </wps:wsp>
                                <wps:wsp>
                                  <wps:cNvPr id="9" name="直接箭头连接符 9"/>
                                  <wps:cNvCnPr/>
                                  <wps:spPr>
                                    <a:xfrm>
                                      <a:off x="10597" y="296730"/>
                                      <a:ext cx="1529" cy="0"/>
                                    </a:xfrm>
                                    <a:prstGeom prst="straightConnector1">
                                      <a:avLst/>
                                    </a:prstGeom>
                                    <a:ln w="9525" cap="flat" cmpd="sng">
                                      <a:solidFill>
                                        <a:srgbClr val="000000"/>
                                      </a:solidFill>
                                      <a:prstDash val="solid"/>
                                      <a:headEnd type="none" w="med" len="med"/>
                                      <a:tailEnd type="triangle" w="med" len="med"/>
                                    </a:ln>
                                  </wps:spPr>
                                  <wps:bodyPr/>
                                </wps:wsp>
                                <wps:wsp>
                                  <wps:cNvPr id="17" name="文本框 17"/>
                                  <wps:cNvSpPr txBox="1"/>
                                  <wps:spPr>
                                    <a:xfrm>
                                      <a:off x="8768" y="296609"/>
                                      <a:ext cx="1813" cy="401"/>
                                    </a:xfrm>
                                    <a:prstGeom prst="rect">
                                      <a:avLst/>
                                    </a:prstGeom>
                                    <a:no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pPr>
                                        <w:r>
                                          <w:rPr>
                                            <w:rFonts w:hint="eastAsia"/>
                                            <w:lang w:val="en-US" w:eastAsia="zh-CN"/>
                                          </w:rPr>
                                          <w:t>员工生活</w:t>
                                        </w:r>
                                        <w:r>
                                          <w:rPr>
                                            <w:rFonts w:hint="eastAsia"/>
                                          </w:rPr>
                                          <w:t>用水</w:t>
                                        </w:r>
                                      </w:p>
                                    </w:txbxContent>
                                  </wps:txbx>
                                  <wps:bodyPr lIns="0" tIns="0" rIns="0" bIns="0" anchor="ctr" anchorCtr="0" upright="1"/>
                                </wps:wsp>
                                <wps:wsp>
                                  <wps:cNvPr id="12" name="直接箭头连接符 6"/>
                                  <wps:cNvCnPr/>
                                  <wps:spPr>
                                    <a:xfrm>
                                      <a:off x="7840" y="296726"/>
                                      <a:ext cx="899" cy="0"/>
                                    </a:xfrm>
                                    <a:prstGeom prst="straightConnector1">
                                      <a:avLst/>
                                    </a:prstGeom>
                                    <a:ln w="9525" cap="flat" cmpd="sng">
                                      <a:solidFill>
                                        <a:srgbClr val="000000"/>
                                      </a:solidFill>
                                      <a:prstDash val="solid"/>
                                      <a:headEnd type="none" w="med" len="med"/>
                                      <a:tailEnd type="triangle" w="med" len="med"/>
                                    </a:ln>
                                  </wps:spPr>
                                  <wps:bodyPr/>
                                </wps:wsp>
                                <wps:wsp>
                                  <wps:cNvPr id="18" name="文本框 18"/>
                                  <wps:cNvSpPr txBox="1"/>
                                  <wps:spPr>
                                    <a:xfrm>
                                      <a:off x="11323" y="297111"/>
                                      <a:ext cx="1484" cy="480"/>
                                    </a:xfrm>
                                    <a:prstGeom prst="rect">
                                      <a:avLst/>
                                    </a:prstGeom>
                                    <a:no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val="en-US" w:eastAsia="zh-CN"/>
                                          </w:rPr>
                                        </w:pPr>
                                        <w:r>
                                          <w:rPr>
                                            <w:rFonts w:hint="eastAsia"/>
                                            <w:lang w:val="en-US" w:eastAsia="zh-CN"/>
                                          </w:rPr>
                                          <w:t>一体化设施</w:t>
                                        </w:r>
                                      </w:p>
                                    </w:txbxContent>
                                  </wps:txbx>
                                  <wps:bodyPr lIns="0" tIns="0" rIns="0" bIns="0" anchor="ctr" anchorCtr="0" upright="1"/>
                                </wps:wsp>
                                <wps:wsp>
                                  <wps:cNvPr id="30" name="文本框 30"/>
                                  <wps:cNvSpPr txBox="1"/>
                                  <wps:spPr>
                                    <a:xfrm>
                                      <a:off x="6644" y="297685"/>
                                      <a:ext cx="1130" cy="439"/>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2475</w:t>
                                        </w:r>
                                      </w:p>
                                    </w:txbxContent>
                                  </wps:txbx>
                                  <wps:bodyPr upright="1"/>
                                </wps:wsp>
                                <wps:wsp>
                                  <wps:cNvPr id="15" name="文本框 15"/>
                                  <wps:cNvSpPr txBox="1"/>
                                  <wps:spPr>
                                    <a:xfrm>
                                      <a:off x="9446" y="298214"/>
                                      <a:ext cx="1057" cy="432"/>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900</w:t>
                                        </w:r>
                                      </w:p>
                                    </w:txbxContent>
                                  </wps:txbx>
                                  <wps:bodyPr anchor="ctr" anchorCtr="0" upright="1"/>
                                </wps:wsp>
                                <wps:wsp>
                                  <wps:cNvPr id="27" name="文本框 27"/>
                                  <wps:cNvSpPr txBox="1"/>
                                  <wps:spPr>
                                    <a:xfrm>
                                      <a:off x="11147" y="298049"/>
                                      <a:ext cx="1914" cy="579"/>
                                    </a:xfrm>
                                    <a:prstGeom prst="rect">
                                      <a:avLst/>
                                    </a:prstGeom>
                                    <a:no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lang w:val="en-US" w:eastAsia="zh-CN"/>
                                          </w:rPr>
                                        </w:pPr>
                                        <w:r>
                                          <w:rPr>
                                            <w:rFonts w:hint="eastAsia"/>
                                            <w:lang w:val="en-US" w:eastAsia="zh-CN"/>
                                          </w:rPr>
                                          <w:t>零陵区富家桥镇污水处理厂</w:t>
                                        </w:r>
                                      </w:p>
                                    </w:txbxContent>
                                  </wps:txbx>
                                  <wps:bodyPr lIns="0" tIns="0" rIns="0" bIns="0" anchor="ctr" anchorCtr="0" upright="1"/>
                                </wps:wsp>
                                <wps:wsp>
                                  <wps:cNvPr id="13" name="文本框 12"/>
                                  <wps:cNvSpPr txBox="1"/>
                                  <wps:spPr>
                                    <a:xfrm>
                                      <a:off x="5758" y="298057"/>
                                      <a:ext cx="1025" cy="448"/>
                                    </a:xfrm>
                                    <a:prstGeom prst="rect">
                                      <a:avLst/>
                                    </a:prstGeom>
                                    <a:no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pPr>
                                        <w:r>
                                          <w:rPr>
                                            <w:rFonts w:hint="eastAsia"/>
                                          </w:rPr>
                                          <w:t>新鲜水</w:t>
                                        </w:r>
                                      </w:p>
                                    </w:txbxContent>
                                  </wps:txbx>
                                  <wps:bodyPr lIns="0" tIns="0" rIns="0" bIns="0" anchor="ctr" anchorCtr="0" upright="1"/>
                                </wps:wsp>
                                <wps:wsp>
                                  <wps:cNvPr id="28" name="文本框 28"/>
                                  <wps:cNvSpPr txBox="1"/>
                                  <wps:spPr>
                                    <a:xfrm>
                                      <a:off x="7871" y="298501"/>
                                      <a:ext cx="961" cy="453"/>
                                    </a:xfrm>
                                    <a:prstGeom prst="rect">
                                      <a:avLst/>
                                    </a:prstGeom>
                                    <a:noFill/>
                                    <a:ln w="9525" cap="flat" cmpd="sng">
                                      <a:solidFill>
                                        <a:srgbClr val="FFFFFF"/>
                                      </a:solidFill>
                                      <a:prstDash val="solid"/>
                                      <a:miter/>
                                      <a:headEnd type="none" w="med" len="med"/>
                                      <a:tailEnd type="none" w="med" len="med"/>
                                    </a:ln>
                                  </wps:spPr>
                                  <wps:txbx>
                                    <w:txbxContent>
                                      <w:p>
                                        <w:pPr>
                                          <w:ind w:left="0" w:leftChars="0" w:right="0" w:rightChars="0" w:firstLine="0" w:firstLineChars="0"/>
                                          <w:jc w:val="center"/>
                                          <w:rPr>
                                            <w:rFonts w:hint="default" w:eastAsia="宋体"/>
                                            <w:lang w:val="en-US" w:eastAsia="zh-CN"/>
                                          </w:rPr>
                                        </w:pPr>
                                        <w:r>
                                          <w:rPr>
                                            <w:rFonts w:hint="eastAsia"/>
                                            <w:lang w:val="en-US" w:eastAsia="zh-CN"/>
                                          </w:rPr>
                                          <w:t>900</w:t>
                                        </w:r>
                                      </w:p>
                                    </w:txbxContent>
                                  </wps:txbx>
                                  <wps:bodyPr upright="1"/>
                                </wps:wsp>
                                <wps:wsp>
                                  <wps:cNvPr id="21" name="直接箭头连接符 21"/>
                                  <wps:cNvCnPr/>
                                  <wps:spPr>
                                    <a:xfrm flipV="1">
                                      <a:off x="9373" y="298609"/>
                                      <a:ext cx="409" cy="186"/>
                                    </a:xfrm>
                                    <a:prstGeom prst="straightConnector1">
                                      <a:avLst/>
                                    </a:prstGeom>
                                    <a:ln w="9525" cap="flat" cmpd="sng">
                                      <a:solidFill>
                                        <a:srgbClr val="000000"/>
                                      </a:solidFill>
                                      <a:prstDash val="dash"/>
                                      <a:headEnd type="none" w="med" len="med"/>
                                      <a:tailEnd type="triangle" w="med" len="med"/>
                                    </a:ln>
                                  </wps:spPr>
                                  <wps:bodyPr/>
                                </wps:wsp>
                                <wps:wsp>
                                  <wps:cNvPr id="19" name="文本框 5"/>
                                  <wps:cNvSpPr txBox="1"/>
                                  <wps:spPr>
                                    <a:xfrm>
                                      <a:off x="8657" y="298891"/>
                                      <a:ext cx="2396" cy="427"/>
                                    </a:xfrm>
                                    <a:prstGeom prst="rect">
                                      <a:avLst/>
                                    </a:prstGeom>
                                    <a:no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val="en-US" w:eastAsia="zh-CN"/>
                                          </w:rPr>
                                        </w:pPr>
                                        <w:r>
                                          <w:rPr>
                                            <w:rFonts w:hint="eastAsia"/>
                                            <w:szCs w:val="22"/>
                                            <w:lang w:val="en-US" w:eastAsia="zh-CN"/>
                                          </w:rPr>
                                          <w:t>磨边、玻璃清洗</w:t>
                                        </w:r>
                                        <w:r>
                                          <w:rPr>
                                            <w:rFonts w:hint="eastAsia"/>
                                            <w:lang w:val="en-US" w:eastAsia="zh-CN"/>
                                          </w:rPr>
                                          <w:t>用水</w:t>
                                        </w:r>
                                      </w:p>
                                    </w:txbxContent>
                                  </wps:txbx>
                                  <wps:bodyPr lIns="0" tIns="0" rIns="0" bIns="0" anchor="ctr" anchorCtr="0" upright="1"/>
                                </wps:wsp>
                                <wps:wsp>
                                  <wps:cNvPr id="22" name="直接连接符 19"/>
                                  <wps:cNvCnPr/>
                                  <wps:spPr>
                                    <a:xfrm flipH="1">
                                      <a:off x="11039" y="299125"/>
                                      <a:ext cx="607" cy="1"/>
                                    </a:xfrm>
                                    <a:prstGeom prst="line">
                                      <a:avLst/>
                                    </a:prstGeom>
                                    <a:ln w="9525" cap="flat" cmpd="sng">
                                      <a:solidFill>
                                        <a:srgbClr val="000000"/>
                                      </a:solidFill>
                                      <a:prstDash val="dash"/>
                                      <a:headEnd type="none" w="med" len="med"/>
                                      <a:tailEnd type="none" w="med" len="med"/>
                                    </a:ln>
                                  </wps:spPr>
                                  <wps:bodyPr upright="1"/>
                                </wps:wsp>
                                <wps:wsp>
                                  <wps:cNvPr id="29" name="直接连接符 8"/>
                                  <wps:cNvCnPr/>
                                  <wps:spPr>
                                    <a:xfrm flipH="1" flipV="1">
                                      <a:off x="11699" y="299097"/>
                                      <a:ext cx="11" cy="632"/>
                                    </a:xfrm>
                                    <a:prstGeom prst="line">
                                      <a:avLst/>
                                    </a:prstGeom>
                                    <a:ln w="9525" cap="flat" cmpd="sng">
                                      <a:solidFill>
                                        <a:srgbClr val="000000"/>
                                      </a:solidFill>
                                      <a:prstDash val="dash"/>
                                      <a:headEnd type="none" w="med" len="med"/>
                                      <a:tailEnd type="none" w="med" len="med"/>
                                    </a:ln>
                                  </wps:spPr>
                                  <wps:bodyPr upright="1"/>
                                </wps:wsp>
                                <wps:wsp>
                                  <wps:cNvPr id="32" name="直接箭头连接符 13"/>
                                  <wps:cNvCnPr>
                                    <a:endCxn id="5" idx="2"/>
                                  </wps:cNvCnPr>
                                  <wps:spPr>
                                    <a:xfrm flipH="1" flipV="1">
                                      <a:off x="9855" y="299318"/>
                                      <a:ext cx="9" cy="434"/>
                                    </a:xfrm>
                                    <a:prstGeom prst="straightConnector1">
                                      <a:avLst/>
                                    </a:prstGeom>
                                    <a:ln w="9525" cap="flat" cmpd="sng">
                                      <a:solidFill>
                                        <a:srgbClr val="000000"/>
                                      </a:solidFill>
                                      <a:prstDash val="dash"/>
                                      <a:headEnd type="none" w="med" len="med"/>
                                      <a:tailEnd type="triangle" w="med" len="med"/>
                                    </a:ln>
                                  </wps:spPr>
                                  <wps:bodyPr/>
                                </wps:wsp>
                                <wps:wsp>
                                  <wps:cNvPr id="36" name="直接箭头连接符 22"/>
                                  <wps:cNvCnPr/>
                                  <wps:spPr>
                                    <a:xfrm flipV="1">
                                      <a:off x="7841" y="299056"/>
                                      <a:ext cx="802" cy="13"/>
                                    </a:xfrm>
                                    <a:prstGeom prst="straightConnector1">
                                      <a:avLst/>
                                    </a:prstGeom>
                                    <a:ln w="9525" cap="flat" cmpd="sng">
                                      <a:solidFill>
                                        <a:srgbClr val="000000"/>
                                      </a:solidFill>
                                      <a:prstDash val="solid"/>
                                      <a:headEnd type="none" w="med" len="med"/>
                                      <a:tailEnd type="triangle" w="med" len="med"/>
                                    </a:ln>
                                  </wps:spPr>
                                  <wps:bodyPr/>
                                </wps:wsp>
                                <wps:wsp>
                                  <wps:cNvPr id="39" name="直接连接符 29"/>
                                  <wps:cNvCnPr/>
                                  <wps:spPr>
                                    <a:xfrm>
                                      <a:off x="9860" y="299734"/>
                                      <a:ext cx="1934" cy="1"/>
                                    </a:xfrm>
                                    <a:prstGeom prst="line">
                                      <a:avLst/>
                                    </a:prstGeom>
                                    <a:ln w="9525" cap="flat" cmpd="sng">
                                      <a:solidFill>
                                        <a:srgbClr val="000000"/>
                                      </a:solidFill>
                                      <a:prstDash val="dash"/>
                                      <a:headEnd type="none" w="med" len="med"/>
                                      <a:tailEnd type="none" w="med" len="med"/>
                                    </a:ln>
                                  </wps:spPr>
                                  <wps:bodyPr upright="1"/>
                                </wps:wsp>
                              </wpg:grpSp>
                            </wpg:grpSp>
                          </wpg:wgp>
                        </a:graphicData>
                      </a:graphic>
                    </wp:inline>
                  </w:drawing>
                </mc:Choice>
                <mc:Fallback>
                  <w:pict>
                    <v:group id="_x0000_s1026" o:spid="_x0000_s1026" o:spt="203" style="height:180.6pt;width:365.1pt;" coordorigin="5758,296153" coordsize="7302,3612" o:gfxdata="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C4RedPWAAAABQEAAA8AAAAAAAAAAQAgAAAAIgAAAGRy&#10;cy9kb3ducmV2LnhtbFBLAQIUABQAAAAIAIdO4kDqexEJmAcAALc+AAAOAAAAAAAAAAEAIAAAACUB&#10;AABkcnMvZTJvRG9jLnhtbFBLBQYAAAAABgAGAFkBAAAvCwAAAAA=&#10;">
                      <o:lock v:ext="edit" aspectratio="f"/>
                      <v:shape id="_x0000_s1026" o:spid="_x0000_s1026" o:spt="202" type="#_x0000_t202" style="position:absolute;left:12185;top:297627;height:445;width:729;" filled="f" stroked="t" coordsize="21600,21600" o:gfxdata="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wRuUugAAANs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1260</w:t>
                              </w:r>
                            </w:p>
                          </w:txbxContent>
                        </v:textbox>
                      </v:shape>
                      <v:group id="组合 3" o:spid="_x0000_s1026" o:spt="203" style="position:absolute;left:5758;top:296153;height:3612;width:7302;" coordorigin="5758,296153" coordsize="7302,361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2128;top:297571;flip:x;height:459;width:11;" filled="f" stroked="t" coordsize="21600,21600" o:gfxdata="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Es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 o:spid="_x0000_s1026" o:spt="203" style="position:absolute;left:5758;top:296153;height:3612;width:7303;" coordorigin="5758,296153" coordsize="7303,361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745;top:298304;height:1;width:1138;"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0370;top:299369;height:396;width:1229;" filled="f" stroked="t" coordsize="21600,21600" o:gfxdata="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og+C8AAAA&#10;2w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循环:3600</w:t>
                                  </w:r>
                                </w:p>
                              </w:txbxContent>
                            </v:textbox>
                          </v:shape>
                          <v:shape id="_x0000_s1026" o:spid="_x0000_s1026" o:spt="202" type="#_x0000_t202" style="position:absolute;left:7734;top:296216;height:404;width:908;" filled="f" stroked="t" coordsize="21600,21600" o:gfxdata="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2nKxvQAA&#10;ANs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1575</w:t>
                                  </w:r>
                                </w:p>
                              </w:txbxContent>
                            </v:textbox>
                          </v:shape>
                          <v:shape id="_x0000_s1026" o:spid="_x0000_s1026" o:spt="202" type="#_x0000_t202" style="position:absolute;left:11072;top:296244;height:380;width:905;" filled="f" stroked="t" coordsize="21600,21600" o:gfxdata="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rFvQAA&#10;ANs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rPr>
                                      <w:rFonts w:hint="default" w:eastAsia="宋体"/>
                                      <w:lang w:val="en-US" w:eastAsia="zh-CN"/>
                                    </w:rPr>
                                  </w:pPr>
                                  <w:r>
                                    <w:rPr>
                                      <w:rFonts w:hint="eastAsia"/>
                                      <w:lang w:val="en-US" w:eastAsia="zh-CN"/>
                                    </w:rPr>
                                    <w:t>1260</w:t>
                                  </w:r>
                                </w:p>
                              </w:txbxContent>
                            </v:textbox>
                          </v:shape>
                          <v:shape id="文本框 7" o:spid="_x0000_s1026" o:spt="202" type="#_x0000_t202" style="position:absolute;left:9840;top:296153;height:395;width:757;" filled="f" stroked="t" coordsize="21600,21600" o:gfxdata="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mLEQugAAANo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315</w:t>
                                  </w:r>
                                </w:p>
                              </w:txbxContent>
                            </v:textbox>
                          </v:shape>
                          <v:shape id="_x0000_s1026" o:spid="_x0000_s1026" o:spt="32" type="#_x0000_t32" style="position:absolute;left:9369;top:296460;flip:y;height:150;width:394;" filled="f" stroked="t" coordsize="21600,21600" o:gfxdata="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Rye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7834;top:296720;height:2345;width:22;" filled="f" stroked="t" coordsize="21600,21600" o:gfxdata="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NZ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114;top:296716;height:340;width:5;"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10597;top:296730;height:0;width:1529;"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8768;top:296609;height:401;width:1813;v-text-anchor:middle;" filled="f" stroked="t" coordsize="21600,21600" o:gfxdata="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hXii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ind w:left="0" w:leftChars="0" w:right="0" w:rightChars="0" w:firstLine="0" w:firstLineChars="0"/>
                                    <w:jc w:val="center"/>
                                  </w:pPr>
                                  <w:r>
                                    <w:rPr>
                                      <w:rFonts w:hint="eastAsia"/>
                                      <w:lang w:val="en-US" w:eastAsia="zh-CN"/>
                                    </w:rPr>
                                    <w:t>员工生活</w:t>
                                  </w:r>
                                  <w:r>
                                    <w:rPr>
                                      <w:rFonts w:hint="eastAsia"/>
                                    </w:rPr>
                                    <w:t>用水</w:t>
                                  </w:r>
                                </w:p>
                              </w:txbxContent>
                            </v:textbox>
                          </v:shape>
                          <v:shape id="直接箭头连接符 6" o:spid="_x0000_s1026" o:spt="32" type="#_x0000_t32" style="position:absolute;left:7840;top:296726;height:0;width:899;"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1323;top:297111;height:480;width:1484;v-text-anchor:middle;" filled="f" stroked="t" coordsize="21600,21600" o:gfxdata="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7KW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ind w:left="0" w:leftChars="0" w:right="0" w:rightChars="0" w:firstLine="0" w:firstLineChars="0"/>
                                    <w:jc w:val="center"/>
                                    <w:rPr>
                                      <w:rFonts w:hint="eastAsia" w:eastAsia="宋体"/>
                                      <w:lang w:val="en-US" w:eastAsia="zh-CN"/>
                                    </w:rPr>
                                  </w:pPr>
                                  <w:r>
                                    <w:rPr>
                                      <w:rFonts w:hint="eastAsia"/>
                                      <w:lang w:val="en-US" w:eastAsia="zh-CN"/>
                                    </w:rPr>
                                    <w:t>一体化设施</w:t>
                                  </w:r>
                                </w:p>
                              </w:txbxContent>
                            </v:textbox>
                          </v:shape>
                          <v:shape id="_x0000_s1026" o:spid="_x0000_s1026" o:spt="202" type="#_x0000_t202" style="position:absolute;left:6644;top:297685;height:439;width:1130;" filled="f" stroked="t" coordsize="21600,21600" o:gfxdata="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OOJvugAAANs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2475</w:t>
                                  </w:r>
                                </w:p>
                              </w:txbxContent>
                            </v:textbox>
                          </v:shape>
                          <v:shape id="_x0000_s1026" o:spid="_x0000_s1026" o:spt="202" type="#_x0000_t202" style="position:absolute;left:9446;top:298214;height:432;width:1057;v-text-anchor:middle;" filled="f" stroked="t" coordsize="21600,21600" o:gfxdata="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1fJOugAAANs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900</w:t>
                                  </w:r>
                                </w:p>
                              </w:txbxContent>
                            </v:textbox>
                          </v:shape>
                          <v:shape id="_x0000_s1026" o:spid="_x0000_s1026" o:spt="202" type="#_x0000_t202" style="position:absolute;left:11147;top:298049;height:579;width:1914;v-text-anchor:middle;" filled="f" stroked="t" coordsize="21600,21600" o:gfxdata="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2Ul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ind w:left="0" w:leftChars="0" w:right="0" w:rightChars="0" w:firstLine="0" w:firstLineChars="0"/>
                                    <w:jc w:val="center"/>
                                    <w:rPr>
                                      <w:rFonts w:hint="eastAsia"/>
                                      <w:lang w:val="en-US" w:eastAsia="zh-CN"/>
                                    </w:rPr>
                                  </w:pPr>
                                  <w:r>
                                    <w:rPr>
                                      <w:rFonts w:hint="eastAsia"/>
                                      <w:lang w:val="en-US" w:eastAsia="zh-CN"/>
                                    </w:rPr>
                                    <w:t>零陵区富家桥镇污水处理厂</w:t>
                                  </w:r>
                                </w:p>
                              </w:txbxContent>
                            </v:textbox>
                          </v:shape>
                          <v:shape id="文本框 12" o:spid="_x0000_s1026" o:spt="202" type="#_x0000_t202" style="position:absolute;left:5758;top:298057;height:448;width:1025;v-text-anchor:middle;" filled="f" stroked="t" coordsize="21600,21600" o:gfxdata="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pYK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ind w:left="0" w:leftChars="0" w:right="0" w:rightChars="0" w:firstLine="0" w:firstLineChars="0"/>
                                    <w:jc w:val="center"/>
                                  </w:pPr>
                                  <w:r>
                                    <w:rPr>
                                      <w:rFonts w:hint="eastAsia"/>
                                    </w:rPr>
                                    <w:t>新鲜水</w:t>
                                  </w:r>
                                </w:p>
                              </w:txbxContent>
                            </v:textbox>
                          </v:shape>
                          <v:shape id="_x0000_s1026" o:spid="_x0000_s1026" o:spt="202" type="#_x0000_t202" style="position:absolute;left:7871;top:298501;height:453;width:961;" filled="f" stroked="t" coordsize="21600,21600" o:gfxdata="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d4tLsAAADb&#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900</w:t>
                                  </w:r>
                                </w:p>
                              </w:txbxContent>
                            </v:textbox>
                          </v:shape>
                          <v:shape id="_x0000_s1026" o:spid="_x0000_s1026" o:spt="32" type="#_x0000_t32" style="position:absolute;left:9373;top:298609;flip:y;height:186;width:409;" filled="f" stroked="t" coordsize="21600,21600" o:gfxdata="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khqd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5" o:spid="_x0000_s1026" o:spt="202" type="#_x0000_t202" style="position:absolute;left:8657;top:298891;height:427;width:2396;v-text-anchor:middle;" filled="f" stroked="t" coordsize="21600,21600" o:gfxdata="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yb8G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ind w:left="0" w:leftChars="0" w:right="0" w:rightChars="0" w:firstLine="0" w:firstLineChars="0"/>
                                    <w:jc w:val="center"/>
                                    <w:rPr>
                                      <w:rFonts w:hint="eastAsia" w:eastAsia="宋体"/>
                                      <w:lang w:val="en-US" w:eastAsia="zh-CN"/>
                                    </w:rPr>
                                  </w:pPr>
                                  <w:r>
                                    <w:rPr>
                                      <w:rFonts w:hint="eastAsia"/>
                                      <w:szCs w:val="22"/>
                                      <w:lang w:val="en-US" w:eastAsia="zh-CN"/>
                                    </w:rPr>
                                    <w:t>磨边、玻璃清洗</w:t>
                                  </w:r>
                                  <w:r>
                                    <w:rPr>
                                      <w:rFonts w:hint="eastAsia"/>
                                      <w:lang w:val="en-US" w:eastAsia="zh-CN"/>
                                    </w:rPr>
                                    <w:t>用水</w:t>
                                  </w:r>
                                </w:p>
                              </w:txbxContent>
                            </v:textbox>
                          </v:shape>
                          <v:line id="直接连接符 19" o:spid="_x0000_s1026" o:spt="20" style="position:absolute;left:11039;top:299125;flip:x;height:1;width:607;" filled="f" stroked="t" coordsize="21600,21600" o:gfxdata="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gK1d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接连接符 8" o:spid="_x0000_s1026" o:spt="20" style="position:absolute;left:11699;top:299097;flip:x y;height:632;width:11;" filled="f" stroked="t" coordsize="21600,21600" o:gfxdata="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r7H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直接箭头连接符 13" o:spid="_x0000_s1026" o:spt="32" type="#_x0000_t32" style="position:absolute;left:9855;top:299318;flip:x y;height:434;width:9;" filled="f" stroked="t" coordsize="21600,21600" o:gfxdata="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2id2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直接箭头连接符 22" o:spid="_x0000_s1026" o:spt="32" type="#_x0000_t32" style="position:absolute;left:7841;top:299056;flip:y;height:13;width:802;" filled="f" stroked="t" coordsize="21600,21600"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29" o:spid="_x0000_s1026" o:spt="20" style="position:absolute;left:9860;top:299734;height:1;width:1934;" filled="f" stroked="t" coordsize="21600,21600" o:gfxdata="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Czmm/&#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group>
                      <w10:wrap type="none"/>
                      <w10:anchorlock/>
                    </v:group>
                  </w:pict>
                </mc:Fallback>
              </mc:AlternateContent>
            </w:r>
          </w:p>
          <w:p>
            <w:pPr>
              <w:pStyle w:val="51"/>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cs="Times New Roman"/>
                <w:b/>
                <w:bCs/>
                <w:color w:val="0D0D0D" w:themeColor="text1" w:themeTint="F2"/>
                <w:sz w:val="21"/>
                <w:szCs w:val="21"/>
                <w:highlight w:val="none"/>
                <w:u w:val="non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lang w:eastAsia="zh-CN"/>
                <w14:textFill>
                  <w14:solidFill>
                    <w14:schemeClr w14:val="tx1">
                      <w14:lumMod w14:val="95000"/>
                      <w14:lumOff w14:val="5000"/>
                    </w14:schemeClr>
                  </w14:solidFill>
                </w14:textFill>
              </w:rPr>
              <w:t>图</w:t>
            </w:r>
            <w:r>
              <w:rPr>
                <w:rFonts w:hint="default" w:ascii="Times New Roman" w:hAnsi="Times New Roman" w:cs="Times New Roman"/>
                <w:b/>
                <w:bCs/>
                <w:color w:val="0D0D0D" w:themeColor="text1" w:themeTint="F2"/>
                <w:sz w:val="21"/>
                <w:szCs w:val="21"/>
                <w:highlight w:val="none"/>
                <w:u w:val="none"/>
                <w:lang w:val="en-US" w:eastAsia="zh-CN"/>
                <w14:textFill>
                  <w14:solidFill>
                    <w14:schemeClr w14:val="tx1">
                      <w14:lumMod w14:val="95000"/>
                      <w14:lumOff w14:val="5000"/>
                    </w14:schemeClr>
                  </w14:solidFill>
                </w14:textFill>
              </w:rPr>
              <w:t>2</w:t>
            </w:r>
            <w:r>
              <w:rPr>
                <w:rFonts w:hint="default" w:ascii="Times New Roman" w:hAnsi="Times New Roman" w:cs="Times New Roman"/>
                <w:b/>
                <w:bCs/>
                <w:color w:val="0D0D0D" w:themeColor="text1" w:themeTint="F2"/>
                <w:sz w:val="21"/>
                <w:szCs w:val="21"/>
                <w:highlight w:val="none"/>
                <w:u w:val="none"/>
                <w:lang w:eastAsia="zh-CN"/>
                <w14:textFill>
                  <w14:solidFill>
                    <w14:schemeClr w14:val="tx1">
                      <w14:lumMod w14:val="95000"/>
                      <w14:lumOff w14:val="5000"/>
                    </w14:schemeClr>
                  </w14:solidFill>
                </w14:textFill>
              </w:rPr>
              <w:t>-</w:t>
            </w:r>
            <w:r>
              <w:rPr>
                <w:rFonts w:hint="default" w:ascii="Times New Roman" w:hAnsi="Times New Roman" w:cs="Times New Roman"/>
                <w:b/>
                <w:bCs/>
                <w:color w:val="0D0D0D" w:themeColor="text1" w:themeTint="F2"/>
                <w:sz w:val="21"/>
                <w:szCs w:val="21"/>
                <w:highlight w:val="none"/>
                <w:u w:val="none"/>
                <w:lang w:val="en-US" w:eastAsia="zh-CN"/>
                <w14:textFill>
                  <w14:solidFill>
                    <w14:schemeClr w14:val="tx1">
                      <w14:lumMod w14:val="95000"/>
                      <w14:lumOff w14:val="5000"/>
                    </w14:schemeClr>
                  </w14:solidFill>
                </w14:textFill>
              </w:rPr>
              <w:t xml:space="preserve">1 </w:t>
            </w:r>
            <w:r>
              <w:rPr>
                <w:rFonts w:hint="default" w:ascii="Times New Roman" w:hAnsi="Times New Roman" w:cs="Times New Roman"/>
                <w:b/>
                <w:bCs/>
                <w:color w:val="0D0D0D" w:themeColor="text1" w:themeTint="F2"/>
                <w:sz w:val="21"/>
                <w:szCs w:val="21"/>
                <w:highlight w:val="none"/>
                <w:u w:val="none"/>
                <w:lang w:eastAsia="zh-CN"/>
                <w14:textFill>
                  <w14:solidFill>
                    <w14:schemeClr w14:val="tx1">
                      <w14:lumMod w14:val="95000"/>
                      <w14:lumOff w14:val="5000"/>
                    </w14:schemeClr>
                  </w14:solidFill>
                </w14:textFill>
              </w:rPr>
              <w:t>项目水平衡图m</w:t>
            </w:r>
            <w:r>
              <w:rPr>
                <w:rFonts w:hint="default" w:ascii="Times New Roman" w:hAnsi="Times New Roman" w:cs="Times New Roman"/>
                <w:b/>
                <w:bCs/>
                <w:color w:val="0D0D0D" w:themeColor="text1" w:themeTint="F2"/>
                <w:sz w:val="21"/>
                <w:szCs w:val="21"/>
                <w:highlight w:val="none"/>
                <w:u w:val="none"/>
                <w:vertAlign w:val="superscript"/>
                <w:lang w:eastAsia="zh-CN"/>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sz w:val="21"/>
                <w:szCs w:val="21"/>
                <w:highlight w:val="none"/>
                <w:u w:val="none"/>
                <w:lang w:eastAsia="zh-CN"/>
                <w14:textFill>
                  <w14:solidFill>
                    <w14:schemeClr w14:val="tx1">
                      <w14:lumMod w14:val="95000"/>
                      <w14:lumOff w14:val="5000"/>
                    </w14:schemeClr>
                  </w14:solidFill>
                </w14:textFill>
              </w:rPr>
              <w:t>/a</w:t>
            </w:r>
          </w:p>
          <w:p>
            <w:pPr>
              <w:pStyle w:val="5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（3）供配电</w:t>
            </w:r>
          </w:p>
          <w:p>
            <w:pPr>
              <w:pStyle w:val="7"/>
              <w:keepNext w:val="0"/>
              <w:keepLines w:val="0"/>
              <w:suppressLineNumbers w:val="0"/>
              <w:spacing w:beforeAutospacing="0" w:afterAutospacing="0" w:line="360" w:lineRule="auto"/>
              <w:ind w:left="0" w:firstLine="480" w:firstLineChars="200"/>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本工程电源由市政供电管网提供，场内供电通过外接电源接入项目配电房内变压器直接转换。项目用电量基本为生产、办公及照明等用电，扩建项目依托厂区的配电设施统一供电，年新增用电量为84万KW·h，年用电量约320万kW·h.。</w:t>
            </w:r>
          </w:p>
          <w:p>
            <w:pPr>
              <w:pStyle w:val="7"/>
              <w:keepNext w:val="0"/>
              <w:keepLines w:val="0"/>
              <w:numPr>
                <w:ilvl w:val="0"/>
                <w:numId w:val="1"/>
              </w:numPr>
              <w:suppressLineNumbers w:val="0"/>
              <w:spacing w:beforeAutospacing="0" w:afterAutospacing="0" w:line="360" w:lineRule="auto"/>
              <w:ind w:left="0" w:firstLine="480" w:firstLineChars="200"/>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燃料供热</w:t>
            </w:r>
          </w:p>
          <w:p>
            <w:pPr>
              <w:pStyle w:val="7"/>
              <w:keepNext w:val="0"/>
              <w:keepLines w:val="0"/>
              <w:numPr>
                <w:ilvl w:val="0"/>
                <w:numId w:val="0"/>
              </w:numPr>
              <w:suppressLineNumbers w:val="0"/>
              <w:spacing w:beforeAutospacing="0" w:afterAutospacing="0" w:line="360" w:lineRule="auto"/>
              <w:ind w:left="0" w:firstLine="480" w:firstLineChars="200"/>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厂区食堂燃料采用液化石油气。项目建成后无锅炉等集中式供热设施。</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highlight w:val="none"/>
                <w:u w:val="none"/>
                <w:lang w:val="en-US" w:eastAsia="zh-CN"/>
                <w14:textFill>
                  <w14:solidFill>
                    <w14:schemeClr w14:val="tx1">
                      <w14:lumMod w14:val="95000"/>
                      <w14:lumOff w14:val="5000"/>
                    </w14:schemeClr>
                  </w14:solidFill>
                </w14:textFill>
              </w:rPr>
              <w:t>2.8</w:t>
            </w:r>
            <w:r>
              <w:rPr>
                <w:rFonts w:hint="default" w:ascii="Times New Roman" w:hAnsi="Times New Roman" w:cs="Times New Roman"/>
                <w:b/>
                <w:color w:val="0D0D0D" w:themeColor="text1" w:themeTint="F2"/>
                <w:sz w:val="24"/>
                <w:szCs w:val="24"/>
                <w:highlight w:val="none"/>
                <w:u w:val="none"/>
                <w14:textFill>
                  <w14:solidFill>
                    <w14:schemeClr w14:val="tx1">
                      <w14:lumMod w14:val="95000"/>
                      <w14:lumOff w14:val="5000"/>
                    </w14:schemeClr>
                  </w14:solidFill>
                </w14:textFill>
              </w:rPr>
              <w:t>、劳动定员和工作制度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根据建设方提供的资料，</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劳动定员</w:t>
            </w:r>
            <w:r>
              <w:rPr>
                <w:rFonts w:hint="default" w:ascii="Times New Roman" w:hAnsi="Times New Roman"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35人</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，项目设置食堂。</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年工作</w:t>
            </w:r>
            <w:r>
              <w:rPr>
                <w:rFonts w:hint="default" w:ascii="Times New Roman" w:hAnsi="Times New Roman"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300天</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，工作制度为一班制，每班8小时。</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highlight w:val="none"/>
                <w:u w:val="none"/>
                <w:lang w:val="en-US" w:eastAsia="zh-CN"/>
                <w14:textFill>
                  <w14:solidFill>
                    <w14:schemeClr w14:val="tx1">
                      <w14:lumMod w14:val="95000"/>
                      <w14:lumOff w14:val="5000"/>
                    </w14:schemeClr>
                  </w14:solidFill>
                </w14:textFill>
              </w:rPr>
              <w:t>2.9</w:t>
            </w:r>
            <w:r>
              <w:rPr>
                <w:rFonts w:hint="default" w:ascii="Times New Roman" w:hAnsi="Times New Roman" w:cs="Times New Roman"/>
                <w:b/>
                <w:color w:val="0D0D0D" w:themeColor="text1" w:themeTint="F2"/>
                <w:sz w:val="24"/>
                <w:szCs w:val="24"/>
                <w:highlight w:val="none"/>
                <w:u w:val="none"/>
                <w14:textFill>
                  <w14:solidFill>
                    <w14:schemeClr w14:val="tx1">
                      <w14:lumMod w14:val="95000"/>
                      <w14:lumOff w14:val="5000"/>
                    </w14:schemeClr>
                  </w14:solidFill>
                </w14:textFill>
              </w:rPr>
              <w:t>、项目实施进度</w:t>
            </w:r>
          </w:p>
          <w:p>
            <w:pPr>
              <w:pStyle w:val="7"/>
              <w:keepNext w:val="0"/>
              <w:keepLines w:val="0"/>
              <w:suppressLineNumbers w:val="0"/>
              <w:spacing w:beforeAutospacing="0" w:afterAutospacing="0" w:line="360" w:lineRule="auto"/>
              <w:ind w:left="0" w:firstLine="480" w:firstLineChars="200"/>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本扩建项目为生产扩建项目，只需增加购置安装生产设备，拟</w:t>
            </w:r>
            <w:r>
              <w:rPr>
                <w:rFonts w:hint="eastAsia"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先</w:t>
            </w: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新增</w:t>
            </w:r>
            <w:r>
              <w:rPr>
                <w:rFonts w:hint="eastAsia"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中空玻璃</w:t>
            </w: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生产线1条</w:t>
            </w:r>
            <w:r>
              <w:rPr>
                <w:rFonts w:hint="eastAsia"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及配套</w:t>
            </w: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设备，2024年10月投产</w:t>
            </w:r>
            <w:r>
              <w:rPr>
                <w:rFonts w:hint="eastAsia"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预留</w:t>
            </w:r>
            <w:r>
              <w:rPr>
                <w:rFonts w:hint="eastAsia"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中空玻璃</w:t>
            </w:r>
            <w:r>
              <w:rPr>
                <w:rFonts w:hint="default" w:ascii="Times New Roman" w:hAnsi="Times New Roman" w:cs="Times New Roman"/>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生产线1条待产能需要再增加生产设备。</w:t>
            </w:r>
          </w:p>
          <w:p>
            <w:pPr>
              <w:pStyle w:val="7"/>
              <w:keepNext w:val="0"/>
              <w:keepLines w:val="0"/>
              <w:numPr>
                <w:ilvl w:val="0"/>
                <w:numId w:val="0"/>
              </w:numPr>
              <w:suppressLineNumbers w:val="0"/>
              <w:spacing w:beforeAutospacing="0" w:afterAutospacing="0" w:line="360" w:lineRule="auto"/>
              <w:ind w:left="0" w:leftChars="0" w:right="113" w:rightChars="0" w:firstLine="482" w:firstLineChars="200"/>
              <w:rPr>
                <w:rFonts w:hint="default" w:ascii="Times New Roman" w:hAnsi="Times New Roman" w:cs="Times New Roman"/>
                <w:b/>
                <w:bCs/>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4"/>
                <w:szCs w:val="24"/>
                <w:highlight w:val="none"/>
                <w:lang w:val="en-US" w:eastAsia="zh-CN" w:bidi="ar-SA"/>
                <w14:textFill>
                  <w14:solidFill>
                    <w14:schemeClr w14:val="tx1">
                      <w14:lumMod w14:val="95000"/>
                      <w14:lumOff w14:val="5000"/>
                    </w14:schemeClr>
                  </w14:solidFill>
                </w14:textFill>
              </w:rPr>
              <w:t>2.</w:t>
            </w:r>
            <w:r>
              <w:rPr>
                <w:rFonts w:hint="default" w:ascii="Times New Roman" w:hAnsi="Times New Roman" w:eastAsia="宋体" w:cs="Times New Roman"/>
                <w:b/>
                <w:bCs/>
                <w:color w:val="0D0D0D" w:themeColor="text1" w:themeTint="F2"/>
                <w:kern w:val="2"/>
                <w:sz w:val="24"/>
                <w:szCs w:val="24"/>
                <w:highlight w:val="none"/>
                <w:lang w:val="en-US" w:eastAsia="zh-CN" w:bidi="ar-SA"/>
                <w14:textFill>
                  <w14:solidFill>
                    <w14:schemeClr w14:val="tx1">
                      <w14:lumMod w14:val="95000"/>
                      <w14:lumOff w14:val="5000"/>
                    </w14:schemeClr>
                  </w14:solidFill>
                </w14:textFill>
              </w:rPr>
              <w:t>10、</w:t>
            </w:r>
            <w:r>
              <w:rPr>
                <w:rFonts w:hint="default" w:ascii="Times New Roman" w:hAnsi="Times New Roman" w:cs="Times New Roman"/>
                <w:b/>
                <w:bCs/>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项目总平面布置</w:t>
            </w:r>
          </w:p>
          <w:p>
            <w:pPr>
              <w:pStyle w:val="7"/>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b w:val="0"/>
                <w:bCs w:val="0"/>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根据《工业企业总平面设计规范》（GB50187-93）的相关规定，按照“合理分区、物流便捷、突出环保、和谐统一”的原则，结合场地的用地条件及生产工艺，综合考虑了生产、环保、绿化、劳动卫生要求，对厂区进行了统筹安排。车间内设原料切割区、磨边区、中空生产线、钢化炉、贴膜区、成品区等，本扩建项目将主要噪声源、废气产生源均放置在生产车间内。总体看，综合考虑环保、消防、劳动卫生等要求对厂区平面布置进行了合理布置。企业在功能单元设置方面，做到了功能完整、分区合理明确，有利于提高企业生产效率和环境管理可操作性。在功能单元布局方面，生产线布置在车间</w:t>
            </w:r>
            <w:r>
              <w:rPr>
                <w:rFonts w:hint="eastAsia" w:cs="Times New Roman"/>
                <w:b w:val="0"/>
                <w:bCs w:val="0"/>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内</w:t>
            </w:r>
            <w:r>
              <w:rPr>
                <w:rFonts w:hint="default" w:ascii="Times New Roman" w:hAnsi="Times New Roman" w:cs="Times New Roman"/>
                <w:b w:val="0"/>
                <w:bCs w:val="0"/>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部，有利设置噪声的消减，减少污染影响。</w:t>
            </w:r>
          </w:p>
          <w:p>
            <w:pPr>
              <w:pStyle w:val="7"/>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2"/>
                <w:sz w:val="24"/>
                <w:szCs w:val="24"/>
                <w:highlight w:val="none"/>
                <w:u w:val="none"/>
                <w:lang w:val="en-US" w:eastAsia="zh-CN"/>
                <w14:textFill>
                  <w14:solidFill>
                    <w14:schemeClr w14:val="tx1">
                      <w14:lumMod w14:val="95000"/>
                      <w14:lumOff w14:val="5000"/>
                    </w14:schemeClr>
                  </w14:solidFill>
                </w14:textFill>
              </w:rPr>
              <w:t>综上，项目总平面布置合理。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80" w:hRule="atLeast"/>
          <w:jc w:val="center"/>
        </w:trPr>
        <w:tc>
          <w:tcPr>
            <w:tcW w:w="823"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t>工艺流程和产排污环节</w:t>
            </w:r>
          </w:p>
        </w:tc>
        <w:tc>
          <w:tcPr>
            <w:tcW w:w="8161" w:type="dxa"/>
            <w:noWrap w:val="0"/>
            <w:vAlign w:val="top"/>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t>一、施工期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为生产线安装</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，不涉及土建工程，施工期主要进行部分厂房内部设备安装调试等，会不同程度产生噪声、固体废物</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施工期较短，且均为室内作业，</w:t>
            </w:r>
            <w:r>
              <w:rPr>
                <w:rFonts w:hint="default" w:ascii="Times New Roman" w:hAnsi="Times New Roman" w:cs="Times New Roman"/>
                <w:bCs/>
                <w:color w:val="0D0D0D" w:themeColor="text1" w:themeTint="F2"/>
                <w:sz w:val="24"/>
                <w:szCs w:val="24"/>
                <w:highlight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施工工期短，工程量少，对环境影响不大。</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t>二、运营期</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4"/>
                <w:szCs w:val="24"/>
                <w:highlight w:val="none"/>
                <w14:textFill>
                  <w14:solidFill>
                    <w14:schemeClr w14:val="tx1">
                      <w14:lumMod w14:val="95000"/>
                      <w14:lumOff w14:val="5000"/>
                    </w14:schemeClr>
                  </w14:solidFill>
                </w14:textFill>
              </w:rPr>
              <w:t>（1）钢化玻璃生产工艺流程介绍及产污分析</w:t>
            </w:r>
          </w:p>
          <w:p>
            <w:pPr>
              <w:pStyle w:val="8"/>
              <w:keepNext w:val="0"/>
              <w:keepLines w:val="0"/>
              <w:suppressLineNumbers w:val="0"/>
              <w:spacing w:beforeAutospacing="0" w:afterAutospacing="0"/>
              <w:ind w:left="0" w:leftChars="0" w:right="0" w:rightChars="0" w:firstLine="0" w:firstLineChars="0"/>
              <w:jc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drawing>
                <wp:inline distT="0" distB="0" distL="114300" distR="114300">
                  <wp:extent cx="4785995" cy="5511800"/>
                  <wp:effectExtent l="0" t="0" r="190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1">
                            <a:lum bright="-18000" contrast="30000"/>
                          </a:blip>
                          <a:stretch>
                            <a:fillRect/>
                          </a:stretch>
                        </pic:blipFill>
                        <pic:spPr>
                          <a:xfrm>
                            <a:off x="0" y="0"/>
                            <a:ext cx="4785995" cy="5511800"/>
                          </a:xfrm>
                          <a:prstGeom prst="rect">
                            <a:avLst/>
                          </a:prstGeom>
                          <a:noFill/>
                          <a:ln>
                            <a:noFill/>
                          </a:ln>
                        </pic:spPr>
                      </pic:pic>
                    </a:graphicData>
                  </a:graphic>
                </wp:inline>
              </w:drawing>
            </w:r>
          </w:p>
          <w:p>
            <w:pPr>
              <w:pStyle w:val="8"/>
              <w:keepNext w:val="0"/>
              <w:keepLines w:val="0"/>
              <w:suppressLineNumbers w:val="0"/>
              <w:spacing w:beforeAutospacing="0" w:afterAutospacing="0"/>
              <w:ind w:left="0" w:leftChars="0" w:right="0" w:rightChars="0" w:firstLine="0" w:firstLineChars="0"/>
              <w:jc w:val="center"/>
              <w:rPr>
                <w:rFonts w:hint="default" w:ascii="Times New Roman" w:hAnsi="Times New Roman" w:cs="Times New Roman"/>
                <w:b/>
                <w:bCs/>
                <w:color w:val="0D0D0D" w:themeColor="text1" w:themeTint="F2"/>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图</w:t>
            </w:r>
            <w:r>
              <w:rPr>
                <w:rFonts w:hint="default" w:ascii="Times New Roman" w:hAnsi="Times New Roman"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2</w:t>
            </w:r>
            <w:r>
              <w:rPr>
                <w:rFonts w:hint="default" w:ascii="Times New Roman" w:hAnsi="Times New Roman" w:cs="Times New Roman"/>
                <w:b/>
                <w:bCs/>
                <w:color w:val="0D0D0D" w:themeColor="text1" w:themeTint="F2"/>
                <w:sz w:val="21"/>
                <w:szCs w:val="21"/>
                <w:highlight w:val="none"/>
                <w14:textFill>
                  <w14:solidFill>
                    <w14:schemeClr w14:val="tx1">
                      <w14:lumMod w14:val="95000"/>
                      <w14:lumOff w14:val="5000"/>
                    </w14:schemeClr>
                  </w14:solidFill>
                </w14:textFill>
              </w:rPr>
              <w:t>-2运营期主要产污环节流程图</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eastAsia="宋体" w:cs="Times New Roman"/>
                <w:b/>
                <w:bCs/>
                <w:color w:val="0D0D0D" w:themeColor="text1" w:themeTint="F2"/>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lang w:val="en-US" w:eastAsia="zh-CN"/>
                <w14:textFill>
                  <w14:solidFill>
                    <w14:schemeClr w14:val="tx1">
                      <w14:lumMod w14:val="95000"/>
                      <w14:lumOff w14:val="5000"/>
                    </w14:schemeClr>
                  </w14:solidFill>
                </w14:textFill>
              </w:rPr>
              <w:t>工艺说明：</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①切割</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将玻璃原片在玻璃切割台上利用切片机切割成客户要求尺寸的玻璃板，切片机所带金刚石刀轮在玻璃原片表面进行切割。切割过程不使用切割液，该过程无粉尘产生，主要污染物为设备运行噪声和玻璃边角料。</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②打码</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切割后的玻璃进行激光打码。在此过程中会产生噪声。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③磨边</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切割好的玻璃还需要对其边角进行磨光，项目拟采用湿式磨边工艺，使用磨边机对切割后的玻璃进行磨边，在砂轮与玻璃接触部位冲水降尘，产生的磨边废水排入污水</w:t>
            </w:r>
            <w:r>
              <w:rPr>
                <w:rFonts w:hint="default" w:ascii="Times New Roman" w:hAnsi="Times New Roman" w:cs="Times New Roman"/>
                <w:color w:val="0D0D0D" w:themeColor="text1" w:themeTint="F2"/>
                <w:highlight w:val="none"/>
                <w:lang w:val="en-US" w:eastAsia="zh-CN"/>
                <w14:textFill>
                  <w14:solidFill>
                    <w14:schemeClr w14:val="tx1">
                      <w14:lumMod w14:val="95000"/>
                      <w14:lumOff w14:val="5000"/>
                    </w14:schemeClr>
                  </w14:solidFill>
                </w14:textFill>
              </w:rPr>
              <w:t>沉淀池</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，经</w:t>
            </w:r>
            <w:r>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t>污水沉淀池</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处理后循环用于磨边降尘。此过程伴有少量玻璃粉尘、设备运行噪声和磨边降尘废水。</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④清洗、烘干</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磨边后的玻璃进入自动玻璃清洗机进行清洗，清洗水为纯水，清洗过程不添加清洗剂，清洗废水经</w:t>
            </w:r>
            <w:r>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t>污水沉淀池</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处理后循环用于磨边降尘。清洗后的玻璃通过传送带送入清洗机自带的烘干装置将玻璃表面水珠吹干。此过程伴有清洗废水和设备运行噪声。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⑤钢化</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钢化玻璃是将普通退火玻璃先切割成要求尺寸，然后加热到接近软化点的700度左右，再进行快速均匀的冷却而得到的（通常5-6mm的玻璃在700度高温下加热240秒左右，降温150秒左右。8-10mm玻璃在700度高温下加热500秒左右，降温300秒左右。总之，根据玻璃厚度不同，选择加热降温的时间也不同）。钢化处理后玻璃表面形成均匀压应力，而内部则形成张应力，使玻璃的抗弯和抗冲击强度得以提高，其强度约是普通退火玻璃的四倍以上。已钢化处理好的钢化玻璃，不能再作任何切割、磨削等加工或受破损，否则就会因破坏均匀压应力平衡而“粉身碎骨”。钢化炉能源为电能，钢化过程将产生设备噪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⑥检验</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根据钢化玻璃质量标准分检出不合格品，集中收集后定期出售给玻璃生产企业资源化利用。检验合格的产品入库，各种规格分类存放并作标记。待出售或用于中空玻璃生产。此过程会产生不合格产品。</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（2）中空玻璃生产工艺流程介绍及产污环节分析</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drawing>
                <wp:inline distT="0" distB="0" distL="114300" distR="114300">
                  <wp:extent cx="5039995" cy="4593590"/>
                  <wp:effectExtent l="0" t="0" r="1905" b="381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2"/>
                          <a:stretch>
                            <a:fillRect/>
                          </a:stretch>
                        </pic:blipFill>
                        <pic:spPr>
                          <a:xfrm>
                            <a:off x="0" y="0"/>
                            <a:ext cx="5039995" cy="4593590"/>
                          </a:xfrm>
                          <a:prstGeom prst="rect">
                            <a:avLst/>
                          </a:prstGeom>
                          <a:noFill/>
                          <a:ln>
                            <a:noFill/>
                          </a:ln>
                        </pic:spPr>
                      </pic:pic>
                    </a:graphicData>
                  </a:graphic>
                </wp:inline>
              </w:drawing>
            </w:r>
            <w:r>
              <w:rPr>
                <w:rFonts w:hint="default" w:ascii="Times New Roman" w:hAnsi="Times New Roman" w:cs="Times New Roman"/>
                <w:b/>
                <w:bCs/>
                <w:color w:val="0D0D0D" w:themeColor="text1" w:themeTint="F2"/>
                <w:sz w:val="21"/>
                <w:szCs w:val="21"/>
                <w:highlight w:val="none"/>
                <w14:textFill>
                  <w14:solidFill>
                    <w14:schemeClr w14:val="tx1">
                      <w14:lumMod w14:val="95000"/>
                      <w14:lumOff w14:val="5000"/>
                    </w14:schemeClr>
                  </w14:solidFill>
                </w14:textFill>
              </w:rPr>
              <w:t>图2-</w:t>
            </w:r>
            <w:r>
              <w:rPr>
                <w:rFonts w:hint="default" w:ascii="Times New Roman" w:hAnsi="Times New Roman"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sz w:val="21"/>
                <w:szCs w:val="21"/>
                <w:highlight w:val="none"/>
                <w14:textFill>
                  <w14:solidFill>
                    <w14:schemeClr w14:val="tx1">
                      <w14:lumMod w14:val="95000"/>
                      <w14:lumOff w14:val="5000"/>
                    </w14:schemeClr>
                  </w14:solidFill>
                </w14:textFill>
              </w:rPr>
              <w:t>中空玻璃生产工艺流程及产污节点</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eastAsia="宋体" w:cs="Times New Roman"/>
                <w:b/>
                <w:bCs/>
                <w:color w:val="0D0D0D" w:themeColor="text1" w:themeTint="F2"/>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lang w:val="en-US" w:eastAsia="zh-CN"/>
                <w14:textFill>
                  <w14:solidFill>
                    <w14:schemeClr w14:val="tx1">
                      <w14:lumMod w14:val="95000"/>
                      <w14:lumOff w14:val="5000"/>
                    </w14:schemeClr>
                  </w14:solidFill>
                </w14:textFill>
              </w:rPr>
              <w:t>工艺说明：</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①制框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利用弯折机将铝条按照已钢化好的玻璃的尺寸弯折制成铝框，此过程会产生铝条边角料、设备噪声。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②添加干燥剂</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利用自动灌装机将分子筛填入铝框凹槽内，此过程会产生废包装材料。</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③涂胶</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利用中空线自带的丁基胶涂胶机在铝条边框上涂刷丁基胶，丁基胶属于热熔胶，加热温度150±5℃，未超过丁基胶的热分解温度，丁基胶是异丁烯和异戊二烯的共聚物，此过程伴有少量异丁烯和异戊二烯单体挥发，形成有机废气。</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④上框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将钢化好的玻璃与涂有丁基胶的铝条边框进行合框。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⑤加压合片</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通过中空线自带的合片机将玻璃与铝条压合，合片后自动填充氩气。</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⑥二次密封</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合片完成后，利用打胶机将硅酮胶均匀涂抹在玻璃和铝条上，进行中空玻璃的二次密封。二次密封后待密封胶自然固化后入库检验。此过程伴有少量的有机废气挥发。</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cente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⑦检验</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cente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经处理后的钢化中空玻璃经质检员检验合格后，堆放于待发货区，各种规格分类存放并作标记。此过程会产生不合格产品。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kern w:val="2"/>
                <w:sz w:val="24"/>
                <w:szCs w:val="24"/>
                <w:highlight w:val="none"/>
                <w14:textFill>
                  <w14:solidFill>
                    <w14:schemeClr w14:val="tx1">
                      <w14:lumMod w14:val="95000"/>
                      <w14:lumOff w14:val="5000"/>
                    </w14:schemeClr>
                  </w14:solidFill>
                </w14:textFill>
              </w:rPr>
              <w:t>与项目有关的原有环境污染问题</w:t>
            </w:r>
          </w:p>
        </w:tc>
        <w:tc>
          <w:tcPr>
            <w:tcW w:w="8161" w:type="dxa"/>
            <w:noWrap w:val="0"/>
            <w:vAlign w:val="top"/>
          </w:tcPr>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19" w:firstLineChars="139"/>
              <w:rPr>
                <w:rFonts w:hint="default" w:ascii="Times New Roman" w:hAnsi="Times New Roman" w:cs="Times New Roman"/>
                <w:b/>
                <w:bCs w:val="0"/>
                <w:color w:val="0D0D0D" w:themeColor="text1" w:themeTint="F2"/>
                <w:sz w:val="30"/>
                <w:szCs w:val="30"/>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kern w:val="2"/>
                <w:sz w:val="30"/>
                <w:szCs w:val="30"/>
                <w:highlight w:val="none"/>
                <w:u w:val="single"/>
                <w:lang w:val="en-US" w:eastAsia="zh-CN" w:bidi="ar-SA"/>
                <w14:textFill>
                  <w14:solidFill>
                    <w14:schemeClr w14:val="tx1">
                      <w14:lumMod w14:val="95000"/>
                      <w14:lumOff w14:val="5000"/>
                    </w14:schemeClr>
                  </w14:solidFill>
                </w14:textFill>
              </w:rPr>
              <w:t>1、</w:t>
            </w:r>
            <w:r>
              <w:rPr>
                <w:rFonts w:hint="default" w:ascii="Times New Roman" w:hAnsi="Times New Roman" w:cs="Times New Roman"/>
                <w:b/>
                <w:bCs w:val="0"/>
                <w:color w:val="0D0D0D" w:themeColor="text1" w:themeTint="F2"/>
                <w:sz w:val="30"/>
                <w:szCs w:val="30"/>
                <w:highlight w:val="none"/>
                <w:u w:val="single"/>
                <w:lang w:val="en-US" w:eastAsia="zh-CN"/>
                <w14:textFill>
                  <w14:solidFill>
                    <w14:schemeClr w14:val="tx1">
                      <w14:lumMod w14:val="95000"/>
                      <w14:lumOff w14:val="5000"/>
                    </w14:schemeClr>
                  </w14:solidFill>
                </w14:textFill>
              </w:rPr>
              <w:t>现有污染情况及主要环境问题</w:t>
            </w:r>
          </w:p>
          <w:p>
            <w:pPr>
              <w:keepNext w:val="0"/>
              <w:keepLines w:val="0"/>
              <w:numPr>
                <w:ilvl w:val="1"/>
                <w:numId w:val="0"/>
              </w:numPr>
              <w:suppressLineNumbers w:val="0"/>
              <w:adjustRightInd w:val="0"/>
              <w:snapToGrid w:val="0"/>
              <w:spacing w:before="0" w:beforeAutospacing="0" w:after="0" w:afterAutospacing="0" w:line="360" w:lineRule="auto"/>
              <w:ind w:left="420" w:leftChars="200" w:right="0" w:rightChars="0" w:firstLine="0" w:firstLineChars="0"/>
              <w:rPr>
                <w:rFonts w:hint="default" w:ascii="Times New Roman" w:hAnsi="Times New Roman" w:cs="Times New Roman"/>
                <w:b/>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kern w:val="2"/>
                <w:sz w:val="24"/>
                <w:szCs w:val="24"/>
                <w:highlight w:val="none"/>
                <w:u w:val="single"/>
                <w:lang w:val="en-US" w:eastAsia="zh-CN" w:bidi="ar-SA"/>
                <w14:textFill>
                  <w14:solidFill>
                    <w14:schemeClr w14:val="tx1">
                      <w14:lumMod w14:val="95000"/>
                      <w14:lumOff w14:val="5000"/>
                    </w14:schemeClr>
                  </w14:solidFill>
                </w14:textFill>
              </w:rPr>
              <w:t>1.1、</w:t>
            </w:r>
            <w:r>
              <w:rPr>
                <w:rFonts w:hint="default" w:ascii="Times New Roman" w:hAnsi="Times New Roman" w:cs="Times New Roman"/>
                <w:b/>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现有工程概况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永州市湘源玻璃制品有限公司2019年租赁永州市湘永香杉木业有限公司内3600㎡厂房（项目选址中心点经纬度：东经111.619181，北纬：26.138516）建设“年生产50万平方米钢化玻璃生产项目”，本扩建项目总投资500万元，总占地面积为6666.7平方米，总建筑面积约为3880平方米。2019年8月27日获得原永州市零陵环境保局《关于零陵区年产50万平方米钢化玻璃生产项目环境影响报告表》零环评（2019）52号批复。</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并取得编号为91431102MA4QJEWP83001U排污许可证。</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2022年1月21日，永州市湘源玻璃制品有限公司主持召开了“零陵区年产50万平方米钢化玻璃生产项目”竣工环境保护验收会，通过专家验收，项目竣工环境保护验收合格。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bCs/>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1.2</w:t>
            </w:r>
            <w:r>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、现有项目项目概况</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项目名称：年产50万平方米钢化玻璃生产项目。</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建设性质：新建。</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建设地点：永州市零陵区富家桥镇（镇政府对面）。</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建设单位：永州市湘源玻璃制造有限公司。</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项目投资：</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5</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00万元。</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2" w:firstLineChars="200"/>
              <w:jc w:val="left"/>
              <w:textAlignment w:val="auto"/>
              <w:rPr>
                <w:rFonts w:hint="default" w:ascii="Times New Roman" w:hAnsi="Times New Roman" w:eastAsia="宋体" w:cs="Times New Roman"/>
                <w:b/>
                <w:bCs w:val="0"/>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1.3</w:t>
            </w:r>
            <w:r>
              <w:rPr>
                <w:rFonts w:hint="default" w:ascii="Times New Roman" w:hAnsi="Times New Roman" w:eastAsia="宋体"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、现有项目选址及周边环境</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left"/>
              <w:textAlignment w:val="auto"/>
              <w:rPr>
                <w:rFonts w:hint="default" w:ascii="Times New Roman" w:hAnsi="Times New Roman" w:eastAsia="宋体"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w:t>
            </w:r>
            <w:r>
              <w:rPr>
                <w:rFonts w:hint="default" w:ascii="Times New Roman" w:hAnsi="Times New Roman" w:eastAsia="宋体" w:cs="Times New Roman"/>
                <w:color w:val="0D0D0D" w:themeColor="text1" w:themeTint="F2"/>
                <w:kern w:val="0"/>
                <w:sz w:val="24"/>
                <w:szCs w:val="24"/>
                <w:highlight w:val="none"/>
                <w:u w:val="single"/>
                <w:lang w:val="en-US" w:eastAsia="zh-CN" w:bidi="ar"/>
                <w14:textFill>
                  <w14:solidFill>
                    <w14:schemeClr w14:val="tx1">
                      <w14:lumMod w14:val="95000"/>
                      <w14:lumOff w14:val="5000"/>
                    </w14:schemeClr>
                  </w14:solidFill>
                </w14:textFill>
              </w:rPr>
              <w:t>选址于永州市湘永香杉木业有限公司内。</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项目所在地地理位置优越，交通便利，紧临G207国道，距离北面的永州市区7.5km，交通便利。</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left"/>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现有项目租赁</w:t>
            </w:r>
            <w:r>
              <w:rPr>
                <w:rFonts w:hint="default" w:ascii="Times New Roman" w:hAnsi="Times New Roman" w:eastAsia="宋体" w:cs="Times New Roman"/>
                <w:color w:val="0D0D0D" w:themeColor="text1" w:themeTint="F2"/>
                <w:kern w:val="0"/>
                <w:sz w:val="24"/>
                <w:szCs w:val="24"/>
                <w:highlight w:val="none"/>
                <w:u w:val="single"/>
                <w:lang w:val="en-US" w:eastAsia="zh-CN" w:bidi="ar"/>
                <w14:textFill>
                  <w14:solidFill>
                    <w14:schemeClr w14:val="tx1">
                      <w14:lumMod w14:val="95000"/>
                      <w14:lumOff w14:val="5000"/>
                    </w14:schemeClr>
                  </w14:solidFill>
                </w14:textFill>
              </w:rPr>
              <w:t>永州市湘永香杉木业有限公司现有厂房（包括办公室</w:t>
            </w:r>
            <w:r>
              <w:rPr>
                <w:rFonts w:hint="default" w:ascii="Times New Roman" w:hAnsi="Times New Roman" w:eastAsia="宋体" w:cs="Times New Roman"/>
                <w:b w:val="0"/>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、宿舍等配套设施</w:t>
            </w:r>
            <w:r>
              <w:rPr>
                <w:rFonts w:hint="default" w:ascii="Times New Roman" w:hAnsi="Times New Roman" w:eastAsia="宋体" w:cs="Times New Roman"/>
                <w:color w:val="0D0D0D" w:themeColor="text1" w:themeTint="F2"/>
                <w:kern w:val="0"/>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，项目用地西面紧邻G207国道，其余三面为林草地。项目周边环境见附图。</w:t>
            </w:r>
          </w:p>
          <w:p>
            <w:pPr>
              <w:pStyle w:val="27"/>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1.4</w:t>
            </w:r>
            <w:r>
              <w:rPr>
                <w:rFonts w:hint="default" w:ascii="Times New Roman" w:hAnsi="Times New Roman" w:eastAsia="宋体"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现有项目组成</w:t>
            </w:r>
          </w:p>
          <w:p>
            <w:pPr>
              <w:pStyle w:val="27"/>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w:t>
            </w:r>
            <w:r>
              <w:rPr>
                <w:rFonts w:hint="default" w:ascii="Times New Roman" w:hAnsi="Times New Roman" w:eastAsia="宋体"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总投资500万，总占地面积约6666.7</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总建筑面积约为3880</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项目组成见下表。</w:t>
            </w:r>
          </w:p>
          <w:p>
            <w:pPr>
              <w:pStyle w:val="27"/>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default"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2-8  </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项目组成一览表</w:t>
            </w:r>
          </w:p>
          <w:tbl>
            <w:tblPr>
              <w:tblStyle w:val="31"/>
              <w:tblW w:w="80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2"/>
              <w:gridCol w:w="1863"/>
              <w:gridCol w:w="5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19" w:hRule="atLeast"/>
                <w:jc w:val="center"/>
              </w:trPr>
              <w:tc>
                <w:tcPr>
                  <w:tcW w:w="9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名称</w:t>
                  </w:r>
                </w:p>
              </w:tc>
              <w:tc>
                <w:tcPr>
                  <w:tcW w:w="7077"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建设内容及规模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0" w:hRule="atLeast"/>
                <w:jc w:val="center"/>
              </w:trPr>
              <w:tc>
                <w:tcPr>
                  <w:tcW w:w="9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主体</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工程</w:t>
                  </w: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生产车间</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生产车间，1F，层高约7.98m，占地面积约3600m </w:t>
                  </w:r>
                  <w:r>
                    <w:rPr>
                      <w:rFonts w:hint="default" w:ascii="Times New Roman" w:hAnsi="Times New Roman" w:eastAsia="宋体" w:cs="Times New Roman"/>
                      <w:color w:val="0D0D0D" w:themeColor="text1" w:themeTint="F2"/>
                      <w:kern w:val="2"/>
                      <w:sz w:val="21"/>
                      <w:szCs w:val="21"/>
                      <w:highlight w:val="none"/>
                      <w:u w:val="single"/>
                      <w:vertAlign w:val="superscript"/>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。车间为钢结构，主要设置钢化玻璃生产线。内设玻璃原片存放区、磨边及清洗区、钢化玻璃加工区成品堆放区等。建成后，年产钢化玻璃50万</w:t>
                  </w:r>
                  <w:r>
                    <w:rPr>
                      <w:rFonts w:hint="eastAsia"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96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辅助</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工程</w:t>
                  </w: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办公用房</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合计120</w:t>
                  </w:r>
                  <w:r>
                    <w:rPr>
                      <w:rFonts w:hint="eastAsia"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宿舍</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合计100</w:t>
                  </w:r>
                  <w:r>
                    <w:rPr>
                      <w:rFonts w:hint="eastAsia"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食堂</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合计60</w:t>
                  </w:r>
                  <w:r>
                    <w:rPr>
                      <w:rFonts w:hint="eastAsia"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96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公用</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工程</w:t>
                  </w: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供电系统</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由当地市政供给。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给水</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由当地市政供给。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1"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排水</w:t>
                  </w:r>
                </w:p>
              </w:tc>
              <w:tc>
                <w:tcPr>
                  <w:tcW w:w="521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项目厂区采取雨污分流制，玻璃清洗及玻璃湿法磨边废水通过沉淀池（容积 100m </w:t>
                  </w:r>
                  <w:r>
                    <w:rPr>
                      <w:rFonts w:hint="default" w:ascii="Times New Roman" w:hAnsi="Times New Roman" w:eastAsia="宋体" w:cs="Times New Roman"/>
                      <w:color w:val="0D0D0D" w:themeColor="text1" w:themeTint="F2"/>
                      <w:kern w:val="2"/>
                      <w:sz w:val="21"/>
                      <w:szCs w:val="21"/>
                      <w:highlight w:val="none"/>
                      <w:u w:val="single"/>
                      <w:vertAlign w:val="superscript"/>
                      <w:lang w:val="en-US" w:eastAsia="zh-CN" w:bidi="ar"/>
                      <w14:textFill>
                        <w14:solidFill>
                          <w14:schemeClr w14:val="tx1">
                            <w14:lumMod w14:val="95000"/>
                            <w14:lumOff w14:val="5000"/>
                          </w14:schemeClr>
                        </w14:solidFill>
                      </w14:textFill>
                    </w:rPr>
                    <w:t xml:space="preserve">3 </w:t>
                  </w: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）沉淀后定期清渣后循环使用，不外排；</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项目食堂废水经隔油池隔油处理后与其他生活污水一并进入化粪池处理，经预处理后经过地埋式一体化处理设施处理后满足《污水综合排放标准》（GB8978-1996）中的一级标准，用于厂区及周边的绿化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19" w:hRule="atLeast"/>
                <w:jc w:val="center"/>
              </w:trPr>
              <w:tc>
                <w:tcPr>
                  <w:tcW w:w="96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环保</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工程</w:t>
                  </w:r>
                </w:p>
              </w:tc>
              <w:tc>
                <w:tcPr>
                  <w:tcW w:w="1863"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废水治理</w:t>
                  </w:r>
                </w:p>
              </w:tc>
              <w:tc>
                <w:tcPr>
                  <w:tcW w:w="5214"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化粪池、隔油池、一体化处理设施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生产废水</w:t>
                  </w:r>
                </w:p>
              </w:tc>
              <w:tc>
                <w:tcPr>
                  <w:tcW w:w="5214"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沉淀池（容积100m </w:t>
                  </w:r>
                  <w:r>
                    <w:rPr>
                      <w:rFonts w:hint="default" w:ascii="Times New Roman" w:hAnsi="Times New Roman" w:eastAsia="宋体" w:cs="Times New Roman"/>
                      <w:color w:val="0D0D0D" w:themeColor="text1" w:themeTint="F2"/>
                      <w:kern w:val="2"/>
                      <w:sz w:val="21"/>
                      <w:szCs w:val="21"/>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废气治理</w:t>
                  </w:r>
                </w:p>
              </w:tc>
              <w:tc>
                <w:tcPr>
                  <w:tcW w:w="5214"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油烟废气经净化处理后排放，公厕废气经排气扇外排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噪声处理系统</w:t>
                  </w:r>
                </w:p>
              </w:tc>
              <w:tc>
                <w:tcPr>
                  <w:tcW w:w="5214"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合理布局，基础减震，距离衰减，加强绿化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40" w:hRule="atLeast"/>
                <w:jc w:val="center"/>
              </w:trPr>
              <w:tc>
                <w:tcPr>
                  <w:tcW w:w="9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863"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固废</w:t>
                  </w: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处理系统</w:t>
                  </w:r>
                </w:p>
              </w:tc>
              <w:tc>
                <w:tcPr>
                  <w:tcW w:w="5214" w:type="dxa"/>
                  <w:tcBorders>
                    <w:tl2br w:val="nil"/>
                    <w:tr2bl w:val="nil"/>
                  </w:tcBorders>
                  <w:shd w:val="clear" w:color="auto" w:fill="auto"/>
                  <w:vAlign w:val="center"/>
                </w:tcPr>
                <w:p>
                  <w:pPr>
                    <w:pStyle w:val="27"/>
                    <w:keepNext w:val="0"/>
                    <w:keepLines w:val="0"/>
                    <w:widowControl w:val="0"/>
                    <w:suppressLineNumbers w:val="0"/>
                    <w:spacing w:before="0" w:beforeAutospacing="1" w:after="0" w:afterLines="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设置生活垃圾收集桶，餐厨垃圾交取得经营许可的收运单位处理，一般废物暂存间、</w:t>
                  </w:r>
                </w:p>
              </w:tc>
            </w:tr>
          </w:tbl>
          <w:p>
            <w:pPr>
              <w:pStyle w:val="27"/>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1.5</w:t>
            </w:r>
            <w:r>
              <w:rPr>
                <w:rFonts w:hint="default" w:ascii="Times New Roman" w:hAnsi="Times New Roman" w:eastAsia="宋体" w:cs="Times New Roman"/>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、现有项目产品方案</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现有项目投产后年生产钢化玻璃50万m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，项目主要产品方案见下表 </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2-9</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center"/>
              <w:textAlignment w:val="auto"/>
              <w:rPr>
                <w:rFonts w:hint="default" w:ascii="Times New Roman" w:hAnsi="Times New Roman" w:eastAsia="宋体"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ascii="Times New Roman" w:hAnsi="Times New Roman" w:cs="Times New Roman"/>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9</w:t>
            </w:r>
            <w:r>
              <w:rPr>
                <w:rFonts w:hint="default" w:ascii="Times New Roman" w:hAnsi="Times New Roman" w:eastAsia="宋体" w:cs="Times New Roman"/>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项目产品方案一览表</w:t>
            </w:r>
          </w:p>
          <w:tbl>
            <w:tblPr>
              <w:tblStyle w:val="32"/>
              <w:tblW w:w="7978"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0"/>
              <w:gridCol w:w="2305"/>
              <w:gridCol w:w="1662"/>
              <w:gridCol w:w="2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4" w:hRule="atLeast"/>
              </w:trPr>
              <w:tc>
                <w:tcPr>
                  <w:tcW w:w="1510"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eastAsia" w:ascii="黑体" w:hAnsi="黑体" w:eastAsia="黑体" w:cs="黑体"/>
                      <w:b/>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黑体" w:hAnsi="黑体" w:eastAsia="黑体" w:cs="黑体"/>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产品名称</w:t>
                  </w:r>
                </w:p>
              </w:tc>
              <w:tc>
                <w:tcPr>
                  <w:tcW w:w="2305"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eastAsia" w:ascii="黑体" w:hAnsi="黑体" w:eastAsia="黑体" w:cs="黑体"/>
                      <w:b/>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黑体" w:hAnsi="黑体" w:eastAsia="黑体" w:cs="黑体"/>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设计生产能力（万㎡）</w:t>
                  </w:r>
                </w:p>
              </w:tc>
              <w:tc>
                <w:tcPr>
                  <w:tcW w:w="1662"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eastAsia" w:ascii="黑体" w:hAnsi="黑体" w:eastAsia="黑体" w:cs="黑体"/>
                      <w:b/>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黑体" w:hAnsi="黑体" w:eastAsia="黑体" w:cs="黑体"/>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规格</w:t>
                  </w:r>
                </w:p>
              </w:tc>
              <w:tc>
                <w:tcPr>
                  <w:tcW w:w="2501"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eastAsia" w:ascii="黑体" w:hAnsi="黑体" w:eastAsia="黑体" w:cs="黑体"/>
                      <w:b/>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黑体" w:hAnsi="黑体" w:eastAsia="黑体" w:cs="黑体"/>
                      <w:b/>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1510"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default" w:ascii="Times New Roman" w:hAnsi="Times New Roman"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钢化玻璃</w:t>
                  </w:r>
                </w:p>
              </w:tc>
              <w:tc>
                <w:tcPr>
                  <w:tcW w:w="2305"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default" w:ascii="Times New Roman" w:hAnsi="Times New Roman"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50</w:t>
                  </w:r>
                </w:p>
              </w:tc>
              <w:tc>
                <w:tcPr>
                  <w:tcW w:w="1662"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default" w:ascii="Times New Roman" w:hAnsi="Times New Roman"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根据客户需求制定规格</w:t>
                  </w:r>
                </w:p>
              </w:tc>
              <w:tc>
                <w:tcPr>
                  <w:tcW w:w="2501" w:type="dxa"/>
                  <w:tcBorders>
                    <w:tl2br w:val="nil"/>
                    <w:tr2bl w:val="nil"/>
                  </w:tcBorders>
                  <w:shd w:val="clear" w:color="auto" w:fill="auto"/>
                  <w:vAlign w:val="center"/>
                </w:tcPr>
                <w:p>
                  <w:pPr>
                    <w:pStyle w:val="27"/>
                    <w:keepNext w:val="0"/>
                    <w:keepLines w:val="0"/>
                    <w:widowControl w:val="0"/>
                    <w:suppressLineNumbers w:val="0"/>
                    <w:spacing w:before="0" w:beforeAutospacing="1" w:after="120" w:afterLines="0" w:afterAutospacing="0" w:line="240" w:lineRule="auto"/>
                    <w:ind w:left="0" w:leftChars="0" w:right="0" w:rightChars="0" w:firstLine="0" w:firstLineChars="0"/>
                    <w:jc w:val="center"/>
                    <w:rPr>
                      <w:rFonts w:hint="default" w:ascii="Times New Roman" w:hAnsi="Times New Roman" w:cs="Times New Roman"/>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产品标准：建筑用安全玻璃（</w:t>
                  </w:r>
                  <w:r>
                    <w:rPr>
                      <w:rFonts w:hint="default" w:ascii="Times New Roman" w:hAnsi="Times New Roman"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GB1</w:t>
                  </w:r>
                  <w:r>
                    <w:rPr>
                      <w:rFonts w:hint="eastAsia" w:ascii="Times New Roman" w:hAnsi="Times New Roman"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480</w:t>
                  </w:r>
                  <w:r>
                    <w:rPr>
                      <w:rFonts w:hint="default" w:ascii="Times New Roman" w:hAnsi="Times New Roman"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3.2-2005</w:t>
                  </w:r>
                  <w:r>
                    <w:rPr>
                      <w:rFonts w:hint="default" w:ascii="Times New Roman" w:hAnsi="Times New Roman" w:eastAsia="宋体" w:cs="Times New Roman"/>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1.6</w:t>
            </w:r>
            <w:r>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、现有项目主要原辅材料及能源消耗量 </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现有项目运营期的资源消耗主要为水和电，具体消耗情况见表</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10</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p>
          <w:p>
            <w:pPr>
              <w:pStyle w:val="27"/>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10</w:t>
            </w:r>
            <w:r>
              <w:rPr>
                <w:rFonts w:hint="default"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项目主要原辅材料表</w:t>
            </w:r>
          </w:p>
          <w:tbl>
            <w:tblPr>
              <w:tblStyle w:val="31"/>
              <w:tblW w:w="80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4"/>
              <w:gridCol w:w="1623"/>
              <w:gridCol w:w="1880"/>
              <w:gridCol w:w="1170"/>
              <w:gridCol w:w="1466"/>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3" w:hRule="atLeast"/>
                <w:jc w:val="center"/>
              </w:trPr>
              <w:tc>
                <w:tcPr>
                  <w:tcW w:w="714"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序号</w:t>
                  </w:r>
                </w:p>
              </w:tc>
              <w:tc>
                <w:tcPr>
                  <w:tcW w:w="162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名称</w:t>
                  </w:r>
                </w:p>
              </w:tc>
              <w:tc>
                <w:tcPr>
                  <w:tcW w:w="188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用量</w:t>
                  </w:r>
                </w:p>
              </w:tc>
              <w:tc>
                <w:tcPr>
                  <w:tcW w:w="117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包装形式</w:t>
                  </w:r>
                </w:p>
              </w:tc>
              <w:tc>
                <w:tcPr>
                  <w:tcW w:w="1466"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备注</w:t>
                  </w:r>
                </w:p>
              </w:tc>
              <w:tc>
                <w:tcPr>
                  <w:tcW w:w="118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运输方式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3" w:hRule="atLeast"/>
                <w:jc w:val="center"/>
              </w:trPr>
              <w:tc>
                <w:tcPr>
                  <w:tcW w:w="714"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162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玻璃原片</w:t>
                  </w:r>
                </w:p>
              </w:tc>
              <w:tc>
                <w:tcPr>
                  <w:tcW w:w="188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50.9万</w:t>
                  </w:r>
                  <w:r>
                    <w:rPr>
                      <w:rFonts w:hint="eastAsia" w:ascii="Times New Roman" w:hAnsi="Times New Roman"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17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466"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外购</w:t>
                  </w:r>
                </w:p>
              </w:tc>
              <w:tc>
                <w:tcPr>
                  <w:tcW w:w="118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汽车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3" w:hRule="atLeast"/>
                <w:jc w:val="center"/>
              </w:trPr>
              <w:tc>
                <w:tcPr>
                  <w:tcW w:w="714"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w:t>
                  </w:r>
                </w:p>
              </w:tc>
              <w:tc>
                <w:tcPr>
                  <w:tcW w:w="162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水</w:t>
                  </w:r>
                </w:p>
              </w:tc>
              <w:tc>
                <w:tcPr>
                  <w:tcW w:w="188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1392吨/a</w:t>
                  </w:r>
                </w:p>
              </w:tc>
              <w:tc>
                <w:tcPr>
                  <w:tcW w:w="117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管道</w:t>
                  </w:r>
                </w:p>
              </w:tc>
              <w:tc>
                <w:tcPr>
                  <w:tcW w:w="1466"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自来水</w:t>
                  </w:r>
                </w:p>
              </w:tc>
              <w:tc>
                <w:tcPr>
                  <w:tcW w:w="118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市政提供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39" w:hRule="atLeast"/>
                <w:jc w:val="center"/>
              </w:trPr>
              <w:tc>
                <w:tcPr>
                  <w:tcW w:w="714"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3</w:t>
                  </w:r>
                </w:p>
              </w:tc>
              <w:tc>
                <w:tcPr>
                  <w:tcW w:w="162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电</w:t>
                  </w:r>
                </w:p>
              </w:tc>
              <w:tc>
                <w:tcPr>
                  <w:tcW w:w="188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216万kw</w:t>
                  </w:r>
                </w:p>
              </w:tc>
              <w:tc>
                <w:tcPr>
                  <w:tcW w:w="1170"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电线</w:t>
                  </w:r>
                </w:p>
              </w:tc>
              <w:tc>
                <w:tcPr>
                  <w:tcW w:w="1466"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当地供电网</w:t>
                  </w:r>
                </w:p>
              </w:tc>
              <w:tc>
                <w:tcPr>
                  <w:tcW w:w="1183" w:type="dxa"/>
                  <w:tcBorders>
                    <w:tl2br w:val="nil"/>
                    <w:tr2bl w:val="nil"/>
                  </w:tcBorders>
                  <w:shd w:val="clear" w:color="auto" w:fill="auto"/>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市政提供</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1.7</w:t>
            </w:r>
            <w:r>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、现有项目生产设备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现有项目主要生产设备见表</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11</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p>
          <w:p>
            <w:pPr>
              <w:pStyle w:val="27"/>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11</w:t>
            </w:r>
            <w:r>
              <w:rPr>
                <w:rFonts w:hint="default" w:ascii="Times New Roman" w:hAnsi="Times New Roman"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项目主要生产设备一览表</w:t>
            </w:r>
          </w:p>
          <w:tbl>
            <w:tblPr>
              <w:tblStyle w:val="31"/>
              <w:tblW w:w="80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3"/>
              <w:gridCol w:w="2026"/>
              <w:gridCol w:w="872"/>
              <w:gridCol w:w="872"/>
              <w:gridCol w:w="3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873"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序号</w:t>
                  </w:r>
                </w:p>
              </w:tc>
              <w:tc>
                <w:tcPr>
                  <w:tcW w:w="2026"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设备名称</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单位</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数量</w:t>
                  </w:r>
                </w:p>
              </w:tc>
              <w:tc>
                <w:tcPr>
                  <w:tcW w:w="3395"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规格型号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5" w:hRule="atLeast"/>
                <w:jc w:val="center"/>
              </w:trPr>
              <w:tc>
                <w:tcPr>
                  <w:tcW w:w="873"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2026"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钢化炉</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台</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3395"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北玻钢化炉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873"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w:t>
                  </w:r>
                </w:p>
              </w:tc>
              <w:tc>
                <w:tcPr>
                  <w:tcW w:w="2026"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常规切割机</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台</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3395"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873"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3</w:t>
                  </w:r>
                </w:p>
              </w:tc>
              <w:tc>
                <w:tcPr>
                  <w:tcW w:w="2026"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磨边清洗机</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台</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3395"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873"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4</w:t>
                  </w:r>
                </w:p>
              </w:tc>
              <w:tc>
                <w:tcPr>
                  <w:tcW w:w="2026"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中控线一条</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套</w:t>
                  </w:r>
                </w:p>
              </w:tc>
              <w:tc>
                <w:tcPr>
                  <w:tcW w:w="872"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3395" w:type="dxa"/>
                  <w:tcBorders>
                    <w:tl2br w:val="nil"/>
                    <w:tr2bl w:val="nil"/>
                  </w:tcBorders>
                  <w:shd w:val="clear" w:color="auto" w:fill="auto"/>
                  <w:vAlign w:val="center"/>
                </w:tcPr>
                <w:p>
                  <w:pPr>
                    <w:pStyle w:val="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1.8</w:t>
            </w:r>
            <w:r>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w:t>
            </w:r>
            <w:r>
              <w:rPr>
                <w:rFonts w:hint="eastAsia" w:ascii="宋体" w:hAnsi="宋体" w:eastAsia="宋体" w:cs="宋体"/>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工艺流程</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drawing>
                <wp:inline distT="0" distB="0" distL="114300" distR="114300">
                  <wp:extent cx="4962525" cy="5715000"/>
                  <wp:effectExtent l="0" t="0" r="317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lum bright="-18000" contrast="30000"/>
                          </a:blip>
                          <a:stretch>
                            <a:fillRect/>
                          </a:stretch>
                        </pic:blipFill>
                        <pic:spPr>
                          <a:xfrm>
                            <a:off x="0" y="0"/>
                            <a:ext cx="4962525" cy="5715000"/>
                          </a:xfrm>
                          <a:prstGeom prst="rect">
                            <a:avLst/>
                          </a:prstGeom>
                          <a:noFill/>
                          <a:ln w="9525">
                            <a:noFill/>
                          </a:ln>
                        </pic:spPr>
                      </pic:pic>
                    </a:graphicData>
                  </a:graphic>
                </wp:inline>
              </w:drawing>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 </w:t>
            </w:r>
          </w:p>
          <w:p>
            <w:pPr>
              <w:keepNext w:val="0"/>
              <w:keepLines w:val="0"/>
              <w:widowControl/>
              <w:suppressLineNumbers w:val="0"/>
              <w:spacing w:before="0" w:beforeAutospacing="1" w:after="0" w:afterLines="0" w:afterAutospacing="0"/>
              <w:ind w:left="0" w:leftChars="0" w:right="0" w:firstLine="0" w:firstLineChars="0"/>
              <w:jc w:val="center"/>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b/>
                <w:bCs w:val="0"/>
                <w:color w:val="0D0D0D" w:themeColor="text1" w:themeTint="F2"/>
                <w:kern w:val="2"/>
                <w:sz w:val="24"/>
                <w:szCs w:val="24"/>
                <w:highlight w:val="none"/>
                <w:u w:val="single"/>
                <w14:textFill>
                  <w14:solidFill>
                    <w14:schemeClr w14:val="tx1">
                      <w14:lumMod w14:val="95000"/>
                      <w14:lumOff w14:val="5000"/>
                    </w14:schemeClr>
                  </w14:solidFill>
                </w14:textFill>
              </w:rPr>
              <w:t>图</w:t>
            </w:r>
            <w:r>
              <w:rPr>
                <w:rFonts w:hint="eastAsia" w:ascii="Times New Roman" w:hAnsi="Times New Roman" w:eastAsia="宋体" w:cs="Times New Roman"/>
                <w:b/>
                <w:bCs w:val="0"/>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eastAsia="宋体" w:cs="Times New Roman"/>
                <w:b/>
                <w:bCs w:val="0"/>
                <w:color w:val="0D0D0D" w:themeColor="text1" w:themeTint="F2"/>
                <w:kern w:val="2"/>
                <w:sz w:val="24"/>
                <w:szCs w:val="24"/>
                <w:highlight w:val="none"/>
                <w:u w:val="single"/>
                <w14:textFill>
                  <w14:solidFill>
                    <w14:schemeClr w14:val="tx1">
                      <w14:lumMod w14:val="95000"/>
                      <w14:lumOff w14:val="5000"/>
                    </w14:schemeClr>
                  </w14:solidFill>
                </w14:textFill>
              </w:rPr>
              <w:t>-</w:t>
            </w:r>
            <w:r>
              <w:rPr>
                <w:rFonts w:hint="eastAsia" w:ascii="Times New Roman" w:hAnsi="Times New Roman" w:eastAsia="宋体" w:cs="Times New Roman"/>
                <w:b/>
                <w:bCs w:val="0"/>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5</w:t>
            </w:r>
            <w:r>
              <w:rPr>
                <w:rFonts w:hint="default" w:ascii="Times New Roman" w:hAnsi="Times New Roman" w:eastAsia="宋体" w:cs="Times New Roman"/>
                <w:b/>
                <w:bCs w:val="0"/>
                <w:color w:val="0D0D0D" w:themeColor="text1" w:themeTint="F2"/>
                <w:kern w:val="2"/>
                <w:sz w:val="24"/>
                <w:szCs w:val="24"/>
                <w:highlight w:val="none"/>
                <w:u w:val="single"/>
                <w14:textFill>
                  <w14:solidFill>
                    <w14:schemeClr w14:val="tx1">
                      <w14:lumMod w14:val="95000"/>
                      <w14:lumOff w14:val="5000"/>
                    </w14:schemeClr>
                  </w14:solidFill>
                </w14:textFill>
              </w:rPr>
              <w:t xml:space="preserve">  </w:t>
            </w:r>
            <w:r>
              <w:rPr>
                <w:rFonts w:hint="eastAsia" w:ascii="宋体" w:hAnsi="宋体" w:eastAsia="宋体" w:cs="宋体"/>
                <w:b/>
                <w:bCs w:val="0"/>
                <w:color w:val="0D0D0D" w:themeColor="text1" w:themeTint="F2"/>
                <w:kern w:val="2"/>
                <w:sz w:val="24"/>
                <w:szCs w:val="24"/>
                <w:highlight w:val="none"/>
                <w:u w:val="single"/>
                <w14:textFill>
                  <w14:solidFill>
                    <w14:schemeClr w14:val="tx1">
                      <w14:lumMod w14:val="95000"/>
                      <w14:lumOff w14:val="5000"/>
                    </w14:schemeClr>
                  </w14:solidFill>
                </w14:textFill>
              </w:rPr>
              <w:t>运营期主要产污环节流程图</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工艺流程及产污环节说明：</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①</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裁片（切割）</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首先对玻璃原片进行检验，查看玻璃原片是否完整，表面是否有裂痕；合格玻璃原片进入裁片工序，不合格玻璃原片返回生产厂家。经检验合格的玻璃原片经过自动切割设备进行切割。</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切割：将原材料（玻璃原片）放人自动玻璃切割机，按要求切割成所需要的尺寸。玻璃切割原理是在一个工作平面上，用三轴控制切割头的动作，</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XY </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两向移动来确定机器的行走，用 </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C </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轴旋转控制转刀角度，利用气压与弹簧并用控制下刀。刀具为台金刀轮，在玻璃上切出划痕，然后由于玻璃是脆性材料，按刀纹施加压力可将玻璃顶开。</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所谓切割，并不是通常意义上的直接切割，而是制造划痕，造成应力集中，然后裂片。切割是玻璃生产和深加工过程中必不可少的基本工序，其质量要求为：尺寸准确、断面平整垂直、无崩边掉角，这对于保证玻璃后续的加工质量至关重要。</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玻璃是一种典型的脆性材料，根据脆性材料断裂的微裂纹理论，传统切割技术使用坚硬、锐利硬质材料刀头刻划玻璃表面，形成的划痕线可等效认为是由很多的微裂纹组成，每个微裂纹的长度沿着刀头刻划的方向，在划痕线的下方会形成一定深度的破坏区域，这一深度可认为是微裂纹的端面半径。由于微裂纹的端部是应力集中的地方，切割压力使微裂纹端部的应力增大，使得裂纹很快向玻璃厚度方向扩展，形成纵向微裂纹。在良好的切割状况下，连续的纵向微裂纹的末端几乎都在同一条水平线上。在划痕完成后，就需要进行裂片，即对玻璃施加外力．增大纵向微裂纹端部的应力，使纵向微裂纹迅速扩展，贯穿到玻璃的底部，达到使玻璃分离的目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项目使用自动玻璃切割机切割，原理同传统切割一致，该过程不会产生粉尘。会产生噪声和玻璃渣。</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②</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磨边</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在裁片过程中产生的半成品需要磨边消除玻璃毛刺。项目采用磨边机对已裁片的玻璃进行边缘处理。本工序采用冲水方式对磨边过程中产生的粉尘进行捕集，同时也能起到冷却作用。产生的废水中仅含玻璃粉尘不含其它特征污染物，废水经设备下方集水槽（循环水池）收集后，再经沉淀处理后循环使用。循环水池池底产生的玻璃渣清掏后集中收集，外卖玻璃生产企业循环再利用。</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本工序主要污染物为：设备噪声、废玻璃边角料、沉淀池玻璃渣、循环废水、粉尘等。</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③</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清洗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由于后续加工过程中对玻璃表面清洁都要求较高，项目采用玻璃清洗机和干燥机对玻璃进行清洗干燥。该工序清洗水中只含有玻璃碎屑，无其余杂质，且清洗过程中不使用任何辅助清洁添加剂，故清洗废水可经沉淀后循环使用不外排，只需定期补充损失水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④</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钢化</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本项目采用钢化炉为电热水平钢化炉机组，将单片玻璃在钢化炉机组进料床上平放，由传送台传送至钢化炉，通过电热对玻璃进行钢化，加热时间约在</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30min</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，加热温度为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550~700℃</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，加热结束后在机组内吹风急冷，玻璃在钢化过程中不发生化学反应，仅为物理结构性质发生改变，不涉及新污染物产生。因此，钢化炉产生废气中无大气污染物产生。</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该工序主要污染物为：设备噪声。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⑤</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检验、包装和入库</w:t>
            </w:r>
          </w:p>
          <w:p>
            <w:pPr>
              <w:keepNext w:val="0"/>
              <w:keepLines w:val="0"/>
              <w:widowControl w:val="0"/>
              <w:suppressLineNumbers w:val="0"/>
              <w:spacing w:before="0" w:beforeAutospacing="0" w:after="0" w:afterAutospacing="0" w:line="360" w:lineRule="auto"/>
              <w:ind w:left="0" w:right="0"/>
              <w:jc w:val="both"/>
              <w:rPr>
                <w:rFonts w:hint="default"/>
                <w:color w:val="0D0D0D" w:themeColor="text1" w:themeTint="F2"/>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通过机械与人工检验方式对钢化玻璃进行质量检验，合格成品部分直接作为钢化玻璃产品，进行包装后入库外售。次品（废玻璃）集中收集后外卖玻璃生产厂家。</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1.9、现有污染及措施</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1.9.1、废气</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现有项目为年产50万平方米钢化玻璃项目，在营运期产生的大气污染源如下：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1）磨边粉尘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玻璃原片在磨边工艺中，为了避免粉尘的产生，项目采用水磨法进行，即在双边机磨边的同时，在机器与玻璃接触部位冲水，废水进入项目设置的沉淀池静置沉淀后，上层清水全部循环使用，不外排，玻璃粉末作为固废收集，定期清理。粉尘排入大气的量微乎其微，对周边环境影响很少。</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2）钢化玻璃出炉冷却时产生的热空气</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项目玻璃进入钢化工序时，钢化炉加热（电加热）温度在 550~700℃，刚好达到玻璃软化点，然后出炉经多头喷嘴向两面喷吹空气，使之迅速地、均匀地冷却降至常温，在此过程会产生大量散热废气，热空气除热污染外无其他污染因素。钢化炉加热用电加热，不设锅炉，亦无燃煤燃油废气产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3）食堂油烟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根据建设单位提供的资料，本项目设置职工食堂。食堂废气主要来自食堂液化气燃烧废气和烹饪废气。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食堂能源主要以灌装液化气和电为主，由于液化气属于较清洁的能源，且本项目日常使用量较少，因此，本评价对此不作要求。另外，食物在烹饪、加工过程中将挥发出油脂、有机质及热分解或裂解产物，从而产生油烟废气。根据类比调查资料，居民人均食用油日用量约30g/人·d，一般油烟挥发量占总耗油量的2～4%，本项目按3%算。在食堂用餐职工以28人计，日油烟产生量为0.026kg，年产生油烟为6.24kg（按240d计），根据类比资料，食堂油烟产生浓度为4.48mg/m</w:t>
            </w:r>
            <w:r>
              <w:rPr>
                <w:rFonts w:hint="eastAsia" w:ascii="Times New Roman" w:hAnsi="Times New Roman" w:cs="Times New Roman"/>
                <w:b w:val="0"/>
                <w:bCs w:val="0"/>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 ，环评建议食堂油烟采用油烟净化器处理后排放，处理效率可达80%以上，则排放的油烟浓度可降至2.0mg/m</w:t>
            </w:r>
            <w:r>
              <w:rPr>
                <w:rFonts w:hint="eastAsia" w:ascii="Times New Roman" w:hAnsi="Times New Roman" w:cs="Times New Roman"/>
                <w:b w:val="0"/>
                <w:bCs w:val="0"/>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 以下，油烟排放量为1.21kg/a。满足《饮食业油烟排放标准（试行）》（GB18483-2001）要求。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1.9.2  废水</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现有项目无生产废水外排，项目废水主要为生活污水。项目车间清洁采用扫把对其进行清扫，不对其生产车间地面进行冲洗，因此不产生地面冲洗废水。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）生产废水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现有项目玻璃清洗工序（本项目不使用洗涤剂）及磨边粉尘处理废水中含有玻璃碎屑，主要污染因子为 </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SS</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，这部分废水经沉淀取上层清液回用，下层玻璃粉尘沉渣定期由专人打捞清理、收集，作为一般工业固废处理。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玻璃清洗水和玻璃湿法磨边用水量约为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/h</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，总用水量为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1920m</w:t>
            </w:r>
            <w:r>
              <w:rPr>
                <w:rFonts w:hint="eastAsia" w:ascii="宋体" w:hAnsi="宋体" w:eastAsia="宋体" w:cs="宋体"/>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/a </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的清洗废水和湿法磨边废水中的主要污染物为悬浮物，经沉淀过滤综合处理后可循环使用，循环过程中的损耗量采用新鲜水补充，清洗工序和湿法磨边损耗量约为总用水量的</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20%</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384m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），损失的清洗水和湿法磨边水用新鲜水补充，则新鲜水用量为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384m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）生活污水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现有项目劳动定员为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28</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人，年工作时间约</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240</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天，本项目设有食堂和宿舍，员工生活用水量参照《湖南省用水定额》（</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DB43T388-2014</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），职工生活每天用水定额取</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150L/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人，则生活用水量为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4.2m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/d</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1008m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）。生活污水产生系数按</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0.8</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计，则项目生活污水产生量为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3.36m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/d</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806.4m</w:t>
            </w:r>
            <w:r>
              <w:rPr>
                <w:rFonts w:hint="default" w:ascii="Times New Roman" w:hAnsi="Times New Roman" w:eastAsia="宋体" w:cs="Times New Roman"/>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）。根据类比，项目生活污水水质情况为：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COD350mg/L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BOD</w:t>
            </w:r>
            <w:r>
              <w:rPr>
                <w:rFonts w:hint="default" w:ascii="Times New Roman" w:hAnsi="Times New Roman" w:eastAsia="宋体" w:cs="Times New Roman"/>
                <w:color w:val="0D0D0D" w:themeColor="text1" w:themeTint="F2"/>
                <w:kern w:val="2"/>
                <w:sz w:val="24"/>
                <w:szCs w:val="24"/>
                <w:highlight w:val="none"/>
                <w:u w:val="single"/>
                <w:vertAlign w:val="subscript"/>
                <w:lang w:val="en-US" w:eastAsia="zh-CN" w:bidi="ar"/>
                <w14:textFill>
                  <w14:solidFill>
                    <w14:schemeClr w14:val="tx1">
                      <w14:lumMod w14:val="95000"/>
                      <w14:lumOff w14:val="5000"/>
                    </w14:schemeClr>
                  </w14:solidFill>
                </w14:textFill>
              </w:rPr>
              <w:t>5</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200mg/L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SS200mg/L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、氨氮</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25mg/L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、动植物油</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100mg/L</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。则生活污水污染物产生量分别为：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COD0.282t/a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BOD</w:t>
            </w:r>
            <w:r>
              <w:rPr>
                <w:rFonts w:hint="default" w:ascii="Times New Roman" w:hAnsi="Times New Roman" w:eastAsia="宋体" w:cs="Times New Roman"/>
                <w:color w:val="0D0D0D" w:themeColor="text1" w:themeTint="F2"/>
                <w:kern w:val="2"/>
                <w:sz w:val="24"/>
                <w:szCs w:val="24"/>
                <w:highlight w:val="none"/>
                <w:u w:val="single"/>
                <w:vertAlign w:val="subscript"/>
                <w:lang w:val="en-US" w:eastAsia="zh-CN" w:bidi="ar"/>
                <w14:textFill>
                  <w14:solidFill>
                    <w14:schemeClr w14:val="tx1">
                      <w14:lumMod w14:val="95000"/>
                      <w14:lumOff w14:val="5000"/>
                    </w14:schemeClr>
                  </w14:solidFill>
                </w14:textFill>
              </w:rPr>
              <w:t>5</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0.161t/a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SS0.161t/a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、氨氮</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0.020t/a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，动植物油 </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0.081t/a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。现有项目职工产生的生活污水经隔油池化粪池预处理后通过地埋式污水处理设施处理满足</w:t>
            </w:r>
            <w:r>
              <w:rPr>
                <w:rFonts w:hint="eastAsia" w:ascii="宋体" w:hAnsi="宋体" w:eastAsia="宋体" w:cs="宋体"/>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《污水综合排放标准》（</w:t>
            </w:r>
            <w:r>
              <w:rPr>
                <w:rFonts w:hint="default" w:ascii="Times New Roman" w:hAnsi="Times New Roman" w:eastAsia="宋体" w:cs="Times New Roman"/>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GB8978-1996</w:t>
            </w:r>
            <w:r>
              <w:rPr>
                <w:rFonts w:hint="eastAsia" w:ascii="宋体" w:hAnsi="宋体" w:eastAsia="宋体" w:cs="宋体"/>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）一级排放标准后用于项目区和周边绿化，不外排。</w:t>
            </w:r>
          </w:p>
          <w:p>
            <w:pPr>
              <w:pStyle w:val="27"/>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宋体"/>
                <w:b/>
                <w:bCs w:val="0"/>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1.9.3、</w:t>
            </w:r>
            <w:r>
              <w:rPr>
                <w:rFonts w:hint="eastAsia" w:ascii="宋体" w:hAnsi="宋体" w:eastAsia="宋体" w:cs="宋体"/>
                <w:b/>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噪声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项目建成后，该项目运营期主要噪声来源于厂区磨边、钢化工序所使用的机械设备产生的噪声，其噪声源在</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70</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95dB</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）之间。项目厂房内主要噪声源强见下表：</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2-12</w:t>
            </w: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主要噪声源强及治理、排放情况一览表</w:t>
            </w:r>
          </w:p>
          <w:tbl>
            <w:tblPr>
              <w:tblStyle w:val="31"/>
              <w:tblW w:w="79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0"/>
              <w:gridCol w:w="1950"/>
              <w:gridCol w:w="1950"/>
              <w:gridCol w:w="1788"/>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atLeast"/>
                <w:jc w:val="center"/>
              </w:trPr>
              <w:tc>
                <w:tcPr>
                  <w:tcW w:w="7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序号</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设备名称</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噪声值</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/dB</w:t>
                  </w: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788"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治理措施</w:t>
                  </w:r>
                </w:p>
              </w:tc>
              <w:tc>
                <w:tcPr>
                  <w:tcW w:w="150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atLeast"/>
                <w:jc w:val="center"/>
              </w:trPr>
              <w:tc>
                <w:tcPr>
                  <w:tcW w:w="7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w:t>
                  </w:r>
                </w:p>
              </w:tc>
              <w:tc>
                <w:tcPr>
                  <w:tcW w:w="1950"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玻璃切割机</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80</w:t>
                  </w:r>
                </w:p>
              </w:tc>
              <w:tc>
                <w:tcPr>
                  <w:tcW w:w="1788" w:type="dxa"/>
                  <w:vMerge w:val="restart"/>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基础减震、合理布局、绿化吸收、距离衰减</w:t>
                  </w:r>
                </w:p>
              </w:tc>
              <w:tc>
                <w:tcPr>
                  <w:tcW w:w="1500" w:type="dxa"/>
                  <w:vMerge w:val="restart"/>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120" w:afterLines="0" w:afterAutospacing="0" w:line="360" w:lineRule="auto"/>
                    <w:ind w:left="420" w:leftChars="200" w:right="0"/>
                    <w:jc w:val="both"/>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w:t>
                  </w:r>
                </w:p>
              </w:tc>
              <w:tc>
                <w:tcPr>
                  <w:tcW w:w="1950"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玻璃钢化炉</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85</w:t>
                  </w:r>
                </w:p>
              </w:tc>
              <w:tc>
                <w:tcPr>
                  <w:tcW w:w="178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5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3</w:t>
                  </w:r>
                </w:p>
              </w:tc>
              <w:tc>
                <w:tcPr>
                  <w:tcW w:w="1950"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Times New Roman" w:hAnsi="Times New Roman"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磨边机</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eastAsia="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80</w:t>
                  </w:r>
                </w:p>
              </w:tc>
              <w:tc>
                <w:tcPr>
                  <w:tcW w:w="178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5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7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eastAsia" w:ascii="宋体" w:hAnsi="宋体" w:eastAsia="宋体" w:cs="宋体"/>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4</w:t>
                  </w:r>
                </w:p>
              </w:tc>
              <w:tc>
                <w:tcPr>
                  <w:tcW w:w="1950"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cs="宋体"/>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玻璃清洗机</w:t>
                  </w:r>
                </w:p>
              </w:tc>
              <w:tc>
                <w:tcPr>
                  <w:tcW w:w="1950" w:type="dxa"/>
                  <w:tcBorders>
                    <w:tl2br w:val="nil"/>
                    <w:tr2bl w:val="nil"/>
                  </w:tcBorders>
                  <w:shd w:val="clear" w:color="auto" w:fill="auto"/>
                  <w:vAlign w:val="center"/>
                </w:tcPr>
                <w:p>
                  <w:pPr>
                    <w:pStyle w:val="27"/>
                    <w:keepNext w:val="0"/>
                    <w:keepLines w:val="0"/>
                    <w:widowControl w:val="0"/>
                    <w:suppressLineNumbers w:val="0"/>
                    <w:adjustRightInd w:val="0"/>
                    <w:snapToGrid w:val="0"/>
                    <w:spacing w:before="0" w:beforeAutospacing="1" w:after="0" w:afterLines="0" w:afterAutospacing="0" w:line="360" w:lineRule="auto"/>
                    <w:ind w:left="0" w:leftChars="0" w:right="0"/>
                    <w:jc w:val="center"/>
                    <w:rPr>
                      <w:rFonts w:hint="default" w:ascii="Times New Roman" w:hAnsi="宋体" w:cs="Times New Roman"/>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70</w:t>
                  </w:r>
                </w:p>
              </w:tc>
              <w:tc>
                <w:tcPr>
                  <w:tcW w:w="178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c>
                <w:tcPr>
                  <w:tcW w:w="15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1.9.4  固体废物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现有项目在生产中产生的固体废物包括危险废物、一般固废和职工生活垃圾。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）生活垃圾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生活垃圾：员工定员</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28</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人，生活垃圾主要成份是废纸、厨余、瓜果皮核、饮料包装瓶等。员工生活垃圾排放量为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0.5kg/</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人·日，即</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3.36t/a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，收集后交市政环卫部门清运。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）一般废物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①不合格玻璃原片及玻璃切割边角料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本项目在玻璃原片检验过程中和切割生产过程中产生不合格玻璃原片及玻璃角料，不合格玻璃原片及玻璃边角料的产生量约为</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20t/a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，外售给厂家回收利用。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②沉淀池废渣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玻璃磨边、清洗工艺过程后废水流入沉淀池沉淀，沉淀池产生的废渣量约</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0.5t/a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，为一般固废，无毒性，废渣外售给厂家回收利用。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③钢化玻璃不合格品</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项目在检验过程中会产生一定量的玻璃次品，产生量约</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10t/a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，集中收集外售至玻璃制品厂。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）危险废物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生产设备需要定期进行维修保养，机修过程中产生废机油约</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0.05t/a</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，根据《国家危险废物名录》（</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2016</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版），设备机修产生的废机油，属于危险废物，属于</w:t>
            </w:r>
            <w:r>
              <w:rPr>
                <w:rFonts w:hint="default" w:ascii="Times New Roman" w:hAnsi="Times New Roman" w:eastAsia="宋体" w:cs="Times New Roman"/>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HW08</w:t>
            </w: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废矿物油与含矿物油废物，建设单位拟交由有危废处理资质的单位进行安全处置。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本项目固废产生情况详见下表：</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2-13</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w:t>
            </w: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运营期固体废物产生及治理情况一览表</w:t>
            </w:r>
          </w:p>
          <w:tbl>
            <w:tblPr>
              <w:tblStyle w:val="32"/>
              <w:tblW w:w="794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36"/>
              <w:gridCol w:w="1730"/>
              <w:gridCol w:w="2001"/>
              <w:gridCol w:w="1589"/>
              <w:gridCol w:w="1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37" w:hRule="atLeast"/>
                <w:jc w:val="center"/>
              </w:trPr>
              <w:tc>
                <w:tcPr>
                  <w:tcW w:w="1036"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序号</w:t>
                  </w:r>
                </w:p>
              </w:tc>
              <w:tc>
                <w:tcPr>
                  <w:tcW w:w="1730"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排放源</w:t>
                  </w:r>
                </w:p>
              </w:tc>
              <w:tc>
                <w:tcPr>
                  <w:tcW w:w="2001"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污染物名称</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产生量（</w:t>
                  </w: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t/a</w:t>
                  </w: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36"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w:t>
                  </w:r>
                </w:p>
              </w:tc>
              <w:tc>
                <w:tcPr>
                  <w:tcW w:w="1730"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员工</w:t>
                  </w:r>
                </w:p>
              </w:tc>
              <w:tc>
                <w:tcPr>
                  <w:tcW w:w="2001"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生活垃圾</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3.36</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环卫清运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36"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w:t>
                  </w:r>
                </w:p>
              </w:tc>
              <w:tc>
                <w:tcPr>
                  <w:tcW w:w="1730"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eastAsia" w:ascii="宋体" w:hAnsi="宋体"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生产车间</w:t>
                  </w:r>
                </w:p>
              </w:tc>
              <w:tc>
                <w:tcPr>
                  <w:tcW w:w="2001"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不合格玻璃原片及玻璃切割边角料</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20</w:t>
                  </w:r>
                </w:p>
              </w:tc>
              <w:tc>
                <w:tcPr>
                  <w:tcW w:w="1589" w:type="dxa"/>
                  <w:vMerge w:val="restart"/>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外售给厂家回收利用</w:t>
                  </w:r>
                </w:p>
                <w:p>
                  <w:pPr>
                    <w:pStyle w:val="2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环卫清运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37" w:hRule="atLeast"/>
                <w:jc w:val="center"/>
              </w:trPr>
              <w:tc>
                <w:tcPr>
                  <w:tcW w:w="1036"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3</w:t>
                  </w:r>
                </w:p>
              </w:tc>
              <w:tc>
                <w:tcPr>
                  <w:tcW w:w="1730"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生产车间</w:t>
                  </w:r>
                </w:p>
              </w:tc>
              <w:tc>
                <w:tcPr>
                  <w:tcW w:w="2001"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沉淀池废渣</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0.5</w:t>
                  </w:r>
                </w:p>
              </w:tc>
              <w:tc>
                <w:tcPr>
                  <w:tcW w:w="158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36"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eastAsia" w:ascii="宋体" w:hAnsi="宋体"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4</w:t>
                  </w:r>
                </w:p>
              </w:tc>
              <w:tc>
                <w:tcPr>
                  <w:tcW w:w="1730"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eastAsia" w:ascii="宋体" w:hAnsi="宋体"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生产车间</w:t>
                  </w:r>
                </w:p>
              </w:tc>
              <w:tc>
                <w:tcPr>
                  <w:tcW w:w="2001"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eastAsia" w:ascii="宋体" w:hAnsi="宋体" w:eastAsia="宋体"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钢化玻璃不合格品</w:t>
                  </w:r>
                </w:p>
              </w:tc>
              <w:tc>
                <w:tcPr>
                  <w:tcW w:w="1589" w:type="dxa"/>
                  <w:tcBorders>
                    <w:tl2br w:val="nil"/>
                    <w:tr2bl w:val="nil"/>
                  </w:tcBorders>
                  <w:shd w:val="clear" w:color="auto" w:fill="auto"/>
                  <w:vAlign w:val="center"/>
                </w:tcPr>
                <w:p>
                  <w:pPr>
                    <w:pStyle w:val="27"/>
                    <w:keepNext w:val="0"/>
                    <w:keepLines w:val="0"/>
                    <w:widowControl w:val="0"/>
                    <w:suppressLineNumbers w:val="0"/>
                    <w:spacing w:before="0" w:beforeAutospacing="0" w:after="0" w:afterAutospacing="0" w:line="440" w:lineRule="exact"/>
                    <w:ind w:left="0" w:right="0" w:firstLine="0" w:firstLineChars="0"/>
                    <w:jc w:val="center"/>
                    <w:rPr>
                      <w:rFonts w:hint="default" w:ascii="Times New Roman" w:hAnsi="Times New Roman" w:cs="宋体"/>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10</w:t>
                  </w:r>
                </w:p>
              </w:tc>
              <w:tc>
                <w:tcPr>
                  <w:tcW w:w="158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0D0D0D" w:themeColor="text1" w:themeTint="F2"/>
                      <w:sz w:val="20"/>
                      <w:szCs w:val="20"/>
                      <w:highlight w:val="none"/>
                      <w:u w:val="single"/>
                      <w14:textFill>
                        <w14:solidFill>
                          <w14:schemeClr w14:val="tx1">
                            <w14:lumMod w14:val="95000"/>
                            <w14:lumOff w14:val="5000"/>
                          </w14:schemeClr>
                        </w14:solidFill>
                      </w14:textFill>
                    </w:rPr>
                  </w:pPr>
                </w:p>
              </w:tc>
            </w:tr>
          </w:tbl>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420" w:leftChars="200" w:right="0" w:firstLine="480" w:firstLineChars="200"/>
              <w:jc w:val="left"/>
              <w:textAlignment w:val="auto"/>
              <w:rPr>
                <w:rFonts w:hint="eastAsia" w:ascii="宋体" w:hAnsi="宋体" w:eastAsia="宋体" w:cs="宋体"/>
                <w:color w:val="0D0D0D" w:themeColor="text1" w:themeTint="F2"/>
                <w:kern w:val="2"/>
                <w:sz w:val="24"/>
                <w:szCs w:val="24"/>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现有项目危险废物产生情况详见下表。</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420" w:leftChars="200" w:right="0" w:firstLine="422" w:firstLineChars="200"/>
              <w:jc w:val="center"/>
              <w:textAlignment w:val="auto"/>
              <w:rPr>
                <w:rFonts w:hint="eastAsia" w:ascii="宋体" w:hAnsi="宋体" w:eastAsia="宋体" w:cs="宋体"/>
                <w:b/>
                <w:bCs/>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default"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5-7 </w:t>
            </w: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项目危险废物产生情况</w:t>
            </w:r>
          </w:p>
          <w:tbl>
            <w:tblPr>
              <w:tblStyle w:val="32"/>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3"/>
              <w:gridCol w:w="949"/>
              <w:gridCol w:w="662"/>
              <w:gridCol w:w="812"/>
              <w:gridCol w:w="841"/>
              <w:gridCol w:w="884"/>
              <w:gridCol w:w="751"/>
              <w:gridCol w:w="710"/>
              <w:gridCol w:w="690"/>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36" w:hRule="atLeast"/>
                <w:jc w:val="center"/>
              </w:trPr>
              <w:tc>
                <w:tcPr>
                  <w:tcW w:w="573"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序</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号</w:t>
                  </w:r>
                </w:p>
              </w:tc>
              <w:tc>
                <w:tcPr>
                  <w:tcW w:w="949"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固体废物名称</w:t>
                  </w:r>
                </w:p>
              </w:tc>
              <w:tc>
                <w:tcPr>
                  <w:tcW w:w="662"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危废</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类别</w:t>
                  </w:r>
                </w:p>
              </w:tc>
              <w:tc>
                <w:tcPr>
                  <w:tcW w:w="812"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危废</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代码</w:t>
                  </w:r>
                </w:p>
              </w:tc>
              <w:tc>
                <w:tcPr>
                  <w:tcW w:w="841"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产生</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工序</w:t>
                  </w:r>
                </w:p>
              </w:tc>
              <w:tc>
                <w:tcPr>
                  <w:tcW w:w="884"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产生</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量</w:t>
                  </w:r>
                </w:p>
              </w:tc>
              <w:tc>
                <w:tcPr>
                  <w:tcW w:w="751"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主要</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成分</w:t>
                  </w:r>
                </w:p>
              </w:tc>
              <w:tc>
                <w:tcPr>
                  <w:tcW w:w="710"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有害</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成分</w:t>
                  </w:r>
                </w:p>
              </w:tc>
              <w:tc>
                <w:tcPr>
                  <w:tcW w:w="690" w:type="dxa"/>
                  <w:tcBorders>
                    <w:tl2br w:val="nil"/>
                    <w:tr2bl w:val="nil"/>
                  </w:tcBorders>
                  <w:shd w:val="clear" w:color="auto" w:fill="auto"/>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危险</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特性</w:t>
                  </w:r>
                </w:p>
              </w:tc>
              <w:tc>
                <w:tcPr>
                  <w:tcW w:w="1424" w:type="dxa"/>
                  <w:tcBorders>
                    <w:tl2br w:val="nil"/>
                    <w:tr2bl w:val="nil"/>
                  </w:tcBorders>
                  <w:shd w:val="clear" w:color="auto" w:fill="auto"/>
                  <w:tcMar>
                    <w:top w:w="0" w:type="dxa"/>
                    <w:left w:w="51" w:type="dxa"/>
                    <w:bottom w:w="0" w:type="dxa"/>
                    <w:right w:w="51" w:type="dxa"/>
                  </w:tcMar>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687" w:hRule="atLeast"/>
                <w:jc w:val="center"/>
              </w:trPr>
              <w:tc>
                <w:tcPr>
                  <w:tcW w:w="573"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w:t>
                  </w:r>
                </w:p>
              </w:tc>
              <w:tc>
                <w:tcPr>
                  <w:tcW w:w="949"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废机油</w:t>
                  </w:r>
                </w:p>
              </w:tc>
              <w:tc>
                <w:tcPr>
                  <w:tcW w:w="662"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HW08</w:t>
                  </w:r>
                </w:p>
              </w:tc>
              <w:tc>
                <w:tcPr>
                  <w:tcW w:w="812"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900-2</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14-08</w:t>
                  </w:r>
                </w:p>
              </w:tc>
              <w:tc>
                <w:tcPr>
                  <w:tcW w:w="841"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设备</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检修</w:t>
                  </w:r>
                </w:p>
              </w:tc>
              <w:tc>
                <w:tcPr>
                  <w:tcW w:w="884"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0.05t/a</w:t>
                  </w:r>
                </w:p>
              </w:tc>
              <w:tc>
                <w:tcPr>
                  <w:tcW w:w="751"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矿物</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油</w:t>
                  </w:r>
                </w:p>
              </w:tc>
              <w:tc>
                <w:tcPr>
                  <w:tcW w:w="710" w:type="dxa"/>
                  <w:tcBorders>
                    <w:tl2br w:val="nil"/>
                    <w:tr2bl w:val="nil"/>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矿物</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油</w:t>
                  </w:r>
                </w:p>
              </w:tc>
              <w:tc>
                <w:tcPr>
                  <w:tcW w:w="690" w:type="dxa"/>
                  <w:tcBorders>
                    <w:tl2br w:val="nil"/>
                    <w:tr2bl w:val="nil"/>
                  </w:tcBorders>
                  <w:shd w:val="clear" w:color="auto" w:fill="auto"/>
                  <w:tcMar>
                    <w:top w:w="0" w:type="dxa"/>
                    <w:left w:w="51" w:type="dxa"/>
                    <w:bottom w:w="0" w:type="dxa"/>
                    <w:right w:w="51" w:type="dxa"/>
                  </w:tcMar>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毒性、易燃性</w:t>
                  </w:r>
                </w:p>
              </w:tc>
              <w:tc>
                <w:tcPr>
                  <w:tcW w:w="1424" w:type="dxa"/>
                  <w:tcBorders>
                    <w:tl2br w:val="nil"/>
                    <w:tr2bl w:val="nil"/>
                  </w:tcBorders>
                  <w:shd w:val="clear" w:color="auto" w:fill="auto"/>
                  <w:tcMar>
                    <w:top w:w="0" w:type="dxa"/>
                    <w:left w:w="51" w:type="dxa"/>
                    <w:bottom w:w="0" w:type="dxa"/>
                    <w:right w:w="51" w:type="dxa"/>
                  </w:tcMar>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val="0"/>
                      <w:bCs w:val="0"/>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临时贮存于厂区危险废物暂存库，交由有相关危废经营许可证的单位进行处理</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bCs/>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1.10、现有工程存在的环境问题及整改措施</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根据调查，现有项目运营至今，未接到过环保投诉，未发生过环保纠纷。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根据项目实地踏勘，发现</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存在以下问题：</w:t>
            </w:r>
            <w:r>
              <w:rPr>
                <w:rFonts w:hint="eastAsia" w:ascii="宋体" w:hAnsi="宋体" w:eastAsia="宋体" w:cs="宋体"/>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①</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生产废水沉淀池的</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无</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围堰，</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雨水进入</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沉淀池</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导致池</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水溢出地面；</w:t>
            </w:r>
            <w:r>
              <w:rPr>
                <w:rFonts w:hint="eastAsia" w:ascii="宋体" w:hAnsi="宋体" w:eastAsia="宋体" w:cs="宋体"/>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②</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厂区未设置雨水收集沟</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eastAsia" w:ascii="宋体" w:hAnsi="宋体" w:eastAsia="宋体" w:cs="宋体"/>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③沉淀池未及时清理；</w:t>
            </w:r>
            <w:r>
              <w:rPr>
                <w:rFonts w:hint="default" w:ascii="Calibri" w:hAnsi="Calibri" w:eastAsia="宋体" w:cs="Calibri"/>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④</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贮存原钢化玻璃生产车间原料区与成品区无相关标识</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w:t>
            </w:r>
            <w:r>
              <w:rPr>
                <w:rFonts w:hint="eastAsia" w:ascii="宋体" w:hAnsi="宋体" w:eastAsia="宋体" w:cs="宋体"/>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⑤增加雨水收集沟。</w:t>
            </w: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本</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环评建议整改措施如下：</w:t>
            </w:r>
          </w:p>
          <w:p>
            <w:pPr>
              <w:keepNext w:val="0"/>
              <w:keepLines w:val="0"/>
              <w:widowControl w:val="0"/>
              <w:numPr>
                <w:ilvl w:val="0"/>
                <w:numId w:val="0"/>
              </w:numPr>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b w:val="0"/>
                <w:bCs w:val="0"/>
                <w:color w:val="0D0D0D" w:themeColor="text1" w:themeTint="F2"/>
                <w:kern w:val="2"/>
                <w:sz w:val="24"/>
                <w:szCs w:val="24"/>
                <w:highlight w:val="none"/>
                <w:lang w:val="en-US" w:eastAsia="zh-CN" w:bidi="ar"/>
                <w14:textFill>
                  <w14:solidFill>
                    <w14:schemeClr w14:val="tx1">
                      <w14:lumMod w14:val="95000"/>
                      <w14:lumOff w14:val="5000"/>
                    </w14:schemeClr>
                  </w14:solidFill>
                </w14:textFill>
              </w:rPr>
              <w:t>（1）</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建议加高现有沉淀池的围堰和沉淀池防雨盖板，防止雨水进入沉淀池后，造成生产废水溢出地面；</w:t>
            </w:r>
          </w:p>
          <w:p>
            <w:pPr>
              <w:keepNext w:val="0"/>
              <w:keepLines w:val="0"/>
              <w:widowControl w:val="0"/>
              <w:numPr>
                <w:ilvl w:val="0"/>
                <w:numId w:val="0"/>
              </w:numPr>
              <w:suppressLineNumbers w:val="0"/>
              <w:spacing w:before="0" w:beforeAutospacing="0" w:after="0" w:afterAutospacing="0" w:line="360" w:lineRule="auto"/>
              <w:ind w:left="0" w:leftChars="0" w:right="0" w:rightChars="0" w:firstLine="480" w:firstLineChars="200"/>
              <w:jc w:val="both"/>
              <w:rPr>
                <w:rFonts w:hint="default" w:ascii="Times New Roman" w:hAnsi="Times New Roman" w:cs="Times New Roman"/>
                <w:b w:val="0"/>
                <w:bCs w:val="0"/>
                <w:color w:val="0D0D0D" w:themeColor="text1" w:themeTint="F2"/>
                <w:kern w:val="2"/>
                <w:sz w:val="24"/>
                <w:szCs w:val="24"/>
                <w:highlight w:val="none"/>
                <w:u w:val="single"/>
                <w:vertAlign w:val="baseli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kern w:val="2"/>
                <w:sz w:val="24"/>
                <w:szCs w:val="24"/>
                <w:highlight w:val="none"/>
                <w:u w:val="single"/>
                <w:vertAlign w:val="baseline"/>
                <w:lang w:val="en-US" w:eastAsia="zh-CN" w:bidi="ar"/>
                <w14:textFill>
                  <w14:solidFill>
                    <w14:schemeClr w14:val="tx1">
                      <w14:lumMod w14:val="95000"/>
                      <w14:lumOff w14:val="5000"/>
                    </w14:schemeClr>
                  </w14:solidFill>
                </w14:textFill>
              </w:rPr>
              <w:t>（2）</w:t>
            </w: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现有沉淀池容积需扩大至200m</w:t>
            </w:r>
            <w:r>
              <w:rPr>
                <w:rFonts w:hint="eastAsia" w:ascii="Times New Roman" w:hAnsi="Times New Roman" w:cs="Times New Roman"/>
                <w:b w:val="0"/>
                <w:bCs w:val="0"/>
                <w:color w:val="0D0D0D" w:themeColor="text1" w:themeTint="F2"/>
                <w:kern w:val="2"/>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eastAsia" w:ascii="Times New Roman" w:hAnsi="Times New Roman" w:cs="Times New Roman"/>
                <w:b w:val="0"/>
                <w:bCs w:val="0"/>
                <w:color w:val="0D0D0D" w:themeColor="text1" w:themeTint="F2"/>
                <w:kern w:val="2"/>
                <w:sz w:val="24"/>
                <w:szCs w:val="24"/>
                <w:highlight w:val="none"/>
                <w:u w:val="single"/>
                <w:vertAlign w:val="baseline"/>
                <w:lang w:val="en-US" w:eastAsia="zh-CN" w:bidi="ar"/>
                <w14:textFill>
                  <w14:solidFill>
                    <w14:schemeClr w14:val="tx1">
                      <w14:lumMod w14:val="95000"/>
                      <w14:lumOff w14:val="5000"/>
                    </w14:schemeClr>
                  </w14:solidFill>
                </w14:textFill>
              </w:rPr>
              <w:t>方可满足生产废水收集沉淀后再利用，建议废水沉淀池做好防渗、防溢出、防雨水等要求进行改造完成后再进行扩建项目的生产。</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（3）建议厂区内各原料区与成品区增加相关分区标志。</w:t>
            </w:r>
          </w:p>
          <w:p>
            <w:pPr>
              <w:pStyle w:val="2"/>
              <w:spacing w:before="0" w:beforeAutospacing="0" w:line="240" w:lineRule="auto"/>
              <w:ind w:left="0" w:leftChars="0" w:right="0" w:firstLine="0" w:firstLineChars="0"/>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eastAsia" w:cs="Times New Roman"/>
                <w:b w:val="0"/>
                <w:bCs w:val="0"/>
                <w:color w:val="0D0D0D" w:themeColor="text1" w:themeTint="F2"/>
                <w:kern w:val="2"/>
                <w:sz w:val="24"/>
                <w:szCs w:val="24"/>
                <w:highlight w:val="none"/>
                <w:u w:val="single"/>
                <w:lang w:val="en-US" w:eastAsia="zh-CN" w:bidi="ar"/>
                <w14:textFill>
                  <w14:solidFill>
                    <w14:schemeClr w14:val="tx1">
                      <w14:lumMod w14:val="95000"/>
                      <w14:lumOff w14:val="5000"/>
                    </w14:schemeClr>
                  </w14:solidFill>
                </w14:textFill>
              </w:rPr>
              <w:t xml:space="preserve">    （4）建议厂区新建雨水收集沟、雨水沉淀池。</w:t>
            </w:r>
          </w:p>
          <w:p>
            <w:pPr>
              <w:pStyle w:val="2"/>
              <w:spacing w:before="0" w:beforeAutospacing="0" w:line="240" w:lineRule="auto"/>
              <w:ind w:left="0" w:leftChars="0" w:right="0" w:firstLine="480" w:firstLineChars="200"/>
              <w:rPr>
                <w:rFonts w:hint="eastAsia"/>
                <w:color w:val="0D0D0D" w:themeColor="text1" w:themeTint="F2"/>
                <w:highlight w:val="none"/>
                <w:lang w:val="en-US" w:eastAsia="zh-CN"/>
                <w14:textFill>
                  <w14:solidFill>
                    <w14:schemeClr w14:val="tx1">
                      <w14:lumMod w14:val="95000"/>
                      <w14:lumOff w14:val="5000"/>
                    </w14:schemeClr>
                  </w14:solidFill>
                </w14:textFill>
              </w:rPr>
            </w:pPr>
            <w:r>
              <w:rPr>
                <w:rFonts w:hint="eastAsia"/>
                <w:color w:val="0D0D0D" w:themeColor="text1" w:themeTint="F2"/>
                <w:highlight w:val="none"/>
                <w:lang w:val="en-US" w:eastAsia="zh-CN"/>
                <w14:textFill>
                  <w14:solidFill>
                    <w14:schemeClr w14:val="tx1">
                      <w14:lumMod w14:val="95000"/>
                      <w14:lumOff w14:val="5000"/>
                    </w14:schemeClr>
                  </w14:solidFill>
                </w14:textFill>
              </w:rPr>
              <w:t>已完成沉淀池围堰整，防止池水溢出地面。沉淀池整改前后对比图如下：</w:t>
            </w:r>
          </w:p>
          <w:tbl>
            <w:tblPr>
              <w:tblStyle w:val="32"/>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5" w:type="dxa"/>
                </w:tcPr>
                <w:p>
                  <w:pPr>
                    <w:keepNext w:val="0"/>
                    <w:keepLines w:val="0"/>
                    <w:suppressLineNumbers w:val="0"/>
                    <w:adjustRightInd w:val="0"/>
                    <w:snapToGrid w:val="0"/>
                    <w:spacing w:before="0" w:beforeAutospacing="0" w:after="0" w:afterAutospacing="0" w:line="360" w:lineRule="auto"/>
                    <w:ind w:left="0" w:right="0"/>
                    <w:rPr>
                      <w:rFonts w:hint="default"/>
                      <w:color w:val="0D0D0D" w:themeColor="text1" w:themeTint="F2"/>
                      <w:highlight w:val="none"/>
                      <w:vertAlign w:val="baseline"/>
                      <w14:textFill>
                        <w14:solidFill>
                          <w14:schemeClr w14:val="tx1">
                            <w14:lumMod w14:val="95000"/>
                            <w14:lumOff w14:val="5000"/>
                          </w14:schemeClr>
                        </w14:solidFill>
                      </w14:textFill>
                    </w:rPr>
                  </w:pPr>
                  <w:r>
                    <w:rPr>
                      <w:rFonts w:hint="eastAsia" w:ascii="Times New Roman" w:hAnsi="Times New Roman" w:eastAsia="宋体" w:cs="Times New Roman"/>
                      <w:bCs/>
                      <w:color w:val="0D0D0D" w:themeColor="text1" w:themeTint="F2"/>
                      <w:sz w:val="24"/>
                      <w:szCs w:val="24"/>
                      <w:highlight w:val="none"/>
                      <w:lang w:eastAsia="zh-CN"/>
                      <w14:textFill>
                        <w14:solidFill>
                          <w14:schemeClr w14:val="tx1">
                            <w14:lumMod w14:val="95000"/>
                            <w14:lumOff w14:val="5000"/>
                          </w14:schemeClr>
                        </w14:solidFill>
                      </w14:textFill>
                    </w:rPr>
                    <w:drawing>
                      <wp:inline distT="0" distB="0" distL="114300" distR="114300">
                        <wp:extent cx="3268980" cy="1914525"/>
                        <wp:effectExtent l="0" t="0" r="7620" b="3175"/>
                        <wp:docPr id="31" name="图片 31" descr="556dd21ed2920eab935f65665d36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56dd21ed2920eab935f65665d36e83"/>
                                <pic:cNvPicPr>
                                  <a:picLocks noChangeAspect="1"/>
                                </pic:cNvPicPr>
                              </pic:nvPicPr>
                              <pic:blipFill>
                                <a:blip r:embed="rId14">
                                  <a:lum bright="18000" contrast="12000"/>
                                </a:blip>
                                <a:srcRect l="28891" b="44498"/>
                                <a:stretch>
                                  <a:fillRect/>
                                </a:stretch>
                              </pic:blipFill>
                              <pic:spPr>
                                <a:xfrm>
                                  <a:off x="0" y="0"/>
                                  <a:ext cx="3268980" cy="1914525"/>
                                </a:xfrm>
                                <a:prstGeom prst="rect">
                                  <a:avLst/>
                                </a:prstGeom>
                              </pic:spPr>
                            </pic:pic>
                          </a:graphicData>
                        </a:graphic>
                      </wp:inline>
                    </w:drawing>
                  </w:r>
                  <w:r>
                    <w:rPr>
                      <w:rFonts w:hint="eastAsia" w:ascii="Times New Roman" w:hAnsi="Times New Roman" w:eastAsia="宋体" w:cs="Times New Roman"/>
                      <w:b/>
                      <w:bCs w:val="0"/>
                      <w:color w:val="0D0D0D" w:themeColor="text1" w:themeTint="F2"/>
                      <w:sz w:val="24"/>
                      <w:szCs w:val="24"/>
                      <w:highlight w:val="none"/>
                      <w:lang w:eastAsia="zh-CN"/>
                      <w14:textFill>
                        <w14:solidFill>
                          <w14:schemeClr w14:val="tx1">
                            <w14:lumMod w14:val="95000"/>
                            <w14:lumOff w14:val="5000"/>
                          </w14:schemeClr>
                        </w14:solidFill>
                      </w14:textFill>
                    </w:rPr>
                    <w:t>沉淀池整改前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6" w:hRule="atLeast"/>
              </w:trPr>
              <w:tc>
                <w:tcPr>
                  <w:tcW w:w="7945" w:type="dxa"/>
                </w:tcPr>
                <w:p>
                  <w:pPr>
                    <w:keepNext w:val="0"/>
                    <w:keepLines w:val="0"/>
                    <w:suppressLineNumbers w:val="0"/>
                    <w:adjustRightInd w:val="0"/>
                    <w:snapToGrid w:val="0"/>
                    <w:spacing w:before="0" w:beforeAutospacing="0" w:after="0" w:afterAutospacing="0" w:line="360" w:lineRule="auto"/>
                    <w:ind w:left="0" w:right="0"/>
                    <w:rPr>
                      <w:rFonts w:hint="eastAsia" w:eastAsia="宋体"/>
                      <w:color w:val="0D0D0D" w:themeColor="text1" w:themeTint="F2"/>
                      <w:highlight w:val="none"/>
                      <w:vertAlign w:val="baseline"/>
                      <w:lang w:eastAsia="zh-CN"/>
                      <w14:textFill>
                        <w14:solidFill>
                          <w14:schemeClr w14:val="tx1">
                            <w14:lumMod w14:val="95000"/>
                            <w14:lumOff w14:val="5000"/>
                          </w14:schemeClr>
                        </w14:solidFill>
                      </w14:textFill>
                    </w:rPr>
                  </w:pPr>
                  <w:r>
                    <w:rPr>
                      <w:rFonts w:hint="default"/>
                      <w:color w:val="0D0D0D" w:themeColor="text1" w:themeTint="F2"/>
                      <w:highlight w:val="none"/>
                      <w14:textFill>
                        <w14:solidFill>
                          <w14:schemeClr w14:val="tx1">
                            <w14:lumMod w14:val="95000"/>
                            <w14:lumOff w14:val="5000"/>
                          </w14:schemeClr>
                        </w14:solidFill>
                      </w14:textFill>
                    </w:rPr>
                    <w:drawing>
                      <wp:inline distT="0" distB="0" distL="114300" distR="114300">
                        <wp:extent cx="3255645" cy="2156460"/>
                        <wp:effectExtent l="0" t="0" r="8255" b="254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5"/>
                                <a:stretch>
                                  <a:fillRect/>
                                </a:stretch>
                              </pic:blipFill>
                              <pic:spPr>
                                <a:xfrm>
                                  <a:off x="0" y="0"/>
                                  <a:ext cx="3255645" cy="2156460"/>
                                </a:xfrm>
                                <a:prstGeom prst="rect">
                                  <a:avLst/>
                                </a:prstGeom>
                                <a:noFill/>
                                <a:ln>
                                  <a:noFill/>
                                </a:ln>
                              </pic:spPr>
                            </pic:pic>
                          </a:graphicData>
                        </a:graphic>
                      </wp:inline>
                    </w:drawing>
                  </w:r>
                  <w:r>
                    <w:rPr>
                      <w:rFonts w:hint="eastAsia"/>
                      <w:b/>
                      <w:bCs/>
                      <w:color w:val="0D0D0D" w:themeColor="text1" w:themeTint="F2"/>
                      <w:highlight w:val="none"/>
                      <w14:textFill>
                        <w14:solidFill>
                          <w14:schemeClr w14:val="tx1">
                            <w14:lumMod w14:val="95000"/>
                            <w14:lumOff w14:val="5000"/>
                          </w14:schemeClr>
                        </w14:solidFill>
                      </w14:textFill>
                    </w:rPr>
                    <w:t>沉淀池整改</w:t>
                  </w:r>
                  <w:r>
                    <w:rPr>
                      <w:rFonts w:hint="eastAsia"/>
                      <w:b/>
                      <w:bCs/>
                      <w:color w:val="0D0D0D" w:themeColor="text1" w:themeTint="F2"/>
                      <w:highlight w:val="none"/>
                      <w:lang w:val="en-US" w:eastAsia="zh-CN"/>
                      <w14:textFill>
                        <w14:solidFill>
                          <w14:schemeClr w14:val="tx1">
                            <w14:lumMod w14:val="95000"/>
                            <w14:lumOff w14:val="5000"/>
                          </w14:schemeClr>
                        </w14:solidFill>
                      </w14:textFill>
                    </w:rPr>
                    <w:t>后</w:t>
                  </w:r>
                </w:p>
              </w:tc>
            </w:tr>
          </w:tbl>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Cs/>
                <w:color w:val="0D0D0D" w:themeColor="text1" w:themeTint="F2"/>
                <w:sz w:val="24"/>
                <w:szCs w:val="24"/>
                <w:highlight w:val="none"/>
                <w:lang w:eastAsia="zh-CN"/>
                <w14:textFill>
                  <w14:solidFill>
                    <w14:schemeClr w14:val="tx1">
                      <w14:lumMod w14:val="95000"/>
                      <w14:lumOff w14:val="5000"/>
                    </w14:schemeClr>
                  </w14:solidFill>
                </w14:textFill>
              </w:rPr>
            </w:pPr>
          </w:p>
        </w:tc>
      </w:tr>
    </w:tbl>
    <w:p>
      <w:pPr>
        <w:pStyle w:val="27"/>
        <w:jc w:val="center"/>
        <w:rPr>
          <w:rFonts w:ascii="黑体" w:hAnsi="黑体" w:eastAsia="黑体"/>
          <w:snapToGrid w:val="0"/>
          <w:sz w:val="36"/>
          <w:szCs w:val="36"/>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7"/>
        <w:adjustRightInd w:val="0"/>
        <w:snapToGrid w:val="0"/>
        <w:spacing w:before="0" w:beforeAutospacing="0" w:after="0" w:afterAutospacing="0" w:line="14" w:lineRule="auto"/>
        <w:jc w:val="center"/>
        <w:outlineLvl w:val="9"/>
        <w:rPr>
          <w:rFonts w:hint="eastAsia" w:ascii="黑体" w:hAnsi="黑体" w:eastAsia="黑体"/>
          <w:snapToGrid w:val="0"/>
          <w:sz w:val="30"/>
          <w:szCs w:val="30"/>
        </w:rPr>
      </w:pPr>
    </w:p>
    <w:p>
      <w:pPr>
        <w:pStyle w:val="27"/>
        <w:jc w:val="center"/>
        <w:outlineLvl w:val="0"/>
        <w:rPr>
          <w:rFonts w:ascii="黑体" w:hAnsi="黑体" w:eastAsia="黑体"/>
          <w:snapToGrid w:val="0"/>
          <w:sz w:val="30"/>
          <w:szCs w:val="30"/>
        </w:rPr>
      </w:pPr>
      <w:bookmarkStart w:id="8" w:name="_Toc21971"/>
      <w:bookmarkStart w:id="9" w:name="_Toc16928"/>
      <w:r>
        <w:rPr>
          <w:rFonts w:hint="eastAsia" w:ascii="黑体" w:hAnsi="黑体" w:eastAsia="黑体"/>
          <w:snapToGrid w:val="0"/>
          <w:sz w:val="30"/>
          <w:szCs w:val="30"/>
        </w:rPr>
        <w:t>三、区域环境质量现状、环境保护目标及评价标准</w:t>
      </w:r>
      <w:bookmarkEnd w:id="8"/>
      <w:bookmarkEnd w:id="9"/>
    </w:p>
    <w:tbl>
      <w:tblPr>
        <w:tblStyle w:val="31"/>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现状</w:t>
            </w:r>
          </w:p>
        </w:tc>
        <w:tc>
          <w:tcPr>
            <w:tcW w:w="8190" w:type="dxa"/>
            <w:noWrap w:val="0"/>
            <w:vAlign w:val="center"/>
          </w:tcPr>
          <w:p>
            <w:pPr>
              <w:keepNext w:val="0"/>
              <w:keepLines w:val="0"/>
              <w:suppressLineNumbers w:val="0"/>
              <w:spacing w:before="0" w:beforeAutospacing="0" w:after="0" w:afterAutospacing="0" w:line="360" w:lineRule="auto"/>
              <w:ind w:left="0" w:right="0" w:firstLine="498" w:firstLineChars="200"/>
              <w:rPr>
                <w:rFonts w:hint="default"/>
                <w:b/>
                <w:bCs/>
                <w:color w:val="0D0D0D" w:themeColor="text1" w:themeTint="F2"/>
                <w:sz w:val="24"/>
                <w:highlight w:val="none"/>
                <w14:textFill>
                  <w14:solidFill>
                    <w14:schemeClr w14:val="tx1">
                      <w14:lumMod w14:val="95000"/>
                      <w14:lumOff w14:val="5000"/>
                    </w14:schemeClr>
                  </w14:solidFill>
                </w14:textFill>
              </w:rPr>
            </w:pPr>
            <w:r>
              <w:rPr>
                <w:rFonts w:hint="default"/>
                <w:b/>
                <w:color w:val="0D0D0D" w:themeColor="text1" w:themeTint="F2"/>
                <w:spacing w:val="4"/>
                <w:sz w:val="24"/>
                <w:highlight w:val="none"/>
                <w14:textFill>
                  <w14:solidFill>
                    <w14:schemeClr w14:val="tx1">
                      <w14:lumMod w14:val="95000"/>
                      <w14:lumOff w14:val="5000"/>
                    </w14:schemeClr>
                  </w14:solidFill>
                </w14:textFill>
              </w:rPr>
              <w:t>1、</w:t>
            </w:r>
            <w:r>
              <w:rPr>
                <w:rFonts w:hint="default"/>
                <w:b/>
                <w:bCs/>
                <w:color w:val="0D0D0D" w:themeColor="text1" w:themeTint="F2"/>
                <w:sz w:val="24"/>
                <w:highlight w:val="none"/>
                <w14:textFill>
                  <w14:solidFill>
                    <w14:schemeClr w14:val="tx1">
                      <w14:lumMod w14:val="95000"/>
                      <w14:lumOff w14:val="5000"/>
                    </w14:schemeClr>
                  </w14:solidFill>
                </w14:textFill>
              </w:rPr>
              <w:t>环境空气质量现状评价</w:t>
            </w:r>
          </w:p>
          <w:p>
            <w:pPr>
              <w:keepNext w:val="0"/>
              <w:keepLines w:val="0"/>
              <w:suppressLineNumbers w:val="0"/>
              <w:spacing w:before="0" w:beforeAutospacing="0" w:after="0" w:afterAutospacing="0" w:line="360" w:lineRule="auto"/>
              <w:ind w:left="0" w:right="0" w:firstLine="480" w:firstLineChars="200"/>
              <w:jc w:val="both"/>
              <w:rPr>
                <w:rFonts w:hint="eastAsia"/>
                <w:color w:val="0D0D0D" w:themeColor="text1" w:themeTint="F2"/>
                <w:sz w:val="24"/>
                <w:highlight w:val="none"/>
                <w14:textFill>
                  <w14:solidFill>
                    <w14:schemeClr w14:val="tx1">
                      <w14:lumMod w14:val="95000"/>
                      <w14:lumOff w14:val="5000"/>
                    </w14:schemeClr>
                  </w14:solidFill>
                </w14:textFill>
              </w:rPr>
            </w:pPr>
            <w:r>
              <w:rPr>
                <w:rFonts w:hint="eastAsia"/>
                <w:color w:val="0D0D0D" w:themeColor="text1" w:themeTint="F2"/>
                <w:sz w:val="24"/>
                <w:highlight w:val="none"/>
                <w14:textFill>
                  <w14:solidFill>
                    <w14:schemeClr w14:val="tx1">
                      <w14:lumMod w14:val="95000"/>
                      <w14:lumOff w14:val="5000"/>
                    </w14:schemeClr>
                  </w14:solidFill>
                </w14:textFill>
              </w:rPr>
              <w:t>（1）区域环境质量现状</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根据《环境影响评价技术导则</w:t>
            </w:r>
            <w:r>
              <w:rPr>
                <w:rFonts w:hint="eastAsia"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大气环境》（HJ2.2-2018）的</w:t>
            </w:r>
            <w:r>
              <w:rPr>
                <w:rFonts w:hint="eastAsia"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6.2.1基本污染物环境质量现状数据—项目所在区域达标判定，优先采用国家或地方生态环境主管部门公开发布的评价基准年环境质量公告或环境质量报告中的数据或结论</w:t>
            </w:r>
            <w:r>
              <w:rPr>
                <w:rFonts w:hint="eastAsia"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本次环评引用</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永州市生态环境局</w:t>
            </w:r>
            <w:r>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零陵分局</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发布的《20</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2</w:t>
            </w:r>
            <w:r>
              <w:rPr>
                <w:rFonts w:hint="eastAsia" w:cs="Times New Roman"/>
                <w:color w:val="0D0D0D" w:themeColor="text1" w:themeTint="F2"/>
                <w:sz w:val="24"/>
                <w:highlight w:val="none"/>
                <w:lang w:val="en-US" w:eastAsia="zh-CN"/>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年</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永州市</w:t>
            </w:r>
            <w:r>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零陵区</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环境质量状况</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公示》</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中</w:t>
            </w:r>
            <w:r>
              <w:rPr>
                <w:rFonts w:hint="eastAsia"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零陵区</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城区</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常规</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环境空气质量</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监测数据来表征区域环境质量达标情况</w:t>
            </w:r>
            <w:r>
              <w:rPr>
                <w:rFonts w:hint="eastAsia"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。项目采用了地方生态环境主管部门公开发布的环境质量现状数据，</w:t>
            </w:r>
            <w:r>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具体如下表所示：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4"/>
                <w:szCs w:val="24"/>
                <w:highlight w:val="none"/>
                <w:u w:val="none" w:color="auto"/>
                <w14:textFill>
                  <w14:solidFill>
                    <w14:schemeClr w14:val="tx1">
                      <w14:lumMod w14:val="95000"/>
                      <w14:lumOff w14:val="5000"/>
                    </w14:schemeClr>
                  </w14:solidFill>
                </w14:textFill>
              </w:rPr>
            </w:pPr>
            <w:r>
              <w:rPr>
                <w:rFonts w:hint="eastAsia"/>
                <w:b/>
                <w:color w:val="0D0D0D" w:themeColor="text1" w:themeTint="F2"/>
                <w:sz w:val="24"/>
                <w:szCs w:val="24"/>
                <w:highlight w:val="none"/>
                <w14:textFill>
                  <w14:solidFill>
                    <w14:schemeClr w14:val="tx1">
                      <w14:lumMod w14:val="95000"/>
                      <w14:lumOff w14:val="5000"/>
                    </w14:schemeClr>
                  </w14:solidFill>
                </w14:textFill>
              </w:rPr>
              <w:t>表3-1</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 xml:space="preserve"> </w:t>
            </w:r>
            <w:r>
              <w:rPr>
                <w:rFonts w:hint="default" w:ascii="Times New Roman" w:hAnsi="Times New Roman" w:cs="Times New Roman"/>
                <w:b/>
                <w:bCs/>
                <w:color w:val="0D0D0D" w:themeColor="text1" w:themeTint="F2"/>
                <w:sz w:val="24"/>
                <w:szCs w:val="24"/>
                <w:highlight w:val="none"/>
                <w:u w:val="none" w:color="auto"/>
                <w14:textFill>
                  <w14:solidFill>
                    <w14:schemeClr w14:val="tx1">
                      <w14:lumMod w14:val="95000"/>
                      <w14:lumOff w14:val="5000"/>
                    </w14:schemeClr>
                  </w14:solidFill>
                </w14:textFill>
              </w:rPr>
              <w:t>20</w:t>
            </w:r>
            <w:r>
              <w:rPr>
                <w:rFonts w:hint="default" w:ascii="Times New Roman" w:hAnsi="Times New Roman" w:cs="Times New Roman"/>
                <w:b/>
                <w:bCs/>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2</w:t>
            </w:r>
            <w:r>
              <w:rPr>
                <w:rFonts w:hint="eastAsia" w:cs="Times New Roman"/>
                <w:b/>
                <w:bCs/>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2</w:t>
            </w:r>
            <w:r>
              <w:rPr>
                <w:rFonts w:hint="default" w:ascii="Times New Roman" w:hAnsi="Times New Roman" w:cs="Times New Roman"/>
                <w:b/>
                <w:bCs/>
                <w:color w:val="0D0D0D" w:themeColor="text1" w:themeTint="F2"/>
                <w:sz w:val="24"/>
                <w:szCs w:val="24"/>
                <w:highlight w:val="none"/>
                <w:u w:val="none" w:color="auto"/>
                <w14:textFill>
                  <w14:solidFill>
                    <w14:schemeClr w14:val="tx1">
                      <w14:lumMod w14:val="95000"/>
                      <w14:lumOff w14:val="5000"/>
                    </w14:schemeClr>
                  </w14:solidFill>
                </w14:textFill>
              </w:rPr>
              <w:t>年</w:t>
            </w:r>
            <w:r>
              <w:rPr>
                <w:rFonts w:hint="eastAsia" w:ascii="Times New Roman" w:hAnsi="Times New Roman" w:cs="Times New Roman"/>
                <w:b/>
                <w:bCs/>
                <w:color w:val="0D0D0D" w:themeColor="text1" w:themeTint="F2"/>
                <w:sz w:val="24"/>
                <w:szCs w:val="24"/>
                <w:highlight w:val="none"/>
                <w:u w:val="none" w:color="auto"/>
                <w:lang w:eastAsia="zh-CN"/>
                <w14:textFill>
                  <w14:solidFill>
                    <w14:schemeClr w14:val="tx1">
                      <w14:lumMod w14:val="95000"/>
                      <w14:lumOff w14:val="5000"/>
                    </w14:schemeClr>
                  </w14:solidFill>
                </w14:textFill>
              </w:rPr>
              <w:t>零陵区</w:t>
            </w:r>
            <w:r>
              <w:rPr>
                <w:rFonts w:hint="default" w:ascii="Times New Roman" w:hAnsi="Times New Roman" w:cs="Times New Roman"/>
                <w:b/>
                <w:bCs/>
                <w:color w:val="0D0D0D" w:themeColor="text1" w:themeTint="F2"/>
                <w:sz w:val="24"/>
                <w:szCs w:val="24"/>
                <w:highlight w:val="none"/>
                <w:u w:val="none" w:color="auto"/>
                <w14:textFill>
                  <w14:solidFill>
                    <w14:schemeClr w14:val="tx1">
                      <w14:lumMod w14:val="95000"/>
                      <w14:lumOff w14:val="5000"/>
                    </w14:schemeClr>
                  </w14:solidFill>
                </w14:textFill>
              </w:rPr>
              <w:t>环境空气质量监测结果统计表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right"/>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单位：µg/m</w:t>
            </w:r>
            <w:r>
              <w:rPr>
                <w:rFonts w:hint="default" w:ascii="Times New Roman" w:hAnsi="Times New Roman" w:cs="Times New Roman"/>
                <w:b/>
                <w:bCs/>
                <w:color w:val="0D0D0D" w:themeColor="text1" w:themeTint="F2"/>
                <w:sz w:val="21"/>
                <w:szCs w:val="21"/>
                <w:highlight w:val="none"/>
                <w:u w:val="none" w:color="auto"/>
                <w:vertAlign w:val="superscript"/>
                <w14:textFill>
                  <w14:solidFill>
                    <w14:schemeClr w14:val="tx1">
                      <w14:lumMod w14:val="95000"/>
                      <w14:lumOff w14:val="5000"/>
                    </w14:schemeClr>
                  </w14:solidFill>
                </w14:textFill>
              </w:rPr>
              <w:t>3</w:t>
            </w:r>
            <w:r>
              <w:rPr>
                <w:rFonts w:hint="eastAsia" w:ascii="Times New Roman" w:hAnsi="Times New Roman" w:cs="Times New Roman"/>
                <w:b/>
                <w:bCs/>
                <w:color w:val="0D0D0D" w:themeColor="text1" w:themeTint="F2"/>
                <w:sz w:val="21"/>
                <w:szCs w:val="21"/>
                <w:highlight w:val="none"/>
                <w:u w:val="none" w:color="auto"/>
                <w:lang w:eastAsia="zh-CN"/>
                <w14:textFill>
                  <w14:solidFill>
                    <w14:schemeClr w14:val="tx1">
                      <w14:lumMod w14:val="95000"/>
                      <w14:lumOff w14:val="5000"/>
                    </w14:schemeClr>
                  </w14:solidFill>
                </w14:textFill>
              </w:rPr>
              <w:t>（</w:t>
            </w: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CO为mg/m</w:t>
            </w:r>
            <w:r>
              <w:rPr>
                <w:rFonts w:hint="default" w:ascii="Times New Roman" w:hAnsi="Times New Roman" w:cs="Times New Roman"/>
                <w:b/>
                <w:bCs/>
                <w:color w:val="0D0D0D" w:themeColor="text1" w:themeTint="F2"/>
                <w:sz w:val="21"/>
                <w:szCs w:val="21"/>
                <w:highlight w:val="none"/>
                <w:u w:val="none" w:color="auto"/>
                <w:vertAlign w:val="superscript"/>
                <w14:textFill>
                  <w14:solidFill>
                    <w14:schemeClr w14:val="tx1">
                      <w14:lumMod w14:val="95000"/>
                      <w14:lumOff w14:val="5000"/>
                    </w14:schemeClr>
                  </w14:solidFill>
                </w14:textFill>
              </w:rPr>
              <w:t>3</w:t>
            </w:r>
            <w:r>
              <w:rPr>
                <w:rFonts w:hint="eastAsia" w:ascii="Times New Roman" w:hAnsi="Times New Roman" w:cs="Times New Roman"/>
                <w:b/>
                <w:bCs/>
                <w:color w:val="0D0D0D" w:themeColor="text1" w:themeTint="F2"/>
                <w:sz w:val="21"/>
                <w:szCs w:val="21"/>
                <w:highlight w:val="none"/>
                <w:u w:val="none" w:color="auto"/>
                <w:lang w:eastAsia="zh-CN"/>
                <w14:textFill>
                  <w14:solidFill>
                    <w14:schemeClr w14:val="tx1">
                      <w14:lumMod w14:val="95000"/>
                      <w14:lumOff w14:val="5000"/>
                    </w14:schemeClr>
                  </w14:solidFill>
                </w14:textFill>
              </w:rPr>
              <w:t>）</w:t>
            </w:r>
          </w:p>
          <w:tbl>
            <w:tblPr>
              <w:tblStyle w:val="31"/>
              <w:tblW w:w="79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292"/>
              <w:gridCol w:w="1176"/>
              <w:gridCol w:w="959"/>
              <w:gridCol w:w="1279"/>
              <w:gridCol w:w="1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污染物</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年评价指标</w:t>
                  </w:r>
                </w:p>
              </w:tc>
              <w:tc>
                <w:tcPr>
                  <w:tcW w:w="117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现状浓度</w:t>
                  </w:r>
                </w:p>
              </w:tc>
              <w:tc>
                <w:tcPr>
                  <w:tcW w:w="959"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标准值</w:t>
                  </w:r>
                </w:p>
              </w:tc>
              <w:tc>
                <w:tcPr>
                  <w:tcW w:w="1279"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t>占标率%</w:t>
                  </w:r>
                </w:p>
              </w:tc>
              <w:tc>
                <w:tcPr>
                  <w:tcW w:w="1287"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highlight w:val="none"/>
                      <w:u w:val="none" w:color="auto"/>
                      <w14:textFill>
                        <w14:solidFill>
                          <w14:schemeClr w14:val="tx1">
                            <w14:lumMod w14:val="95000"/>
                            <w14:lumOff w14:val="5000"/>
                          </w14:schemeClr>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SO</w:t>
                  </w:r>
                  <w:r>
                    <w:rPr>
                      <w:rFonts w:hint="default" w:ascii="Times New Roman" w:hAnsi="Times New Roman" w:cs="Times New Roman"/>
                      <w:color w:val="0D0D0D" w:themeColor="text1" w:themeTint="F2"/>
                      <w:sz w:val="21"/>
                      <w:szCs w:val="21"/>
                      <w:highlight w:val="none"/>
                      <w:u w:val="none" w:color="auto"/>
                      <w:vertAlign w:val="subscript"/>
                      <w14:textFill>
                        <w14:solidFill>
                          <w14:schemeClr w14:val="tx1">
                            <w14:lumMod w14:val="95000"/>
                            <w14:lumOff w14:val="5000"/>
                          </w14:schemeClr>
                        </w14:solidFill>
                      </w14:textFill>
                    </w:rPr>
                    <w:t>2</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年平均质量浓度</w:t>
                  </w:r>
                </w:p>
              </w:tc>
              <w:tc>
                <w:tcPr>
                  <w:tcW w:w="1176"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eastAsia="宋体"/>
                      <w:bCs/>
                      <w:color w:val="0D0D0D" w:themeColor="text1" w:themeTint="F2"/>
                      <w:sz w:val="21"/>
                      <w:szCs w:val="21"/>
                      <w:highlight w:val="none"/>
                      <w:lang w:val="en-US" w:eastAsia="zh-CN"/>
                      <w14:textFill>
                        <w14:solidFill>
                          <w14:schemeClr w14:val="tx1">
                            <w14:lumMod w14:val="95000"/>
                            <w14:lumOff w14:val="5000"/>
                          </w14:schemeClr>
                        </w14:solidFill>
                      </w14:textFill>
                    </w:rPr>
                    <w:t>10</w:t>
                  </w:r>
                </w:p>
              </w:tc>
              <w:tc>
                <w:tcPr>
                  <w:tcW w:w="959"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60</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color w:val="0D0D0D" w:themeColor="text1" w:themeTint="F2"/>
                      <w:kern w:val="0"/>
                      <w:sz w:val="21"/>
                      <w:szCs w:val="21"/>
                      <w:highlight w:val="none"/>
                      <w:lang w:val="en-US" w:eastAsia="zh-CN" w:bidi="ar"/>
                      <w14:textFill>
                        <w14:solidFill>
                          <w14:schemeClr w14:val="tx1">
                            <w14:lumMod w14:val="95000"/>
                            <w14:lumOff w14:val="5000"/>
                          </w14:schemeClr>
                        </w14:solidFill>
                      </w14:textFill>
                    </w:rPr>
                    <w:t>17</w:t>
                  </w:r>
                </w:p>
              </w:tc>
              <w:tc>
                <w:tcPr>
                  <w:tcW w:w="1287"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NO</w:t>
                  </w:r>
                  <w:r>
                    <w:rPr>
                      <w:rFonts w:hint="default" w:ascii="Times New Roman" w:hAnsi="Times New Roman" w:cs="Times New Roman"/>
                      <w:color w:val="0D0D0D" w:themeColor="text1" w:themeTint="F2"/>
                      <w:sz w:val="21"/>
                      <w:szCs w:val="21"/>
                      <w:highlight w:val="none"/>
                      <w:u w:val="none" w:color="auto"/>
                      <w:vertAlign w:val="subscript"/>
                      <w14:textFill>
                        <w14:solidFill>
                          <w14:schemeClr w14:val="tx1">
                            <w14:lumMod w14:val="95000"/>
                            <w14:lumOff w14:val="5000"/>
                          </w14:schemeClr>
                        </w14:solidFill>
                      </w14:textFill>
                    </w:rPr>
                    <w:t>2</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年平均质量浓度</w:t>
                  </w:r>
                </w:p>
              </w:tc>
              <w:tc>
                <w:tcPr>
                  <w:tcW w:w="1176"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eastAsia="宋体"/>
                      <w:bCs/>
                      <w:color w:val="0D0D0D" w:themeColor="text1" w:themeTint="F2"/>
                      <w:sz w:val="21"/>
                      <w:szCs w:val="21"/>
                      <w:highlight w:val="none"/>
                      <w:lang w:val="en-US" w:eastAsia="zh-CN"/>
                      <w14:textFill>
                        <w14:solidFill>
                          <w14:schemeClr w14:val="tx1">
                            <w14:lumMod w14:val="95000"/>
                            <w14:lumOff w14:val="5000"/>
                          </w14:schemeClr>
                        </w14:solidFill>
                      </w14:textFill>
                    </w:rPr>
                    <w:t>1</w:t>
                  </w:r>
                  <w:r>
                    <w:rPr>
                      <w:rFonts w:hint="default" w:eastAsia="宋体"/>
                      <w:bCs/>
                      <w:color w:val="0D0D0D" w:themeColor="text1" w:themeTint="F2"/>
                      <w:sz w:val="21"/>
                      <w:szCs w:val="21"/>
                      <w:highlight w:val="none"/>
                      <w14:textFill>
                        <w14:solidFill>
                          <w14:schemeClr w14:val="tx1">
                            <w14:lumMod w14:val="95000"/>
                            <w14:lumOff w14:val="5000"/>
                          </w14:schemeClr>
                        </w14:solidFill>
                      </w14:textFill>
                    </w:rPr>
                    <w:t>7</w:t>
                  </w:r>
                </w:p>
              </w:tc>
              <w:tc>
                <w:tcPr>
                  <w:tcW w:w="959"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40</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color w:val="0D0D0D" w:themeColor="text1" w:themeTint="F2"/>
                      <w:kern w:val="0"/>
                      <w:sz w:val="21"/>
                      <w:szCs w:val="21"/>
                      <w:highlight w:val="none"/>
                      <w:lang w:val="en-US" w:eastAsia="zh-CN" w:bidi="ar"/>
                      <w14:textFill>
                        <w14:solidFill>
                          <w14:schemeClr w14:val="tx1">
                            <w14:lumMod w14:val="95000"/>
                            <w14:lumOff w14:val="5000"/>
                          </w14:schemeClr>
                        </w14:solidFill>
                      </w14:textFill>
                    </w:rPr>
                    <w:t>43</w:t>
                  </w:r>
                </w:p>
              </w:tc>
              <w:tc>
                <w:tcPr>
                  <w:tcW w:w="1287"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PM</w:t>
                  </w:r>
                  <w:r>
                    <w:rPr>
                      <w:rFonts w:hint="default" w:ascii="Times New Roman" w:hAnsi="Times New Roman" w:cs="Times New Roman"/>
                      <w:color w:val="0D0D0D" w:themeColor="text1" w:themeTint="F2"/>
                      <w:sz w:val="21"/>
                      <w:szCs w:val="21"/>
                      <w:highlight w:val="none"/>
                      <w:u w:val="none" w:color="auto"/>
                      <w:vertAlign w:val="subscript"/>
                      <w14:textFill>
                        <w14:solidFill>
                          <w14:schemeClr w14:val="tx1">
                            <w14:lumMod w14:val="95000"/>
                            <w14:lumOff w14:val="5000"/>
                          </w14:schemeClr>
                        </w14:solidFill>
                      </w14:textFill>
                    </w:rPr>
                    <w:t>10</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年平均质量浓度</w:t>
                  </w:r>
                </w:p>
              </w:tc>
              <w:tc>
                <w:tcPr>
                  <w:tcW w:w="1176"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eastAsia="宋体"/>
                      <w:bCs/>
                      <w:color w:val="0D0D0D" w:themeColor="text1" w:themeTint="F2"/>
                      <w:kern w:val="2"/>
                      <w:sz w:val="21"/>
                      <w:szCs w:val="21"/>
                      <w:highlight w:val="none"/>
                      <w:lang w:val="en-US" w:eastAsia="zh-CN"/>
                      <w14:textFill>
                        <w14:solidFill>
                          <w14:schemeClr w14:val="tx1">
                            <w14:lumMod w14:val="95000"/>
                            <w14:lumOff w14:val="5000"/>
                          </w14:schemeClr>
                        </w14:solidFill>
                      </w14:textFill>
                    </w:rPr>
                    <w:t>46</w:t>
                  </w:r>
                </w:p>
              </w:tc>
              <w:tc>
                <w:tcPr>
                  <w:tcW w:w="959"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70</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color w:val="0D0D0D" w:themeColor="text1" w:themeTint="F2"/>
                      <w:kern w:val="0"/>
                      <w:sz w:val="21"/>
                      <w:szCs w:val="21"/>
                      <w:highlight w:val="none"/>
                      <w:lang w:val="en-US" w:eastAsia="zh-CN" w:bidi="ar"/>
                      <w14:textFill>
                        <w14:solidFill>
                          <w14:schemeClr w14:val="tx1">
                            <w14:lumMod w14:val="95000"/>
                            <w14:lumOff w14:val="5000"/>
                          </w14:schemeClr>
                        </w14:solidFill>
                      </w14:textFill>
                    </w:rPr>
                    <w:t>66</w:t>
                  </w:r>
                </w:p>
              </w:tc>
              <w:tc>
                <w:tcPr>
                  <w:tcW w:w="1287"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P</w:t>
                  </w:r>
                  <w:r>
                    <w:rPr>
                      <w:rFonts w:hint="eastAsia"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t>M</w:t>
                  </w:r>
                  <w:r>
                    <w:rPr>
                      <w:rFonts w:hint="eastAsia" w:cs="Times New Roman"/>
                      <w:color w:val="0D0D0D" w:themeColor="text1" w:themeTint="F2"/>
                      <w:sz w:val="21"/>
                      <w:szCs w:val="21"/>
                      <w:highlight w:val="none"/>
                      <w:u w:val="none" w:color="auto"/>
                      <w:vertAlign w:val="subscript"/>
                      <w:lang w:val="en-US" w:eastAsia="zh-CN"/>
                      <w14:textFill>
                        <w14:solidFill>
                          <w14:schemeClr w14:val="tx1">
                            <w14:lumMod w14:val="95000"/>
                            <w14:lumOff w14:val="5000"/>
                          </w14:schemeClr>
                        </w14:solidFill>
                      </w14:textFill>
                    </w:rPr>
                    <w:t>2.5</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年平均质量浓度</w:t>
                  </w:r>
                </w:p>
              </w:tc>
              <w:tc>
                <w:tcPr>
                  <w:tcW w:w="117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t>34</w:t>
                  </w:r>
                </w:p>
              </w:tc>
              <w:tc>
                <w:tcPr>
                  <w:tcW w:w="959"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35</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D0D0D" w:themeColor="text1" w:themeTint="F2"/>
                      <w:sz w:val="21"/>
                      <w:szCs w:val="21"/>
                      <w:highlight w:val="none"/>
                      <w:u w:val="none" w:color="auto"/>
                      <w:lang w:val="en-US"/>
                      <w14:textFill>
                        <w14:solidFill>
                          <w14:schemeClr w14:val="tx1">
                            <w14:lumMod w14:val="95000"/>
                            <w14:lumOff w14:val="5000"/>
                          </w14:schemeClr>
                        </w14:solidFill>
                      </w14:textFill>
                    </w:rPr>
                  </w:pPr>
                  <w:r>
                    <w:rPr>
                      <w:rFonts w:hint="eastAsia" w:cs="Times New Roman"/>
                      <w:i w:val="0"/>
                      <w:color w:val="0D0D0D" w:themeColor="text1" w:themeTint="F2"/>
                      <w:kern w:val="0"/>
                      <w:sz w:val="21"/>
                      <w:szCs w:val="21"/>
                      <w:highlight w:val="none"/>
                      <w:u w:val="none" w:color="auto"/>
                      <w:lang w:val="en-US" w:eastAsia="zh-CN" w:bidi="ar"/>
                      <w14:textFill>
                        <w14:solidFill>
                          <w14:schemeClr w14:val="tx1">
                            <w14:lumMod w14:val="95000"/>
                            <w14:lumOff w14:val="5000"/>
                          </w14:schemeClr>
                        </w14:solidFill>
                      </w14:textFill>
                    </w:rPr>
                    <w:t>97</w:t>
                  </w:r>
                </w:p>
              </w:tc>
              <w:tc>
                <w:tcPr>
                  <w:tcW w:w="1287"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CO</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95%日平均质量浓度</w:t>
                  </w:r>
                </w:p>
              </w:tc>
              <w:tc>
                <w:tcPr>
                  <w:tcW w:w="117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t>1.1</w:t>
                  </w:r>
                </w:p>
              </w:tc>
              <w:tc>
                <w:tcPr>
                  <w:tcW w:w="959"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4</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D0D0D" w:themeColor="text1" w:themeTint="F2"/>
                      <w:sz w:val="21"/>
                      <w:szCs w:val="21"/>
                      <w:highlight w:val="none"/>
                      <w:u w:val="none" w:color="auto"/>
                      <w:lang w:val="en-US"/>
                      <w14:textFill>
                        <w14:solidFill>
                          <w14:schemeClr w14:val="tx1">
                            <w14:lumMod w14:val="95000"/>
                            <w14:lumOff w14:val="5000"/>
                          </w14:schemeClr>
                        </w14:solidFill>
                      </w14:textFill>
                    </w:rPr>
                  </w:pPr>
                  <w:r>
                    <w:rPr>
                      <w:rFonts w:hint="eastAsia" w:cs="Times New Roman"/>
                      <w:i w:val="0"/>
                      <w:color w:val="0D0D0D" w:themeColor="text1" w:themeTint="F2"/>
                      <w:kern w:val="0"/>
                      <w:sz w:val="21"/>
                      <w:szCs w:val="21"/>
                      <w:highlight w:val="none"/>
                      <w:u w:val="none" w:color="auto"/>
                      <w:lang w:val="en-US" w:eastAsia="zh-CN" w:bidi="ar"/>
                      <w14:textFill>
                        <w14:solidFill>
                          <w14:schemeClr w14:val="tx1">
                            <w14:lumMod w14:val="95000"/>
                            <w14:lumOff w14:val="5000"/>
                          </w14:schemeClr>
                        </w14:solidFill>
                      </w14:textFill>
                    </w:rPr>
                    <w:t>28</w:t>
                  </w:r>
                </w:p>
              </w:tc>
              <w:tc>
                <w:tcPr>
                  <w:tcW w:w="1287"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4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O</w:t>
                  </w:r>
                  <w:r>
                    <w:rPr>
                      <w:rFonts w:hint="default" w:ascii="Times New Roman" w:hAnsi="Times New Roman" w:cs="Times New Roman"/>
                      <w:color w:val="0D0D0D" w:themeColor="text1" w:themeTint="F2"/>
                      <w:sz w:val="21"/>
                      <w:szCs w:val="21"/>
                      <w:highlight w:val="none"/>
                      <w:u w:val="none" w:color="auto"/>
                      <w:vertAlign w:val="subscript"/>
                      <w14:textFill>
                        <w14:solidFill>
                          <w14:schemeClr w14:val="tx1">
                            <w14:lumMod w14:val="95000"/>
                            <w14:lumOff w14:val="5000"/>
                          </w14:schemeClr>
                        </w14:solidFill>
                      </w14:textFill>
                    </w:rPr>
                    <w:t>3</w:t>
                  </w:r>
                </w:p>
              </w:tc>
              <w:tc>
                <w:tcPr>
                  <w:tcW w:w="2292"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t>90%8h平均质量浓度</w:t>
                  </w:r>
                </w:p>
              </w:tc>
              <w:tc>
                <w:tcPr>
                  <w:tcW w:w="1176"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eastAsia="宋体"/>
                      <w:bCs/>
                      <w:color w:val="0D0D0D" w:themeColor="text1" w:themeTint="F2"/>
                      <w:sz w:val="21"/>
                      <w:szCs w:val="21"/>
                      <w:highlight w:val="none"/>
                      <w:lang w:val="en-US" w:eastAsia="zh-CN"/>
                      <w14:textFill>
                        <w14:solidFill>
                          <w14:schemeClr w14:val="tx1">
                            <w14:lumMod w14:val="95000"/>
                            <w14:lumOff w14:val="5000"/>
                          </w14:schemeClr>
                        </w14:solidFill>
                      </w14:textFill>
                    </w:rPr>
                    <w:t>150</w:t>
                  </w:r>
                </w:p>
              </w:tc>
              <w:tc>
                <w:tcPr>
                  <w:tcW w:w="959"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160</w:t>
                  </w:r>
                </w:p>
              </w:tc>
              <w:tc>
                <w:tcPr>
                  <w:tcW w:w="127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D0D0D" w:themeColor="text1" w:themeTint="F2"/>
                      <w:sz w:val="21"/>
                      <w:szCs w:val="21"/>
                      <w:highlight w:val="none"/>
                      <w:u w:val="none" w:color="auto"/>
                      <w:lang w:val="en-US" w:eastAsia="zh-CN"/>
                      <w14:textFill>
                        <w14:solidFill>
                          <w14:schemeClr w14:val="tx1">
                            <w14:lumMod w14:val="95000"/>
                            <w14:lumOff w14:val="5000"/>
                          </w14:schemeClr>
                        </w14:solidFill>
                      </w14:textFill>
                    </w:rPr>
                  </w:pPr>
                  <w:r>
                    <w:rPr>
                      <w:rFonts w:hint="eastAsia"/>
                      <w:color w:val="0D0D0D" w:themeColor="text1" w:themeTint="F2"/>
                      <w:kern w:val="0"/>
                      <w:sz w:val="21"/>
                      <w:szCs w:val="21"/>
                      <w:highlight w:val="none"/>
                      <w:lang w:val="en-US" w:eastAsia="zh-CN" w:bidi="ar"/>
                      <w14:textFill>
                        <w14:solidFill>
                          <w14:schemeClr w14:val="tx1">
                            <w14:lumMod w14:val="95000"/>
                            <w14:lumOff w14:val="5000"/>
                          </w14:schemeClr>
                        </w14:solidFill>
                      </w14:textFill>
                    </w:rPr>
                    <w:t>94</w:t>
                  </w:r>
                </w:p>
              </w:tc>
              <w:tc>
                <w:tcPr>
                  <w:tcW w:w="1287" w:type="dxa"/>
                  <w:tcBorders>
                    <w:tl2br w:val="nil"/>
                    <w:tr2bl w:val="nil"/>
                  </w:tcBorders>
                  <w:noWrap w:val="0"/>
                  <w:vAlign w:val="center"/>
                </w:tcPr>
                <w:p>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none" w:color="auto"/>
                      <w14:textFill>
                        <w14:solidFill>
                          <w14:schemeClr w14:val="tx1">
                            <w14:lumMod w14:val="95000"/>
                            <w14:lumOff w14:val="5000"/>
                          </w14:schemeClr>
                        </w14:solidFill>
                      </w14:textFill>
                    </w:rPr>
                  </w:pPr>
                  <w:r>
                    <w:rPr>
                      <w:rFonts w:hint="eastAsia" w:eastAsia="宋体"/>
                      <w:color w:val="0D0D0D" w:themeColor="text1" w:themeTint="F2"/>
                      <w:kern w:val="2"/>
                      <w:sz w:val="21"/>
                      <w:szCs w:val="21"/>
                      <w:highlight w:val="none"/>
                      <w14:textFill>
                        <w14:solidFill>
                          <w14:schemeClr w14:val="tx1">
                            <w14:lumMod w14:val="95000"/>
                            <w14:lumOff w14:val="5000"/>
                          </w14:schemeClr>
                        </w14:solidFill>
                      </w14:textFill>
                    </w:rPr>
                    <w:t>达标</w:t>
                  </w:r>
                </w:p>
              </w:tc>
            </w:tr>
          </w:tbl>
          <w:p>
            <w:pPr>
              <w:pStyle w:val="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80"/>
              <w:textAlignment w:val="auto"/>
              <w:rPr>
                <w:rFonts w:hint="default" w:ascii="Times New Roman" w:hAnsi="Times New Roman" w:eastAsia="宋体" w:cs="Times New Roman"/>
                <w:color w:val="0D0D0D" w:themeColor="text1" w:themeTint="F2"/>
                <w:sz w:val="24"/>
                <w:szCs w:val="24"/>
                <w:highlight w:val="none"/>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根据</w:t>
            </w:r>
            <w:r>
              <w:rPr>
                <w:rFonts w:hint="eastAsia" w:ascii="Times New Roman" w:hAnsi="Times New Roman" w:cs="Times New Roman"/>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上述</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数据可知，</w:t>
            </w:r>
            <w:r>
              <w:rPr>
                <w:rFonts w:hint="default" w:ascii="Times New Roman" w:hAnsi="Times New Roman" w:cs="Times New Roman"/>
                <w:color w:val="0D0D0D" w:themeColor="text1" w:themeTint="F2"/>
                <w:sz w:val="24"/>
                <w:szCs w:val="24"/>
                <w:highlight w:val="none"/>
                <w:u w:val="none" w:color="auto"/>
                <w:lang w:eastAsia="zh-CN"/>
                <w14:textFill>
                  <w14:solidFill>
                    <w14:schemeClr w14:val="tx1">
                      <w14:lumMod w14:val="95000"/>
                      <w14:lumOff w14:val="5000"/>
                    </w14:schemeClr>
                  </w14:solidFill>
                </w14:textFill>
              </w:rPr>
              <w:t>202</w:t>
            </w:r>
            <w:r>
              <w:rPr>
                <w:rFonts w:hint="eastAsia" w:cs="Times New Roman"/>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highlight w:val="none"/>
                <w:u w:val="none" w:color="auto"/>
                <w:lang w:eastAsia="zh-CN"/>
                <w14:textFill>
                  <w14:solidFill>
                    <w14:schemeClr w14:val="tx1">
                      <w14:lumMod w14:val="95000"/>
                      <w14:lumOff w14:val="5000"/>
                    </w14:schemeClr>
                  </w14:solidFill>
                </w14:textFill>
              </w:rPr>
              <w:t>年</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全</w:t>
            </w:r>
            <w:r>
              <w:rPr>
                <w:rFonts w:hint="eastAsia" w:ascii="Times New Roman" w:hAnsi="Times New Roman" w:cs="Times New Roman"/>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区</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SO</w:t>
            </w:r>
            <w:r>
              <w:rPr>
                <w:rFonts w:hint="default" w:ascii="Times New Roman" w:hAnsi="Times New Roman" w:cs="Times New Roman"/>
                <w:color w:val="0D0D0D" w:themeColor="text1" w:themeTint="F2"/>
                <w:sz w:val="24"/>
                <w:szCs w:val="24"/>
                <w:highlight w:val="none"/>
                <w:u w:val="none" w:color="auto"/>
                <w:vertAlign w:val="subscript"/>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、NO</w:t>
            </w:r>
            <w:r>
              <w:rPr>
                <w:rFonts w:hint="default" w:ascii="Times New Roman" w:hAnsi="Times New Roman" w:cs="Times New Roman"/>
                <w:color w:val="0D0D0D" w:themeColor="text1" w:themeTint="F2"/>
                <w:sz w:val="24"/>
                <w:szCs w:val="24"/>
                <w:highlight w:val="none"/>
                <w:u w:val="none" w:color="auto"/>
                <w:vertAlign w:val="subscript"/>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、CO、O</w:t>
            </w:r>
            <w:r>
              <w:rPr>
                <w:rFonts w:hint="default" w:ascii="Times New Roman" w:hAnsi="Times New Roman" w:cs="Times New Roman"/>
                <w:color w:val="0D0D0D" w:themeColor="text1" w:themeTint="F2"/>
                <w:sz w:val="24"/>
                <w:szCs w:val="24"/>
                <w:highlight w:val="none"/>
                <w:u w:val="none" w:color="auto"/>
                <w:vertAlign w:val="sub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、PM</w:t>
            </w:r>
            <w:r>
              <w:rPr>
                <w:rFonts w:hint="default" w:ascii="Times New Roman" w:hAnsi="Times New Roman" w:cs="Times New Roman"/>
                <w:color w:val="0D0D0D" w:themeColor="text1" w:themeTint="F2"/>
                <w:sz w:val="24"/>
                <w:szCs w:val="24"/>
                <w:highlight w:val="none"/>
                <w:u w:val="none" w:color="auto"/>
                <w:vertAlign w:val="subscript"/>
                <w14:textFill>
                  <w14:solidFill>
                    <w14:schemeClr w14:val="tx1">
                      <w14:lumMod w14:val="95000"/>
                      <w14:lumOff w14:val="5000"/>
                    </w14:schemeClr>
                  </w14:solidFill>
                </w14:textFill>
              </w:rPr>
              <w:t>10</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、P</w:t>
            </w:r>
            <w:r>
              <w:rPr>
                <w:rFonts w:hint="eastAsia" w:cs="Times New Roman"/>
                <w:color w:val="0D0D0D" w:themeColor="text1" w:themeTint="F2"/>
                <w:sz w:val="24"/>
                <w:szCs w:val="24"/>
                <w:highlight w:val="none"/>
                <w:u w:val="none" w:color="auto"/>
                <w:lang w:val="en-US" w:eastAsia="zh-CN"/>
                <w14:textFill>
                  <w14:solidFill>
                    <w14:schemeClr w14:val="tx1">
                      <w14:lumMod w14:val="95000"/>
                      <w14:lumOff w14:val="5000"/>
                    </w14:schemeClr>
                  </w14:solidFill>
                </w14:textFill>
              </w:rPr>
              <w:t>M</w:t>
            </w:r>
            <w:r>
              <w:rPr>
                <w:rFonts w:hint="eastAsia" w:cs="Times New Roman"/>
                <w:color w:val="0D0D0D" w:themeColor="text1" w:themeTint="F2"/>
                <w:sz w:val="24"/>
                <w:szCs w:val="24"/>
                <w:highlight w:val="none"/>
                <w:u w:val="none" w:color="auto"/>
                <w:vertAlign w:val="subscript"/>
                <w:lang w:val="en-US" w:eastAsia="zh-CN"/>
                <w14:textFill>
                  <w14:solidFill>
                    <w14:schemeClr w14:val="tx1">
                      <w14:lumMod w14:val="95000"/>
                      <w14:lumOff w14:val="5000"/>
                    </w14:schemeClr>
                  </w14:solidFill>
                </w14:textFill>
              </w:rPr>
              <w:t>2.5</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年平均质量浓满足《环境空气质量标准》</w:t>
            </w:r>
            <w:r>
              <w:rPr>
                <w:rFonts w:hint="eastAsia" w:ascii="Times New Roman" w:hAnsi="Times New Roman" w:cs="Times New Roman"/>
                <w:color w:val="0D0D0D" w:themeColor="text1" w:themeTint="F2"/>
                <w:sz w:val="24"/>
                <w:szCs w:val="24"/>
                <w:highlight w:val="none"/>
                <w:u w:val="none" w:color="auto"/>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highlight w:val="none"/>
                <w:u w:val="none" w:color="auto"/>
                <w14:textFill>
                  <w14:solidFill>
                    <w14:schemeClr w14:val="tx1">
                      <w14:lumMod w14:val="95000"/>
                      <w14:lumOff w14:val="5000"/>
                    </w14:schemeClr>
                  </w14:solidFill>
                </w14:textFill>
              </w:rPr>
              <w:t>GB3095</w:t>
            </w:r>
            <w:r>
              <w:rPr>
                <w:rFonts w:hint="default" w:ascii="Times New Roman" w:hAnsi="Times New Roman" w:eastAsia="宋体" w:cs="Times New Roman"/>
                <w:color w:val="0D0D0D" w:themeColor="text1" w:themeTint="F2"/>
                <w:sz w:val="24"/>
                <w:szCs w:val="24"/>
                <w:highlight w:val="none"/>
                <w:u w:val="none"/>
                <w14:textFill>
                  <w14:solidFill>
                    <w14:schemeClr w14:val="tx1">
                      <w14:lumMod w14:val="95000"/>
                      <w14:lumOff w14:val="5000"/>
                    </w14:schemeClr>
                  </w14:solidFill>
                </w14:textFill>
              </w:rPr>
              <w:t>-2012</w:t>
            </w:r>
            <w:r>
              <w:rPr>
                <w:rFonts w:hint="eastAsia" w:ascii="Times New Roman" w:hAnsi="Times New Roman" w:eastAsia="宋体"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及其修改单中</w:t>
            </w:r>
            <w:r>
              <w:rPr>
                <w:rFonts w:hint="default" w:ascii="Times New Roman" w:hAnsi="Times New Roman" w:eastAsia="宋体" w:cs="Times New Roman"/>
                <w:color w:val="0D0D0D" w:themeColor="text1" w:themeTint="F2"/>
                <w:sz w:val="24"/>
                <w:szCs w:val="24"/>
                <w:highlight w:val="none"/>
                <w:u w:val="none"/>
                <w14:textFill>
                  <w14:solidFill>
                    <w14:schemeClr w14:val="tx1">
                      <w14:lumMod w14:val="95000"/>
                      <w14:lumOff w14:val="5000"/>
                    </w14:schemeClr>
                  </w14:solidFill>
                </w14:textFill>
              </w:rPr>
              <w:t>二级标准要求，因此，可判定</w:t>
            </w:r>
            <w:r>
              <w:rPr>
                <w:rFonts w:hint="eastAsia" w:ascii="Times New Roman" w:hAnsi="Times New Roman" w:eastAsia="宋体"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零陵区</w:t>
            </w:r>
            <w:r>
              <w:rPr>
                <w:rFonts w:hint="default" w:ascii="Times New Roman" w:hAnsi="Times New Roman" w:eastAsia="宋体" w:cs="Times New Roman"/>
                <w:color w:val="0D0D0D" w:themeColor="text1" w:themeTint="F2"/>
                <w:sz w:val="24"/>
                <w:szCs w:val="24"/>
                <w:highlight w:val="none"/>
                <w:u w:val="none"/>
                <w14:textFill>
                  <w14:solidFill>
                    <w14:schemeClr w14:val="tx1">
                      <w14:lumMod w14:val="95000"/>
                      <w14:lumOff w14:val="5000"/>
                    </w14:schemeClr>
                  </w14:solidFill>
                </w14:textFill>
              </w:rPr>
              <w:t>大气环境属于达标区</w:t>
            </w:r>
            <w:r>
              <w:rPr>
                <w:rFonts w:hint="eastAsia" w:cs="Times New Roman"/>
                <w:color w:val="0D0D0D" w:themeColor="text1" w:themeTint="F2"/>
                <w:sz w:val="24"/>
                <w:szCs w:val="24"/>
                <w:highlight w:val="none"/>
                <w:u w:val="none"/>
                <w:lang w:val="en-US" w:eastAsia="zh-CN"/>
                <w14:textFill>
                  <w14:solidFill>
                    <w14:schemeClr w14:val="tx1">
                      <w14:lumMod w14:val="95000"/>
                      <w14:lumOff w14:val="5000"/>
                    </w14:schemeClr>
                  </w14:solidFill>
                </w14:textFill>
              </w:rPr>
              <w:t>域</w:t>
            </w:r>
            <w:r>
              <w:rPr>
                <w:rFonts w:hint="default" w:ascii="Times New Roman" w:hAnsi="Times New Roman" w:eastAsia="宋体"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2</w:t>
            </w:r>
            <w:r>
              <w:rPr>
                <w:rFonts w:hint="eastAsia"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其他污染物</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3" w:firstLineChars="193"/>
              <w:jc w:val="left"/>
              <w:textAlignment w:val="auto"/>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bookmarkStart w:id="10" w:name="_Toc16922"/>
            <w:r>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本扩建项目大气环境污染涉及的特征污染物为非甲烷总烃。</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3" w:firstLineChars="193"/>
              <w:jc w:val="left"/>
              <w:textAlignment w:val="auto"/>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非甲烷总烃引用由湖南精科检测有限公司对《永州市凯越拆解有限公司永州市凯越报废汽车回收拆解项目》的监测数据，监测时间为2022年1月18-24日，永州市凯越拆解有限公司位于本扩建项目北侧 1956m 处，处于本扩建项目周边5km范围内，引用数据可行。监测结果见表 3-2。永州市凯越拆解有限公司位于湖南省永州市零陵区富家桥镇何家坪村 9 组，在本扩建项目北面约1956m处，具体如下：</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3" w:firstLineChars="193"/>
              <w:jc w:val="left"/>
              <w:textAlignment w:val="auto"/>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监测点位：当季主导风向下风向50m处；</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3" w:firstLineChars="193"/>
              <w:jc w:val="left"/>
              <w:textAlignment w:val="auto"/>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监测因子：非甲烷总烃；</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3" w:firstLineChars="193"/>
              <w:jc w:val="left"/>
              <w:textAlignment w:val="auto"/>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stheme="minorEastAsia"/>
                <w:b w:val="0"/>
                <w:bCs w:val="0"/>
                <w:color w:val="0D0D0D" w:themeColor="text1" w:themeTint="F2"/>
                <w:sz w:val="24"/>
                <w:szCs w:val="24"/>
                <w:highlight w:val="none"/>
                <w:u w:val="single"/>
                <w:lang w:val="en-US" w:eastAsia="zh-CN"/>
                <w14:textFill>
                  <w14:solidFill>
                    <w14:schemeClr w14:val="tx1">
                      <w14:lumMod w14:val="95000"/>
                      <w14:lumOff w14:val="5000"/>
                    </w14:schemeClr>
                  </w14:solidFill>
                </w14:textFill>
              </w:rPr>
              <w:t>监测结果见表 3-2。</w:t>
            </w:r>
          </w:p>
          <w:p>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color w:val="0D0D0D" w:themeColor="text1" w:themeTint="F2"/>
                <w:sz w:val="21"/>
                <w:szCs w:val="21"/>
                <w:highlight w:val="none"/>
                <w:u w:val="single"/>
                <w14:textFill>
                  <w14:solidFill>
                    <w14:schemeClr w14:val="tx1">
                      <w14:lumMod w14:val="95000"/>
                      <w14:lumOff w14:val="5000"/>
                    </w14:schemeClr>
                  </w14:solidFill>
                </w14:textFill>
              </w:rPr>
            </w:pPr>
            <w:r>
              <w:rPr>
                <w:rFonts w:hint="eastAsia" w:asciiTheme="minorEastAsia" w:hAnsiTheme="minorEastAsia" w:eastAsiaTheme="minorEastAsia" w:cstheme="minorEastAsia"/>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表 3-2 其他污染物环境空气质量监测结果一览表</w:t>
            </w:r>
          </w:p>
          <w:tbl>
            <w:tblPr>
              <w:tblStyle w:val="32"/>
              <w:tblW w:w="8098" w:type="dxa"/>
              <w:tblInd w:w="-7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970"/>
              <w:gridCol w:w="1000"/>
              <w:gridCol w:w="1180"/>
              <w:gridCol w:w="1100"/>
              <w:gridCol w:w="810"/>
              <w:gridCol w:w="840"/>
              <w:gridCol w:w="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127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监测点位</w:t>
                  </w:r>
                </w:p>
              </w:tc>
              <w:tc>
                <w:tcPr>
                  <w:tcW w:w="97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污染物</w:t>
                  </w:r>
                </w:p>
              </w:tc>
              <w:tc>
                <w:tcPr>
                  <w:tcW w:w="100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b/>
                      <w:bCs/>
                      <w:color w:val="0D0D0D" w:themeColor="text1" w:themeTint="F2"/>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浓度范围</w:t>
                  </w:r>
                </w:p>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mg/m</w:t>
                  </w:r>
                  <w:r>
                    <w:rPr>
                      <w:rFonts w:hint="default" w:ascii="Times New Roman" w:hAnsi="Times New Roman" w:eastAsia="宋体" w:cs="Times New Roman"/>
                      <w:b/>
                      <w:bCs/>
                      <w:color w:val="0D0D0D" w:themeColor="text1" w:themeTint="F2"/>
                      <w:kern w:val="0"/>
                      <w:sz w:val="14"/>
                      <w:szCs w:val="14"/>
                      <w:highlight w:val="none"/>
                      <w:u w:val="single"/>
                      <w:vertAlign w:val="superscript"/>
                      <w:lang w:val="en-US" w:eastAsia="zh-CN" w:bidi="ar"/>
                      <w14:textFill>
                        <w14:solidFill>
                          <w14:schemeClr w14:val="tx1">
                            <w14:lumMod w14:val="95000"/>
                            <w14:lumOff w14:val="5000"/>
                          </w14:schemeClr>
                        </w14:solidFill>
                      </w14:textFill>
                    </w:rPr>
                    <w:t>3</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18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平均值（</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mg/m</w:t>
                  </w:r>
                  <w:r>
                    <w:rPr>
                      <w:rFonts w:hint="default" w:ascii="Times New Roman" w:hAnsi="Times New Roman" w:eastAsia="宋体" w:cs="Times New Roman"/>
                      <w:b/>
                      <w:bCs/>
                      <w:color w:val="0D0D0D" w:themeColor="text1" w:themeTint="F2"/>
                      <w:kern w:val="0"/>
                      <w:sz w:val="14"/>
                      <w:szCs w:val="14"/>
                      <w:highlight w:val="none"/>
                      <w:u w:val="single"/>
                      <w:vertAlign w:val="superscript"/>
                      <w:lang w:val="en-US" w:eastAsia="zh-CN" w:bidi="ar"/>
                      <w14:textFill>
                        <w14:solidFill>
                          <w14:schemeClr w14:val="tx1">
                            <w14:lumMod w14:val="95000"/>
                            <w14:lumOff w14:val="5000"/>
                          </w14:schemeClr>
                        </w14:solidFill>
                      </w14:textFill>
                    </w:rPr>
                    <w:t>3</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10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标准值（</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mg/m</w:t>
                  </w:r>
                  <w:r>
                    <w:rPr>
                      <w:rFonts w:hint="default" w:ascii="Times New Roman" w:hAnsi="Times New Roman" w:eastAsia="宋体" w:cs="Times New Roman"/>
                      <w:b/>
                      <w:bCs/>
                      <w:color w:val="0D0D0D" w:themeColor="text1" w:themeTint="F2"/>
                      <w:kern w:val="0"/>
                      <w:sz w:val="14"/>
                      <w:szCs w:val="14"/>
                      <w:highlight w:val="none"/>
                      <w:u w:val="single"/>
                      <w:vertAlign w:val="superscript"/>
                      <w:lang w:val="en-US" w:eastAsia="zh-CN" w:bidi="ar"/>
                      <w14:textFill>
                        <w14:solidFill>
                          <w14:schemeClr w14:val="tx1">
                            <w14:lumMod w14:val="95000"/>
                            <w14:lumOff w14:val="5000"/>
                          </w14:schemeClr>
                        </w14:solidFill>
                      </w14:textFill>
                    </w:rPr>
                    <w:t>3</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81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最大超标倍数</w:t>
                  </w:r>
                </w:p>
              </w:tc>
              <w:tc>
                <w:tcPr>
                  <w:tcW w:w="84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b/>
                      <w:bCs/>
                      <w:color w:val="0D0D0D" w:themeColor="text1" w:themeTint="F2"/>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超标率</w:t>
                  </w:r>
                </w:p>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928"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27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G1厂界下风向处（位于</w:t>
                  </w:r>
                  <w:r>
                    <w:rPr>
                      <w:rFonts w:hint="eastAsia"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西北面约1</w:t>
                  </w:r>
                  <w:r>
                    <w:rPr>
                      <w:rFonts w:hint="eastAsia"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9</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5</w:t>
                  </w:r>
                  <w:r>
                    <w:rPr>
                      <w:rFonts w:hint="eastAsia"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6</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m处）</w:t>
                  </w:r>
                </w:p>
              </w:tc>
              <w:tc>
                <w:tcPr>
                  <w:tcW w:w="97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非甲烷总烃</w:t>
                  </w:r>
                </w:p>
              </w:tc>
              <w:tc>
                <w:tcPr>
                  <w:tcW w:w="100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1.63</w:t>
                  </w: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1.74</w:t>
                  </w:r>
                </w:p>
              </w:tc>
              <w:tc>
                <w:tcPr>
                  <w:tcW w:w="118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1.69</w:t>
                  </w:r>
                </w:p>
              </w:tc>
              <w:tc>
                <w:tcPr>
                  <w:tcW w:w="110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2.0</w:t>
                  </w:r>
                </w:p>
              </w:tc>
              <w:tc>
                <w:tcPr>
                  <w:tcW w:w="81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t>0</w:t>
                  </w:r>
                </w:p>
              </w:tc>
              <w:tc>
                <w:tcPr>
                  <w:tcW w:w="840"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t>0</w:t>
                  </w:r>
                </w:p>
              </w:tc>
              <w:tc>
                <w:tcPr>
                  <w:tcW w:w="928" w:type="dxa"/>
                  <w:tcBorders>
                    <w:tl2br w:val="nil"/>
                    <w:tr2bl w:val="nil"/>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color w:val="0D0D0D" w:themeColor="text1" w:themeTint="F2"/>
                      <w:kern w:val="0"/>
                      <w:sz w:val="21"/>
                      <w:szCs w:val="21"/>
                      <w:highlight w:val="none"/>
                      <w:u w:val="single"/>
                      <w:vertAlign w:val="baselin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达标</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eastAsia" w:ascii="宋体" w:hAnsi="宋体" w:eastAsia="宋体" w:cs="宋体"/>
                <w:color w:val="0D0D0D" w:themeColor="text1" w:themeTint="F2"/>
                <w:kern w:val="0"/>
                <w:sz w:val="24"/>
                <w:szCs w:val="24"/>
                <w:highlight w:val="non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highlight w:val="none"/>
                <w:u w:val="single"/>
                <w:lang w:val="en-US" w:eastAsia="zh-CN" w:bidi="ar"/>
                <w14:textFill>
                  <w14:solidFill>
                    <w14:schemeClr w14:val="tx1">
                      <w14:lumMod w14:val="95000"/>
                      <w14:lumOff w14:val="5000"/>
                    </w14:schemeClr>
                  </w14:solidFill>
                </w14:textFill>
              </w:rPr>
              <w:t>由上表可知，项目所在区域非甲烷总烃监测浓度参照《环境空气质量非甲烷总烃限值》（DB13/1577-2012）表 1 环境空气中非甲烷总烃浓度限值中二级标准 2.0mg/m</w:t>
            </w:r>
            <w:r>
              <w:rPr>
                <w:rFonts w:hint="eastAsia" w:ascii="宋体" w:hAnsi="宋体" w:eastAsia="宋体" w:cs="宋体"/>
                <w:color w:val="0D0D0D" w:themeColor="text1" w:themeTint="F2"/>
                <w:kern w:val="0"/>
                <w:sz w:val="24"/>
                <w:szCs w:val="24"/>
                <w:highlight w:val="none"/>
                <w:u w:val="single"/>
                <w:vertAlign w:val="superscript"/>
                <w:lang w:val="en-US" w:eastAsia="zh-CN" w:bidi="ar"/>
                <w14:textFill>
                  <w14:solidFill>
                    <w14:schemeClr w14:val="tx1">
                      <w14:lumMod w14:val="95000"/>
                      <w14:lumOff w14:val="5000"/>
                    </w14:schemeClr>
                  </w14:solidFill>
                </w14:textFill>
              </w:rPr>
              <w:t>3</w:t>
            </w:r>
            <w:r>
              <w:rPr>
                <w:rFonts w:hint="eastAsia" w:ascii="宋体" w:hAnsi="宋体" w:eastAsia="宋体" w:cs="宋体"/>
                <w:color w:val="0D0D0D" w:themeColor="text1" w:themeTint="F2"/>
                <w:kern w:val="0"/>
                <w:sz w:val="24"/>
                <w:szCs w:val="24"/>
                <w:highlight w:val="none"/>
                <w:u w:val="single"/>
                <w:lang w:val="en-US" w:eastAsia="zh-CN" w:bidi="ar"/>
                <w14:textFill>
                  <w14:solidFill>
                    <w14:schemeClr w14:val="tx1">
                      <w14:lumMod w14:val="95000"/>
                      <w14:lumOff w14:val="5000"/>
                    </w14:schemeClr>
                  </w14:solidFill>
                </w14:textFill>
              </w:rPr>
              <w:t>，故非甲烷总烃监测浓度满足环境空气质量浓度限值。</w:t>
            </w:r>
          </w:p>
          <w:p>
            <w:pPr>
              <w:pStyle w:val="5"/>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65" w:firstLineChars="193"/>
              <w:jc w:val="left"/>
              <w:textAlignment w:val="auto"/>
              <w:rPr>
                <w:rFonts w:hint="eastAsia" w:ascii="宋体" w:hAnsi="宋体" w:eastAsia="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t>2、地表水环境质量现状评价</w:t>
            </w:r>
            <w:bookmarkEnd w:id="10"/>
          </w:p>
          <w:p>
            <w:pPr>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right="0" w:firstLine="480" w:firstLineChars="200"/>
              <w:textAlignment w:val="auto"/>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t>根据永州市生态环境局发布的2023年1月份《永州市环境质量简报》，永州市地表水环境质量状况如下：</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t>2023年1月永州市的40个省控地表水断面水质状况（16个国控断面中仅4个断面开展监测）：Ⅰ类水质断面6个、Ⅱ类水质断面33个、Ⅳ类水质断面1个。</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t>Ⅰ类水质断面6个：曹家滩、紫良乡野狗岭、东西河汇合处、蚣坝河入潇水口、仁和坝、水市水库。</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t>Ⅱ类水质断面33个：归阳镇、双牌水库、诸葛庙、湘江伍家组、老埠头、曲河、黄阳司、茅竹镇滴水、浯溪水厂（杨梅岩）、祁阳观音滩、普济桥、珠山镇蒿草塘村、码市、涔天河水库上游1000米、江华县水厂（鱼塘坡）、道县水厂、东洲山、江村镇江村渡口、双牌县饮用水源地、五里牌、异蛇山庄、南津渡水厂、大坪坳水库（江永县水厂）、宜江入潇水口、宁远县水厂、泠江入宁远河口、柑子园镇周邝村、黄花河入白河口、所城、候背电站、蓝山县水厂（汇源源峰村）、金陵水库、大历县村。</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color w:val="0D0D0D" w:themeColor="text1" w:themeTint="F2"/>
                <w:sz w:val="24"/>
                <w:szCs w:val="24"/>
                <w:highlight w:val="none"/>
                <w:lang w:val="en-US" w:eastAsia="zh-CN"/>
                <w14:textFill>
                  <w14:solidFill>
                    <w14:schemeClr w14:val="tx1">
                      <w14:lumMod w14:val="95000"/>
                      <w14:lumOff w14:val="5000"/>
                    </w14:schemeClr>
                  </w14:solidFill>
                </w14:textFill>
              </w:rPr>
              <w:t>Ⅳ类水质断面1个：祁水入湘江口。</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sz w:val="24"/>
                <w:szCs w:val="24"/>
                <w:highlight w:val="none"/>
                <w:u w:val="singl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u w:val="single"/>
                <w:lang w:val="en-US" w:eastAsia="zh-CN"/>
                <w14:textFill>
                  <w14:solidFill>
                    <w14:schemeClr w14:val="tx1">
                      <w14:lumMod w14:val="95000"/>
                      <w14:lumOff w14:val="5000"/>
                    </w14:schemeClr>
                  </w14:solidFill>
                </w14:textFill>
              </w:rPr>
              <w:t>本扩建项目</w:t>
            </w:r>
            <w:r>
              <w:rPr>
                <w:rFonts w:hint="default"/>
                <w:color w:val="0D0D0D" w:themeColor="text1" w:themeTint="F2"/>
                <w:sz w:val="24"/>
                <w:szCs w:val="24"/>
                <w:highlight w:val="none"/>
                <w:u w:val="single"/>
                <w:lang w:val="en-US" w:eastAsia="zh-CN"/>
                <w14:textFill>
                  <w14:solidFill>
                    <w14:schemeClr w14:val="tx1">
                      <w14:lumMod w14:val="95000"/>
                      <w14:lumOff w14:val="5000"/>
                    </w14:schemeClr>
                  </w14:solidFill>
                </w14:textFill>
              </w:rPr>
              <w:t>无废水外排，位于潇水左岸</w:t>
            </w:r>
            <w:r>
              <w:rPr>
                <w:rFonts w:hint="eastAsia"/>
                <w:color w:val="0D0D0D" w:themeColor="text1" w:themeTint="F2"/>
                <w:sz w:val="24"/>
                <w:szCs w:val="24"/>
                <w:highlight w:val="none"/>
                <w:u w:val="single"/>
                <w:lang w:val="en-US" w:eastAsia="zh-CN"/>
                <w14:textFill>
                  <w14:solidFill>
                    <w14:schemeClr w14:val="tx1">
                      <w14:lumMod w14:val="95000"/>
                      <w14:lumOff w14:val="5000"/>
                    </w14:schemeClr>
                  </w14:solidFill>
                </w14:textFill>
              </w:rPr>
              <w:t>，</w:t>
            </w:r>
            <w:r>
              <w:rPr>
                <w:rFonts w:hint="default"/>
                <w:color w:val="0D0D0D" w:themeColor="text1" w:themeTint="F2"/>
                <w:sz w:val="24"/>
                <w:szCs w:val="24"/>
                <w:highlight w:val="none"/>
                <w:u w:val="single"/>
                <w:lang w:val="en-US" w:eastAsia="zh-CN"/>
                <w14:textFill>
                  <w14:solidFill>
                    <w14:schemeClr w14:val="tx1">
                      <w14:lumMod w14:val="95000"/>
                      <w14:lumOff w14:val="5000"/>
                    </w14:schemeClr>
                  </w14:solidFill>
                </w14:textFill>
              </w:rPr>
              <w:t>双牌水库断面与诸葛庙断面之间。双牌水库、诸葛庙均属于Ⅱ类水质断面，故项目所在区域地表水环境质量良好。</w:t>
            </w:r>
          </w:p>
          <w:p>
            <w:pPr>
              <w:keepNext w:val="0"/>
              <w:keepLines w:val="0"/>
              <w:suppressLineNumbers w:val="0"/>
              <w:spacing w:before="0" w:beforeAutospacing="0" w:after="0" w:afterAutospacing="0" w:line="360" w:lineRule="auto"/>
              <w:ind w:left="0" w:right="0" w:firstLine="482" w:firstLineChars="200"/>
              <w:rPr>
                <w:rFonts w:hint="default"/>
                <w:b/>
                <w:bCs/>
                <w:color w:val="0D0D0D" w:themeColor="text1" w:themeTint="F2"/>
                <w:sz w:val="24"/>
                <w:highlight w:val="none"/>
                <w:u w:val="none"/>
                <w14:textFill>
                  <w14:solidFill>
                    <w14:schemeClr w14:val="tx1">
                      <w14:lumMod w14:val="95000"/>
                      <w14:lumOff w14:val="5000"/>
                    </w14:schemeClr>
                  </w14:solidFill>
                </w14:textFill>
              </w:rPr>
            </w:pPr>
            <w:r>
              <w:rPr>
                <w:rFonts w:hint="default"/>
                <w:b/>
                <w:bCs/>
                <w:color w:val="0D0D0D" w:themeColor="text1" w:themeTint="F2"/>
                <w:sz w:val="24"/>
                <w:highlight w:val="none"/>
                <w:u w:val="none"/>
                <w14:textFill>
                  <w14:solidFill>
                    <w14:schemeClr w14:val="tx1">
                      <w14:lumMod w14:val="95000"/>
                      <w14:lumOff w14:val="5000"/>
                    </w14:schemeClr>
                  </w14:solidFill>
                </w14:textFill>
              </w:rPr>
              <w:t>3、声环境现状评价</w:t>
            </w:r>
          </w:p>
          <w:p>
            <w:pPr>
              <w:pStyle w:val="7"/>
              <w:keepNext w:val="0"/>
              <w:keepLines w:val="0"/>
              <w:suppressLineNumbers w:val="0"/>
              <w:spacing w:beforeAutospacing="0" w:afterAutospacing="0" w:line="360" w:lineRule="auto"/>
              <w:ind w:left="0" w:firstLine="480" w:firstLineChars="200"/>
              <w:rPr>
                <w:rFonts w:hint="eastAsia"/>
                <w:color w:val="0D0D0D" w:themeColor="text1" w:themeTint="F2"/>
                <w:sz w:val="24"/>
                <w:highlight w:val="none"/>
                <w:u w:val="none"/>
                <w14:textFill>
                  <w14:solidFill>
                    <w14:schemeClr w14:val="tx1">
                      <w14:lumMod w14:val="95000"/>
                      <w14:lumOff w14:val="5000"/>
                    </w14:schemeClr>
                  </w14:solidFill>
                </w14:textFill>
              </w:rPr>
            </w:pPr>
            <w:r>
              <w:rPr>
                <w:rFonts w:hint="eastAsia"/>
                <w:color w:val="0D0D0D" w:themeColor="text1" w:themeTint="F2"/>
                <w:sz w:val="24"/>
                <w:highlight w:val="none"/>
                <w:u w:val="none"/>
                <w14:textFill>
                  <w14:solidFill>
                    <w14:schemeClr w14:val="tx1">
                      <w14:lumMod w14:val="95000"/>
                      <w14:lumOff w14:val="5000"/>
                    </w14:schemeClr>
                  </w14:solidFill>
                </w14:textFill>
              </w:rPr>
              <w:t>根据《建设项目环境影响报告表编制技术指南（污染影响类）（试行）》要求，本项目厂界外50m范围内不存在声环境保护目标，不进行声环境质量现状监测，区域声环境质量一般。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98" w:firstLineChars="200"/>
              <w:textAlignment w:val="auto"/>
              <w:rPr>
                <w:rFonts w:hint="default"/>
                <w:b/>
                <w:bCs/>
                <w:color w:val="0D0D0D" w:themeColor="text1" w:themeTint="F2"/>
                <w:sz w:val="24"/>
                <w:highlight w:val="none"/>
                <w14:textFill>
                  <w14:solidFill>
                    <w14:schemeClr w14:val="tx1">
                      <w14:lumMod w14:val="95000"/>
                      <w14:lumOff w14:val="5000"/>
                    </w14:schemeClr>
                  </w14:solidFill>
                </w14:textFill>
              </w:rPr>
            </w:pPr>
            <w:r>
              <w:rPr>
                <w:rFonts w:hint="eastAsia"/>
                <w:b/>
                <w:color w:val="0D0D0D" w:themeColor="text1" w:themeTint="F2"/>
                <w:spacing w:val="4"/>
                <w:sz w:val="24"/>
                <w:highlight w:val="none"/>
                <w14:textFill>
                  <w14:solidFill>
                    <w14:schemeClr w14:val="tx1">
                      <w14:lumMod w14:val="95000"/>
                      <w14:lumOff w14:val="5000"/>
                    </w14:schemeClr>
                  </w14:solidFill>
                </w14:textFill>
              </w:rPr>
              <w:t>4</w:t>
            </w:r>
            <w:r>
              <w:rPr>
                <w:rFonts w:hint="default"/>
                <w:b/>
                <w:color w:val="0D0D0D" w:themeColor="text1" w:themeTint="F2"/>
                <w:spacing w:val="4"/>
                <w:sz w:val="24"/>
                <w:highlight w:val="none"/>
                <w14:textFill>
                  <w14:solidFill>
                    <w14:schemeClr w14:val="tx1">
                      <w14:lumMod w14:val="95000"/>
                      <w14:lumOff w14:val="5000"/>
                    </w14:schemeClr>
                  </w14:solidFill>
                </w14:textFill>
              </w:rPr>
              <w:t>、</w:t>
            </w:r>
            <w:r>
              <w:rPr>
                <w:rFonts w:hint="default"/>
                <w:b/>
                <w:bCs/>
                <w:color w:val="0D0D0D" w:themeColor="text1" w:themeTint="F2"/>
                <w:sz w:val="24"/>
                <w:highlight w:val="none"/>
                <w14:textFill>
                  <w14:solidFill>
                    <w14:schemeClr w14:val="tx1">
                      <w14:lumMod w14:val="95000"/>
                      <w14:lumOff w14:val="5000"/>
                    </w14:schemeClr>
                  </w14:solidFill>
                </w14:textFill>
              </w:rPr>
              <w:t>地下水及土壤环境</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kern w:val="0"/>
                <w:sz w:val="24"/>
                <w:szCs w:val="20"/>
                <w:highlight w:val="none"/>
                <w14:textFill>
                  <w14:solidFill>
                    <w14:schemeClr w14:val="tx1">
                      <w14:lumMod w14:val="95000"/>
                      <w14:lumOff w14:val="5000"/>
                    </w14:schemeClr>
                  </w14:solidFill>
                </w14:textFill>
              </w:rPr>
            </w:pPr>
            <w:r>
              <w:rPr>
                <w:rFonts w:hint="eastAsia"/>
                <w:color w:val="0D0D0D" w:themeColor="text1" w:themeTint="F2"/>
                <w:kern w:val="0"/>
                <w:sz w:val="24"/>
                <w:szCs w:val="20"/>
                <w:highlight w:val="none"/>
                <w14:textFill>
                  <w14:solidFill>
                    <w14:schemeClr w14:val="tx1">
                      <w14:lumMod w14:val="95000"/>
                      <w14:lumOff w14:val="5000"/>
                    </w14:schemeClr>
                  </w14:solidFill>
                </w14:textFill>
              </w:rPr>
              <w:t>根据生态环境部办公厅</w:t>
            </w:r>
            <w:r>
              <w:rPr>
                <w:rFonts w:hint="default"/>
                <w:color w:val="0D0D0D" w:themeColor="text1" w:themeTint="F2"/>
                <w:kern w:val="0"/>
                <w:sz w:val="24"/>
                <w:szCs w:val="20"/>
                <w:highlight w:val="none"/>
                <w14:textFill>
                  <w14:solidFill>
                    <w14:schemeClr w14:val="tx1">
                      <w14:lumMod w14:val="95000"/>
                      <w14:lumOff w14:val="5000"/>
                    </w14:schemeClr>
                  </w14:solidFill>
                </w14:textFill>
              </w:rPr>
              <w:t>2020</w:t>
            </w:r>
            <w:r>
              <w:rPr>
                <w:rFonts w:hint="eastAsia"/>
                <w:color w:val="0D0D0D" w:themeColor="text1" w:themeTint="F2"/>
                <w:kern w:val="0"/>
                <w:sz w:val="24"/>
                <w:szCs w:val="20"/>
                <w:highlight w:val="none"/>
                <w14:textFill>
                  <w14:solidFill>
                    <w14:schemeClr w14:val="tx1">
                      <w14:lumMod w14:val="95000"/>
                      <w14:lumOff w14:val="5000"/>
                    </w14:schemeClr>
                  </w14:solidFill>
                </w14:textFill>
              </w:rPr>
              <w:t>年</w:t>
            </w:r>
            <w:r>
              <w:rPr>
                <w:rFonts w:hint="default"/>
                <w:color w:val="0D0D0D" w:themeColor="text1" w:themeTint="F2"/>
                <w:kern w:val="0"/>
                <w:sz w:val="24"/>
                <w:szCs w:val="20"/>
                <w:highlight w:val="none"/>
                <w14:textFill>
                  <w14:solidFill>
                    <w14:schemeClr w14:val="tx1">
                      <w14:lumMod w14:val="95000"/>
                      <w14:lumOff w14:val="5000"/>
                    </w14:schemeClr>
                  </w14:solidFill>
                </w14:textFill>
              </w:rPr>
              <w:t>12</w:t>
            </w:r>
            <w:r>
              <w:rPr>
                <w:rFonts w:hint="eastAsia"/>
                <w:color w:val="0D0D0D" w:themeColor="text1" w:themeTint="F2"/>
                <w:kern w:val="0"/>
                <w:sz w:val="24"/>
                <w:szCs w:val="20"/>
                <w:highlight w:val="none"/>
                <w14:textFill>
                  <w14:solidFill>
                    <w14:schemeClr w14:val="tx1">
                      <w14:lumMod w14:val="95000"/>
                      <w14:lumOff w14:val="5000"/>
                    </w14:schemeClr>
                  </w14:solidFill>
                </w14:textFill>
              </w:rPr>
              <w:t>月</w:t>
            </w:r>
            <w:r>
              <w:rPr>
                <w:rFonts w:hint="default"/>
                <w:color w:val="0D0D0D" w:themeColor="text1" w:themeTint="F2"/>
                <w:kern w:val="0"/>
                <w:sz w:val="24"/>
                <w:szCs w:val="20"/>
                <w:highlight w:val="none"/>
                <w14:textFill>
                  <w14:solidFill>
                    <w14:schemeClr w14:val="tx1">
                      <w14:lumMod w14:val="95000"/>
                      <w14:lumOff w14:val="5000"/>
                    </w14:schemeClr>
                  </w14:solidFill>
                </w14:textFill>
              </w:rPr>
              <w:t>24</w:t>
            </w:r>
            <w:r>
              <w:rPr>
                <w:rFonts w:hint="eastAsia"/>
                <w:color w:val="0D0D0D" w:themeColor="text1" w:themeTint="F2"/>
                <w:kern w:val="0"/>
                <w:sz w:val="24"/>
                <w:szCs w:val="20"/>
                <w:highlight w:val="none"/>
                <w14:textFill>
                  <w14:solidFill>
                    <w14:schemeClr w14:val="tx1">
                      <w14:lumMod w14:val="95000"/>
                      <w14:lumOff w14:val="5000"/>
                    </w14:schemeClr>
                  </w14:solidFill>
                </w14:textFill>
              </w:rPr>
              <w:t>日印发的《建设项目环境影响报告表编制技术指南（污染影响类）（试行）》中具体编制要求</w:t>
            </w:r>
            <w:r>
              <w:rPr>
                <w:rFonts w:hint="eastAsia"/>
                <w:color w:val="0D0D0D" w:themeColor="text1" w:themeTint="F2"/>
                <w:kern w:val="0"/>
                <w:sz w:val="24"/>
                <w:szCs w:val="20"/>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0"/>
                <w:highlight w:val="none"/>
                <w14:textFill>
                  <w14:solidFill>
                    <w14:schemeClr w14:val="tx1">
                      <w14:lumMod w14:val="95000"/>
                      <w14:lumOff w14:val="5000"/>
                    </w14:schemeClr>
                  </w14:solidFill>
                </w14:textFill>
              </w:rPr>
              <w:t>原则上不开展环境质量现状调查。建设项目存在土壤、地下水环境污染途径的，应结合污染源、保护目标分布情况开展现状调查以留作背景值。</w:t>
            </w:r>
            <w:r>
              <w:rPr>
                <w:rFonts w:hint="eastAsia"/>
                <w:color w:val="0D0D0D" w:themeColor="text1" w:themeTint="F2"/>
                <w:kern w:val="0"/>
                <w:sz w:val="24"/>
                <w:szCs w:val="20"/>
                <w:highlight w:val="none"/>
                <w:lang w:eastAsia="zh-CN"/>
                <w14:textFill>
                  <w14:solidFill>
                    <w14:schemeClr w14:val="tx1">
                      <w14:lumMod w14:val="95000"/>
                      <w14:lumOff w14:val="5000"/>
                    </w14:schemeClr>
                  </w14:solidFill>
                </w14:textFill>
              </w:rPr>
              <w:t>”</w:t>
            </w:r>
          </w:p>
          <w:p>
            <w:pPr>
              <w:keepNext w:val="0"/>
              <w:keepLines w:val="0"/>
              <w:suppressLineNumbers w:val="0"/>
              <w:spacing w:before="0" w:beforeAutospacing="0" w:after="0" w:afterAutospacing="0" w:line="360" w:lineRule="auto"/>
              <w:ind w:left="0" w:right="0" w:firstLine="480" w:firstLineChars="200"/>
              <w:rPr>
                <w:rFonts w:hint="default"/>
                <w:color w:val="0D0D0D" w:themeColor="text1" w:themeTint="F2"/>
                <w:kern w:val="0"/>
                <w:sz w:val="24"/>
                <w:szCs w:val="20"/>
                <w:highlight w:val="none"/>
                <w14:textFill>
                  <w14:solidFill>
                    <w14:schemeClr w14:val="tx1">
                      <w14:lumMod w14:val="95000"/>
                      <w14:lumOff w14:val="5000"/>
                    </w14:schemeClr>
                  </w14:solidFill>
                </w14:textFill>
              </w:rPr>
            </w:pPr>
            <w:r>
              <w:rPr>
                <w:rFonts w:hint="eastAsia" w:cs="Times New Roman"/>
                <w:color w:val="0D0D0D" w:themeColor="text1" w:themeTint="F2"/>
                <w:kern w:val="0"/>
                <w:sz w:val="24"/>
                <w:szCs w:val="20"/>
                <w:highlight w:val="none"/>
                <w:lang w:eastAsia="zh-CN"/>
                <w14:textFill>
                  <w14:solidFill>
                    <w14:schemeClr w14:val="tx1">
                      <w14:lumMod w14:val="95000"/>
                      <w14:lumOff w14:val="5000"/>
                    </w14:schemeClr>
                  </w14:solidFill>
                </w14:textFill>
              </w:rPr>
              <w:t>本扩建项目</w:t>
            </w:r>
            <w:r>
              <w:rPr>
                <w:rFonts w:hint="eastAsia" w:ascii="Times New Roman" w:hAnsi="Times New Roman" w:eastAsia="宋体" w:cs="Times New Roman"/>
                <w:color w:val="0D0D0D" w:themeColor="text1" w:themeTint="F2"/>
                <w:kern w:val="0"/>
                <w:sz w:val="24"/>
                <w:szCs w:val="20"/>
                <w:highlight w:val="none"/>
                <w14:textFill>
                  <w14:solidFill>
                    <w14:schemeClr w14:val="tx1">
                      <w14:lumMod w14:val="95000"/>
                      <w14:lumOff w14:val="5000"/>
                    </w14:schemeClr>
                  </w14:solidFill>
                </w14:textFill>
              </w:rPr>
              <w:t>属于其他非金属矿物制品制造项目，</w:t>
            </w:r>
            <w:r>
              <w:rPr>
                <w:rFonts w:hint="eastAsia" w:ascii="Times New Roman" w:hAnsi="Times New Roman" w:eastAsia="宋体" w:cs="Times New Roman"/>
                <w:color w:val="0D0D0D" w:themeColor="text1" w:themeTint="F2"/>
                <w:kern w:val="0"/>
                <w:sz w:val="24"/>
                <w:szCs w:val="20"/>
                <w:highlight w:val="none"/>
                <w:lang w:val="en-US" w:eastAsia="zh-CN"/>
                <w14:textFill>
                  <w14:solidFill>
                    <w14:schemeClr w14:val="tx1">
                      <w14:lumMod w14:val="95000"/>
                      <w14:lumOff w14:val="5000"/>
                    </w14:schemeClr>
                  </w14:solidFill>
                </w14:textFill>
              </w:rPr>
              <w:t>不在《</w:t>
            </w:r>
            <w:r>
              <w:rPr>
                <w:rFonts w:hint="eastAsia" w:ascii="Times New Roman" w:hAnsi="Times New Roman" w:eastAsia="宋体" w:cs="Times New Roman"/>
                <w:color w:val="0D0D0D" w:themeColor="text1" w:themeTint="F2"/>
                <w:kern w:val="0"/>
                <w:sz w:val="24"/>
                <w:szCs w:val="20"/>
                <w:highlight w:val="none"/>
                <w14:textFill>
                  <w14:solidFill>
                    <w14:schemeClr w14:val="tx1">
                      <w14:lumMod w14:val="95000"/>
                      <w14:lumOff w14:val="5000"/>
                    </w14:schemeClr>
                  </w14:solidFill>
                </w14:textFill>
              </w:rPr>
              <w:t>环境影响评价技术导则地下水环境</w:t>
            </w:r>
            <w:r>
              <w:rPr>
                <w:rFonts w:hint="eastAsia" w:ascii="Times New Roman" w:hAnsi="Times New Roman" w:eastAsia="宋体" w:cs="Times New Roman"/>
                <w:color w:val="0D0D0D" w:themeColor="text1" w:themeTint="F2"/>
                <w:kern w:val="0"/>
                <w:sz w:val="24"/>
                <w:szCs w:val="20"/>
                <w:highlight w:val="none"/>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kern w:val="0"/>
                <w:sz w:val="24"/>
                <w:szCs w:val="20"/>
                <w:highlight w:val="none"/>
                <w14:textFill>
                  <w14:solidFill>
                    <w14:schemeClr w14:val="tx1">
                      <w14:lumMod w14:val="95000"/>
                      <w14:lumOff w14:val="5000"/>
                    </w14:schemeClr>
                  </w14:solidFill>
                </w14:textFill>
              </w:rPr>
              <w:t>HJ610-2016</w:t>
            </w:r>
            <w:r>
              <w:rPr>
                <w:rFonts w:hint="eastAsia" w:ascii="Times New Roman" w:hAnsi="Times New Roman" w:eastAsia="宋体" w:cs="Times New Roman"/>
                <w:color w:val="0D0D0D" w:themeColor="text1" w:themeTint="F2"/>
                <w:kern w:val="0"/>
                <w:sz w:val="24"/>
                <w:szCs w:val="20"/>
                <w:highlight w:val="none"/>
                <w:lang w:val="en-US" w:eastAsia="zh-CN"/>
                <w14:textFill>
                  <w14:solidFill>
                    <w14:schemeClr w14:val="tx1">
                      <w14:lumMod w14:val="95000"/>
                      <w14:lumOff w14:val="5000"/>
                    </w14:schemeClr>
                  </w14:solidFill>
                </w14:textFill>
              </w:rPr>
              <w:t>）附录A及《环境影响评价技术导则土壤环境（试行）》（HJ964—2018）附录A之列</w:t>
            </w:r>
            <w:r>
              <w:rPr>
                <w:rFonts w:hint="default"/>
                <w:color w:val="0D0D0D" w:themeColor="text1" w:themeTint="F2"/>
                <w:kern w:val="0"/>
                <w:sz w:val="24"/>
                <w:szCs w:val="20"/>
                <w:highlight w:val="none"/>
                <w14:textFill>
                  <w14:solidFill>
                    <w14:schemeClr w14:val="tx1">
                      <w14:lumMod w14:val="95000"/>
                      <w14:lumOff w14:val="5000"/>
                    </w14:schemeClr>
                  </w14:solidFill>
                </w14:textFill>
              </w:rPr>
              <w:t>。因此，</w:t>
            </w:r>
            <w:r>
              <w:rPr>
                <w:rFonts w:hint="eastAsia"/>
                <w:color w:val="0D0D0D" w:themeColor="text1" w:themeTint="F2"/>
                <w:kern w:val="0"/>
                <w:sz w:val="24"/>
                <w:szCs w:val="20"/>
                <w:highlight w:val="none"/>
                <w:lang w:val="en-US" w:eastAsia="zh-CN"/>
                <w14:textFill>
                  <w14:solidFill>
                    <w14:schemeClr w14:val="tx1">
                      <w14:lumMod w14:val="95000"/>
                      <w14:lumOff w14:val="5000"/>
                    </w14:schemeClr>
                  </w14:solidFill>
                </w14:textFill>
              </w:rPr>
              <w:t>本次评价</w:t>
            </w:r>
            <w:r>
              <w:rPr>
                <w:rFonts w:hint="default"/>
                <w:color w:val="0D0D0D" w:themeColor="text1" w:themeTint="F2"/>
                <w:kern w:val="0"/>
                <w:sz w:val="24"/>
                <w:szCs w:val="20"/>
                <w:highlight w:val="none"/>
                <w14:textFill>
                  <w14:solidFill>
                    <w14:schemeClr w14:val="tx1">
                      <w14:lumMod w14:val="95000"/>
                      <w14:lumOff w14:val="5000"/>
                    </w14:schemeClr>
                  </w14:solidFill>
                </w14:textFill>
              </w:rPr>
              <w:t>不进行土壤、地下水环境质量现状监测。</w:t>
            </w:r>
          </w:p>
          <w:p>
            <w:pPr>
              <w:keepNext w:val="0"/>
              <w:keepLines w:val="0"/>
              <w:suppressLineNumbers w:val="0"/>
              <w:spacing w:before="0" w:beforeAutospacing="0" w:after="0" w:afterAutospacing="0" w:line="360" w:lineRule="auto"/>
              <w:ind w:left="0" w:right="0" w:firstLine="498" w:firstLineChars="200"/>
              <w:rPr>
                <w:rFonts w:hint="default"/>
                <w:b/>
                <w:color w:val="0D0D0D" w:themeColor="text1" w:themeTint="F2"/>
                <w:spacing w:val="4"/>
                <w:sz w:val="24"/>
                <w:highlight w:val="none"/>
                <w14:textFill>
                  <w14:solidFill>
                    <w14:schemeClr w14:val="tx1">
                      <w14:lumMod w14:val="95000"/>
                      <w14:lumOff w14:val="5000"/>
                    </w14:schemeClr>
                  </w14:solidFill>
                </w14:textFill>
              </w:rPr>
            </w:pPr>
            <w:r>
              <w:rPr>
                <w:rFonts w:hint="eastAsia" w:ascii="Times New Roman" w:hAnsi="Times New Roman" w:eastAsia="宋体" w:cs="Times New Roman"/>
                <w:b/>
                <w:color w:val="0D0D0D" w:themeColor="text1" w:themeTint="F2"/>
                <w:spacing w:val="4"/>
                <w:sz w:val="24"/>
                <w:highlight w:val="none"/>
                <w:lang w:val="en-US" w:eastAsia="zh-CN"/>
                <w14:textFill>
                  <w14:solidFill>
                    <w14:schemeClr w14:val="tx1">
                      <w14:lumMod w14:val="95000"/>
                      <w14:lumOff w14:val="5000"/>
                    </w14:schemeClr>
                  </w14:solidFill>
                </w14:textFill>
              </w:rPr>
              <w:t>5、</w:t>
            </w:r>
            <w:r>
              <w:rPr>
                <w:rFonts w:hint="default" w:ascii="Times New Roman" w:hAnsi="Times New Roman" w:eastAsia="宋体" w:cs="Times New Roman"/>
                <w:b/>
                <w:color w:val="0D0D0D" w:themeColor="text1" w:themeTint="F2"/>
                <w:spacing w:val="4"/>
                <w:sz w:val="24"/>
                <w:highlight w:val="none"/>
                <w14:textFill>
                  <w14:solidFill>
                    <w14:schemeClr w14:val="tx1">
                      <w14:lumMod w14:val="95000"/>
                      <w14:lumOff w14:val="5000"/>
                    </w14:schemeClr>
                  </w14:solidFill>
                </w14:textFill>
              </w:rPr>
              <w:t>生态环境现状</w:t>
            </w:r>
            <w:r>
              <w:rPr>
                <w:rFonts w:hint="default"/>
                <w:b/>
                <w:color w:val="0D0D0D" w:themeColor="text1" w:themeTint="F2"/>
                <w:spacing w:val="4"/>
                <w:sz w:val="24"/>
                <w:highlight w:val="none"/>
                <w14:textFill>
                  <w14:solidFill>
                    <w14:schemeClr w14:val="tx1">
                      <w14:lumMod w14:val="95000"/>
                      <w14:lumOff w14:val="5000"/>
                    </w14:schemeClr>
                  </w14:solidFill>
                </w14:textFill>
              </w:rPr>
              <w:t>评价</w:t>
            </w:r>
          </w:p>
          <w:p>
            <w:pPr>
              <w:pStyle w:val="8"/>
              <w:keepNext w:val="0"/>
              <w:keepLines w:val="0"/>
              <w:suppressLineNumbers w:val="0"/>
              <w:spacing w:beforeAutospacing="0" w:afterAutospacing="0" w:line="360" w:lineRule="auto"/>
              <w:ind w:left="0" w:firstLine="480" w:firstLineChars="200"/>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default"/>
                <w:color w:val="0D0D0D" w:themeColor="text1" w:themeTint="F2"/>
                <w:sz w:val="24"/>
                <w:highlight w:val="none"/>
                <w14:textFill>
                  <w14:solidFill>
                    <w14:schemeClr w14:val="tx1">
                      <w14:lumMod w14:val="95000"/>
                      <w14:lumOff w14:val="5000"/>
                    </w14:schemeClr>
                  </w14:solidFill>
                </w14:textFill>
              </w:rPr>
              <w:t>根据生态环境现状调查，</w:t>
            </w:r>
            <w:r>
              <w:rPr>
                <w:rFonts w:hint="eastAsia"/>
                <w:color w:val="0D0D0D" w:themeColor="text1" w:themeTint="F2"/>
                <w:spacing w:val="-3"/>
                <w:sz w:val="24"/>
                <w:highlight w:val="none"/>
                <w:lang w:val="en-US" w:eastAsia="zh-CN"/>
                <w14:textFill>
                  <w14:solidFill>
                    <w14:schemeClr w14:val="tx1">
                      <w14:lumMod w14:val="95000"/>
                      <w14:lumOff w14:val="5000"/>
                    </w14:schemeClr>
                  </w14:solidFill>
                </w14:textFill>
              </w:rPr>
              <w:t>项目用地</w:t>
            </w:r>
            <w:r>
              <w:rPr>
                <w:rFonts w:hint="eastAsia"/>
                <w:color w:val="0D0D0D" w:themeColor="text1" w:themeTint="F2"/>
                <w:spacing w:val="-3"/>
                <w:sz w:val="24"/>
                <w:highlight w:val="none"/>
                <w14:textFill>
                  <w14:solidFill>
                    <w14:schemeClr w14:val="tx1">
                      <w14:lumMod w14:val="95000"/>
                      <w14:lumOff w14:val="5000"/>
                    </w14:schemeClr>
                  </w14:solidFill>
                </w14:textFill>
              </w:rPr>
              <w:t>范围内人为开发活动频繁，受人类活动影响，评价范围内原生植被较少，现有植被主要为灌木、乔木等植被，物种较单一。评价范围内野生动物除灌草丛中栖息的昆虫类和偶见少量觅食的麻雀、鼠类外，未见</w:t>
            </w:r>
            <w:r>
              <w:rPr>
                <w:rFonts w:hint="eastAsia"/>
                <w:color w:val="0D0D0D" w:themeColor="text1" w:themeTint="F2"/>
                <w:spacing w:val="-3"/>
                <w:sz w:val="24"/>
                <w:highlight w:val="none"/>
                <w:lang w:eastAsia="zh-CN"/>
                <w14:textFill>
                  <w14:solidFill>
                    <w14:schemeClr w14:val="tx1">
                      <w14:lumMod w14:val="95000"/>
                      <w14:lumOff w14:val="5000"/>
                    </w14:schemeClr>
                  </w14:solidFill>
                </w14:textFill>
              </w:rPr>
              <w:t>其他</w:t>
            </w:r>
            <w:r>
              <w:rPr>
                <w:rFonts w:hint="eastAsia"/>
                <w:color w:val="0D0D0D" w:themeColor="text1" w:themeTint="F2"/>
                <w:spacing w:val="-3"/>
                <w:sz w:val="24"/>
                <w:highlight w:val="none"/>
                <w14:textFill>
                  <w14:solidFill>
                    <w14:schemeClr w14:val="tx1">
                      <w14:lumMod w14:val="95000"/>
                      <w14:lumOff w14:val="5000"/>
                    </w14:schemeClr>
                  </w14:solidFill>
                </w14:textFill>
              </w:rPr>
              <w:t>野生动物分布，无珍稀濒危保护物种。</w:t>
            </w:r>
            <w:r>
              <w:rPr>
                <w:rFonts w:hint="default"/>
                <w:color w:val="0D0D0D" w:themeColor="text1" w:themeTint="F2"/>
                <w:sz w:val="24"/>
                <w:highlight w:val="none"/>
                <w14:textFill>
                  <w14:solidFill>
                    <w14:schemeClr w14:val="tx1">
                      <w14:lumMod w14:val="95000"/>
                      <w14:lumOff w14:val="5000"/>
                    </w14:schemeClr>
                  </w14:solidFill>
                </w14:textFill>
              </w:rPr>
              <w:t>评价区域整体水土流失不明显。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目标</w:t>
            </w:r>
          </w:p>
        </w:tc>
        <w:tc>
          <w:tcPr>
            <w:tcW w:w="8190" w:type="dxa"/>
            <w:noWrap w:val="0"/>
            <w:vAlign w:val="center"/>
          </w:tcPr>
          <w:p>
            <w:pPr>
              <w:pStyle w:val="2"/>
              <w:keepNext w:val="0"/>
              <w:keepLines w:val="0"/>
              <w:suppressLineNumbers w:val="0"/>
              <w:spacing w:before="0" w:beforeAutospacing="0" w:afterAutospacing="0" w:line="360" w:lineRule="auto"/>
              <w:ind w:left="0" w:leftChars="0" w:right="0" w:firstLine="480"/>
              <w:jc w:val="left"/>
              <w:rPr>
                <w:rFonts w:hint="default"/>
                <w:b/>
                <w:bCs/>
                <w:color w:val="0D0D0D" w:themeColor="text1" w:themeTint="F2"/>
                <w:szCs w:val="24"/>
                <w:highlight w:val="none"/>
                <w:u w:val="singl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u w:val="single"/>
                <w:lang w:val="en-US" w:eastAsia="zh-CN"/>
                <w14:textFill>
                  <w14:solidFill>
                    <w14:schemeClr w14:val="tx1">
                      <w14:lumMod w14:val="95000"/>
                      <w14:lumOff w14:val="5000"/>
                    </w14:schemeClr>
                  </w14:solidFill>
                </w14:textFill>
              </w:rPr>
              <w:t>根据本扩建项目污染物排放特征和厂址区域水文、气象及环境功能，结合厂址周边单位分布及用地规划等情况，提出项目环境保护目标如表3-4</w:t>
            </w:r>
          </w:p>
          <w:p>
            <w:pPr>
              <w:pStyle w:val="2"/>
              <w:keepNext w:val="0"/>
              <w:keepLines w:val="0"/>
              <w:suppressLineNumbers w:val="0"/>
              <w:spacing w:before="0" w:beforeAutospacing="0" w:afterAutospacing="0" w:line="240" w:lineRule="auto"/>
              <w:ind w:left="0" w:leftChars="0" w:right="0" w:firstLine="422" w:firstLineChars="200"/>
              <w:jc w:val="center"/>
              <w:rPr>
                <w:rFonts w:hint="eastAsia"/>
                <w:b/>
                <w:color w:val="0D0D0D" w:themeColor="text1" w:themeTint="F2"/>
                <w:sz w:val="21"/>
                <w:szCs w:val="21"/>
                <w:highlight w:val="none"/>
                <w:u w:val="single"/>
                <w:lang w:val="en-US" w:eastAsia="zh-CN"/>
                <w14:textFill>
                  <w14:solidFill>
                    <w14:schemeClr w14:val="tx1">
                      <w14:lumMod w14:val="95000"/>
                      <w14:lumOff w14:val="5000"/>
                    </w14:schemeClr>
                  </w14:solidFill>
                </w14:textFill>
              </w:rPr>
            </w:pPr>
            <w:r>
              <w:rPr>
                <w:rFonts w:hint="eastAsia"/>
                <w:b/>
                <w:color w:val="0D0D0D" w:themeColor="text1" w:themeTint="F2"/>
                <w:sz w:val="21"/>
                <w:szCs w:val="21"/>
                <w:highlight w:val="none"/>
                <w:u w:val="single"/>
                <w:lang w:val="en-US" w:eastAsia="zh-CN"/>
                <w14:textFill>
                  <w14:solidFill>
                    <w14:schemeClr w14:val="tx1">
                      <w14:lumMod w14:val="95000"/>
                      <w14:lumOff w14:val="5000"/>
                    </w14:schemeClr>
                  </w14:solidFill>
                </w14:textFill>
              </w:rPr>
              <w:t>表3-4本扩建项目大气环境保护目标一览表</w:t>
            </w:r>
          </w:p>
          <w:tbl>
            <w:tblPr>
              <w:tblStyle w:val="31"/>
              <w:tblW w:w="8036"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05"/>
              <w:gridCol w:w="1146"/>
              <w:gridCol w:w="1514"/>
              <w:gridCol w:w="602"/>
              <w:gridCol w:w="1113"/>
              <w:gridCol w:w="1222"/>
              <w:gridCol w:w="17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tcBorders>
                    <w:top w:val="single" w:color="auto" w:sz="12" w:space="0"/>
                    <w:left w:val="single" w:color="auto" w:sz="12"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环境</w:t>
                  </w:r>
                </w:p>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类别</w:t>
                  </w:r>
                </w:p>
              </w:tc>
              <w:tc>
                <w:tcPr>
                  <w:tcW w:w="1146" w:type="dxa"/>
                  <w:tcBorders>
                    <w:top w:val="single" w:color="auto" w:sz="12"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保护目标</w:t>
                  </w:r>
                </w:p>
              </w:tc>
              <w:tc>
                <w:tcPr>
                  <w:tcW w:w="1514" w:type="dxa"/>
                  <w:tcBorders>
                    <w:top w:val="single" w:color="auto" w:sz="12"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坐标</w:t>
                  </w:r>
                </w:p>
              </w:tc>
              <w:tc>
                <w:tcPr>
                  <w:tcW w:w="602" w:type="dxa"/>
                  <w:tcBorders>
                    <w:top w:val="single" w:color="auto" w:sz="12"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方位</w:t>
                  </w:r>
                </w:p>
              </w:tc>
              <w:tc>
                <w:tcPr>
                  <w:tcW w:w="1113" w:type="dxa"/>
                  <w:tcBorders>
                    <w:top w:val="single" w:color="auto" w:sz="12"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相对厂界</w:t>
                  </w:r>
                </w:p>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距离</w:t>
                  </w:r>
                </w:p>
              </w:tc>
              <w:tc>
                <w:tcPr>
                  <w:tcW w:w="1222" w:type="dxa"/>
                  <w:tcBorders>
                    <w:top w:val="single" w:color="auto" w:sz="12"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保护对象</w:t>
                  </w:r>
                </w:p>
              </w:tc>
              <w:tc>
                <w:tcPr>
                  <w:tcW w:w="1734" w:type="dxa"/>
                  <w:tcBorders>
                    <w:top w:val="single" w:color="auto" w:sz="12" w:space="0"/>
                    <w:left w:val="single" w:color="auto" w:sz="4" w:space="0"/>
                    <w:bottom w:val="single" w:color="auto" w:sz="4" w:space="0"/>
                    <w:right w:val="single" w:color="auto" w:sz="12"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环境功能区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705" w:type="dxa"/>
                  <w:tcBorders>
                    <w:top w:val="single" w:color="auto" w:sz="4" w:space="0"/>
                    <w:left w:val="single" w:color="auto" w:sz="12"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地表水</w:t>
                  </w:r>
                </w:p>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环境</w:t>
                  </w: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潇水</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东</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1300</w:t>
                  </w: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饮用水源二级保护区</w:t>
                  </w:r>
                </w:p>
              </w:tc>
              <w:tc>
                <w:tcPr>
                  <w:tcW w:w="1734"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《地表水环境质量标准》（</w:t>
                  </w:r>
                  <w:r>
                    <w:rPr>
                      <w:rFonts w:hint="default" w:ascii="Times New Roman" w:hAnsi="Times New Roman" w:eastAsia="宋体" w:cs="Times New Roman"/>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GB3838-2002</w:t>
                  </w: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）中</w:t>
                  </w:r>
                  <w:r>
                    <w:rPr>
                      <w:rFonts w:hint="default" w:ascii="Times New Roman" w:hAnsi="Times New Roman" w:eastAsia="宋体" w:cs="Times New Roman"/>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III</w:t>
                  </w: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705" w:type="dxa"/>
                  <w:vMerge w:val="restart"/>
                  <w:tcBorders>
                    <w:top w:val="single" w:color="auto" w:sz="4" w:space="0"/>
                    <w:left w:val="single" w:color="auto" w:sz="12"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大气</w:t>
                  </w:r>
                </w:p>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环境</w:t>
                  </w: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富家桥镇镇政府</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111°37'20.5503",</w:t>
                  </w:r>
                </w:p>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26°08'09.1553"</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99</w:t>
                  </w: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政府单位，1</w:t>
                  </w: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03</w:t>
                  </w:r>
                  <w:r>
                    <w:rPr>
                      <w:rFonts w:hint="eastAsia"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人</w:t>
                  </w:r>
                </w:p>
              </w:tc>
              <w:tc>
                <w:tcPr>
                  <w:tcW w:w="1734" w:type="dxa"/>
                  <w:vMerge w:val="restart"/>
                  <w:tcBorders>
                    <w:top w:val="single" w:color="auto" w:sz="4" w:space="0"/>
                    <w:left w:val="single" w:color="auto" w:sz="4" w:space="0"/>
                    <w:right w:val="single" w:color="auto" w:sz="12"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《环境空气质量标准》（</w:t>
                  </w:r>
                  <w:r>
                    <w:rPr>
                      <w:rFonts w:hint="default" w:ascii="Times New Roman" w:hAnsi="Times New Roman" w:eastAsia="宋体" w:cs="Times New Roman"/>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GB3095-2012</w:t>
                  </w: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4" w:hRule="atLeast"/>
              </w:trPr>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桎木山</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111°37'21.2855",26°08'16.8831"</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w:t>
                  </w: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51-</w:t>
                  </w: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500m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居民44户</w:t>
                  </w: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，约</w:t>
                  </w: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135</w:t>
                  </w:r>
                  <w:r>
                    <w:rPr>
                      <w:rFonts w:hint="eastAsia"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4" w:hRule="atLeast"/>
              </w:trPr>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加油站</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111°37'23.7408",26°08'16.3134"</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西此</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258m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工作人员4人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4" w:hRule="atLeast"/>
              </w:trPr>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富家桥司法所</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111°37'28.2070",26°08'18.0324"</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318m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政府单位，6人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富家桥市场监督管理所</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111°37'25.6160",26°08'14.0453"</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201m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政府单位，8人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老院子</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111°37'14.8659",26°07'59.2752"</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268</w:t>
                  </w: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-463</w:t>
                  </w: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居民12户，约30人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富家桥镇张村振兴办公室</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111°37'21.4000",26°07'55.9537"</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344m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政府单位，12人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vMerge w:val="continue"/>
                  <w:tcBorders>
                    <w:left w:val="single" w:color="auto" w:sz="12"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粟山铺村</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111°37'21.2842",26°07'58.4832"</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西南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103-492m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宋体" w:hAnsi="宋体" w:eastAsia="宋体"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居民13</w:t>
                  </w:r>
                  <w:r>
                    <w:rPr>
                      <w:rFonts w:hint="eastAsia"/>
                      <w:color w:val="0D0D0D" w:themeColor="text1" w:themeTint="F2"/>
                      <w:highlight w:val="none"/>
                      <w:lang w:val="en-US" w:eastAsia="zh-CN"/>
                      <w14:textFill>
                        <w14:solidFill>
                          <w14:schemeClr w14:val="tx1">
                            <w14:lumMod w14:val="95000"/>
                            <w14:lumOff w14:val="5000"/>
                          </w14:schemeClr>
                        </w14:solidFill>
                      </w14:textFill>
                    </w:rPr>
                    <w:t>户,</w:t>
                  </w: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约38人</w:t>
                  </w:r>
                </w:p>
              </w:tc>
              <w:tc>
                <w:tcPr>
                  <w:tcW w:w="1734" w:type="dxa"/>
                  <w:vMerge w:val="continue"/>
                  <w:tcBorders>
                    <w:left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705" w:type="dxa"/>
                  <w:vMerge w:val="continue"/>
                  <w:tcBorders>
                    <w:left w:val="single" w:color="auto" w:sz="12"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14:textFill>
                        <w14:solidFill>
                          <w14:schemeClr w14:val="tx1">
                            <w14:lumMod w14:val="95000"/>
                            <w14:lumOff w14:val="5000"/>
                          </w14:schemeClr>
                        </w14:solidFill>
                      </w14:textFill>
                    </w:rPr>
                    <w:t>永富社区</w:t>
                  </w:r>
                </w:p>
              </w:tc>
              <w:tc>
                <w:tcPr>
                  <w:tcW w:w="15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111°37'23.7200",26°07'56.3021"</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南</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73-500m</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pPr>
                  <w:r>
                    <w:rPr>
                      <w:rFonts w:hint="eastAsia" w:cs="宋体"/>
                      <w:color w:val="0D0D0D" w:themeColor="text1" w:themeTint="F2"/>
                      <w:kern w:val="0"/>
                      <w:sz w:val="21"/>
                      <w:szCs w:val="21"/>
                      <w:highlight w:val="none"/>
                      <w:u w:val="single"/>
                      <w:shd w:val="clear" w:fill="FFFFFF"/>
                      <w:lang w:val="en-US" w:eastAsia="zh-CN" w:bidi="ar"/>
                      <w14:textFill>
                        <w14:solidFill>
                          <w14:schemeClr w14:val="tx1">
                            <w14:lumMod w14:val="95000"/>
                            <w14:lumOff w14:val="5000"/>
                          </w14:schemeClr>
                        </w14:solidFill>
                      </w14:textFill>
                    </w:rPr>
                    <w:t>居民17户，约65人</w:t>
                  </w:r>
                </w:p>
              </w:tc>
              <w:tc>
                <w:tcPr>
                  <w:tcW w:w="1734" w:type="dxa"/>
                  <w:vMerge w:val="continue"/>
                  <w:tcBorders>
                    <w:left w:val="single" w:color="auto" w:sz="4" w:space="0"/>
                    <w:bottom w:val="single" w:color="auto" w:sz="4" w:space="0"/>
                    <w:right w:val="single" w:color="auto" w:sz="12" w:space="0"/>
                  </w:tcBorders>
                  <w:shd w:val="clear" w:color="auto" w:fill="FFFFFF"/>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tcBorders>
                    <w:top w:val="single" w:color="auto" w:sz="4" w:space="0"/>
                    <w:left w:val="single" w:color="auto" w:sz="12" w:space="0"/>
                    <w:bottom w:val="single" w:color="auto" w:sz="4"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地下水环境</w:t>
                  </w:r>
                </w:p>
              </w:tc>
              <w:tc>
                <w:tcPr>
                  <w:tcW w:w="5597"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2"/>
                      <w:sz w:val="24"/>
                      <w:szCs w:val="24"/>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1"/>
                      <w:szCs w:val="21"/>
                      <w:highlight w:val="none"/>
                      <w:lang w:val="en-US" w:eastAsia="zh-CN" w:bidi="ar"/>
                      <w14:textFill>
                        <w14:solidFill>
                          <w14:schemeClr w14:val="tx1">
                            <w14:lumMod w14:val="95000"/>
                            <w14:lumOff w14:val="5000"/>
                          </w14:schemeClr>
                        </w14:solidFill>
                      </w14:textFill>
                    </w:rPr>
                    <w:t>本项目厂界外</w:t>
                  </w:r>
                  <w:r>
                    <w:rPr>
                      <w:rFonts w:hint="default" w:ascii="Times New Roman" w:hAnsi="Times New Roman" w:eastAsia="宋体" w:cs="Times New Roman"/>
                      <w:color w:val="0D0D0D" w:themeColor="text1" w:themeTint="F2"/>
                      <w:kern w:val="2"/>
                      <w:sz w:val="21"/>
                      <w:szCs w:val="21"/>
                      <w:highlight w:val="none"/>
                      <w:lang w:val="en-US" w:eastAsia="zh-CN" w:bidi="ar"/>
                      <w14:textFill>
                        <w14:solidFill>
                          <w14:schemeClr w14:val="tx1">
                            <w14:lumMod w14:val="95000"/>
                            <w14:lumOff w14:val="5000"/>
                          </w14:schemeClr>
                        </w14:solidFill>
                      </w14:textFill>
                    </w:rPr>
                    <w:t>500m</w:t>
                  </w:r>
                  <w:r>
                    <w:rPr>
                      <w:rFonts w:hint="eastAsia" w:ascii="宋体" w:hAnsi="宋体" w:eastAsia="宋体" w:cs="宋体"/>
                      <w:color w:val="0D0D0D" w:themeColor="text1" w:themeTint="F2"/>
                      <w:kern w:val="2"/>
                      <w:sz w:val="21"/>
                      <w:szCs w:val="21"/>
                      <w:highlight w:val="none"/>
                      <w:lang w:val="en-US" w:eastAsia="zh-CN" w:bidi="ar"/>
                      <w14:textFill>
                        <w14:solidFill>
                          <w14:schemeClr w14:val="tx1">
                            <w14:lumMod w14:val="95000"/>
                            <w14:lumOff w14:val="5000"/>
                          </w14:schemeClr>
                        </w14:solidFill>
                      </w14:textFill>
                    </w:rPr>
                    <w:t>范围内无地下水集中式饮用水水源和热水、矿泉水、温泉等特殊地下水资源</w:t>
                  </w:r>
                </w:p>
              </w:tc>
              <w:tc>
                <w:tcPr>
                  <w:tcW w:w="1734"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地下水质量标准</w:t>
                  </w:r>
                  <w:r>
                    <w:rPr>
                      <w:rFonts w:hint="default" w:ascii="Times New Roman" w:hAnsi="Times New Roman" w:eastAsia="宋体" w:cs="Times New Roman"/>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(GB/T14848-2017)Ⅲ</w:t>
                  </w: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705" w:type="dxa"/>
                  <w:tcBorders>
                    <w:top w:val="single" w:color="auto" w:sz="4" w:space="0"/>
                    <w:left w:val="single" w:color="auto" w:sz="12" w:space="0"/>
                    <w:bottom w:val="single" w:color="auto" w:sz="12" w:space="0"/>
                    <w:right w:val="single" w:color="auto" w:sz="4" w:space="0"/>
                  </w:tcBorders>
                  <w:shd w:val="clear" w:color="auto" w:fill="FFFFFF"/>
                  <w:vAlign w:val="center"/>
                </w:tcPr>
                <w:p>
                  <w:pPr>
                    <w:pStyle w:val="27"/>
                    <w:keepNext w:val="0"/>
                    <w:keepLines w:val="0"/>
                    <w:widowControl w:val="0"/>
                    <w:suppressLineNumbers w:val="0"/>
                    <w:shd w:val="clear" w:fill="FFFFFF"/>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声环境</w:t>
                  </w:r>
                </w:p>
              </w:tc>
              <w:tc>
                <w:tcPr>
                  <w:tcW w:w="5597" w:type="dxa"/>
                  <w:gridSpan w:val="5"/>
                  <w:tcBorders>
                    <w:top w:val="single" w:color="auto" w:sz="4" w:space="0"/>
                    <w:left w:val="single" w:color="auto" w:sz="4" w:space="0"/>
                    <w:bottom w:val="single" w:color="auto" w:sz="12" w:space="0"/>
                    <w:right w:val="single" w:color="auto" w:sz="4" w:space="0"/>
                  </w:tcBorders>
                  <w:shd w:val="clear" w:color="auto" w:fill="FFFFFF"/>
                  <w:vAlign w:val="center"/>
                </w:tcPr>
                <w:p>
                  <w:pPr>
                    <w:keepNext w:val="0"/>
                    <w:keepLines w:val="0"/>
                    <w:widowControl w:val="0"/>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4"/>
                      <w:szCs w:val="24"/>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厂界</w:t>
                  </w:r>
                  <w:r>
                    <w:rPr>
                      <w:rFonts w:hint="default" w:ascii="Times New Roman" w:hAnsi="Times New Roman" w:eastAsia="宋体" w:cs="Times New Roman"/>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50m</w:t>
                  </w: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范围内无</w:t>
                  </w:r>
                  <w:r>
                    <w:rPr>
                      <w:rFonts w:hint="eastAsia" w:ascii="宋体" w:hAnsi="宋体" w:eastAsia="宋体" w:cs="宋体"/>
                      <w:color w:val="0D0D0D" w:themeColor="text1" w:themeTint="F2"/>
                      <w:kern w:val="2"/>
                      <w:sz w:val="21"/>
                      <w:szCs w:val="21"/>
                      <w:highlight w:val="none"/>
                      <w:lang w:val="en-US" w:eastAsia="zh-CN" w:bidi="ar"/>
                      <w14:textFill>
                        <w14:solidFill>
                          <w14:schemeClr w14:val="tx1">
                            <w14:lumMod w14:val="95000"/>
                            <w14:lumOff w14:val="5000"/>
                          </w14:schemeClr>
                        </w14:solidFill>
                      </w14:textFill>
                    </w:rPr>
                    <w:t>保护目标</w:t>
                  </w:r>
                </w:p>
              </w:tc>
              <w:tc>
                <w:tcPr>
                  <w:tcW w:w="1734" w:type="dxa"/>
                  <w:tcBorders>
                    <w:top w:val="single" w:color="auto" w:sz="4" w:space="0"/>
                    <w:left w:val="single" w:color="auto" w:sz="4" w:space="0"/>
                    <w:bottom w:val="single" w:color="auto" w:sz="12" w:space="0"/>
                    <w:right w:val="single" w:color="auto" w:sz="12" w:space="0"/>
                  </w:tcBorders>
                  <w:shd w:val="clear" w:color="auto" w:fill="FFFFFF"/>
                  <w:vAlign w:val="center"/>
                </w:tcPr>
                <w:p>
                  <w:pPr>
                    <w:pStyle w:val="27"/>
                    <w:keepNext w:val="0"/>
                    <w:keepLines w:val="0"/>
                    <w:widowControl w:val="0"/>
                    <w:suppressLineNumbers w:val="0"/>
                    <w:shd w:val="clear" w:fill="FFFFFF"/>
                    <w:autoSpaceDE w:val="0"/>
                    <w:autoSpaceDN/>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shd w:val="clear" w:fill="FFFFFF"/>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shd w:val="clear" w:fill="FFFFFF"/>
                      <w:lang w:val="en-US" w:eastAsia="zh-CN" w:bidi="ar"/>
                      <w14:textFill>
                        <w14:solidFill>
                          <w14:schemeClr w14:val="tx1">
                            <w14:lumMod w14:val="95000"/>
                            <w14:lumOff w14:val="5000"/>
                          </w14:schemeClr>
                        </w14:solidFill>
                      </w14:textFill>
                    </w:rPr>
                    <w:t>《声环境质量标准》（GB3096-2008）中的2类标准</w:t>
                  </w:r>
                </w:p>
              </w:tc>
            </w:tr>
          </w:tbl>
          <w:p>
            <w:pPr>
              <w:pStyle w:val="2"/>
              <w:spacing w:before="0" w:beforeAutospacing="0"/>
              <w:ind w:right="0"/>
              <w:rPr>
                <w:rFonts w:hint="eastAsia"/>
                <w:b/>
                <w:color w:val="0D0D0D" w:themeColor="text1" w:themeTint="F2"/>
                <w:sz w:val="21"/>
                <w:szCs w:val="21"/>
                <w:highlight w:val="none"/>
                <w:u w:val="single"/>
                <w:lang w:val="en-US" w:eastAsia="zh-CN"/>
                <w14:textFill>
                  <w14:solidFill>
                    <w14:schemeClr w14:val="tx1">
                      <w14:lumMod w14:val="95000"/>
                      <w14:lumOff w14:val="5000"/>
                    </w14:schemeClr>
                  </w14:solidFill>
                </w14:textFill>
              </w:rPr>
            </w:pP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D0D0D" w:themeColor="text1" w:themeTint="F2"/>
                <w:kern w:val="0"/>
                <w:szCs w:val="21"/>
                <w:highlight w:val="none"/>
                <w14:textFill>
                  <w14:solidFill>
                    <w14:schemeClr w14:val="tx1">
                      <w14:lumMod w14:val="95000"/>
                      <w14:lumOff w14:val="5000"/>
                    </w14:schemeClr>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制标</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准</w:t>
            </w:r>
          </w:p>
        </w:tc>
        <w:tc>
          <w:tcPr>
            <w:tcW w:w="8190" w:type="dxa"/>
            <w:noWrap w:val="0"/>
            <w:vAlign w:val="center"/>
          </w:tcPr>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b/>
                <w:bCs/>
                <w:color w:val="0D0D0D" w:themeColor="text1" w:themeTint="F2"/>
                <w:sz w:val="24"/>
                <w:highlight w:val="none"/>
                <w14:textFill>
                  <w14:solidFill>
                    <w14:schemeClr w14:val="tx1">
                      <w14:lumMod w14:val="95000"/>
                      <w14:lumOff w14:val="5000"/>
                    </w14:schemeClr>
                  </w14:solidFill>
                </w14:textFill>
              </w:rPr>
            </w:pPr>
            <w:r>
              <w:rPr>
                <w:rFonts w:hint="default"/>
                <w:b/>
                <w:bCs/>
                <w:color w:val="0D0D0D" w:themeColor="text1" w:themeTint="F2"/>
                <w:sz w:val="24"/>
                <w:highlight w:val="none"/>
                <w14:textFill>
                  <w14:solidFill>
                    <w14:schemeClr w14:val="tx1">
                      <w14:lumMod w14:val="95000"/>
                      <w14:lumOff w14:val="5000"/>
                    </w14:schemeClr>
                  </w14:solidFill>
                </w14:textFill>
              </w:rPr>
              <w:t>废气</w:t>
            </w:r>
          </w:p>
          <w:p>
            <w:pPr>
              <w:pStyle w:val="64"/>
              <w:keepNext w:val="0"/>
              <w:keepLines w:val="0"/>
              <w:suppressLineNumbers w:val="0"/>
              <w:tabs>
                <w:tab w:val="left" w:pos="1320"/>
              </w:tabs>
              <w:spacing w:before="0" w:beforeAutospacing="0" w:after="0" w:afterAutospacing="0" w:line="240" w:lineRule="auto"/>
              <w:ind w:left="0" w:right="0"/>
              <w:jc w:val="both"/>
              <w:rPr>
                <w:rFonts w:hint="default"/>
                <w:color w:val="0D0D0D" w:themeColor="text1" w:themeTint="F2"/>
                <w:sz w:val="24"/>
                <w:szCs w:val="24"/>
                <w:highlight w:val="none"/>
                <w:u w:val="single"/>
                <w14:textFill>
                  <w14:solidFill>
                    <w14:schemeClr w14:val="tx1">
                      <w14:lumMod w14:val="95000"/>
                      <w14:lumOff w14:val="5000"/>
                    </w14:schemeClr>
                  </w14:solidFill>
                </w14:textFill>
              </w:rPr>
            </w:pPr>
            <w:r>
              <w:rPr>
                <w:rFonts w:hint="eastAsia"/>
                <w:color w:val="0D0D0D" w:themeColor="text1" w:themeTint="F2"/>
                <w:kern w:val="2"/>
                <w:sz w:val="24"/>
                <w:szCs w:val="24"/>
                <w:highlight w:val="none"/>
                <w:u w:val="single"/>
                <w:lang w:val="en-US" w:eastAsia="zh-CN"/>
                <w14:textFill>
                  <w14:solidFill>
                    <w14:schemeClr w14:val="tx1">
                      <w14:lumMod w14:val="95000"/>
                      <w14:lumOff w14:val="5000"/>
                    </w14:schemeClr>
                  </w14:solidFill>
                </w14:textFill>
              </w:rPr>
              <w:t>项目玻璃切割工序产生的颗粒物、非甲烷总烃执行《玻璃工业大气污染物排放标准》（GB26453-2022）附录B厂区内无组织排放监控浓度限值要求，具体标准限值详见表3-4</w:t>
            </w:r>
            <w:r>
              <w:rPr>
                <w:rFonts w:hint="eastAsia"/>
                <w:color w:val="0D0D0D" w:themeColor="text1" w:themeTint="F2"/>
                <w:sz w:val="24"/>
                <w:szCs w:val="24"/>
                <w:highlight w:val="none"/>
                <w:u w:val="single"/>
                <w:lang w:val="en-US" w:eastAsia="zh-CN"/>
                <w14:textFill>
                  <w14:solidFill>
                    <w14:schemeClr w14:val="tx1">
                      <w14:lumMod w14:val="95000"/>
                      <w14:lumOff w14:val="5000"/>
                    </w14:schemeClr>
                  </w14:solidFill>
                </w14:textFill>
              </w:rPr>
              <w:t>，具体标准值见下表</w:t>
            </w:r>
            <w:r>
              <w:rPr>
                <w:rFonts w:hint="default"/>
                <w:color w:val="0D0D0D" w:themeColor="text1" w:themeTint="F2"/>
                <w:sz w:val="24"/>
                <w:szCs w:val="24"/>
                <w:highlight w:val="none"/>
                <w:u w:val="single"/>
                <w14:textFill>
                  <w14:solidFill>
                    <w14:schemeClr w14:val="tx1">
                      <w14:lumMod w14:val="95000"/>
                      <w14:lumOff w14:val="5000"/>
                    </w14:schemeClr>
                  </w14:solidFill>
                </w14:textFill>
              </w:rPr>
              <w:t>。</w:t>
            </w:r>
          </w:p>
          <w:p>
            <w:pPr>
              <w:pStyle w:val="64"/>
              <w:keepNext w:val="0"/>
              <w:keepLines w:val="0"/>
              <w:suppressLineNumbers w:val="0"/>
              <w:tabs>
                <w:tab w:val="left" w:pos="1320"/>
              </w:tabs>
              <w:spacing w:before="0" w:beforeAutospacing="0" w:after="0" w:afterAutospacing="0" w:line="240" w:lineRule="auto"/>
              <w:ind w:left="0" w:right="0"/>
              <w:jc w:val="center"/>
              <w:rPr>
                <w:rFonts w:hint="default" w:ascii="Times New Roman" w:hAnsi="Times New Roman"/>
                <w:b/>
                <w:bCs/>
                <w:color w:val="0D0D0D" w:themeColor="text1" w:themeTint="F2"/>
                <w:kern w:val="0"/>
                <w:position w:val="0"/>
                <w:sz w:val="21"/>
                <w:szCs w:val="21"/>
                <w:highlight w:val="none"/>
                <w14:textFill>
                  <w14:solidFill>
                    <w14:schemeClr w14:val="tx1">
                      <w14:lumMod w14:val="95000"/>
                      <w14:lumOff w14:val="5000"/>
                    </w14:schemeClr>
                  </w14:solidFill>
                </w14:textFill>
              </w:rPr>
            </w:pPr>
            <w:r>
              <w:rPr>
                <w:rFonts w:hint="default" w:ascii="Times New Roman" w:hAnsi="Times New Roman"/>
                <w:b/>
                <w:bCs/>
                <w:color w:val="0D0D0D" w:themeColor="text1" w:themeTint="F2"/>
                <w:kern w:val="0"/>
                <w:position w:val="0"/>
                <w:sz w:val="21"/>
                <w:szCs w:val="21"/>
                <w:highlight w:val="none"/>
                <w14:textFill>
                  <w14:solidFill>
                    <w14:schemeClr w14:val="tx1">
                      <w14:lumMod w14:val="95000"/>
                      <w14:lumOff w14:val="5000"/>
                    </w14:schemeClr>
                  </w14:solidFill>
                </w14:textFill>
              </w:rPr>
              <w:t>表</w:t>
            </w:r>
            <w:r>
              <w:rPr>
                <w:rFonts w:hint="eastAsia" w:ascii="Times New Roman" w:hAnsi="Times New Roman"/>
                <w:b/>
                <w:bCs/>
                <w:color w:val="0D0D0D" w:themeColor="text1" w:themeTint="F2"/>
                <w:kern w:val="0"/>
                <w:position w:val="0"/>
                <w:sz w:val="21"/>
                <w:szCs w:val="21"/>
                <w:highlight w:val="none"/>
                <w14:textFill>
                  <w14:solidFill>
                    <w14:schemeClr w14:val="tx1">
                      <w14:lumMod w14:val="95000"/>
                      <w14:lumOff w14:val="5000"/>
                    </w14:schemeClr>
                  </w14:solidFill>
                </w14:textFill>
              </w:rPr>
              <w:t>3-</w:t>
            </w:r>
            <w:r>
              <w:rPr>
                <w:rFonts w:hint="eastAsia" w:ascii="Times New Roman" w:hAnsi="Times New Roman"/>
                <w:b/>
                <w:bCs/>
                <w:color w:val="0D0D0D" w:themeColor="text1" w:themeTint="F2"/>
                <w:kern w:val="0"/>
                <w:position w:val="0"/>
                <w:sz w:val="21"/>
                <w:szCs w:val="21"/>
                <w:highlight w:val="none"/>
                <w:lang w:val="en-US" w:eastAsia="zh-CN"/>
                <w14:textFill>
                  <w14:solidFill>
                    <w14:schemeClr w14:val="tx1">
                      <w14:lumMod w14:val="95000"/>
                      <w14:lumOff w14:val="5000"/>
                    </w14:schemeClr>
                  </w14:solidFill>
                </w14:textFill>
              </w:rPr>
              <w:t>5</w:t>
            </w:r>
            <w:r>
              <w:rPr>
                <w:rFonts w:hint="default" w:ascii="Times New Roman" w:hAnsi="Times New Roman"/>
                <w:b/>
                <w:bCs/>
                <w:color w:val="0D0D0D" w:themeColor="text1" w:themeTint="F2"/>
                <w:kern w:val="0"/>
                <w:position w:val="0"/>
                <w:sz w:val="21"/>
                <w:szCs w:val="21"/>
                <w:highlight w:val="none"/>
                <w14:textFill>
                  <w14:solidFill>
                    <w14:schemeClr w14:val="tx1">
                      <w14:lumMod w14:val="95000"/>
                      <w14:lumOff w14:val="5000"/>
                    </w14:schemeClr>
                  </w14:solidFill>
                </w14:textFill>
              </w:rPr>
              <w:t>大气污染物综合排放标准厂界无组织排放限值单位：mg/m</w:t>
            </w:r>
            <w:r>
              <w:rPr>
                <w:rFonts w:hint="default" w:ascii="Times New Roman" w:hAnsi="Times New Roman"/>
                <w:b/>
                <w:bCs/>
                <w:color w:val="0D0D0D" w:themeColor="text1" w:themeTint="F2"/>
                <w:kern w:val="0"/>
                <w:position w:val="0"/>
                <w:sz w:val="21"/>
                <w:szCs w:val="21"/>
                <w:highlight w:val="none"/>
                <w:vertAlign w:val="superscript"/>
                <w14:textFill>
                  <w14:solidFill>
                    <w14:schemeClr w14:val="tx1">
                      <w14:lumMod w14:val="95000"/>
                      <w14:lumOff w14:val="5000"/>
                    </w14:schemeClr>
                  </w14:solidFill>
                </w14:textFill>
              </w:rPr>
              <w:t>3</w:t>
            </w:r>
          </w:p>
          <w:tbl>
            <w:tblPr>
              <w:tblStyle w:val="31"/>
              <w:tblW w:w="80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1187"/>
              <w:gridCol w:w="3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8"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bCs/>
                      <w:color w:val="0D0D0D" w:themeColor="text1" w:themeTint="F2"/>
                      <w:szCs w:val="21"/>
                      <w:highlight w:val="none"/>
                      <w:u w:val="single"/>
                      <w14:textFill>
                        <w14:solidFill>
                          <w14:schemeClr w14:val="tx1">
                            <w14:lumMod w14:val="95000"/>
                            <w14:lumOff w14:val="5000"/>
                          </w14:schemeClr>
                        </w14:solidFill>
                      </w14:textFill>
                    </w:rPr>
                  </w:pPr>
                  <w:r>
                    <w:rPr>
                      <w:rFonts w:hint="default"/>
                      <w:b/>
                      <w:bCs/>
                      <w:color w:val="0D0D0D" w:themeColor="text1" w:themeTint="F2"/>
                      <w:szCs w:val="21"/>
                      <w:highlight w:val="none"/>
                      <w:u w:val="single"/>
                      <w14:textFill>
                        <w14:solidFill>
                          <w14:schemeClr w14:val="tx1">
                            <w14:lumMod w14:val="95000"/>
                            <w14:lumOff w14:val="5000"/>
                          </w14:schemeClr>
                        </w14:solidFill>
                      </w14:textFill>
                    </w:rPr>
                    <w:t>项目</w:t>
                  </w:r>
                </w:p>
              </w:tc>
              <w:tc>
                <w:tcPr>
                  <w:tcW w:w="1187"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bCs/>
                      <w:color w:val="0D0D0D" w:themeColor="text1" w:themeTint="F2"/>
                      <w:szCs w:val="21"/>
                      <w:highlight w:val="none"/>
                      <w:u w:val="single"/>
                      <w14:textFill>
                        <w14:solidFill>
                          <w14:schemeClr w14:val="tx1">
                            <w14:lumMod w14:val="95000"/>
                            <w14:lumOff w14:val="5000"/>
                          </w14:schemeClr>
                        </w14:solidFill>
                      </w14:textFill>
                    </w:rPr>
                  </w:pPr>
                  <w:r>
                    <w:rPr>
                      <w:rFonts w:hint="default"/>
                      <w:b/>
                      <w:bCs/>
                      <w:color w:val="0D0D0D" w:themeColor="text1" w:themeTint="F2"/>
                      <w:szCs w:val="21"/>
                      <w:highlight w:val="none"/>
                      <w:u w:val="single"/>
                      <w14:textFill>
                        <w14:solidFill>
                          <w14:schemeClr w14:val="tx1">
                            <w14:lumMod w14:val="95000"/>
                            <w14:lumOff w14:val="5000"/>
                          </w14:schemeClr>
                        </w14:solidFill>
                      </w14:textFill>
                    </w:rPr>
                    <w:t>标准值</w:t>
                  </w:r>
                </w:p>
              </w:tc>
              <w:tc>
                <w:tcPr>
                  <w:tcW w:w="3644"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bCs/>
                      <w:color w:val="0D0D0D" w:themeColor="text1" w:themeTint="F2"/>
                      <w:szCs w:val="21"/>
                      <w:highlight w:val="none"/>
                      <w:u w:val="single"/>
                      <w14:textFill>
                        <w14:solidFill>
                          <w14:schemeClr w14:val="tx1">
                            <w14:lumMod w14:val="95000"/>
                            <w14:lumOff w14:val="5000"/>
                          </w14:schemeClr>
                        </w14:solidFill>
                      </w14:textFill>
                    </w:rPr>
                  </w:pPr>
                  <w:r>
                    <w:rPr>
                      <w:rFonts w:hint="default"/>
                      <w:b/>
                      <w:bCs/>
                      <w:color w:val="0D0D0D" w:themeColor="text1" w:themeTint="F2"/>
                      <w:szCs w:val="21"/>
                      <w:highlight w:val="none"/>
                      <w:u w:val="single"/>
                      <w14:textFill>
                        <w14:solidFill>
                          <w14:schemeClr w14:val="tx1">
                            <w14:lumMod w14:val="95000"/>
                            <w14:lumOff w14:val="5000"/>
                          </w14:schemeClr>
                        </w14:solidFill>
                      </w14:textFill>
                    </w:rPr>
                    <w:t>采用标准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8"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color w:val="0D0D0D" w:themeColor="text1" w:themeTint="F2"/>
                      <w:szCs w:val="21"/>
                      <w:highlight w:val="none"/>
                      <w:u w:val="single"/>
                      <w14:textFill>
                        <w14:solidFill>
                          <w14:schemeClr w14:val="tx1">
                            <w14:lumMod w14:val="95000"/>
                            <w14:lumOff w14:val="5000"/>
                          </w14:schemeClr>
                        </w14:solidFill>
                      </w14:textFill>
                    </w:rPr>
                  </w:pPr>
                  <w:r>
                    <w:rPr>
                      <w:rFonts w:hint="default"/>
                      <w:color w:val="0D0D0D" w:themeColor="text1" w:themeTint="F2"/>
                      <w:szCs w:val="21"/>
                      <w:highlight w:val="none"/>
                      <w:u w:val="single"/>
                      <w14:textFill>
                        <w14:solidFill>
                          <w14:schemeClr w14:val="tx1">
                            <w14:lumMod w14:val="95000"/>
                            <w14:lumOff w14:val="5000"/>
                          </w14:schemeClr>
                        </w14:solidFill>
                      </w14:textFill>
                    </w:rPr>
                    <w:t>颗粒物（周界外浓度最高点）</w:t>
                  </w:r>
                </w:p>
              </w:tc>
              <w:tc>
                <w:tcPr>
                  <w:tcW w:w="1187"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color w:val="0D0D0D" w:themeColor="text1" w:themeTint="F2"/>
                      <w:szCs w:val="21"/>
                      <w:highlight w:val="none"/>
                      <w:u w:val="single"/>
                      <w14:textFill>
                        <w14:solidFill>
                          <w14:schemeClr w14:val="tx1">
                            <w14:lumMod w14:val="95000"/>
                            <w14:lumOff w14:val="5000"/>
                          </w14:schemeClr>
                        </w14:solidFill>
                      </w14:textFill>
                    </w:rPr>
                  </w:pPr>
                  <w:r>
                    <w:rPr>
                      <w:rFonts w:hint="eastAsia"/>
                      <w:color w:val="0D0D0D" w:themeColor="text1" w:themeTint="F2"/>
                      <w:szCs w:val="21"/>
                      <w:highlight w:val="none"/>
                      <w:u w:val="single"/>
                      <w:lang w:val="en-US" w:eastAsia="zh-CN"/>
                      <w14:textFill>
                        <w14:solidFill>
                          <w14:schemeClr w14:val="tx1">
                            <w14:lumMod w14:val="95000"/>
                            <w14:lumOff w14:val="5000"/>
                          </w14:schemeClr>
                        </w14:solidFill>
                      </w14:textFill>
                    </w:rPr>
                    <w:t>5</w:t>
                  </w:r>
                  <w:r>
                    <w:rPr>
                      <w:rFonts w:hint="default"/>
                      <w:color w:val="0D0D0D" w:themeColor="text1" w:themeTint="F2"/>
                      <w:szCs w:val="21"/>
                      <w:highlight w:val="none"/>
                      <w:u w:val="single"/>
                      <w14:textFill>
                        <w14:solidFill>
                          <w14:schemeClr w14:val="tx1">
                            <w14:lumMod w14:val="95000"/>
                            <w14:lumOff w14:val="5000"/>
                          </w14:schemeClr>
                        </w14:solidFill>
                      </w14:textFill>
                    </w:rPr>
                    <w:t>mg/m</w:t>
                  </w:r>
                  <w:r>
                    <w:rPr>
                      <w:rFonts w:hint="default"/>
                      <w:color w:val="0D0D0D" w:themeColor="text1" w:themeTint="F2"/>
                      <w:szCs w:val="21"/>
                      <w:highlight w:val="none"/>
                      <w:u w:val="single"/>
                      <w:vertAlign w:val="superscript"/>
                      <w14:textFill>
                        <w14:solidFill>
                          <w14:schemeClr w14:val="tx1">
                            <w14:lumMod w14:val="95000"/>
                            <w14:lumOff w14:val="5000"/>
                          </w14:schemeClr>
                        </w14:solidFill>
                      </w14:textFill>
                    </w:rPr>
                    <w:t>3</w:t>
                  </w:r>
                </w:p>
              </w:tc>
              <w:tc>
                <w:tcPr>
                  <w:tcW w:w="3644"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color w:val="0D0D0D" w:themeColor="text1" w:themeTint="F2"/>
                      <w:szCs w:val="21"/>
                      <w:highlight w:val="none"/>
                      <w:u w:val="single"/>
                      <w:lang w:val="en-US" w:eastAsia="zh-CN"/>
                      <w14:textFill>
                        <w14:solidFill>
                          <w14:schemeClr w14:val="tx1">
                            <w14:lumMod w14:val="95000"/>
                            <w14:lumOff w14:val="5000"/>
                          </w14:schemeClr>
                        </w14:solidFill>
                      </w14:textFill>
                    </w:rPr>
                  </w:pPr>
                  <w:r>
                    <w:rPr>
                      <w:rFonts w:hint="default"/>
                      <w:color w:val="0D0D0D" w:themeColor="text1" w:themeTint="F2"/>
                      <w:szCs w:val="21"/>
                      <w:highlight w:val="none"/>
                      <w:u w:val="single"/>
                      <w14:textFill>
                        <w14:solidFill>
                          <w14:schemeClr w14:val="tx1">
                            <w14:lumMod w14:val="95000"/>
                            <w14:lumOff w14:val="5000"/>
                          </w14:schemeClr>
                        </w14:solidFill>
                      </w14:textFill>
                    </w:rPr>
                    <w:t>《玻璃工业大气污染物排放标准》（GB26453-2022）</w:t>
                  </w:r>
                  <w:r>
                    <w:rPr>
                      <w:rFonts w:hint="eastAsia"/>
                      <w:color w:val="0D0D0D" w:themeColor="text1" w:themeTint="F2"/>
                      <w:szCs w:val="21"/>
                      <w:highlight w:val="none"/>
                      <w:u w:val="single"/>
                      <w:lang w:val="en-US" w:eastAsia="zh-CN"/>
                      <w14:textFill>
                        <w14:solidFill>
                          <w14:schemeClr w14:val="tx1">
                            <w14:lumMod w14:val="95000"/>
                            <w14:lumOff w14:val="5000"/>
                          </w14:schemeClr>
                        </w14:solidFill>
                      </w14:textFill>
                    </w:rPr>
                    <w:t>中附录B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8"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color w:val="0D0D0D" w:themeColor="text1" w:themeTint="F2"/>
                      <w:szCs w:val="21"/>
                      <w:highlight w:val="none"/>
                      <w:u w:val="single"/>
                      <w:lang w:eastAsia="zh-CN"/>
                      <w14:textFill>
                        <w14:solidFill>
                          <w14:schemeClr w14:val="tx1">
                            <w14:lumMod w14:val="95000"/>
                            <w14:lumOff w14:val="5000"/>
                          </w14:schemeClr>
                        </w14:solidFill>
                      </w14:textFill>
                    </w:rPr>
                  </w:pPr>
                  <w:r>
                    <w:rPr>
                      <w:rFonts w:hint="default"/>
                      <w:color w:val="0D0D0D" w:themeColor="text1" w:themeTint="F2"/>
                      <w:szCs w:val="21"/>
                      <w:highlight w:val="none"/>
                      <w:u w:val="single"/>
                      <w14:textFill>
                        <w14:solidFill>
                          <w14:schemeClr w14:val="tx1">
                            <w14:lumMod w14:val="95000"/>
                            <w14:lumOff w14:val="5000"/>
                          </w14:schemeClr>
                        </w14:solidFill>
                      </w14:textFill>
                    </w:rPr>
                    <w:t>非甲烷总烃</w:t>
                  </w:r>
                  <w:r>
                    <w:rPr>
                      <w:rFonts w:hint="eastAsia"/>
                      <w:color w:val="0D0D0D" w:themeColor="text1" w:themeTint="F2"/>
                      <w:szCs w:val="21"/>
                      <w:highlight w:val="none"/>
                      <w:u w:val="single"/>
                      <w:lang w:eastAsia="zh-CN"/>
                      <w14:textFill>
                        <w14:solidFill>
                          <w14:schemeClr w14:val="tx1">
                            <w14:lumMod w14:val="95000"/>
                            <w14:lumOff w14:val="5000"/>
                          </w14:schemeClr>
                        </w14:solidFill>
                      </w14:textFill>
                    </w:rPr>
                    <w:t>（</w:t>
                  </w:r>
                  <w:r>
                    <w:rPr>
                      <w:rFonts w:hint="default"/>
                      <w:color w:val="0D0D0D" w:themeColor="text1" w:themeTint="F2"/>
                      <w:szCs w:val="21"/>
                      <w:highlight w:val="none"/>
                      <w:u w:val="single"/>
                      <w14:textFill>
                        <w14:solidFill>
                          <w14:schemeClr w14:val="tx1">
                            <w14:lumMod w14:val="95000"/>
                            <w14:lumOff w14:val="5000"/>
                          </w14:schemeClr>
                        </w14:solidFill>
                      </w14:textFill>
                    </w:rPr>
                    <w:t>周界外浓度最高点</w:t>
                  </w:r>
                  <w:r>
                    <w:rPr>
                      <w:rFonts w:hint="eastAsia"/>
                      <w:color w:val="0D0D0D" w:themeColor="text1" w:themeTint="F2"/>
                      <w:szCs w:val="21"/>
                      <w:highlight w:val="none"/>
                      <w:u w:val="single"/>
                      <w:lang w:eastAsia="zh-CN"/>
                      <w14:textFill>
                        <w14:solidFill>
                          <w14:schemeClr w14:val="tx1">
                            <w14:lumMod w14:val="95000"/>
                            <w14:lumOff w14:val="5000"/>
                          </w14:schemeClr>
                        </w14:solidFill>
                      </w14:textFill>
                    </w:rPr>
                    <w:t>）</w:t>
                  </w:r>
                </w:p>
              </w:tc>
              <w:tc>
                <w:tcPr>
                  <w:tcW w:w="1187"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color w:val="0D0D0D" w:themeColor="text1" w:themeTint="F2"/>
                      <w:szCs w:val="21"/>
                      <w:highlight w:val="none"/>
                      <w:u w:val="single"/>
                      <w:lang w:val="en-US" w:eastAsia="zh-CN"/>
                      <w14:textFill>
                        <w14:solidFill>
                          <w14:schemeClr w14:val="tx1">
                            <w14:lumMod w14:val="95000"/>
                            <w14:lumOff w14:val="5000"/>
                          </w14:schemeClr>
                        </w14:solidFill>
                      </w14:textFill>
                    </w:rPr>
                  </w:pPr>
                  <w:r>
                    <w:rPr>
                      <w:rFonts w:hint="eastAsia"/>
                      <w:color w:val="0D0D0D" w:themeColor="text1" w:themeTint="F2"/>
                      <w:szCs w:val="21"/>
                      <w:highlight w:val="none"/>
                      <w:u w:val="single"/>
                      <w:lang w:val="en-US" w:eastAsia="zh-CN"/>
                      <w14:textFill>
                        <w14:solidFill>
                          <w14:schemeClr w14:val="tx1">
                            <w14:lumMod w14:val="95000"/>
                            <w14:lumOff w14:val="5000"/>
                          </w14:schemeClr>
                        </w14:solidFill>
                      </w14:textFill>
                    </w:rPr>
                    <w:t>15mg/m</w:t>
                  </w:r>
                  <w:r>
                    <w:rPr>
                      <w:rFonts w:hint="eastAsia"/>
                      <w:color w:val="0D0D0D" w:themeColor="text1" w:themeTint="F2"/>
                      <w:szCs w:val="21"/>
                      <w:highlight w:val="none"/>
                      <w:u w:val="single"/>
                      <w:vertAlign w:val="superscript"/>
                      <w:lang w:val="en-US" w:eastAsia="zh-CN"/>
                      <w14:textFill>
                        <w14:solidFill>
                          <w14:schemeClr w14:val="tx1">
                            <w14:lumMod w14:val="95000"/>
                            <w14:lumOff w14:val="5000"/>
                          </w14:schemeClr>
                        </w14:solidFill>
                      </w14:textFill>
                    </w:rPr>
                    <w:t>3</w:t>
                  </w:r>
                </w:p>
              </w:tc>
              <w:tc>
                <w:tcPr>
                  <w:tcW w:w="3644"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color w:val="0D0D0D" w:themeColor="text1" w:themeTint="F2"/>
                      <w:szCs w:val="21"/>
                      <w:highlight w:val="none"/>
                      <w14:textFill>
                        <w14:solidFill>
                          <w14:schemeClr w14:val="tx1">
                            <w14:lumMod w14:val="95000"/>
                            <w14:lumOff w14:val="5000"/>
                          </w14:schemeClr>
                        </w14:solidFill>
                      </w14:textFill>
                    </w:rPr>
                  </w:pPr>
                </w:p>
              </w:tc>
            </w:tr>
          </w:tbl>
          <w:p>
            <w:pPr>
              <w:pStyle w:val="7"/>
              <w:keepNext w:val="0"/>
              <w:keepLines w:val="0"/>
              <w:widowControl/>
              <w:suppressLineNumbers w:val="0"/>
              <w:adjustRightInd w:val="0"/>
              <w:snapToGrid w:val="0"/>
              <w:spacing w:beforeAutospacing="0" w:after="0" w:afterAutospacing="0" w:line="360" w:lineRule="auto"/>
              <w:ind w:left="0" w:firstLine="480" w:firstLineChars="200"/>
              <w:jc w:val="left"/>
              <w:rPr>
                <w:rFonts w:hint="eastAsia"/>
                <w:color w:val="0D0D0D" w:themeColor="text1" w:themeTint="F2"/>
                <w:kern w:val="2"/>
                <w:szCs w:val="24"/>
                <w:highlight w:val="none"/>
                <w:lang w:val="en-US" w:eastAsia="zh-CN"/>
                <w14:textFill>
                  <w14:solidFill>
                    <w14:schemeClr w14:val="tx1">
                      <w14:lumMod w14:val="95000"/>
                      <w14:lumOff w14:val="5000"/>
                    </w14:schemeClr>
                  </w14:solidFill>
                </w14:textFill>
              </w:rPr>
            </w:pPr>
            <w:r>
              <w:rPr>
                <w:rFonts w:hint="default"/>
                <w:snapToGrid w:val="0"/>
                <w:color w:val="0D0D0D" w:themeColor="text1" w:themeTint="F2"/>
                <w:kern w:val="24"/>
                <w:szCs w:val="24"/>
                <w:highlight w:val="none"/>
                <w:lang w:val="en-US" w:eastAsia="zh-CN"/>
                <w14:textFill>
                  <w14:solidFill>
                    <w14:schemeClr w14:val="tx1">
                      <w14:lumMod w14:val="95000"/>
                      <w14:lumOff w14:val="5000"/>
                    </w14:schemeClr>
                  </w14:solidFill>
                </w14:textFill>
              </w:rPr>
              <w:t>油烟废气执行</w:t>
            </w:r>
            <w:r>
              <w:rPr>
                <w:rFonts w:hint="eastAsia"/>
                <w:color w:val="0D0D0D" w:themeColor="text1" w:themeTint="F2"/>
                <w:kern w:val="2"/>
                <w:szCs w:val="24"/>
                <w:highlight w:val="none"/>
                <w:lang w:val="en-US" w:eastAsia="zh-CN"/>
                <w14:textFill>
                  <w14:solidFill>
                    <w14:schemeClr w14:val="tx1">
                      <w14:lumMod w14:val="95000"/>
                      <w14:lumOff w14:val="5000"/>
                    </w14:schemeClr>
                  </w14:solidFill>
                </w14:textFill>
              </w:rPr>
              <w:t>《饮食业油烟排放标准（试行）》</w:t>
            </w:r>
            <w:r>
              <w:rPr>
                <w:rFonts w:hint="default"/>
                <w:color w:val="0D0D0D" w:themeColor="text1" w:themeTint="F2"/>
                <w:kern w:val="2"/>
                <w:szCs w:val="24"/>
                <w:highlight w:val="none"/>
                <w:lang w:val="en-US" w:eastAsia="zh-CN"/>
                <w14:textFill>
                  <w14:solidFill>
                    <w14:schemeClr w14:val="tx1">
                      <w14:lumMod w14:val="95000"/>
                      <w14:lumOff w14:val="5000"/>
                    </w14:schemeClr>
                  </w14:solidFill>
                </w14:textFill>
              </w:rPr>
              <w:t>（GB18483-2001）</w:t>
            </w:r>
            <w:r>
              <w:rPr>
                <w:rFonts w:hint="eastAsia"/>
                <w:color w:val="0D0D0D" w:themeColor="text1" w:themeTint="F2"/>
                <w:kern w:val="2"/>
                <w:szCs w:val="24"/>
                <w:highlight w:val="none"/>
                <w:lang w:val="en-US" w:eastAsia="zh-CN"/>
                <w14:textFill>
                  <w14:solidFill>
                    <w14:schemeClr w14:val="tx1">
                      <w14:lumMod w14:val="95000"/>
                      <w14:lumOff w14:val="5000"/>
                    </w14:schemeClr>
                  </w14:solidFill>
                </w14:textFill>
              </w:rPr>
              <w:t>中</w:t>
            </w:r>
            <w:r>
              <w:rPr>
                <w:rFonts w:hint="default"/>
                <w:color w:val="0D0D0D" w:themeColor="text1" w:themeTint="F2"/>
                <w:kern w:val="2"/>
                <w:szCs w:val="24"/>
                <w:highlight w:val="none"/>
                <w:lang w:val="en-US" w:eastAsia="zh-CN"/>
                <w14:textFill>
                  <w14:solidFill>
                    <w14:schemeClr w14:val="tx1">
                      <w14:lumMod w14:val="95000"/>
                      <w14:lumOff w14:val="5000"/>
                    </w14:schemeClr>
                  </w14:solidFill>
                </w14:textFill>
              </w:rPr>
              <w:t>型规模标准</w:t>
            </w:r>
            <w:r>
              <w:rPr>
                <w:rFonts w:hint="eastAsia"/>
                <w:color w:val="0D0D0D" w:themeColor="text1" w:themeTint="F2"/>
                <w:kern w:val="2"/>
                <w:szCs w:val="24"/>
                <w:highlight w:val="none"/>
                <w:lang w:val="en-US" w:eastAsia="zh-CN"/>
                <w14:textFill>
                  <w14:solidFill>
                    <w14:schemeClr w14:val="tx1">
                      <w14:lumMod w14:val="95000"/>
                      <w14:lumOff w14:val="5000"/>
                    </w14:schemeClr>
                  </w14:solidFill>
                </w14:textFill>
              </w:rPr>
              <w:t>。</w:t>
            </w:r>
          </w:p>
          <w:p>
            <w:pPr>
              <w:pStyle w:val="7"/>
              <w:keepNext w:val="0"/>
              <w:keepLines w:val="0"/>
              <w:widowControl/>
              <w:suppressLineNumbers w:val="0"/>
              <w:adjustRightInd w:val="0"/>
              <w:snapToGrid w:val="0"/>
              <w:spacing w:beforeAutospacing="0" w:after="0" w:afterAutospacing="0"/>
              <w:ind w:left="0" w:firstLine="0" w:firstLineChars="0"/>
              <w:jc w:val="center"/>
              <w:rPr>
                <w:rFonts w:hint="default"/>
                <w:color w:val="0D0D0D" w:themeColor="text1" w:themeTint="F2"/>
                <w:kern w:val="2"/>
                <w:sz w:val="21"/>
                <w:szCs w:val="21"/>
                <w:highlight w:val="none"/>
                <w:lang w:val="en-US" w:eastAsia="zh-CN"/>
                <w14:textFill>
                  <w14:solidFill>
                    <w14:schemeClr w14:val="tx1">
                      <w14:lumMod w14:val="95000"/>
                      <w14:lumOff w14:val="5000"/>
                    </w14:schemeClr>
                  </w14:solidFill>
                </w14:textFill>
              </w:rPr>
            </w:pPr>
            <w:r>
              <w:rPr>
                <w:rFonts w:hint="eastAsia"/>
                <w:b/>
                <w:color w:val="0D0D0D" w:themeColor="text1" w:themeTint="F2"/>
                <w:kern w:val="2"/>
                <w:sz w:val="21"/>
                <w:szCs w:val="21"/>
                <w:highlight w:val="none"/>
                <w:lang w:val="en-US" w:eastAsia="zh-CN"/>
                <w14:textFill>
                  <w14:solidFill>
                    <w14:schemeClr w14:val="tx1">
                      <w14:lumMod w14:val="95000"/>
                      <w14:lumOff w14:val="5000"/>
                    </w14:schemeClr>
                  </w14:solidFill>
                </w14:textFill>
              </w:rPr>
              <w:t>表3-6《饮食业油烟排放标准（试行）》</w:t>
            </w:r>
            <w:r>
              <w:rPr>
                <w:rFonts w:hint="default"/>
                <w:b/>
                <w:color w:val="0D0D0D" w:themeColor="text1" w:themeTint="F2"/>
                <w:kern w:val="2"/>
                <w:sz w:val="21"/>
                <w:szCs w:val="21"/>
                <w:highlight w:val="none"/>
                <w:lang w:val="en-US" w:eastAsia="zh-CN"/>
                <w14:textFill>
                  <w14:solidFill>
                    <w14:schemeClr w14:val="tx1">
                      <w14:lumMod w14:val="95000"/>
                      <w14:lumOff w14:val="5000"/>
                    </w14:schemeClr>
                  </w14:solidFill>
                </w14:textFill>
              </w:rPr>
              <w:t>（GB18483-2001）</w:t>
            </w:r>
          </w:p>
          <w:tbl>
            <w:tblPr>
              <w:tblStyle w:val="31"/>
              <w:tblW w:w="803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006"/>
              <w:gridCol w:w="1676"/>
              <w:gridCol w:w="1676"/>
              <w:gridCol w:w="16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jc w:val="center"/>
              </w:trPr>
              <w:tc>
                <w:tcPr>
                  <w:tcW w:w="300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t>规模</w:t>
                  </w:r>
                </w:p>
              </w:tc>
              <w:tc>
                <w:tcPr>
                  <w:tcW w:w="16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t>小型</w:t>
                  </w:r>
                </w:p>
              </w:tc>
              <w:tc>
                <w:tcPr>
                  <w:tcW w:w="16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t>中型</w:t>
                  </w:r>
                </w:p>
              </w:tc>
              <w:tc>
                <w:tcPr>
                  <w:tcW w:w="167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2"/>
                      <w:sz w:val="21"/>
                      <w:highlight w:val="none"/>
                      <w14:textFill>
                        <w14:solidFill>
                          <w14:schemeClr w14:val="tx1">
                            <w14:lumMod w14:val="95000"/>
                            <w14:lumOff w14:val="5000"/>
                          </w14:schemeClr>
                        </w14:solidFill>
                      </w14:textFill>
                    </w:rPr>
                    <w:t>大型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jc w:val="center"/>
              </w:trPr>
              <w:tc>
                <w:tcPr>
                  <w:tcW w:w="300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最高允许排放浓度(mg/m</w:t>
                  </w:r>
                  <w:r>
                    <w:rPr>
                      <w:rFonts w:hint="default" w:ascii="Times New Roman" w:hAnsi="Times New Roman" w:cs="Times New Roman"/>
                      <w:color w:val="0D0D0D" w:themeColor="text1" w:themeTint="F2"/>
                      <w:kern w:val="2"/>
                      <w:sz w:val="21"/>
                      <w:highlight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w:t>
                  </w:r>
                </w:p>
              </w:tc>
              <w:tc>
                <w:tcPr>
                  <w:tcW w:w="5031" w:type="dxa"/>
                  <w:gridSpan w:val="3"/>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300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净化设施最低去除效率(%)</w:t>
                  </w:r>
                </w:p>
              </w:tc>
              <w:tc>
                <w:tcPr>
                  <w:tcW w:w="16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60</w:t>
                  </w:r>
                </w:p>
              </w:tc>
              <w:tc>
                <w:tcPr>
                  <w:tcW w:w="1676"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75</w:t>
                  </w:r>
                </w:p>
              </w:tc>
              <w:tc>
                <w:tcPr>
                  <w:tcW w:w="1679" w:type="dxa"/>
                  <w:tcBorders>
                    <w:tl2br w:val="nil"/>
                    <w:tr2bl w:val="nil"/>
                  </w:tcBorders>
                  <w:noWrap w:val="0"/>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1"/>
                      <w:highlight w:val="none"/>
                      <w14:textFill>
                        <w14:solidFill>
                          <w14:schemeClr w14:val="tx1">
                            <w14:lumMod w14:val="95000"/>
                            <w14:lumOff w14:val="5000"/>
                          </w14:schemeClr>
                        </w14:solidFill>
                      </w14:textFill>
                    </w:rPr>
                    <w:t>85</w:t>
                  </w:r>
                </w:p>
              </w:tc>
            </w:tr>
          </w:tbl>
          <w:p>
            <w:pPr>
              <w:keepNext w:val="0"/>
              <w:keepLines w:val="0"/>
              <w:suppressLineNumbers w:val="0"/>
              <w:adjustRightInd w:val="0"/>
              <w:snapToGrid w:val="0"/>
              <w:spacing w:before="120" w:beforeLines="50" w:beforeAutospacing="0" w:after="0" w:afterAutospacing="0"/>
              <w:ind w:left="0" w:right="0" w:firstLine="482" w:firstLineChars="200"/>
              <w:jc w:val="left"/>
              <w:rPr>
                <w:rFonts w:hint="default"/>
                <w:b/>
                <w:color w:val="0D0D0D" w:themeColor="text1" w:themeTint="F2"/>
                <w:sz w:val="24"/>
                <w:highlight w:val="none"/>
                <w14:textFill>
                  <w14:solidFill>
                    <w14:schemeClr w14:val="tx1">
                      <w14:lumMod w14:val="95000"/>
                      <w14:lumOff w14:val="5000"/>
                    </w14:schemeClr>
                  </w14:solidFill>
                </w14:textFill>
              </w:rPr>
            </w:pPr>
            <w:r>
              <w:rPr>
                <w:rFonts w:hint="eastAsia"/>
                <w:b/>
                <w:color w:val="0D0D0D" w:themeColor="text1" w:themeTint="F2"/>
                <w:sz w:val="24"/>
                <w:highlight w:val="none"/>
                <w14:textFill>
                  <w14:solidFill>
                    <w14:schemeClr w14:val="tx1">
                      <w14:lumMod w14:val="95000"/>
                      <w14:lumOff w14:val="5000"/>
                    </w14:schemeClr>
                  </w14:solidFill>
                </w14:textFill>
              </w:rPr>
              <w:t>2、废水</w:t>
            </w:r>
          </w:p>
          <w:p>
            <w:pPr>
              <w:keepNext w:val="0"/>
              <w:keepLines w:val="0"/>
              <w:suppressLineNumbers w:val="0"/>
              <w:adjustRightInd w:val="0"/>
              <w:snapToGrid w:val="0"/>
              <w:spacing w:before="120" w:beforeLines="50" w:beforeAutospacing="0" w:after="0" w:afterAutospacing="0" w:line="360" w:lineRule="auto"/>
              <w:ind w:left="0" w:right="0" w:firstLine="480" w:firstLineChars="200"/>
              <w:jc w:val="left"/>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项目生产废水</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经沉淀处理后的能重复使用，做到零排放。</w:t>
            </w:r>
          </w:p>
          <w:p>
            <w:pPr>
              <w:keepNext w:val="0"/>
              <w:keepLines w:val="0"/>
              <w:suppressLineNumbers w:val="0"/>
              <w:adjustRightInd w:val="0"/>
              <w:snapToGrid w:val="0"/>
              <w:spacing w:before="120" w:beforeLines="50" w:beforeAutospacing="0" w:after="0" w:afterAutospacing="0" w:line="360" w:lineRule="auto"/>
              <w:ind w:left="0" w:right="0" w:firstLine="480" w:firstLineChars="200"/>
              <w:jc w:val="both"/>
              <w:rPr>
                <w:rFonts w:hint="eastAsia"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项目</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生活污水经化粪池预处理后，进入零陵区富家桥镇污水处理厂处理达标后外排</w:t>
            </w:r>
            <w:r>
              <w:rPr>
                <w:rFonts w:hint="eastAsia" w:cs="Times New Roman"/>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达到</w:t>
            </w:r>
            <w:r>
              <w:rPr>
                <w:rFonts w:hint="eastAsia" w:cs="Times New Roman"/>
                <w:bCs/>
                <w:color w:val="0D0D0D" w:themeColor="text1" w:themeTint="F2"/>
                <w:sz w:val="24"/>
                <w:szCs w:val="24"/>
                <w:highlight w:val="none"/>
                <w:lang w:eastAsia="zh-CN"/>
                <w14:textFill>
                  <w14:solidFill>
                    <w14:schemeClr w14:val="tx1">
                      <w14:lumMod w14:val="95000"/>
                      <w14:lumOff w14:val="5000"/>
                    </w14:schemeClr>
                  </w14:solidFill>
                </w14:textFill>
              </w:rPr>
              <w:t>《城镇污水处理厂污染物排放标准》（GB 18918-2002）</w:t>
            </w:r>
            <w:r>
              <w:rPr>
                <w:rFonts w:hint="eastAsia"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一级B</w:t>
            </w:r>
            <w:r>
              <w:rPr>
                <w:rFonts w:hint="default" w:ascii="Times New Roman" w:hAnsi="Times New Roman" w:cs="Times New Roman"/>
                <w:bCs/>
                <w:color w:val="0D0D0D" w:themeColor="text1" w:themeTint="F2"/>
                <w:sz w:val="24"/>
                <w:szCs w:val="24"/>
                <w:highlight w:val="none"/>
                <w14:textFill>
                  <w14:solidFill>
                    <w14:schemeClr w14:val="tx1">
                      <w14:lumMod w14:val="95000"/>
                      <w14:lumOff w14:val="5000"/>
                    </w14:schemeClr>
                  </w14:solidFill>
                </w14:textFill>
              </w:rPr>
              <w:t>标准排放</w:t>
            </w:r>
            <w:r>
              <w:rPr>
                <w:rFonts w:hint="eastAsia" w:ascii="Times New Roman" w:hAnsi="Times New Roman" w:cs="Times New Roman"/>
                <w:bCs/>
                <w:color w:val="0D0D0D" w:themeColor="text1" w:themeTint="F2"/>
                <w:sz w:val="24"/>
                <w:szCs w:val="24"/>
                <w:highlight w:val="none"/>
                <w:lang w:val="en-US" w:eastAsia="zh-CN"/>
                <w14:textFill>
                  <w14:solidFill>
                    <w14:schemeClr w14:val="tx1">
                      <w14:lumMod w14:val="95000"/>
                      <w14:lumOff w14:val="5000"/>
                    </w14:schemeClr>
                  </w14:solidFill>
                </w14:textFill>
              </w:rPr>
              <w:t>。</w:t>
            </w: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default"/>
                <w:b/>
                <w:color w:val="0D0D0D" w:themeColor="text1" w:themeTint="F2"/>
                <w:sz w:val="24"/>
                <w:highlight w:val="none"/>
                <w14:textFill>
                  <w14:solidFill>
                    <w14:schemeClr w14:val="tx1">
                      <w14:lumMod w14:val="95000"/>
                      <w14:lumOff w14:val="5000"/>
                    </w14:schemeClr>
                  </w14:solidFill>
                </w14:textFill>
              </w:rPr>
            </w:pPr>
            <w:r>
              <w:rPr>
                <w:rFonts w:hint="eastAsia"/>
                <w:b/>
                <w:color w:val="0D0D0D" w:themeColor="text1" w:themeTint="F2"/>
                <w:sz w:val="24"/>
                <w:highlight w:val="none"/>
                <w14:textFill>
                  <w14:solidFill>
                    <w14:schemeClr w14:val="tx1">
                      <w14:lumMod w14:val="95000"/>
                      <w14:lumOff w14:val="5000"/>
                    </w14:schemeClr>
                  </w14:solidFill>
                </w14:textFill>
              </w:rPr>
              <w:t>3、</w:t>
            </w:r>
            <w:r>
              <w:rPr>
                <w:rFonts w:hint="default"/>
                <w:b/>
                <w:color w:val="0D0D0D" w:themeColor="text1" w:themeTint="F2"/>
                <w:sz w:val="24"/>
                <w:highlight w:val="none"/>
                <w14:textFill>
                  <w14:solidFill>
                    <w14:schemeClr w14:val="tx1">
                      <w14:lumMod w14:val="95000"/>
                      <w14:lumOff w14:val="5000"/>
                    </w14:schemeClr>
                  </w14:solidFill>
                </w14:textFill>
              </w:rPr>
              <w:t>噪声</w:t>
            </w:r>
          </w:p>
          <w:p>
            <w:pPr>
              <w:keepNext w:val="0"/>
              <w:keepLines w:val="0"/>
              <w:suppressLineNumbers w:val="0"/>
              <w:spacing w:before="0" w:beforeAutospacing="0" w:after="0" w:afterAutospacing="0" w:line="360" w:lineRule="auto"/>
              <w:ind w:left="0" w:right="0" w:firstLine="480" w:firstLineChars="200"/>
              <w:jc w:val="left"/>
              <w:rPr>
                <w:rFonts w:hint="eastAsia"/>
                <w:color w:val="0D0D0D" w:themeColor="text1" w:themeTint="F2"/>
                <w:kern w:val="0"/>
                <w:sz w:val="24"/>
                <w:highlight w:val="none"/>
                <w14:textFill>
                  <w14:solidFill>
                    <w14:schemeClr w14:val="tx1">
                      <w14:lumMod w14:val="95000"/>
                      <w14:lumOff w14:val="5000"/>
                    </w14:schemeClr>
                  </w14:solidFill>
                </w14:textFill>
              </w:rPr>
            </w:pPr>
            <w:r>
              <w:rPr>
                <w:rFonts w:hint="default"/>
                <w:color w:val="0D0D0D" w:themeColor="text1" w:themeTint="F2"/>
                <w:kern w:val="0"/>
                <w:sz w:val="24"/>
                <w:highlight w:val="none"/>
                <w14:textFill>
                  <w14:solidFill>
                    <w14:schemeClr w14:val="tx1">
                      <w14:lumMod w14:val="95000"/>
                      <w14:lumOff w14:val="5000"/>
                    </w14:schemeClr>
                  </w14:solidFill>
                </w14:textFill>
              </w:rPr>
              <w:t>运营期噪声执行《工业企业厂界环境噪声排放标准》</w:t>
            </w:r>
            <w:r>
              <w:rPr>
                <w:rFonts w:hint="default"/>
                <w:color w:val="0D0D0D" w:themeColor="text1" w:themeTint="F2"/>
                <w:spacing w:val="-20"/>
                <w:kern w:val="0"/>
                <w:sz w:val="24"/>
                <w:highlight w:val="none"/>
                <w14:textFill>
                  <w14:solidFill>
                    <w14:schemeClr w14:val="tx1">
                      <w14:lumMod w14:val="95000"/>
                      <w14:lumOff w14:val="5000"/>
                    </w14:schemeClr>
                  </w14:solidFill>
                </w14:textFill>
              </w:rPr>
              <w:t>（GB12348-2008）</w:t>
            </w:r>
            <w:r>
              <w:rPr>
                <w:rFonts w:hint="default"/>
                <w:color w:val="0D0D0D" w:themeColor="text1" w:themeTint="F2"/>
                <w:kern w:val="0"/>
                <w:sz w:val="24"/>
                <w:highlight w:val="none"/>
                <w14:textFill>
                  <w14:solidFill>
                    <w14:schemeClr w14:val="tx1">
                      <w14:lumMod w14:val="95000"/>
                      <w14:lumOff w14:val="5000"/>
                    </w14:schemeClr>
                  </w14:solidFill>
                </w14:textFill>
              </w:rPr>
              <w:t>中的</w:t>
            </w:r>
            <w:r>
              <w:rPr>
                <w:rFonts w:hint="eastAsia"/>
                <w:color w:val="0D0D0D" w:themeColor="text1" w:themeTint="F2"/>
                <w:kern w:val="0"/>
                <w:sz w:val="24"/>
                <w:highlight w:val="none"/>
                <w14:textFill>
                  <w14:solidFill>
                    <w14:schemeClr w14:val="tx1">
                      <w14:lumMod w14:val="95000"/>
                      <w14:lumOff w14:val="5000"/>
                    </w14:schemeClr>
                  </w14:solidFill>
                </w14:textFill>
              </w:rPr>
              <w:t>2</w:t>
            </w:r>
            <w:r>
              <w:rPr>
                <w:rFonts w:hint="default"/>
                <w:color w:val="0D0D0D" w:themeColor="text1" w:themeTint="F2"/>
                <w:kern w:val="0"/>
                <w:sz w:val="24"/>
                <w:highlight w:val="none"/>
                <w14:textFill>
                  <w14:solidFill>
                    <w14:schemeClr w14:val="tx1">
                      <w14:lumMod w14:val="95000"/>
                      <w14:lumOff w14:val="5000"/>
                    </w14:schemeClr>
                  </w14:solidFill>
                </w14:textFill>
              </w:rPr>
              <w:t>类标准，标准限值见表</w:t>
            </w:r>
            <w:r>
              <w:rPr>
                <w:rFonts w:hint="eastAsia"/>
                <w:color w:val="0D0D0D" w:themeColor="text1" w:themeTint="F2"/>
                <w:kern w:val="0"/>
                <w:sz w:val="24"/>
                <w:highlight w:val="none"/>
                <w14:textFill>
                  <w14:solidFill>
                    <w14:schemeClr w14:val="tx1">
                      <w14:lumMod w14:val="95000"/>
                      <w14:lumOff w14:val="5000"/>
                    </w14:schemeClr>
                  </w14:solidFill>
                </w14:textFill>
              </w:rPr>
              <w:t>3-5</w:t>
            </w:r>
            <w:r>
              <w:rPr>
                <w:rFonts w:hint="default"/>
                <w:color w:val="0D0D0D" w:themeColor="text1" w:themeTint="F2"/>
                <w:kern w:val="0"/>
                <w:sz w:val="24"/>
                <w:highlight w:val="none"/>
                <w14:textFill>
                  <w14:solidFill>
                    <w14:schemeClr w14:val="tx1">
                      <w14:lumMod w14:val="95000"/>
                      <w14:lumOff w14:val="5000"/>
                    </w14:schemeClr>
                  </w14:solidFill>
                </w14:textFill>
              </w:rPr>
              <w:t>。</w:t>
            </w:r>
          </w:p>
          <w:p>
            <w:pPr>
              <w:pStyle w:val="64"/>
              <w:keepNext w:val="0"/>
              <w:keepLines w:val="0"/>
              <w:pageBreakBefore w:val="0"/>
              <w:widowControl w:val="0"/>
              <w:suppressLineNumbers w:val="0"/>
              <w:tabs>
                <w:tab w:val="clear" w:pos="1021"/>
              </w:tabs>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D0D0D" w:themeColor="text1" w:themeTint="F2"/>
                <w:kern w:val="0"/>
                <w:position w:val="0"/>
                <w:sz w:val="24"/>
                <w:szCs w:val="24"/>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kern w:val="0"/>
                <w:position w:val="0"/>
                <w:sz w:val="24"/>
                <w:szCs w:val="24"/>
                <w:highlight w:val="none"/>
                <w14:textFill>
                  <w14:solidFill>
                    <w14:schemeClr w14:val="tx1">
                      <w14:lumMod w14:val="95000"/>
                      <w14:lumOff w14:val="5000"/>
                    </w14:schemeClr>
                  </w14:solidFill>
                </w14:textFill>
              </w:rPr>
              <w:t>表</w:t>
            </w:r>
            <w:r>
              <w:rPr>
                <w:rFonts w:hint="eastAsia" w:ascii="Times New Roman" w:hAnsi="Times New Roman" w:eastAsia="宋体" w:cs="Times New Roman"/>
                <w:b/>
                <w:bCs/>
                <w:color w:val="0D0D0D" w:themeColor="text1" w:themeTint="F2"/>
                <w:kern w:val="0"/>
                <w:position w:val="0"/>
                <w:sz w:val="24"/>
                <w:szCs w:val="24"/>
                <w:highlight w:val="none"/>
                <w14:textFill>
                  <w14:solidFill>
                    <w14:schemeClr w14:val="tx1">
                      <w14:lumMod w14:val="95000"/>
                      <w14:lumOff w14:val="5000"/>
                    </w14:schemeClr>
                  </w14:solidFill>
                </w14:textFill>
              </w:rPr>
              <w:t>3-</w:t>
            </w:r>
            <w:r>
              <w:rPr>
                <w:rFonts w:hint="eastAsia" w:ascii="Times New Roman" w:hAnsi="Times New Roman" w:cs="Times New Roman"/>
                <w:b/>
                <w:bCs/>
                <w:color w:val="0D0D0D" w:themeColor="text1" w:themeTint="F2"/>
                <w:kern w:val="0"/>
                <w:position w:val="0"/>
                <w:sz w:val="24"/>
                <w:szCs w:val="24"/>
                <w:highlight w:val="none"/>
                <w:lang w:val="en-US" w:eastAsia="zh-CN"/>
                <w14:textFill>
                  <w14:solidFill>
                    <w14:schemeClr w14:val="tx1">
                      <w14:lumMod w14:val="95000"/>
                      <w14:lumOff w14:val="5000"/>
                    </w14:schemeClr>
                  </w14:solidFill>
                </w14:textFill>
              </w:rPr>
              <w:t>7</w:t>
            </w:r>
            <w:r>
              <w:rPr>
                <w:rFonts w:hint="default" w:ascii="Times New Roman" w:hAnsi="Times New Roman" w:eastAsia="宋体" w:cs="Times New Roman"/>
                <w:b/>
                <w:bCs/>
                <w:color w:val="0D0D0D" w:themeColor="text1" w:themeTint="F2"/>
                <w:kern w:val="0"/>
                <w:position w:val="0"/>
                <w:sz w:val="24"/>
                <w:szCs w:val="24"/>
                <w:highlight w:val="none"/>
                <w14:textFill>
                  <w14:solidFill>
                    <w14:schemeClr w14:val="tx1">
                      <w14:lumMod w14:val="95000"/>
                      <w14:lumOff w14:val="5000"/>
                    </w14:schemeClr>
                  </w14:solidFill>
                </w14:textFill>
              </w:rPr>
              <w:t>工业企业厂界环境噪声排放标准单位：dB（A）</w:t>
            </w:r>
          </w:p>
          <w:tbl>
            <w:tblPr>
              <w:tblStyle w:val="32"/>
              <w:tblW w:w="80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4"/>
              <w:gridCol w:w="1746"/>
              <w:gridCol w:w="2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92" w:hRule="atLeast"/>
                <w:jc w:val="center"/>
              </w:trPr>
              <w:tc>
                <w:tcPr>
                  <w:tcW w:w="4264"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lang w:val="en-US" w:eastAsia="zh-CN" w:bidi="ar"/>
                      <w14:textFill>
                        <w14:solidFill>
                          <w14:schemeClr w14:val="tx1">
                            <w14:lumMod w14:val="95000"/>
                            <w14:lumOff w14:val="5000"/>
                          </w14:schemeClr>
                        </w14:solidFill>
                      </w14:textFill>
                    </w:rPr>
                    <w:t>厂界外声环境功能类别</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lang w:val="en-US" w:eastAsia="zh-CN" w:bidi="ar"/>
                      <w14:textFill>
                        <w14:solidFill>
                          <w14:schemeClr w14:val="tx1">
                            <w14:lumMod w14:val="95000"/>
                            <w14:lumOff w14:val="5000"/>
                          </w14:schemeClr>
                        </w14:solidFill>
                      </w14:textFill>
                    </w:rPr>
                    <w:t>时段</w:t>
                  </w:r>
                </w:p>
              </w:tc>
              <w:tc>
                <w:tcPr>
                  <w:tcW w:w="3755"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lang w:val="en-US" w:eastAsia="zh-CN" w:bidi="ar"/>
                      <w14:textFill>
                        <w14:solidFill>
                          <w14:schemeClr w14:val="tx1">
                            <w14:lumMod w14:val="95000"/>
                            <w14:lumOff w14:val="5000"/>
                          </w14:schemeClr>
                        </w14:solidFill>
                      </w14:textFill>
                    </w:rPr>
                    <w:t>环境噪声限值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4264"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lang w:val="en-US" w:eastAsia="zh-CN" w:bidi="ar"/>
                      <w14:textFill>
                        <w14:solidFill>
                          <w14:schemeClr w14:val="tx1">
                            <w14:lumMod w14:val="95000"/>
                            <w14:lumOff w14:val="5000"/>
                          </w14:schemeClr>
                        </w14:solidFill>
                      </w14:textFill>
                    </w:rPr>
                    <w:t>昼间</w:t>
                  </w:r>
                </w:p>
              </w:tc>
              <w:tc>
                <w:tcPr>
                  <w:tcW w:w="20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lang w:val="en-US" w:eastAsia="zh-CN" w:bidi="ar"/>
                      <w14:textFill>
                        <w14:solidFill>
                          <w14:schemeClr w14:val="tx1">
                            <w14:lumMod w14:val="95000"/>
                            <w14:lumOff w14:val="5000"/>
                          </w14:schemeClr>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4264" w:type="dxa"/>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bidi="ar"/>
                      <w14:textFill>
                        <w14:solidFill>
                          <w14:schemeClr w14:val="tx1">
                            <w14:lumMod w14:val="95000"/>
                            <w14:lumOff w14:val="5000"/>
                          </w14:schemeClr>
                        </w14:solidFill>
                      </w14:textFill>
                    </w:rPr>
                    <w:t>2</w:t>
                  </w:r>
                  <w:r>
                    <w:rPr>
                      <w:rFonts w:hint="eastAsia" w:ascii="宋体" w:hAnsi="宋体" w:eastAsia="宋体" w:cs="宋体"/>
                      <w:color w:val="0D0D0D" w:themeColor="text1" w:themeTint="F2"/>
                      <w:kern w:val="0"/>
                      <w:sz w:val="21"/>
                      <w:szCs w:val="21"/>
                      <w:highlight w:val="none"/>
                      <w:lang w:val="en-US" w:eastAsia="zh-CN" w:bidi="ar"/>
                      <w14:textFill>
                        <w14:solidFill>
                          <w14:schemeClr w14:val="tx1">
                            <w14:lumMod w14:val="95000"/>
                            <w14:lumOff w14:val="5000"/>
                          </w14:schemeClr>
                        </w14:solidFill>
                      </w14:textFill>
                    </w:rPr>
                    <w:t>类</w:t>
                  </w:r>
                </w:p>
              </w:tc>
              <w:tc>
                <w:tcPr>
                  <w:tcW w:w="174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lang w:val="en-US" w:eastAsia="zh-CN" w:bidi="ar"/>
                      <w14:textFill>
                        <w14:solidFill>
                          <w14:schemeClr w14:val="tx1">
                            <w14:lumMod w14:val="95000"/>
                            <w14:lumOff w14:val="5000"/>
                          </w14:schemeClr>
                        </w14:solidFill>
                      </w14:textFill>
                    </w:rPr>
                    <w:t>6</w:t>
                  </w:r>
                  <w:r>
                    <w:rPr>
                      <w:rFonts w:hint="eastAsia" w:cs="Times New Roman"/>
                      <w:color w:val="0D0D0D" w:themeColor="text1" w:themeTint="F2"/>
                      <w:kern w:val="0"/>
                      <w:sz w:val="21"/>
                      <w:szCs w:val="21"/>
                      <w:highlight w:val="none"/>
                      <w:lang w:val="en-US" w:eastAsia="zh-CN" w:bidi="ar"/>
                      <w14:textFill>
                        <w14:solidFill>
                          <w14:schemeClr w14:val="tx1">
                            <w14:lumMod w14:val="95000"/>
                            <w14:lumOff w14:val="5000"/>
                          </w14:schemeClr>
                        </w14:solidFill>
                      </w14:textFill>
                    </w:rPr>
                    <w:t>0</w:t>
                  </w:r>
                </w:p>
              </w:tc>
              <w:tc>
                <w:tcPr>
                  <w:tcW w:w="2009"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lang w:val="en-US" w:eastAsia="zh-CN" w:bidi="ar"/>
                      <w14:textFill>
                        <w14:solidFill>
                          <w14:schemeClr w14:val="tx1">
                            <w14:lumMod w14:val="95000"/>
                            <w14:lumOff w14:val="5000"/>
                          </w14:schemeClr>
                        </w14:solidFill>
                      </w14:textFill>
                    </w:rPr>
                    <w:t>5</w:t>
                  </w:r>
                  <w:r>
                    <w:rPr>
                      <w:rFonts w:hint="eastAsia" w:cs="Times New Roman"/>
                      <w:color w:val="0D0D0D" w:themeColor="text1" w:themeTint="F2"/>
                      <w:kern w:val="0"/>
                      <w:sz w:val="21"/>
                      <w:szCs w:val="21"/>
                      <w:highlight w:val="none"/>
                      <w:lang w:val="en-US" w:eastAsia="zh-CN" w:bidi="ar"/>
                      <w14:textFill>
                        <w14:solidFill>
                          <w14:schemeClr w14:val="tx1">
                            <w14:lumMod w14:val="95000"/>
                            <w14:lumOff w14:val="5000"/>
                          </w14:schemeClr>
                        </w14:solidFill>
                      </w14:textFill>
                    </w:rPr>
                    <w:t>0</w:t>
                  </w:r>
                </w:p>
              </w:tc>
            </w:tr>
          </w:tbl>
          <w:p>
            <w:pPr>
              <w:pStyle w:val="65"/>
              <w:keepNext w:val="0"/>
              <w:keepLines w:val="0"/>
              <w:suppressLineNumbers w:val="0"/>
              <w:spacing w:before="0" w:beforeAutospacing="0" w:after="0" w:afterAutospacing="0"/>
              <w:ind w:left="0" w:right="0"/>
              <w:rPr>
                <w:rFonts w:hint="default" w:ascii="Times New Roman" w:hAnsi="Times New Roman" w:eastAsia="宋体" w:cs="Times New Roman"/>
                <w:b/>
                <w:bCs/>
                <w:color w:val="0D0D0D" w:themeColor="text1" w:themeTint="F2"/>
                <w:kern w:val="0"/>
                <w:position w:val="0"/>
                <w:sz w:val="24"/>
                <w:szCs w:val="24"/>
                <w:highlight w:val="none"/>
                <w14:textFill>
                  <w14:solidFill>
                    <w14:schemeClr w14:val="tx1">
                      <w14:lumMod w14:val="95000"/>
                      <w14:lumOff w14:val="5000"/>
                    </w14:schemeClr>
                  </w14:solidFill>
                </w14:textFill>
              </w:rPr>
            </w:pPr>
          </w:p>
          <w:p>
            <w:pPr>
              <w:pStyle w:val="69"/>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60" w:lineRule="auto"/>
              <w:ind w:left="0" w:right="0" w:firstLine="482"/>
              <w:textAlignment w:val="baseline"/>
              <w:rPr>
                <w:rFonts w:hint="default" w:ascii="Times New Roman" w:eastAsia="宋体"/>
                <w:color w:val="0D0D0D" w:themeColor="text1" w:themeTint="F2"/>
                <w:sz w:val="24"/>
                <w:szCs w:val="24"/>
                <w:highlight w:val="none"/>
                <w:lang w:val="zh-CN"/>
                <w14:textFill>
                  <w14:solidFill>
                    <w14:schemeClr w14:val="tx1">
                      <w14:lumMod w14:val="95000"/>
                      <w14:lumOff w14:val="5000"/>
                    </w14:schemeClr>
                  </w14:solidFill>
                </w14:textFill>
              </w:rPr>
            </w:pPr>
            <w:r>
              <w:rPr>
                <w:rFonts w:hint="eastAsia" w:ascii="Times New Roman" w:eastAsia="宋体"/>
                <w:b/>
                <w:bCs/>
                <w:color w:val="0D0D0D" w:themeColor="text1" w:themeTint="F2"/>
                <w:sz w:val="24"/>
                <w:szCs w:val="24"/>
                <w:highlight w:val="none"/>
                <w14:textFill>
                  <w14:solidFill>
                    <w14:schemeClr w14:val="tx1">
                      <w14:lumMod w14:val="95000"/>
                      <w14:lumOff w14:val="5000"/>
                    </w14:schemeClr>
                  </w14:solidFill>
                </w14:textFill>
              </w:rPr>
              <w:t>4、</w:t>
            </w:r>
            <w:r>
              <w:rPr>
                <w:rFonts w:hint="default" w:ascii="Times New Roman" w:eastAsia="宋体"/>
                <w:b/>
                <w:bCs/>
                <w:color w:val="0D0D0D" w:themeColor="text1" w:themeTint="F2"/>
                <w:sz w:val="24"/>
                <w:szCs w:val="24"/>
                <w:highlight w:val="none"/>
                <w14:textFill>
                  <w14:solidFill>
                    <w14:schemeClr w14:val="tx1">
                      <w14:lumMod w14:val="95000"/>
                      <w14:lumOff w14:val="5000"/>
                    </w14:schemeClr>
                  </w14:solidFill>
                </w14:textFill>
              </w:rPr>
              <w:t>固体废物</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cs="宋体"/>
                <w:color w:val="0D0D0D" w:themeColor="text1" w:themeTint="F2"/>
                <w:kern w:val="0"/>
                <w:szCs w:val="21"/>
                <w:highlight w:val="none"/>
                <w14:textFill>
                  <w14:solidFill>
                    <w14:schemeClr w14:val="tx1">
                      <w14:lumMod w14:val="95000"/>
                      <w14:lumOff w14:val="5000"/>
                    </w14:schemeClr>
                  </w14:solidFill>
                </w14:textFill>
              </w:rPr>
            </w:pPr>
            <w:r>
              <w:rPr>
                <w:rFonts w:hint="eastAsia"/>
                <w:color w:val="0D0D0D" w:themeColor="text1" w:themeTint="F2"/>
                <w:sz w:val="24"/>
                <w:highlight w:val="none"/>
                <w14:textFill>
                  <w14:solidFill>
                    <w14:schemeClr w14:val="tx1">
                      <w14:lumMod w14:val="95000"/>
                      <w14:lumOff w14:val="5000"/>
                    </w14:schemeClr>
                  </w14:solidFill>
                </w14:textFill>
              </w:rPr>
              <w:t>项目一般固废贮存、处置过程执行《一般工业固体废物贮存和填埋污染控制标准》（GB18599-2020）有关规定。危险废物需符合《危险废物贮存污染控制标准》（GB18597-20</w:t>
            </w:r>
            <w:r>
              <w:rPr>
                <w:rFonts w:hint="eastAsia"/>
                <w:color w:val="0D0D0D" w:themeColor="text1" w:themeTint="F2"/>
                <w:sz w:val="24"/>
                <w:highlight w:val="none"/>
                <w:lang w:val="en-US" w:eastAsia="zh-CN"/>
                <w14:textFill>
                  <w14:solidFill>
                    <w14:schemeClr w14:val="tx1">
                      <w14:lumMod w14:val="95000"/>
                      <w14:lumOff w14:val="5000"/>
                    </w14:schemeClr>
                  </w14:solidFill>
                </w14:textFill>
              </w:rPr>
              <w:t>23</w:t>
            </w:r>
            <w:r>
              <w:rPr>
                <w:rFonts w:hint="eastAsia"/>
                <w:color w:val="0D0D0D" w:themeColor="text1" w:themeTint="F2"/>
                <w:sz w:val="24"/>
                <w:highlight w:val="none"/>
                <w14:textFill>
                  <w14:solidFill>
                    <w14:schemeClr w14:val="tx1">
                      <w14:lumMod w14:val="95000"/>
                      <w14:lumOff w14:val="5000"/>
                    </w14:schemeClr>
                  </w14:solidFill>
                </w14:textFill>
              </w:rPr>
              <w:t>）要求。；运营期生活垃圾执行《生活垃圾填埋污染控制标准》（GB16889-2008）。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D0D0D" w:themeColor="text1" w:themeTint="F2"/>
                <w:kern w:val="0"/>
                <w:sz w:val="24"/>
                <w:szCs w:val="24"/>
                <w:highlight w:val="none"/>
                <w14:textFill>
                  <w14:solidFill>
                    <w14:schemeClr w14:val="tx1">
                      <w14:lumMod w14:val="95000"/>
                      <w14:lumOff w14:val="5000"/>
                    </w14:schemeClr>
                  </w14:solidFill>
                </w14:textFill>
              </w:rPr>
            </w:pPr>
            <w:r>
              <w:rPr>
                <w:rFonts w:hint="eastAsia" w:ascii="宋体" w:hAnsi="宋体" w:cs="宋体"/>
                <w:color w:val="0D0D0D" w:themeColor="text1" w:themeTint="F2"/>
                <w:kern w:val="0"/>
                <w:sz w:val="24"/>
                <w:szCs w:val="24"/>
                <w:highlight w:val="none"/>
                <w14:textFill>
                  <w14:solidFill>
                    <w14:schemeClr w14:val="tx1">
                      <w14:lumMod w14:val="95000"/>
                      <w14:lumOff w14:val="5000"/>
                    </w14:schemeClr>
                  </w14:solidFill>
                </w14:textFill>
              </w:rPr>
              <w:t>指标</w:t>
            </w:r>
          </w:p>
        </w:tc>
        <w:tc>
          <w:tcPr>
            <w:tcW w:w="8190" w:type="dxa"/>
            <w:noWrap w:val="0"/>
            <w:vAlign w:val="center"/>
          </w:tcPr>
          <w:p>
            <w:pPr>
              <w:pStyle w:val="70"/>
              <w:keepNext w:val="0"/>
              <w:keepLines w:val="0"/>
              <w:suppressLineNumbers w:val="0"/>
              <w:overflowPunct/>
              <w:snapToGrid w:val="0"/>
              <w:spacing w:before="0" w:beforeAutospacing="0" w:after="0" w:afterAutospacing="0" w:line="520" w:lineRule="exact"/>
              <w:ind w:left="0" w:right="0" w:firstLine="482" w:firstLineChars="200"/>
              <w:jc w:val="left"/>
              <w:textAlignment w:val="auto"/>
              <w:rPr>
                <w:rFonts w:hint="eastAsia" w:ascii="宋体" w:hAnsi="宋体" w:eastAsia="宋体" w:cs="宋体"/>
                <w:color w:val="0D0D0D" w:themeColor="text1" w:themeTint="F2"/>
                <w:highlight w:val="none"/>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highlight w:val="none"/>
                <w:lang w:val="en-US" w:eastAsia="zh-CN"/>
                <w14:textFill>
                  <w14:solidFill>
                    <w14:schemeClr w14:val="tx1">
                      <w14:lumMod w14:val="95000"/>
                      <w14:lumOff w14:val="5000"/>
                    </w14:schemeClr>
                  </w14:solidFill>
                </w14:textFill>
              </w:rPr>
              <w:t>废水：</w:t>
            </w:r>
            <w:r>
              <w:rPr>
                <w:rFonts w:hint="eastAsia" w:ascii="宋体" w:hAnsi="宋体" w:eastAsia="宋体" w:cs="宋体"/>
                <w:color w:val="0D0D0D" w:themeColor="text1" w:themeTint="F2"/>
                <w:highlight w:val="none"/>
                <w14:textFill>
                  <w14:solidFill>
                    <w14:schemeClr w14:val="tx1">
                      <w14:lumMod w14:val="95000"/>
                      <w14:lumOff w14:val="5000"/>
                    </w14:schemeClr>
                  </w14:solidFill>
                </w14:textFill>
              </w:rPr>
              <w:t>项目生活污水经化粪池预处理后，进入零陵区富家桥镇污水处理厂处理达标后外排，达到</w:t>
            </w:r>
            <w:r>
              <w:rPr>
                <w:rFonts w:hint="eastAsia" w:ascii="宋体" w:hAnsi="宋体" w:eastAsia="宋体" w:cs="宋体"/>
                <w:color w:val="0D0D0D" w:themeColor="text1" w:themeTint="F2"/>
                <w:highlight w:val="none"/>
                <w:lang w:eastAsia="zh-CN"/>
                <w14:textFill>
                  <w14:solidFill>
                    <w14:schemeClr w14:val="tx1">
                      <w14:lumMod w14:val="95000"/>
                      <w14:lumOff w14:val="5000"/>
                    </w14:schemeClr>
                  </w14:solidFill>
                </w14:textFill>
              </w:rPr>
              <w:t>《城镇污水处理厂污染物排放标准》（GB 18918-2002）</w:t>
            </w:r>
            <w:r>
              <w:rPr>
                <w:rFonts w:hint="eastAsia" w:ascii="宋体" w:hAnsi="宋体" w:eastAsia="宋体" w:cs="宋体"/>
                <w:color w:val="0D0D0D" w:themeColor="text1" w:themeTint="F2"/>
                <w:highlight w:val="none"/>
                <w:lang w:val="en-US" w:eastAsia="zh-CN"/>
                <w14:textFill>
                  <w14:solidFill>
                    <w14:schemeClr w14:val="tx1">
                      <w14:lumMod w14:val="95000"/>
                      <w14:lumOff w14:val="5000"/>
                    </w14:schemeClr>
                  </w14:solidFill>
                </w14:textFill>
              </w:rPr>
              <w:t>B</w:t>
            </w:r>
            <w:r>
              <w:rPr>
                <w:rFonts w:hint="eastAsia" w:ascii="宋体" w:hAnsi="宋体" w:eastAsia="宋体" w:cs="宋体"/>
                <w:color w:val="0D0D0D" w:themeColor="text1" w:themeTint="F2"/>
                <w:highlight w:val="none"/>
                <w14:textFill>
                  <w14:solidFill>
                    <w14:schemeClr w14:val="tx1">
                      <w14:lumMod w14:val="95000"/>
                      <w14:lumOff w14:val="5000"/>
                    </w14:schemeClr>
                  </w14:solidFill>
                </w14:textFill>
              </w:rPr>
              <w:t>级排放标准。</w:t>
            </w:r>
            <w:r>
              <w:rPr>
                <w:rFonts w:hint="eastAsia" w:ascii="宋体" w:hAnsi="宋体" w:eastAsia="宋体" w:cs="宋体"/>
                <w:color w:val="0D0D0D" w:themeColor="text1" w:themeTint="F2"/>
                <w:highlight w:val="none"/>
                <w:lang w:val="en-US" w:eastAsia="zh-CN"/>
                <w14:textFill>
                  <w14:solidFill>
                    <w14:schemeClr w14:val="tx1">
                      <w14:lumMod w14:val="95000"/>
                      <w14:lumOff w14:val="5000"/>
                    </w14:schemeClr>
                  </w14:solidFill>
                </w14:textFill>
              </w:rPr>
              <w:t>项目废水不设总量指标。</w:t>
            </w:r>
          </w:p>
          <w:p>
            <w:pPr>
              <w:pStyle w:val="70"/>
              <w:keepNext w:val="0"/>
              <w:keepLines w:val="0"/>
              <w:suppressLineNumbers w:val="0"/>
              <w:overflowPunct/>
              <w:snapToGrid w:val="0"/>
              <w:spacing w:before="0" w:beforeAutospacing="0" w:after="0" w:afterAutospacing="0" w:line="520" w:lineRule="exact"/>
              <w:ind w:left="0" w:right="0" w:firstLine="482" w:firstLineChars="200"/>
              <w:jc w:val="left"/>
              <w:textAlignment w:val="auto"/>
              <w:rPr>
                <w:rFonts w:hint="default" w:ascii="宋体" w:hAnsi="宋体" w:eastAsia="宋体"/>
                <w:color w:val="0D0D0D" w:themeColor="text1" w:themeTint="F2"/>
                <w:kern w:val="2"/>
                <w:szCs w:val="24"/>
                <w:highlight w:val="none"/>
                <w:lang w:val="en-US" w:eastAsia="zh-CN"/>
                <w14:textFill>
                  <w14:solidFill>
                    <w14:schemeClr w14:val="tx1">
                      <w14:lumMod w14:val="95000"/>
                      <w14:lumOff w14:val="5000"/>
                    </w14:schemeClr>
                  </w14:solidFill>
                </w14:textFill>
              </w:rPr>
            </w:pPr>
            <w:r>
              <w:rPr>
                <w:rFonts w:hint="eastAsia" w:ascii="宋体" w:hAnsi="宋体" w:eastAsia="宋体"/>
                <w:b/>
                <w:bCs/>
                <w:color w:val="0D0D0D" w:themeColor="text1" w:themeTint="F2"/>
                <w:kern w:val="2"/>
                <w:szCs w:val="24"/>
                <w:highlight w:val="none"/>
                <w:lang w:val="en-US" w:eastAsia="zh-CN"/>
                <w14:textFill>
                  <w14:solidFill>
                    <w14:schemeClr w14:val="tx1">
                      <w14:lumMod w14:val="95000"/>
                      <w14:lumOff w14:val="5000"/>
                    </w14:schemeClr>
                  </w14:solidFill>
                </w14:textFill>
              </w:rPr>
              <w:t>废气</w:t>
            </w:r>
            <w:r>
              <w:rPr>
                <w:rFonts w:hint="eastAsia" w:ascii="宋体" w:hAnsi="宋体" w:eastAsia="宋体"/>
                <w:b/>
                <w:bCs/>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w:t>
            </w:r>
            <w:r>
              <w:rPr>
                <w:rFonts w:hint="eastAsia"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本扩建项目</w:t>
            </w:r>
            <w:r>
              <w:rPr>
                <w:rFonts w:hint="default"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废气主要为</w:t>
            </w:r>
            <w:r>
              <w:rPr>
                <w:rFonts w:hint="eastAsia"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少量无组织排放粉尘、有机废气（VOCs)和油烟废气，均未纳入总量指标</w:t>
            </w:r>
            <w:r>
              <w:rPr>
                <w:rFonts w:hint="default"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，因此，</w:t>
            </w:r>
            <w:r>
              <w:rPr>
                <w:rFonts w:hint="eastAsia"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本扩建项目废气</w:t>
            </w:r>
            <w:r>
              <w:rPr>
                <w:rFonts w:hint="default" w:ascii="宋体" w:hAnsi="宋体" w:eastAsia="宋体"/>
                <w:color w:val="0D0D0D" w:themeColor="text1" w:themeTint="F2"/>
                <w:kern w:val="2"/>
                <w:sz w:val="24"/>
                <w:szCs w:val="22"/>
                <w:highlight w:val="none"/>
                <w:lang w:val="en-US" w:eastAsia="zh-CN" w:bidi="ar-SA"/>
                <w14:textFill>
                  <w14:solidFill>
                    <w14:schemeClr w14:val="tx1">
                      <w14:lumMod w14:val="95000"/>
                      <w14:lumOff w14:val="5000"/>
                    </w14:schemeClr>
                  </w14:solidFill>
                </w14:textFill>
              </w:rPr>
              <w:t>不需要申请总量控制指标。</w:t>
            </w:r>
          </w:p>
          <w:p>
            <w:pPr>
              <w:pStyle w:val="70"/>
              <w:keepNext w:val="0"/>
              <w:keepLines w:val="0"/>
              <w:suppressLineNumbers w:val="0"/>
              <w:overflowPunct/>
              <w:snapToGrid w:val="0"/>
              <w:spacing w:before="0" w:beforeAutospacing="0" w:after="0" w:afterAutospacing="0" w:line="520" w:lineRule="exact"/>
              <w:ind w:left="0" w:right="0" w:firstLine="480" w:firstLineChars="200"/>
              <w:jc w:val="left"/>
              <w:textAlignment w:val="auto"/>
              <w:rPr>
                <w:rFonts w:hint="default" w:ascii="宋体" w:hAnsi="宋体" w:cs="宋体"/>
                <w:color w:val="0D0D0D" w:themeColor="text1" w:themeTint="F2"/>
                <w:kern w:val="0"/>
                <w:szCs w:val="21"/>
                <w:highlight w:val="none"/>
                <w14:textFill>
                  <w14:solidFill>
                    <w14:schemeClr w14:val="tx1">
                      <w14:lumMod w14:val="95000"/>
                      <w14:lumOff w14:val="5000"/>
                    </w14:schemeClr>
                  </w14:solidFill>
                </w14:textFill>
              </w:rPr>
            </w:pPr>
            <w:r>
              <w:rPr>
                <w:rFonts w:hint="eastAsia" w:ascii="宋体" w:hAnsi="宋体" w:eastAsia="宋体"/>
                <w:color w:val="0D0D0D" w:themeColor="text1" w:themeTint="F2"/>
                <w:kern w:val="2"/>
                <w:szCs w:val="24"/>
                <w:highlight w:val="none"/>
                <w:lang w:val="en-US" w:eastAsia="zh-CN"/>
                <w14:textFill>
                  <w14:solidFill>
                    <w14:schemeClr w14:val="tx1">
                      <w14:lumMod w14:val="95000"/>
                      <w14:lumOff w14:val="5000"/>
                    </w14:schemeClr>
                  </w14:solidFill>
                </w14:textFill>
              </w:rPr>
              <w:t>综上，项目不设总量指标。</w:t>
            </w:r>
          </w:p>
        </w:tc>
      </w:tr>
    </w:tbl>
    <w:p>
      <w:pPr>
        <w:pStyle w:val="27"/>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1" w:name="_Toc22074"/>
      <w:bookmarkStart w:id="12" w:name="_Toc22126"/>
      <w:r>
        <w:rPr>
          <w:rFonts w:hint="eastAsia" w:ascii="黑体" w:hAnsi="黑体" w:eastAsia="黑体"/>
          <w:snapToGrid w:val="0"/>
          <w:sz w:val="30"/>
          <w:szCs w:val="30"/>
        </w:rPr>
        <w:t>四、主要环境影响和保护措施</w:t>
      </w:r>
      <w:bookmarkEnd w:id="11"/>
      <w:bookmarkEnd w:id="12"/>
    </w:p>
    <w:tbl>
      <w:tblPr>
        <w:tblStyle w:val="31"/>
        <w:tblW w:w="886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89" w:hRule="atLeast"/>
          <w:jc w:val="center"/>
        </w:trPr>
        <w:tc>
          <w:tcPr>
            <w:tcW w:w="746" w:type="dxa"/>
            <w:noWrap w:val="0"/>
            <w:tcMar>
              <w:left w:w="28" w:type="dxa"/>
              <w:right w:w="28" w:type="dxa"/>
            </w:tcMar>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t>施工</w:t>
            </w:r>
          </w:p>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t>期环</w:t>
            </w:r>
          </w:p>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t>境保</w:t>
            </w:r>
          </w:p>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t>护措</w:t>
            </w:r>
          </w:p>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 w:val="24"/>
                <w:szCs w:val="24"/>
                <w14:textFill>
                  <w14:solidFill>
                    <w14:schemeClr w14:val="tx1">
                      <w14:lumMod w14:val="95000"/>
                      <w14:lumOff w14:val="5000"/>
                    </w14:schemeClr>
                  </w14:solidFill>
                </w14:textFill>
              </w:rPr>
              <w:t>施</w:t>
            </w:r>
          </w:p>
        </w:tc>
        <w:tc>
          <w:tcPr>
            <w:tcW w:w="8122" w:type="dxa"/>
            <w:noWrap w:val="0"/>
            <w:vAlign w:val="center"/>
          </w:tcPr>
          <w:p>
            <w:pPr>
              <w:keepNext w:val="0"/>
              <w:keepLines w:val="0"/>
              <w:suppressLineNumbers w:val="0"/>
              <w:adjustRightInd w:val="0"/>
              <w:snapToGrid w:val="0"/>
              <w:spacing w:before="0" w:beforeAutospacing="0" w:after="0" w:afterAutospacing="0" w:line="360" w:lineRule="auto"/>
              <w:ind w:left="0" w:right="0" w:firstLine="440" w:firstLineChars="200"/>
              <w:jc w:val="both"/>
              <w:rPr>
                <w:rFonts w:hint="default" w:ascii="Times New Roman" w:hAnsi="Times New Roman" w:eastAsia="宋体" w:cs="Times New Roman"/>
                <w:bCs/>
                <w:color w:val="0D0D0D" w:themeColor="text1" w:themeTint="F2"/>
                <w:spacing w:val="-10"/>
                <w:szCs w:val="21"/>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pacing w:val="-10"/>
                <w:sz w:val="24"/>
                <w:szCs w:val="24"/>
                <w:lang w:val="en-US" w:eastAsia="zh-CN"/>
                <w14:textFill>
                  <w14:solidFill>
                    <w14:schemeClr w14:val="tx1">
                      <w14:lumMod w14:val="95000"/>
                      <w14:lumOff w14:val="5000"/>
                    </w14:schemeClr>
                  </w14:solidFill>
                </w14:textFill>
              </w:rPr>
              <w:t>本项目为扩建项目，在原有生产车间安装新增生产设备一条，施工期只进行生产线的设备安装、调试，对周围环境影响很小。因此，污染物排放标准不考虑施工期。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92" w:hRule="atLeast"/>
          <w:jc w:val="center"/>
        </w:trPr>
        <w:tc>
          <w:tcPr>
            <w:tcW w:w="74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4"/>
                <w:szCs w:val="24"/>
                <w14:textFill>
                  <w14:solidFill>
                    <w14:schemeClr w14:val="tx1">
                      <w14:lumMod w14:val="95000"/>
                      <w14:lumOff w14:val="5000"/>
                    </w14:schemeClr>
                  </w14:solidFill>
                </w14:textFill>
              </w:rPr>
              <w:t>措施</w:t>
            </w:r>
          </w:p>
        </w:tc>
        <w:tc>
          <w:tcPr>
            <w:tcW w:w="8122" w:type="dxa"/>
            <w:noWrap w:val="0"/>
            <w:vAlign w:val="center"/>
          </w:tcPr>
          <w:p>
            <w:pPr>
              <w:pStyle w:val="2"/>
              <w:numPr>
                <w:ilvl w:val="0"/>
                <w:numId w:val="0"/>
              </w:numPr>
              <w:spacing w:before="0" w:beforeAutospacing="0"/>
              <w:ind w:left="0" w:leftChars="0" w:right="0" w:firstLine="0" w:firstLineChars="0"/>
              <w:rPr>
                <w:rFonts w:hint="default" w:ascii="Times New Roman" w:hAnsi="Times New Roman" w:cs="Times New Roman"/>
                <w:b/>
                <w:color w:val="0D0D0D" w:themeColor="text1" w:themeTint="F2"/>
                <w:sz w:val="24"/>
                <w:szCs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kern w:val="2"/>
                <w:sz w:val="24"/>
                <w:szCs w:val="24"/>
                <w:lang w:val="en-US" w:eastAsia="zh-CN" w:bidi="ar"/>
                <w14:textFill>
                  <w14:solidFill>
                    <w14:schemeClr w14:val="tx1">
                      <w14:lumMod w14:val="95000"/>
                      <w14:lumOff w14:val="5000"/>
                    </w14:schemeClr>
                  </w14:solidFill>
                </w14:textFill>
              </w:rPr>
              <w:t>1、</w:t>
            </w:r>
            <w:r>
              <w:rPr>
                <w:rFonts w:hint="default" w:ascii="Times New Roman" w:hAnsi="Times New Roman" w:cs="Times New Roman"/>
                <w:b/>
                <w:color w:val="0D0D0D" w:themeColor="text1" w:themeTint="F2"/>
                <w:sz w:val="24"/>
                <w:szCs w:val="24"/>
                <w:lang w:val="en-US" w:eastAsia="zh-CN"/>
                <w14:textFill>
                  <w14:solidFill>
                    <w14:schemeClr w14:val="tx1">
                      <w14:lumMod w14:val="95000"/>
                      <w14:lumOff w14:val="5000"/>
                    </w14:schemeClr>
                  </w14:solidFill>
                </w14:textFill>
              </w:rPr>
              <w:t>大气污染物排放及治理措施</w:t>
            </w:r>
          </w:p>
          <w:p>
            <w:pPr>
              <w:pStyle w:val="2"/>
              <w:numPr>
                <w:ilvl w:val="0"/>
                <w:numId w:val="0"/>
              </w:numPr>
              <w:spacing w:before="0" w:beforeAutospacing="0"/>
              <w:ind w:left="0" w:leftChars="0" w:right="0" w:firstLine="482" w:firstLineChars="200"/>
              <w:rPr>
                <w:rFonts w:hint="default"/>
                <w:color w:val="0D0D0D" w:themeColor="text1" w:themeTint="F2"/>
                <w:lang w:val="en-US" w:eastAsia="zh-CN"/>
                <w14:textFill>
                  <w14:solidFill>
                    <w14:schemeClr w14:val="tx1">
                      <w14:lumMod w14:val="95000"/>
                      <w14:lumOff w14:val="5000"/>
                    </w14:schemeClr>
                  </w14:solidFill>
                </w14:textFill>
              </w:rPr>
            </w:pPr>
            <w:r>
              <w:rPr>
                <w:rFonts w:hint="eastAsia"/>
                <w:b/>
                <w:bCs/>
                <w:color w:val="0D0D0D" w:themeColor="text1" w:themeTint="F2"/>
                <w:lang w:val="en-US" w:eastAsia="zh-CN"/>
                <w14:textFill>
                  <w14:solidFill>
                    <w14:schemeClr w14:val="tx1">
                      <w14:lumMod w14:val="95000"/>
                      <w14:lumOff w14:val="5000"/>
                    </w14:schemeClr>
                  </w14:solidFill>
                </w14:textFill>
              </w:rPr>
              <w:t>（1）运营期废气源强核算</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废气污染物排放主要是玻璃磨边粉尘、中空玻璃密封有机废气和食堂油烟。</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1</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）磨边粉尘：玻璃原片在磨边工艺中，为了避免粉尘的产生，项目采用水磨法进行，粉尘排入大气的量微乎其微，对周边环境影响很少，废气满足</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《玻璃工业大气污染物排放标准》（GB26453-2022）附录B</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中颗粒物无组织排放监控浓度限值。</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2）中空玻璃密封有机废气</w:t>
            </w:r>
          </w:p>
          <w:p>
            <w:pPr>
              <w:pStyle w:val="71"/>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根据中空玻璃加工生产相关规范要求，中空玻璃生产过程中使用的丁基胶必须满足《中空玻璃用丁基热熔密封胶》（JC/T914-2014）规定要求；第二道密封胶应符合现行行业标准《中空玻璃用弹性密封胶》（GB/T29755-2013）的规定。由《中空玻璃用丁基热熔密封胶》（JC/T914-2014）、《中空玻璃用弹性密封胶》（GB/T29755-2013）和《中空玻璃用硅酮结构密封胶》（GB24266-2009）等规范可知，丁基密封胶热失重≤0.75%，硅酮类密封胶热失重≤6%。</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项目中空玻璃生产过程中使用到双组分硅酮密封胶和热熔丁基密封胶，起到联接玻璃和密封中空玻璃的作用，双组分硅酮密封胶和热熔丁基密封胶常温下密封保存。丁基胶中碳黑、钙粉均为无机组分，不会挥发。丁基胶具有良好的化学稳定性和热稳定性，聚异丁烯是一种高粘度、化学性能稳定的非挥发性成分，不会挥发。中空玻璃生产中涂胶、中空压片、封胶固化过程中会产生有机废气（以非甲烷总烃计）。根据定义，热失重就是通过对物质加热，使物质逐渐挥发、分解，测量他随温度升高的重量的变化。由丁基胶及硅酮胶供应商提供</w:t>
            </w:r>
            <w:r>
              <w:rPr>
                <w:rFonts w:hint="default" w:ascii="Times New Roman" w:hAnsi="Times New Roman" w:cs="Times New Roman"/>
                <w:b w:val="0"/>
                <w:bCs w:val="0"/>
                <w:color w:val="0D0D0D" w:themeColor="text1" w:themeTint="F2"/>
                <w:sz w:val="24"/>
                <w:szCs w:val="24"/>
                <w14:textFill>
                  <w14:solidFill>
                    <w14:schemeClr w14:val="tx1">
                      <w14:lumMod w14:val="95000"/>
                      <w14:lumOff w14:val="5000"/>
                    </w14:schemeClr>
                  </w14:solidFill>
                </w14:textFill>
              </w:rPr>
              <w:t>的检测报告</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可知，丁基胶固化热失重为0.</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54</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硅酮密封胶热失重为2.</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0</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项目涂胶、中空压片过程挥发出的有机废气参考热失重进行有机废气量的计算，评价考虑最不利因素，将丁基胶使用过程中的热失重量全部考虑为挥发性物质（以非甲烷总烃计），且均在厂区内加工时全部挥发。项目丁基胶使用量约为</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t/a，则中空玻璃生产线涂胶过程中非甲烷总烃产生量约为0.</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0</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27</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项目使用硅酮胶封胶，硅酮密封胶主要成分（聚二甲基硅氧烷）在常温下固化，产生少量小分子有机废气，以非甲烷总烃计。根据检测报告，硅酮胶的VOC含量约为</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2.</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0</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硅酮胶使用量为</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20</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t/a，则项目中空玻璃生产线封胶过程中非甲烷总烃的产生量约0.</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4</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0</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w:t>
            </w:r>
          </w:p>
          <w:p>
            <w:pPr>
              <w:pStyle w:val="71"/>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综上所述，项目中空玻璃生产线中非甲烷总烃产生量约为</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0.427</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0.1779</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kg/h）</w:t>
            </w: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结合硅酮胶及丁基胶主要理化性质，项目使用的双组分硅酮密封胶和热熔丁基密封胶含VOCs成分较少，根据项目丁基胶、硅酮胶、供应商提供的检测报告，生产过程中使用丁基胶的VOC含量为0.4%，硅酮胶的VOC含量约为1.7%，整体挥发性有机物含量小于10%，属于低VOCs含量原辅材料，且因</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生产工艺的特殊性，项目采用大型智能化设备，原材料及成品规格不一，按订单需求进行生产，生产过程无法进行密闭，产生的废气无法得到有效的收集</w:t>
            </w: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b/>
                <w:bCs/>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生态环境部2019年6月印发的《重点行业挥发性有机物综合治理方案》（环大气〔2019〕53号）以及生态环境部2020年6月印发的 《关于印发&lt;2020年挥发性有机物治理攻坚方案&gt;的通知》（环大气〔2020〕33号）中均规定：</w:t>
            </w:r>
            <w:r>
              <w:rPr>
                <w:rFonts w:hint="default" w:ascii="Times New Roman" w:hAnsi="Times New Roman" w:cs="Times New Roman"/>
                <w:b w:val="0"/>
                <w:bCs w:val="0"/>
                <w:color w:val="0D0D0D" w:themeColor="text1" w:themeTint="F2"/>
                <w:sz w:val="24"/>
                <w:szCs w:val="24"/>
                <w:lang w:eastAsia="zh-CN"/>
                <w14:textFill>
                  <w14:solidFill>
                    <w14:schemeClr w14:val="tx1">
                      <w14:lumMod w14:val="95000"/>
                      <w14:lumOff w14:val="5000"/>
                    </w14:schemeClr>
                  </w14:solidFill>
                </w14:textFill>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b/>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综上，项目在使用VOC</w:t>
            </w:r>
            <w:r>
              <w:rPr>
                <w:rFonts w:hint="eastAsia" w:cs="Times New Roman"/>
                <w:b/>
                <w:bCs/>
                <w:color w:val="0D0D0D" w:themeColor="text1" w:themeTint="F2"/>
                <w:sz w:val="24"/>
                <w:szCs w:val="24"/>
                <w:lang w:val="en-US" w:eastAsia="zh-CN"/>
                <w14:textFill>
                  <w14:solidFill>
                    <w14:schemeClr w14:val="tx1">
                      <w14:lumMod w14:val="95000"/>
                      <w14:lumOff w14:val="5000"/>
                    </w14:schemeClr>
                  </w14:solidFill>
                </w14:textFill>
              </w:rPr>
              <w:t>s</w:t>
            </w:r>
            <w:r>
              <w:rPr>
                <w:rFonts w:hint="default"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含量（质量比）低于10%的原辅材料进行加工的前提下，可无组织排放。</w:t>
            </w:r>
          </w:p>
          <w:p>
            <w:pPr>
              <w:pStyle w:val="8"/>
              <w:keepNext w:val="0"/>
              <w:keepLines w:val="0"/>
              <w:pageBreakBefore w:val="0"/>
              <w:widowControl/>
              <w:suppressLineNumbers w:val="0"/>
              <w:kinsoku w:val="0"/>
              <w:wordWrap/>
              <w:overflowPunct w:val="0"/>
              <w:topLinePunct w:val="0"/>
              <w:autoSpaceDE/>
              <w:autoSpaceDN/>
              <w:bidi w:val="0"/>
              <w:adjustRightInd/>
              <w:snapToGrid w:val="0"/>
              <w:spacing w:before="0" w:beforeLines="0" w:beforeAutospacing="0" w:after="0" w:afterLines="0" w:afterAutospacing="0" w:line="360" w:lineRule="auto"/>
              <w:ind w:left="0" w:leftChars="0" w:right="0" w:rightChars="0" w:firstLine="480" w:firstLineChars="200"/>
              <w:jc w:val="left"/>
              <w:textAlignment w:val="auto"/>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VOCs产生量以非甲烷总烃计，产生的废气通过加强通风作无组织排放，项目生产营运过程无组织废气污染物排放源强如下表4-1。</w:t>
            </w:r>
          </w:p>
          <w:p>
            <w:pPr>
              <w:pStyle w:val="8"/>
              <w:keepNext w:val="0"/>
              <w:keepLines w:val="0"/>
              <w:suppressLineNumbers w:val="0"/>
              <w:kinsoku w:val="0"/>
              <w:overflowPunct w:val="0"/>
              <w:spacing w:beforeLines="0" w:beforeAutospacing="0" w:afterLines="0" w:afterAutospacing="0" w:line="267" w:lineRule="exact"/>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表</w:t>
            </w:r>
            <w: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t>4-1</w:t>
            </w: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项目无组织废气源强核算表</w:t>
            </w:r>
          </w:p>
          <w:tbl>
            <w:tblPr>
              <w:tblStyle w:val="31"/>
              <w:tblW w:w="797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730"/>
              <w:gridCol w:w="709"/>
              <w:gridCol w:w="749"/>
              <w:gridCol w:w="992"/>
              <w:gridCol w:w="648"/>
              <w:gridCol w:w="861"/>
              <w:gridCol w:w="901"/>
              <w:gridCol w:w="861"/>
              <w:gridCol w:w="7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738" w:type="dxa"/>
                  <w:vMerge w:val="restart"/>
                  <w:tcBorders>
                    <w:tl2br w:val="nil"/>
                    <w:tr2bl w:val="nil"/>
                  </w:tcBorders>
                  <w:noWrap w:val="0"/>
                  <w:vAlign w:val="center"/>
                </w:tcPr>
                <w:p>
                  <w:pPr>
                    <w:pStyle w:val="75"/>
                    <w:keepNext w:val="0"/>
                    <w:keepLines w:val="0"/>
                    <w:suppressLineNumbers w:val="0"/>
                    <w:kinsoku w:val="0"/>
                    <w:overflowPunct w:val="0"/>
                    <w:spacing w:before="25" w:beforeLines="0" w:beforeAutospacing="0" w:after="0" w:afterLines="0" w:afterAutospacing="0" w:line="242" w:lineRule="auto"/>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污染源位置</w:t>
                  </w:r>
                </w:p>
              </w:tc>
              <w:tc>
                <w:tcPr>
                  <w:tcW w:w="730" w:type="dxa"/>
                  <w:vMerge w:val="restart"/>
                  <w:tcBorders>
                    <w:tl2br w:val="nil"/>
                    <w:tr2bl w:val="nil"/>
                  </w:tcBorders>
                  <w:noWrap w:val="0"/>
                  <w:vAlign w:val="center"/>
                </w:tcPr>
                <w:p>
                  <w:pPr>
                    <w:pStyle w:val="75"/>
                    <w:keepNext w:val="0"/>
                    <w:keepLines w:val="0"/>
                    <w:suppressLineNumbers w:val="0"/>
                    <w:kinsoku w:val="0"/>
                    <w:overflowPunct w:val="0"/>
                    <w:spacing w:before="25" w:beforeLines="0" w:beforeAutospacing="0" w:after="0" w:afterLines="0" w:afterAutospacing="0" w:line="242" w:lineRule="auto"/>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污染工序</w:t>
                  </w:r>
                </w:p>
              </w:tc>
              <w:tc>
                <w:tcPr>
                  <w:tcW w:w="709" w:type="dxa"/>
                  <w:vMerge w:val="restart"/>
                  <w:tcBorders>
                    <w:tl2br w:val="nil"/>
                    <w:tr2bl w:val="nil"/>
                  </w:tcBorders>
                  <w:noWrap w:val="0"/>
                  <w:vAlign w:val="center"/>
                </w:tcPr>
                <w:p>
                  <w:pPr>
                    <w:pStyle w:val="75"/>
                    <w:keepNext w:val="0"/>
                    <w:keepLines w:val="0"/>
                    <w:suppressLineNumbers w:val="0"/>
                    <w:kinsoku w:val="0"/>
                    <w:overflowPunct w:val="0"/>
                    <w:spacing w:before="25" w:beforeLines="0" w:beforeAutospacing="0" w:after="0" w:afterLines="0" w:afterAutospacing="0" w:line="242" w:lineRule="auto"/>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污染物名称</w:t>
                  </w:r>
                </w:p>
              </w:tc>
              <w:tc>
                <w:tcPr>
                  <w:tcW w:w="749" w:type="dxa"/>
                  <w:vMerge w:val="restart"/>
                  <w:tcBorders>
                    <w:tl2br w:val="nil"/>
                    <w:tr2bl w:val="nil"/>
                  </w:tcBorders>
                  <w:noWrap w:val="0"/>
                  <w:tcMar>
                    <w:top w:w="0" w:type="dxa"/>
                    <w:left w:w="51" w:type="dxa"/>
                    <w:bottom w:w="0" w:type="dxa"/>
                    <w:right w:w="51" w:type="dxa"/>
                  </w:tcMar>
                  <w:vAlign w:val="center"/>
                </w:tcPr>
                <w:p>
                  <w:pPr>
                    <w:pStyle w:val="75"/>
                    <w:keepNext w:val="0"/>
                    <w:keepLines w:val="0"/>
                    <w:suppressLineNumbers w:val="0"/>
                    <w:kinsoku w:val="0"/>
                    <w:overflowPunct w:val="0"/>
                    <w:spacing w:before="25" w:beforeLines="0" w:beforeAutospacing="0" w:after="0" w:afterLines="0" w:afterAutospacing="0" w:line="242" w:lineRule="auto"/>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产生量</w:t>
                  </w:r>
                </w:p>
                <w:p>
                  <w:pPr>
                    <w:pStyle w:val="75"/>
                    <w:keepNext w:val="0"/>
                    <w:keepLines w:val="0"/>
                    <w:suppressLineNumbers w:val="0"/>
                    <w:kinsoku w:val="0"/>
                    <w:overflowPunct w:val="0"/>
                    <w:spacing w:before="25" w:beforeLines="0" w:beforeAutospacing="0" w:after="0" w:afterLines="0" w:afterAutospacing="0" w:line="242" w:lineRule="auto"/>
                    <w:ind w:left="0" w:leftChars="0" w:right="0" w:rightChars="0" w:firstLine="0" w:firstLineChars="0"/>
                    <w:jc w:val="cente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t>t/a</w:t>
                  </w:r>
                </w:p>
              </w:tc>
              <w:tc>
                <w:tcPr>
                  <w:tcW w:w="992" w:type="dxa"/>
                  <w:vMerge w:val="restart"/>
                  <w:tcBorders>
                    <w:tl2br w:val="nil"/>
                    <w:tr2bl w:val="nil"/>
                  </w:tcBorders>
                  <w:noWrap w:val="0"/>
                  <w:vAlign w:val="center"/>
                </w:tcPr>
                <w:p>
                  <w:pPr>
                    <w:pStyle w:val="75"/>
                    <w:keepNext w:val="0"/>
                    <w:keepLines w:val="0"/>
                    <w:suppressLineNumbers w:val="0"/>
                    <w:kinsoku w:val="0"/>
                    <w:overflowPunct w:val="0"/>
                    <w:spacing w:before="159" w:beforeLines="0" w:beforeAutospacing="0" w:after="0" w:afterLines="0" w:afterAutospacing="0"/>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治理措施</w:t>
                  </w:r>
                </w:p>
              </w:tc>
              <w:tc>
                <w:tcPr>
                  <w:tcW w:w="648" w:type="dxa"/>
                  <w:vMerge w:val="restart"/>
                  <w:tcBorders>
                    <w:tl2br w:val="nil"/>
                    <w:tr2bl w:val="nil"/>
                  </w:tcBorders>
                  <w:noWrap w:val="0"/>
                  <w:vAlign w:val="center"/>
                </w:tcPr>
                <w:p>
                  <w:pPr>
                    <w:pStyle w:val="75"/>
                    <w:keepNext w:val="0"/>
                    <w:keepLines w:val="0"/>
                    <w:suppressLineNumbers w:val="0"/>
                    <w:kinsoku w:val="0"/>
                    <w:overflowPunct w:val="0"/>
                    <w:spacing w:before="159" w:beforeLines="0" w:beforeAutospacing="0" w:after="0" w:afterLines="0" w:afterAutospacing="0"/>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治理效率</w:t>
                  </w:r>
                </w:p>
              </w:tc>
              <w:tc>
                <w:tcPr>
                  <w:tcW w:w="861" w:type="dxa"/>
                  <w:vMerge w:val="restart"/>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排放量</w:t>
                  </w:r>
                </w:p>
                <w:p>
                  <w:pPr>
                    <w:pStyle w:val="75"/>
                    <w:keepNext w:val="0"/>
                    <w:keepLines w:val="0"/>
                    <w:suppressLineNumbers w:val="0"/>
                    <w:kinsoku w:val="0"/>
                    <w:overflowPunct w:val="0"/>
                    <w:spacing w:before="2" w:beforeLines="0" w:beforeAutospacing="0" w:after="0" w:afterLines="0" w:afterAutospacing="0"/>
                    <w:ind w:left="0" w:leftChars="0" w:right="0" w:rightChars="0" w:firstLine="0" w:firstLineChars="0"/>
                    <w:jc w:val="cente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t>t/a</w:t>
                  </w:r>
                </w:p>
              </w:tc>
              <w:tc>
                <w:tcPr>
                  <w:tcW w:w="901" w:type="dxa"/>
                  <w:vMerge w:val="restart"/>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14:textFill>
                        <w14:solidFill>
                          <w14:schemeClr w14:val="tx1">
                            <w14:lumMod w14:val="95000"/>
                            <w14:lumOff w14:val="5000"/>
                          </w14:schemeClr>
                        </w14:solidFill>
                      </w14:textFill>
                    </w:rPr>
                    <w:t>排放速率</w:t>
                  </w:r>
                  <w:r>
                    <w:rPr>
                      <w:rFonts w:hint="default" w:ascii="Times New Roman" w:hAnsi="Times New Roman" w:eastAsia="Times New Roman" w:cs="Times New Roman"/>
                      <w:b/>
                      <w:color w:val="0D0D0D" w:themeColor="text1" w:themeTint="F2"/>
                      <w:sz w:val="21"/>
                      <w:szCs w:val="24"/>
                      <w14:textFill>
                        <w14:solidFill>
                          <w14:schemeClr w14:val="tx1">
                            <w14:lumMod w14:val="95000"/>
                            <w14:lumOff w14:val="5000"/>
                          </w14:schemeClr>
                        </w14:solidFill>
                      </w14:textFill>
                    </w:rPr>
                    <w:t>kg/h</w:t>
                  </w:r>
                </w:p>
              </w:tc>
              <w:tc>
                <w:tcPr>
                  <w:tcW w:w="1648" w:type="dxa"/>
                  <w:gridSpan w:val="2"/>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eastAsia="宋体" w:cs="Times New Roman"/>
                      <w:b/>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面源参数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jc w:val="center"/>
              </w:trPr>
              <w:tc>
                <w:tcPr>
                  <w:tcW w:w="738"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730"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709"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749"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992"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648"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861"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901" w:type="dxa"/>
                  <w:vMerge w:val="continue"/>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861" w:type="dxa"/>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面积</w:t>
                  </w:r>
                </w:p>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eastAsia="宋体" w:cs="Times New Roman"/>
                      <w:b/>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w:t>
                  </w:r>
                  <w:r>
                    <w:rPr>
                      <w:rFonts w:hint="default" w:ascii="Times New Roman" w:hAnsi="Times New Roman" w:eastAsia="宋体" w:cs="Times New Roman"/>
                      <w:b/>
                      <w:color w:val="0D0D0D" w:themeColor="text1" w:themeTint="F2"/>
                      <w:sz w:val="21"/>
                      <w:szCs w:val="24"/>
                      <w:lang w:val="en-US" w:eastAsia="zh-CN"/>
                      <w14:textFill>
                        <w14:solidFill>
                          <w14:schemeClr w14:val="tx1">
                            <w14:lumMod w14:val="95000"/>
                            <w14:lumOff w14:val="5000"/>
                          </w14:schemeClr>
                        </w14:solidFill>
                      </w14:textFill>
                    </w:rPr>
                    <w:t>㎡</w:t>
                  </w: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w:t>
                  </w:r>
                </w:p>
              </w:tc>
              <w:tc>
                <w:tcPr>
                  <w:tcW w:w="787" w:type="dxa"/>
                  <w:tcBorders>
                    <w:tl2br w:val="nil"/>
                    <w:tr2bl w:val="nil"/>
                  </w:tcBorders>
                  <w:noWrap w:val="0"/>
                  <w:vAlign w:val="center"/>
                </w:tcPr>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高度</w:t>
                  </w:r>
                </w:p>
                <w:p>
                  <w:pPr>
                    <w:pStyle w:val="75"/>
                    <w:keepNext w:val="0"/>
                    <w:keepLines w:val="0"/>
                    <w:suppressLineNumbers w:val="0"/>
                    <w:kinsoku w:val="0"/>
                    <w:overflowPunct w:val="0"/>
                    <w:spacing w:before="39" w:beforeLines="0" w:beforeAutospacing="0" w:after="0" w:afterLines="0" w:afterAutospacing="0"/>
                    <w:ind w:left="0" w:leftChars="0" w:right="0" w:rightChars="0" w:firstLine="0" w:firstLineChars="0"/>
                    <w:jc w:val="center"/>
                    <w:rPr>
                      <w:rFonts w:hint="default" w:ascii="Times New Roman" w:hAnsi="Times New Roman" w:eastAsia="宋体" w:cs="Times New Roman"/>
                      <w:b/>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1"/>
                      <w:szCs w:val="24"/>
                      <w:lang w:val="en-US" w:eastAsia="zh-CN"/>
                      <w14:textFill>
                        <w14:solidFill>
                          <w14:schemeClr w14:val="tx1">
                            <w14:lumMod w14:val="95000"/>
                            <w14:lumOff w14:val="5000"/>
                          </w14:schemeClr>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57" w:hRule="atLeast"/>
                <w:jc w:val="center"/>
              </w:trPr>
              <w:tc>
                <w:tcPr>
                  <w:tcW w:w="738" w:type="dxa"/>
                  <w:vMerge w:val="restart"/>
                  <w:tcBorders>
                    <w:tl2br w:val="nil"/>
                    <w:tr2bl w:val="nil"/>
                  </w:tcBorders>
                  <w:noWrap w:val="0"/>
                  <w:vAlign w:val="center"/>
                </w:tcPr>
                <w:p>
                  <w:pPr>
                    <w:pStyle w:val="75"/>
                    <w:keepNext w:val="0"/>
                    <w:keepLines w:val="0"/>
                    <w:suppressLineNumbers w:val="0"/>
                    <w:kinsoku w:val="0"/>
                    <w:overflowPunct w:val="0"/>
                    <w:spacing w:before="173"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厂区</w:t>
                  </w:r>
                </w:p>
              </w:tc>
              <w:tc>
                <w:tcPr>
                  <w:tcW w:w="730" w:type="dxa"/>
                  <w:tcBorders>
                    <w:tl2br w:val="nil"/>
                    <w:tr2bl w:val="nil"/>
                  </w:tcBorders>
                  <w:noWrap w:val="0"/>
                  <w:vAlign w:val="center"/>
                </w:tcPr>
                <w:p>
                  <w:pPr>
                    <w:pStyle w:val="75"/>
                    <w:keepNext w:val="0"/>
                    <w:keepLines w:val="0"/>
                    <w:suppressLineNumbers w:val="0"/>
                    <w:kinsoku w:val="0"/>
                    <w:overflowPunct w:val="0"/>
                    <w:spacing w:before="1"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w w:val="99"/>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玻璃磨</w:t>
                  </w:r>
                  <w:r>
                    <w:rPr>
                      <w:rFonts w:hint="default" w:ascii="Times New Roman" w:hAnsi="Times New Roman" w:cs="Times New Roman"/>
                      <w:color w:val="0D0D0D" w:themeColor="text1" w:themeTint="F2"/>
                      <w:w w:val="99"/>
                      <w:sz w:val="21"/>
                      <w:szCs w:val="24"/>
                      <w14:textFill>
                        <w14:solidFill>
                          <w14:schemeClr w14:val="tx1">
                            <w14:lumMod w14:val="95000"/>
                            <w14:lumOff w14:val="5000"/>
                          </w14:schemeClr>
                        </w14:solidFill>
                      </w14:textFill>
                    </w:rPr>
                    <w:t>边</w:t>
                  </w:r>
                </w:p>
              </w:tc>
              <w:tc>
                <w:tcPr>
                  <w:tcW w:w="709" w:type="dxa"/>
                  <w:tcBorders>
                    <w:tl2br w:val="nil"/>
                    <w:tr2bl w:val="nil"/>
                  </w:tcBorders>
                  <w:noWrap w:val="0"/>
                  <w:vAlign w:val="center"/>
                </w:tcPr>
                <w:p>
                  <w:pPr>
                    <w:pStyle w:val="75"/>
                    <w:keepNext w:val="0"/>
                    <w:keepLines w:val="0"/>
                    <w:suppressLineNumbers w:val="0"/>
                    <w:kinsoku w:val="0"/>
                    <w:overflowPunct w:val="0"/>
                    <w:spacing w:before="135"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颗粒物</w:t>
                  </w:r>
                </w:p>
              </w:tc>
              <w:tc>
                <w:tcPr>
                  <w:tcW w:w="749" w:type="dxa"/>
                  <w:tcBorders>
                    <w:tl2br w:val="nil"/>
                    <w:tr2bl w:val="nil"/>
                  </w:tcBorders>
                  <w:noWrap w:val="0"/>
                  <w:tcMar>
                    <w:top w:w="0" w:type="dxa"/>
                    <w:left w:w="51" w:type="dxa"/>
                    <w:bottom w:w="0" w:type="dxa"/>
                    <w:right w:w="51" w:type="dxa"/>
                  </w:tcMar>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0D0D0D" w:themeColor="text1" w:themeTint="F2"/>
                      <w:sz w:val="21"/>
                      <w:szCs w:val="24"/>
                      <w:lang w:eastAsia="zh-CN"/>
                      <w14:textFill>
                        <w14:solidFill>
                          <w14:schemeClr w14:val="tx1">
                            <w14:lumMod w14:val="95000"/>
                            <w14:lumOff w14:val="5000"/>
                          </w14:schemeClr>
                        </w14:solidFill>
                      </w14:textFill>
                    </w:rPr>
                  </w:pPr>
                  <w:r>
                    <w:rPr>
                      <w:rFonts w:hint="eastAsia" w:eastAsia="宋体" w:cs="Times New Roman"/>
                      <w:color w:val="0D0D0D" w:themeColor="text1" w:themeTint="F2"/>
                      <w:sz w:val="21"/>
                      <w:szCs w:val="24"/>
                      <w:lang w:eastAsia="zh-CN"/>
                      <w14:textFill>
                        <w14:solidFill>
                          <w14:schemeClr w14:val="tx1">
                            <w14:lumMod w14:val="95000"/>
                            <w14:lumOff w14:val="5000"/>
                          </w14:schemeClr>
                        </w14:solidFill>
                      </w14:textFill>
                    </w:rPr>
                    <w:t>0.6519</w:t>
                  </w:r>
                </w:p>
              </w:tc>
              <w:tc>
                <w:tcPr>
                  <w:tcW w:w="992" w:type="dxa"/>
                  <w:tcBorders>
                    <w:tl2br w:val="nil"/>
                    <w:tr2bl w:val="nil"/>
                  </w:tcBorders>
                  <w:noWrap w:val="0"/>
                  <w:vAlign w:val="center"/>
                </w:tcPr>
                <w:p>
                  <w:pPr>
                    <w:pStyle w:val="75"/>
                    <w:keepNext w:val="0"/>
                    <w:keepLines w:val="0"/>
                    <w:suppressLineNumbers w:val="0"/>
                    <w:kinsoku w:val="0"/>
                    <w:overflowPunct w:val="0"/>
                    <w:spacing w:before="1" w:beforeLines="0" w:beforeAutospacing="0" w:after="0" w:afterLines="0" w:afterAutospacing="0"/>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湿法作</w:t>
                  </w:r>
                </w:p>
                <w:p>
                  <w:pPr>
                    <w:pStyle w:val="75"/>
                    <w:keepNext w:val="0"/>
                    <w:keepLines w:val="0"/>
                    <w:suppressLineNumbers w:val="0"/>
                    <w:kinsoku w:val="0"/>
                    <w:overflowPunct w:val="0"/>
                    <w:spacing w:before="2" w:beforeLines="0" w:beforeAutospacing="0" w:after="0" w:afterLines="0" w:afterAutospacing="0" w:line="242" w:lineRule="exact"/>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业、通风</w:t>
                  </w:r>
                </w:p>
              </w:tc>
              <w:tc>
                <w:tcPr>
                  <w:tcW w:w="648" w:type="dxa"/>
                  <w:tcBorders>
                    <w:tl2br w:val="nil"/>
                    <w:tr2bl w:val="nil"/>
                  </w:tcBorders>
                  <w:noWrap w:val="0"/>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t>90%</w:t>
                  </w:r>
                </w:p>
              </w:tc>
              <w:tc>
                <w:tcPr>
                  <w:tcW w:w="861" w:type="dxa"/>
                  <w:tcBorders>
                    <w:tl2br w:val="nil"/>
                    <w:tr2bl w:val="nil"/>
                  </w:tcBorders>
                  <w:noWrap w:val="0"/>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eastAsia" w:eastAsia="宋体" w:cs="Times New Roman"/>
                      <w:color w:val="0D0D0D" w:themeColor="text1" w:themeTint="F2"/>
                      <w:sz w:val="21"/>
                      <w:szCs w:val="24"/>
                      <w:lang w:val="en-US" w:eastAsia="zh-CN"/>
                      <w14:textFill>
                        <w14:solidFill>
                          <w14:schemeClr w14:val="tx1">
                            <w14:lumMod w14:val="95000"/>
                            <w14:lumOff w14:val="5000"/>
                          </w14:schemeClr>
                        </w14:solidFill>
                      </w14:textFill>
                    </w:rPr>
                    <w:t>0.2593</w:t>
                  </w:r>
                </w:p>
              </w:tc>
              <w:tc>
                <w:tcPr>
                  <w:tcW w:w="901" w:type="dxa"/>
                  <w:tcBorders>
                    <w:tl2br w:val="nil"/>
                    <w:tr2bl w:val="nil"/>
                  </w:tcBorders>
                  <w:noWrap w:val="0"/>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t>0.</w:t>
                  </w:r>
                  <w:r>
                    <w:rPr>
                      <w:rFonts w:hint="eastAsia" w:cs="Times New Roman"/>
                      <w:color w:val="0D0D0D" w:themeColor="text1" w:themeTint="F2"/>
                      <w:sz w:val="21"/>
                      <w:szCs w:val="24"/>
                      <w:lang w:val="en-US" w:eastAsia="zh-CN"/>
                      <w14:textFill>
                        <w14:solidFill>
                          <w14:schemeClr w14:val="tx1">
                            <w14:lumMod w14:val="95000"/>
                            <w14:lumOff w14:val="5000"/>
                          </w14:schemeClr>
                        </w14:solidFill>
                      </w14:textFill>
                    </w:rPr>
                    <w:t>108</w:t>
                  </w:r>
                </w:p>
              </w:tc>
              <w:tc>
                <w:tcPr>
                  <w:tcW w:w="861" w:type="dxa"/>
                  <w:vMerge w:val="restart"/>
                  <w:tcBorders>
                    <w:tl2br w:val="nil"/>
                    <w:tr2bl w:val="nil"/>
                  </w:tcBorders>
                  <w:noWrap w:val="0"/>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t>3600</w:t>
                  </w:r>
                </w:p>
              </w:tc>
              <w:tc>
                <w:tcPr>
                  <w:tcW w:w="787" w:type="dxa"/>
                  <w:vMerge w:val="restart"/>
                  <w:tcBorders>
                    <w:tl2br w:val="nil"/>
                    <w:tr2bl w:val="nil"/>
                  </w:tcBorders>
                  <w:noWrap w:val="0"/>
                  <w:vAlign w:val="center"/>
                </w:tcPr>
                <w:p>
                  <w:pPr>
                    <w:pStyle w:val="75"/>
                    <w:keepNext w:val="0"/>
                    <w:keepLines w:val="0"/>
                    <w:suppressLineNumbers w:val="0"/>
                    <w:kinsoku w:val="0"/>
                    <w:overflowPunct w:val="0"/>
                    <w:spacing w:before="152"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t>7.98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62" w:hRule="atLeast"/>
                <w:jc w:val="center"/>
              </w:trPr>
              <w:tc>
                <w:tcPr>
                  <w:tcW w:w="738" w:type="dxa"/>
                  <w:vMerge w:val="continue"/>
                  <w:tcBorders>
                    <w:tl2br w:val="nil"/>
                    <w:tr2bl w:val="nil"/>
                  </w:tcBorders>
                  <w:noWrap w:val="0"/>
                  <w:vAlign w:val="center"/>
                </w:tcPr>
                <w:p>
                  <w:pPr>
                    <w:pStyle w:val="8"/>
                    <w:keepNext w:val="0"/>
                    <w:keepLines w:val="0"/>
                    <w:suppressLineNumbers w:val="0"/>
                    <w:kinsoku w:val="0"/>
                    <w:overflowPunct w:val="0"/>
                    <w:spacing w:beforeLines="0" w:beforeAutospacing="0" w:afterLines="0" w:afterAutospacing="0" w:line="267" w:lineRule="exact"/>
                    <w:ind w:left="0" w:leftChars="0" w:right="0" w:rightChars="0" w:firstLine="0" w:firstLineChars="0"/>
                    <w:jc w:val="center"/>
                    <w:rPr>
                      <w:rFonts w:hint="default" w:ascii="Times New Roman" w:hAnsi="Times New Roman" w:cs="Times New Roman"/>
                      <w:b/>
                      <w:color w:val="0D0D0D" w:themeColor="text1" w:themeTint="F2"/>
                      <w:sz w:val="2"/>
                      <w:szCs w:val="24"/>
                      <w14:textFill>
                        <w14:solidFill>
                          <w14:schemeClr w14:val="tx1">
                            <w14:lumMod w14:val="95000"/>
                            <w14:lumOff w14:val="5000"/>
                          </w14:schemeClr>
                        </w14:solidFill>
                      </w14:textFill>
                    </w:rPr>
                  </w:pPr>
                </w:p>
              </w:tc>
              <w:tc>
                <w:tcPr>
                  <w:tcW w:w="730"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line="250" w:lineRule="exact"/>
                    <w:ind w:left="0" w:leftChars="0" w:right="0" w:rightChars="0" w:firstLine="0" w:firstLineChars="0"/>
                    <w:jc w:val="center"/>
                    <w:rPr>
                      <w:rFonts w:hint="default" w:ascii="Times New Roman" w:hAnsi="Times New Roman" w:cs="Times New Roman"/>
                      <w:color w:val="0D0D0D" w:themeColor="text1" w:themeTint="F2"/>
                      <w:w w:val="99"/>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中空涂</w:t>
                  </w:r>
                  <w:r>
                    <w:rPr>
                      <w:rFonts w:hint="default" w:ascii="Times New Roman" w:hAnsi="Times New Roman" w:cs="Times New Roman"/>
                      <w:color w:val="0D0D0D" w:themeColor="text1" w:themeTint="F2"/>
                      <w:spacing w:val="-4"/>
                      <w:sz w:val="21"/>
                      <w:szCs w:val="24"/>
                      <w14:textFill>
                        <w14:solidFill>
                          <w14:schemeClr w14:val="tx1">
                            <w14:lumMod w14:val="95000"/>
                            <w14:lumOff w14:val="5000"/>
                          </w14:schemeClr>
                        </w14:solidFill>
                      </w14:textFill>
                    </w:rPr>
                    <w:t>胶密封</w:t>
                  </w:r>
                </w:p>
              </w:tc>
              <w:tc>
                <w:tcPr>
                  <w:tcW w:w="709"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line="244" w:lineRule="auto"/>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非甲烷总烃</w:t>
                  </w:r>
                </w:p>
              </w:tc>
              <w:tc>
                <w:tcPr>
                  <w:tcW w:w="749"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pPr>
                  <w:r>
                    <w:rPr>
                      <w:rFonts w:hint="eastAsia" w:eastAsia="宋体" w:cs="Times New Roman"/>
                      <w:color w:val="0D0D0D" w:themeColor="text1" w:themeTint="F2"/>
                      <w:sz w:val="21"/>
                      <w:szCs w:val="24"/>
                      <w:lang w:eastAsia="zh-CN"/>
                      <w14:textFill>
                        <w14:solidFill>
                          <w14:schemeClr w14:val="tx1">
                            <w14:lumMod w14:val="95000"/>
                            <w14:lumOff w14:val="5000"/>
                          </w14:schemeClr>
                        </w14:solidFill>
                      </w14:textFill>
                    </w:rPr>
                    <w:t>0.427</w:t>
                  </w:r>
                </w:p>
              </w:tc>
              <w:tc>
                <w:tcPr>
                  <w:tcW w:w="992" w:type="dxa"/>
                  <w:tcBorders>
                    <w:tl2br w:val="nil"/>
                    <w:tr2bl w:val="nil"/>
                  </w:tcBorders>
                  <w:noWrap w:val="0"/>
                  <w:vAlign w:val="center"/>
                </w:tcPr>
                <w:p>
                  <w:pPr>
                    <w:pStyle w:val="75"/>
                    <w:keepNext w:val="0"/>
                    <w:keepLines w:val="0"/>
                    <w:suppressLineNumbers w:val="0"/>
                    <w:kinsoku w:val="0"/>
                    <w:overflowPunct w:val="0"/>
                    <w:spacing w:before="125" w:beforeLines="0" w:beforeAutospacing="0" w:after="0" w:afterLines="0" w:afterAutospacing="0" w:line="242" w:lineRule="auto"/>
                    <w:ind w:left="0" w:leftChars="0" w:right="0" w:rightChars="0" w:firstLine="0" w:firstLineChars="0"/>
                    <w:jc w:val="cente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4"/>
                      <w14:textFill>
                        <w14:solidFill>
                          <w14:schemeClr w14:val="tx1">
                            <w14:lumMod w14:val="95000"/>
                            <w14:lumOff w14:val="5000"/>
                          </w14:schemeClr>
                        </w14:solidFill>
                      </w14:textFill>
                    </w:rPr>
                    <w:t>加强通风和规范操作</w:t>
                  </w:r>
                </w:p>
              </w:tc>
              <w:tc>
                <w:tcPr>
                  <w:tcW w:w="648"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default" w:ascii="Times New Roman" w:hAnsi="Times New Roman" w:eastAsia="Times New Roman" w:cs="Times New Roman"/>
                      <w:color w:val="0D0D0D" w:themeColor="text1" w:themeTint="F2"/>
                      <w:w w:val="99"/>
                      <w:sz w:val="21"/>
                      <w:szCs w:val="24"/>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w w:val="99"/>
                      <w:sz w:val="21"/>
                      <w:szCs w:val="24"/>
                      <w14:textFill>
                        <w14:solidFill>
                          <w14:schemeClr w14:val="tx1">
                            <w14:lumMod w14:val="95000"/>
                            <w14:lumOff w14:val="5000"/>
                          </w14:schemeClr>
                        </w14:solidFill>
                      </w14:textFill>
                    </w:rPr>
                    <w:t>/</w:t>
                  </w:r>
                </w:p>
              </w:tc>
              <w:tc>
                <w:tcPr>
                  <w:tcW w:w="861"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eastAsia" w:eastAsia="宋体" w:cs="Times New Roman"/>
                      <w:color w:val="0D0D0D" w:themeColor="text1" w:themeTint="F2"/>
                      <w:sz w:val="21"/>
                      <w:szCs w:val="24"/>
                      <w:lang w:eastAsia="zh-CN"/>
                      <w14:textFill>
                        <w14:solidFill>
                          <w14:schemeClr w14:val="tx1">
                            <w14:lumMod w14:val="95000"/>
                            <w14:lumOff w14:val="5000"/>
                          </w14:schemeClr>
                        </w14:solidFill>
                      </w14:textFill>
                    </w:rPr>
                    <w:t>0.427</w:t>
                  </w:r>
                </w:p>
              </w:tc>
              <w:tc>
                <w:tcPr>
                  <w:tcW w:w="901" w:type="dxa"/>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0D0D0D" w:themeColor="text1" w:themeTint="F2"/>
                      <w:sz w:val="21"/>
                      <w:szCs w:val="24"/>
                      <w:lang w:val="en-US" w:eastAsia="zh-CN"/>
                      <w14:textFill>
                        <w14:solidFill>
                          <w14:schemeClr w14:val="tx1">
                            <w14:lumMod w14:val="95000"/>
                            <w14:lumOff w14:val="5000"/>
                          </w14:schemeClr>
                        </w14:solidFill>
                      </w14:textFill>
                    </w:rPr>
                  </w:pPr>
                  <w:r>
                    <w:rPr>
                      <w:rFonts w:hint="eastAsia" w:eastAsia="宋体" w:cs="Times New Roman"/>
                      <w:color w:val="0D0D0D" w:themeColor="text1" w:themeTint="F2"/>
                      <w:sz w:val="21"/>
                      <w:szCs w:val="24"/>
                      <w:lang w:eastAsia="zh-CN"/>
                      <w14:textFill>
                        <w14:solidFill>
                          <w14:schemeClr w14:val="tx1">
                            <w14:lumMod w14:val="95000"/>
                            <w14:lumOff w14:val="5000"/>
                          </w14:schemeClr>
                        </w14:solidFill>
                      </w14:textFill>
                    </w:rPr>
                    <w:t>0.1779</w:t>
                  </w:r>
                </w:p>
              </w:tc>
              <w:tc>
                <w:tcPr>
                  <w:tcW w:w="861" w:type="dxa"/>
                  <w:vMerge w:val="continue"/>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pPr>
                </w:p>
              </w:tc>
              <w:tc>
                <w:tcPr>
                  <w:tcW w:w="787" w:type="dxa"/>
                  <w:vMerge w:val="continue"/>
                  <w:tcBorders>
                    <w:tl2br w:val="nil"/>
                    <w:tr2bl w:val="nil"/>
                  </w:tcBorders>
                  <w:noWrap w:val="0"/>
                  <w:vAlign w:val="center"/>
                </w:tcPr>
                <w:p>
                  <w:pPr>
                    <w:pStyle w:val="75"/>
                    <w:keepNext w:val="0"/>
                    <w:keepLines w:val="0"/>
                    <w:suppressLineNumbers w:val="0"/>
                    <w:kinsoku w:val="0"/>
                    <w:overflowPunct w:val="0"/>
                    <w:spacing w:before="0" w:beforeLines="0" w:beforeAutospacing="0" w:after="0" w:afterLines="0" w:afterAutospacing="0"/>
                    <w:ind w:left="0" w:leftChars="0" w:right="0" w:rightChars="0" w:firstLine="0" w:firstLineChars="0"/>
                    <w:jc w:val="center"/>
                    <w:rPr>
                      <w:rFonts w:hint="default" w:ascii="Times New Roman" w:hAnsi="Times New Roman" w:eastAsia="Times New Roman" w:cs="Times New Roman"/>
                      <w:color w:val="0D0D0D" w:themeColor="text1" w:themeTint="F2"/>
                      <w:sz w:val="21"/>
                      <w:szCs w:val="24"/>
                      <w14:textFill>
                        <w14:solidFill>
                          <w14:schemeClr w14:val="tx1">
                            <w14:lumMod w14:val="95000"/>
                            <w14:lumOff w14:val="5000"/>
                          </w14:schemeClr>
                        </w14:solidFill>
                      </w14:textFill>
                    </w:rPr>
                  </w:pPr>
                </w:p>
              </w:tc>
            </w:tr>
          </w:tbl>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食堂油烟</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食堂油烟：食堂油烟采用油烟净化器处理后排放，饮食油烟满足《饮食业油烟排放标准（试行）》（GB18483-2001）要求。</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由于项目排放废气污染物较少，环境影响较小，不对大气污染物环境影响进行分级和评价。</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val="0"/>
                <w:bCs w:val="0"/>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4"/>
                <w:szCs w:val="24"/>
                <w:lang w:val="en-US" w:eastAsia="zh-CN"/>
                <w14:textFill>
                  <w14:solidFill>
                    <w14:schemeClr w14:val="tx1">
                      <w14:lumMod w14:val="95000"/>
                      <w14:lumOff w14:val="5000"/>
                    </w14:schemeClr>
                  </w14:solidFill>
                </w14:textFill>
              </w:rPr>
              <w:t>4</w:t>
            </w:r>
            <w:r>
              <w:rPr>
                <w:rFonts w:hint="default" w:ascii="Times New Roman" w:hAnsi="Times New Roman" w:cs="Times New Roman"/>
                <w:b w:val="0"/>
                <w:bCs w:val="0"/>
                <w:color w:val="0D0D0D" w:themeColor="text1" w:themeTint="F2"/>
                <w:sz w:val="24"/>
                <w:szCs w:val="24"/>
                <w14:textFill>
                  <w14:solidFill>
                    <w14:schemeClr w14:val="tx1">
                      <w14:lumMod w14:val="95000"/>
                      <w14:lumOff w14:val="5000"/>
                    </w14:schemeClr>
                  </w14:solidFill>
                </w14:textFill>
              </w:rPr>
              <w:t>）监测要求</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D0D0D" w:themeColor="text1" w:themeTint="F2"/>
                <w:sz w:val="24"/>
                <w:szCs w:val="24"/>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lang w:val="en-US" w:eastAsia="zh-CN" w:bidi="ar"/>
                <w14:textFill>
                  <w14:solidFill>
                    <w14:schemeClr w14:val="tx1">
                      <w14:lumMod w14:val="95000"/>
                      <w14:lumOff w14:val="5000"/>
                    </w14:schemeClr>
                  </w14:solidFill>
                </w14:textFill>
              </w:rPr>
              <w:t>根据《排污单位自行监测技术指南总则》（HJ819-2017），结合《环境影响评价技术导则  大气环境》（HJ2.2-2018）附录C.7自行监测计划，废气自行监测计划如下：</w:t>
            </w:r>
          </w:p>
          <w:p>
            <w:pPr>
              <w:pStyle w:val="77"/>
              <w:keepNext w:val="0"/>
              <w:keepLines w:val="0"/>
              <w:suppressLineNumbers w:val="0"/>
              <w:spacing w:before="0" w:beforeAutospacing="0" w:after="0" w:afterAutospacing="0"/>
              <w:ind w:left="0" w:right="0"/>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表4-</w:t>
            </w:r>
            <w:r>
              <w:rPr>
                <w:rFonts w:hint="eastAsia" w:ascii="Times New Roman" w:hAnsi="Times New Roman" w:cs="Times New Roman"/>
                <w:color w:val="0D0D0D" w:themeColor="text1" w:themeTint="F2"/>
                <w:lang w:val="en-US" w:eastAsia="zh-CN"/>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环境监测工作计划一览表</w:t>
            </w:r>
          </w:p>
          <w:tbl>
            <w:tblPr>
              <w:tblStyle w:val="31"/>
              <w:tblW w:w="7977"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2895"/>
              <w:gridCol w:w="1884"/>
              <w:gridCol w:w="181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6" w:hRule="atLeast"/>
                <w:jc w:val="center"/>
              </w:trPr>
              <w:tc>
                <w:tcPr>
                  <w:tcW w:w="1388"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类别</w:t>
                  </w:r>
                </w:p>
              </w:tc>
              <w:tc>
                <w:tcPr>
                  <w:tcW w:w="2895"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监测点位</w:t>
                  </w:r>
                </w:p>
              </w:tc>
              <w:tc>
                <w:tcPr>
                  <w:tcW w:w="1884"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监测项目</w:t>
                  </w:r>
                </w:p>
              </w:tc>
              <w:tc>
                <w:tcPr>
                  <w:tcW w:w="1810"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监测频率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45" w:hRule="atLeast"/>
                <w:jc w:val="center"/>
              </w:trPr>
              <w:tc>
                <w:tcPr>
                  <w:tcW w:w="1388" w:type="dxa"/>
                  <w:vMerge w:val="restart"/>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废气</w:t>
                  </w:r>
                </w:p>
              </w:tc>
              <w:tc>
                <w:tcPr>
                  <w:tcW w:w="2895" w:type="dxa"/>
                  <w:vMerge w:val="restart"/>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厂界</w:t>
                  </w:r>
                </w:p>
              </w:tc>
              <w:tc>
                <w:tcPr>
                  <w:tcW w:w="1884"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颗粒物</w:t>
                  </w:r>
                </w:p>
              </w:tc>
              <w:tc>
                <w:tcPr>
                  <w:tcW w:w="1810"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45" w:hRule="atLeast"/>
                <w:jc w:val="center"/>
              </w:trPr>
              <w:tc>
                <w:tcPr>
                  <w:tcW w:w="1388" w:type="dxa"/>
                  <w:vMerge w:val="continue"/>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p>
              </w:tc>
              <w:tc>
                <w:tcPr>
                  <w:tcW w:w="2895" w:type="dxa"/>
                  <w:vMerge w:val="continue"/>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p>
              </w:tc>
              <w:tc>
                <w:tcPr>
                  <w:tcW w:w="1884"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非甲烷总烃</w:t>
                  </w:r>
                </w:p>
              </w:tc>
              <w:tc>
                <w:tcPr>
                  <w:tcW w:w="1810"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0" w:hRule="atLeast"/>
                <w:jc w:val="center"/>
              </w:trPr>
              <w:tc>
                <w:tcPr>
                  <w:tcW w:w="1388" w:type="dxa"/>
                  <w:vMerge w:val="continue"/>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p>
              </w:tc>
              <w:tc>
                <w:tcPr>
                  <w:tcW w:w="2895" w:type="dxa"/>
                  <w:noWrap w:val="0"/>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厂区内</w:t>
                  </w:r>
                </w:p>
              </w:tc>
              <w:tc>
                <w:tcPr>
                  <w:tcW w:w="1884" w:type="dxa"/>
                  <w:shd w:val="clear" w:color="auto" w:fill="auto"/>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0D0D0D" w:themeColor="text1" w:themeTint="F2"/>
                      <w:kern w:val="2"/>
                      <w:sz w:val="21"/>
                      <w:szCs w:val="24"/>
                      <w:lang w:val="en-US" w:eastAsia="zh-CN" w:bidi="ar-SA"/>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非甲烷总烃</w:t>
                  </w:r>
                </w:p>
              </w:tc>
              <w:tc>
                <w:tcPr>
                  <w:tcW w:w="1810" w:type="dxa"/>
                  <w:shd w:val="clear" w:color="auto" w:fill="auto"/>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0D0D0D" w:themeColor="text1" w:themeTint="F2"/>
                      <w:kern w:val="2"/>
                      <w:sz w:val="21"/>
                      <w:szCs w:val="24"/>
                      <w:lang w:val="en-US" w:eastAsia="zh-CN" w:bidi="ar-SA"/>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1次/年</w:t>
                  </w:r>
                </w:p>
              </w:tc>
            </w:tr>
          </w:tbl>
          <w:p>
            <w:pPr>
              <w:keepNext w:val="0"/>
              <w:keepLines w:val="0"/>
              <w:suppressLineNumbers w:val="0"/>
              <w:tabs>
                <w:tab w:val="center" w:pos="4591"/>
              </w:tabs>
              <w:spacing w:before="0" w:beforeAutospacing="0" w:after="0" w:afterAutospacing="0" w:line="360" w:lineRule="auto"/>
              <w:ind w:left="0" w:right="0" w:firstLine="482" w:firstLineChars="200"/>
              <w:rPr>
                <w:rFonts w:hint="default" w:ascii="Times New Roman" w:hAnsi="Times New Roman" w:eastAsia="宋体" w:cs="Times New Roman"/>
                <w:b/>
                <w:color w:val="0D0D0D" w:themeColor="text1" w:themeTint="F2"/>
                <w:sz w:val="24"/>
                <w:szCs w:val="24"/>
                <w:u w:val="none"/>
                <w:lang w:val="en-US" w:eastAsia="zh-CN"/>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u w:val="none"/>
                <w14:textFill>
                  <w14:solidFill>
                    <w14:schemeClr w14:val="tx1">
                      <w14:lumMod w14:val="95000"/>
                      <w14:lumOff w14:val="5000"/>
                    </w14:schemeClr>
                  </w14:solidFill>
                </w14:textFill>
              </w:rPr>
              <w:t>2、</w:t>
            </w:r>
            <w:r>
              <w:rPr>
                <w:rFonts w:hint="eastAsia" w:ascii="Times New Roman" w:hAnsi="Times New Roman" w:cs="Times New Roman"/>
                <w:b/>
                <w:color w:val="0D0D0D" w:themeColor="text1" w:themeTint="F2"/>
                <w:sz w:val="24"/>
                <w:szCs w:val="24"/>
                <w:u w:val="none"/>
                <w:lang w:val="en-US" w:eastAsia="zh-CN"/>
                <w14:textFill>
                  <w14:solidFill>
                    <w14:schemeClr w14:val="tx1">
                      <w14:lumMod w14:val="95000"/>
                      <w14:lumOff w14:val="5000"/>
                    </w14:schemeClr>
                  </w14:solidFill>
                </w14:textFill>
              </w:rPr>
              <w:t>废水</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none"/>
                <w14:textFill>
                  <w14:solidFill>
                    <w14:schemeClr w14:val="tx1">
                      <w14:lumMod w14:val="95000"/>
                      <w14:lumOff w14:val="5000"/>
                    </w14:schemeClr>
                  </w14:solidFill>
                </w14:textFill>
              </w:rPr>
              <w:t>（1）污染物产生情况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废水主要</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是</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员工生活产生的</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生活污水</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经化粪池预处理后，进入零陵区富家桥镇污水处理厂处理达标后外排</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根据前文水量平衡，</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生活污水产生量约为</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4.2</w:t>
            </w:r>
            <w:r>
              <w:rPr>
                <w:rFonts w:hint="eastAsia"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m</w:t>
            </w:r>
            <w:r>
              <w:rPr>
                <w:rFonts w:hint="eastAsia" w:ascii="Times New Roman" w:hAnsi="Times New Roman" w:cs="Times New Roman"/>
                <w:color w:val="0D0D0D" w:themeColor="text1" w:themeTint="F2"/>
                <w:sz w:val="24"/>
                <w:szCs w:val="24"/>
                <w:vertAlign w:val="superscript"/>
                <w:lang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/d（</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1260</w:t>
            </w:r>
            <w:r>
              <w:rPr>
                <w:rFonts w:hint="eastAsia"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m</w:t>
            </w:r>
            <w:r>
              <w:rPr>
                <w:rFonts w:hint="eastAsia" w:ascii="Times New Roman" w:hAnsi="Times New Roman" w:cs="Times New Roman"/>
                <w:color w:val="0D0D0D" w:themeColor="text1" w:themeTint="F2"/>
                <w:sz w:val="24"/>
                <w:szCs w:val="24"/>
                <w:vertAlign w:val="superscript"/>
                <w:lang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/a）</w:t>
            </w:r>
            <w:r>
              <w:rPr>
                <w:rFonts w:hint="eastAsia"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其主要污染物为COD、BOD</w:t>
            </w:r>
            <w:r>
              <w:rPr>
                <w:rFonts w:hint="default" w:ascii="Times New Roman" w:hAnsi="Times New Roman" w:cs="Times New Roman"/>
                <w:color w:val="0D0D0D" w:themeColor="text1" w:themeTint="F2"/>
                <w:sz w:val="24"/>
                <w:szCs w:val="24"/>
                <w:vertAlign w:val="subscript"/>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、SS、氨氮；各项污染物产生量见下表：</w:t>
            </w:r>
          </w:p>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表4-</w:t>
            </w:r>
            <w:r>
              <w:rPr>
                <w:rFonts w:hint="eastAsia" w:ascii="Times New Roman" w:hAnsi="Times New Roman" w:cs="Times New Roman"/>
                <w:color w:val="0D0D0D" w:themeColor="text1" w:themeTint="F2"/>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14:textFill>
                  <w14:solidFill>
                    <w14:schemeClr w14:val="tx1">
                      <w14:lumMod w14:val="95000"/>
                      <w14:lumOff w14:val="5000"/>
                    </w14:schemeClr>
                  </w14:solidFill>
                </w14:textFill>
              </w:rPr>
              <w:t>项目废水污染物产生情况表单位：mg/L</w:t>
            </w:r>
          </w:p>
          <w:tbl>
            <w:tblPr>
              <w:tblStyle w:val="31"/>
              <w:tblW w:w="801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19"/>
              <w:gridCol w:w="979"/>
              <w:gridCol w:w="1172"/>
              <w:gridCol w:w="1164"/>
              <w:gridCol w:w="1158"/>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2" w:hRule="atLeast"/>
                <w:jc w:val="center"/>
              </w:trPr>
              <w:tc>
                <w:tcPr>
                  <w:tcW w:w="954"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类型</w:t>
                  </w:r>
                </w:p>
              </w:tc>
              <w:tc>
                <w:tcPr>
                  <w:tcW w:w="131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污染物</w:t>
                  </w:r>
                </w:p>
              </w:tc>
              <w:tc>
                <w:tcPr>
                  <w:tcW w:w="97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废水量</w:t>
                  </w:r>
                </w:p>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t/a</w:t>
                  </w:r>
                </w:p>
              </w:tc>
              <w:tc>
                <w:tcPr>
                  <w:tcW w:w="1172"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COD</w:t>
                  </w:r>
                </w:p>
              </w:tc>
              <w:tc>
                <w:tcPr>
                  <w:tcW w:w="1164"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BOD</w:t>
                  </w:r>
                  <w:r>
                    <w:rPr>
                      <w:rFonts w:hint="default" w:ascii="Times New Roman" w:hAnsi="Times New Roman" w:eastAsia="宋体" w:cs="Times New Roman"/>
                      <w:b/>
                      <w:bCs/>
                      <w:color w:val="0D0D0D" w:themeColor="text1" w:themeTint="F2"/>
                      <w:vertAlign w:val="subscript"/>
                      <w:lang w:val="en-US" w:eastAsia="zh-CN"/>
                      <w14:textFill>
                        <w14:solidFill>
                          <w14:schemeClr w14:val="tx1">
                            <w14:lumMod w14:val="95000"/>
                            <w14:lumOff w14:val="5000"/>
                          </w14:schemeClr>
                        </w14:solidFill>
                      </w14:textFill>
                    </w:rPr>
                    <w:t>5</w:t>
                  </w:r>
                </w:p>
              </w:tc>
              <w:tc>
                <w:tcPr>
                  <w:tcW w:w="115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SS</w:t>
                  </w:r>
                </w:p>
              </w:tc>
              <w:tc>
                <w:tcPr>
                  <w:tcW w:w="1271"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54" w:type="dxa"/>
                  <w:vMerge w:val="restart"/>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生活污水</w:t>
                  </w:r>
                </w:p>
              </w:tc>
              <w:tc>
                <w:tcPr>
                  <w:tcW w:w="131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产生浓度</w:t>
                  </w:r>
                </w:p>
              </w:tc>
              <w:tc>
                <w:tcPr>
                  <w:tcW w:w="97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w:t>
                  </w:r>
                </w:p>
              </w:tc>
              <w:tc>
                <w:tcPr>
                  <w:tcW w:w="1172"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280</w:t>
                  </w:r>
                </w:p>
              </w:tc>
              <w:tc>
                <w:tcPr>
                  <w:tcW w:w="1164"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120</w:t>
                  </w:r>
                </w:p>
              </w:tc>
              <w:tc>
                <w:tcPr>
                  <w:tcW w:w="115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200</w:t>
                  </w:r>
                </w:p>
              </w:tc>
              <w:tc>
                <w:tcPr>
                  <w:tcW w:w="1271"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954" w:type="dxa"/>
                  <w:vMerge w:val="continue"/>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p>
              </w:tc>
              <w:tc>
                <w:tcPr>
                  <w:tcW w:w="131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产生量</w:t>
                  </w:r>
                </w:p>
              </w:tc>
              <w:tc>
                <w:tcPr>
                  <w:tcW w:w="979"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1260</w:t>
                  </w:r>
                </w:p>
              </w:tc>
              <w:tc>
                <w:tcPr>
                  <w:tcW w:w="1172"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0.353</w:t>
                  </w:r>
                </w:p>
              </w:tc>
              <w:tc>
                <w:tcPr>
                  <w:tcW w:w="1164"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0.151</w:t>
                  </w:r>
                </w:p>
              </w:tc>
              <w:tc>
                <w:tcPr>
                  <w:tcW w:w="115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0.252</w:t>
                  </w:r>
                </w:p>
              </w:tc>
              <w:tc>
                <w:tcPr>
                  <w:tcW w:w="1271"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0.0252</w:t>
                  </w:r>
                </w:p>
              </w:tc>
            </w:tr>
          </w:tbl>
          <w:p>
            <w:pPr>
              <w:keepNext w:val="0"/>
              <w:keepLines w:val="0"/>
              <w:numPr>
                <w:ilvl w:val="0"/>
                <w:numId w:val="3"/>
              </w:numPr>
              <w:suppressLineNumbers w:val="0"/>
              <w:spacing w:before="0" w:beforeAutospacing="0" w:after="0" w:afterAutospacing="0"/>
              <w:ind w:left="0" w:right="0" w:firstLine="482"/>
              <w:rPr>
                <w:rFonts w:hint="eastAsia" w:ascii="Times New Roman" w:hAnsi="Times New Roman" w:eastAsia="宋体" w:cs="Times New Roman"/>
                <w:b w:val="0"/>
                <w:bCs w:val="0"/>
                <w:color w:val="0D0D0D" w:themeColor="text1" w:themeTint="F2"/>
                <w:sz w:val="24"/>
                <w:szCs w:val="24"/>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val="0"/>
                <w:bCs w:val="0"/>
                <w:color w:val="0D0D0D" w:themeColor="text1" w:themeTint="F2"/>
                <w:sz w:val="24"/>
                <w:szCs w:val="24"/>
                <w:lang w:val="en-US" w:eastAsia="zh-CN"/>
                <w14:textFill>
                  <w14:solidFill>
                    <w14:schemeClr w14:val="tx1">
                      <w14:lumMod w14:val="95000"/>
                      <w14:lumOff w14:val="5000"/>
                    </w14:schemeClr>
                  </w14:solidFill>
                </w14:textFill>
              </w:rPr>
              <w:t>治理设施及排放口基本情况</w:t>
            </w:r>
          </w:p>
          <w:p>
            <w:pPr>
              <w:pStyle w:val="78"/>
              <w:keepNext w:val="0"/>
              <w:keepLines w:val="0"/>
              <w:suppressLineNumbers w:val="0"/>
              <w:spacing w:before="0" w:beforeAutospacing="0" w:after="0" w:afterAutospacing="0"/>
              <w:ind w:left="0" w:right="0" w:firstLine="480"/>
              <w:rPr>
                <w:rFonts w:hint="default" w:ascii="Times New Roman" w:hAnsi="Times New Roman" w:eastAsia="宋体" w:cs="Times New Roman"/>
                <w:b/>
                <w:bCs/>
                <w:color w:val="0D0D0D" w:themeColor="text1" w:themeTint="F2"/>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14:textFill>
                  <w14:solidFill>
                    <w14:schemeClr w14:val="tx1">
                      <w14:lumMod w14:val="95000"/>
                      <w14:lumOff w14:val="5000"/>
                    </w14:schemeClr>
                  </w14:solidFill>
                </w14:textFill>
              </w:rPr>
              <w:t>表4-</w:t>
            </w:r>
            <w:r>
              <w:rPr>
                <w:rFonts w:hint="eastAsia" w:ascii="Times New Roman" w:hAnsi="Times New Roman" w:cs="Times New Roman"/>
                <w:b/>
                <w:bCs/>
                <w:color w:val="0D0D0D" w:themeColor="text1" w:themeTint="F2"/>
                <w:lang w:val="en-US" w:eastAsia="zh-CN"/>
                <w14:textFill>
                  <w14:solidFill>
                    <w14:schemeClr w14:val="tx1">
                      <w14:lumMod w14:val="95000"/>
                      <w14:lumOff w14:val="5000"/>
                    </w14:schemeClr>
                  </w14:solidFill>
                </w14:textFill>
              </w:rPr>
              <w:t>4</w:t>
            </w:r>
            <w:r>
              <w:rPr>
                <w:rFonts w:hint="default" w:ascii="Times New Roman" w:hAnsi="Times New Roman" w:eastAsia="宋体" w:cs="Times New Roman"/>
                <w:b/>
                <w:bCs/>
                <w:color w:val="0D0D0D" w:themeColor="text1" w:themeTint="F2"/>
                <w14:textFill>
                  <w14:solidFill>
                    <w14:schemeClr w14:val="tx1">
                      <w14:lumMod w14:val="95000"/>
                      <w14:lumOff w14:val="5000"/>
                    </w14:schemeClr>
                  </w14:solidFill>
                </w14:textFill>
              </w:rPr>
              <w:t>污染治理设施信息一览表</w:t>
            </w:r>
          </w:p>
          <w:tbl>
            <w:tblPr>
              <w:tblStyle w:val="31"/>
              <w:tblW w:w="80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
            <w:tblGrid>
              <w:gridCol w:w="636"/>
              <w:gridCol w:w="553"/>
              <w:gridCol w:w="690"/>
              <w:gridCol w:w="571"/>
              <w:gridCol w:w="628"/>
              <w:gridCol w:w="610"/>
              <w:gridCol w:w="808"/>
              <w:gridCol w:w="720"/>
              <w:gridCol w:w="845"/>
              <w:gridCol w:w="777"/>
              <w:gridCol w:w="1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trHeight w:val="416" w:hRule="atLeast"/>
                <w:jc w:val="center"/>
              </w:trPr>
              <w:tc>
                <w:tcPr>
                  <w:tcW w:w="636" w:type="dxa"/>
                  <w:vMerge w:val="restart"/>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废水类别</w:t>
                  </w:r>
                </w:p>
              </w:tc>
              <w:tc>
                <w:tcPr>
                  <w:tcW w:w="2442" w:type="dxa"/>
                  <w:gridSpan w:val="4"/>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治理设施</w:t>
                  </w:r>
                </w:p>
              </w:tc>
              <w:tc>
                <w:tcPr>
                  <w:tcW w:w="610" w:type="dxa"/>
                  <w:vMerge w:val="restart"/>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排放方式</w:t>
                  </w:r>
                </w:p>
              </w:tc>
              <w:tc>
                <w:tcPr>
                  <w:tcW w:w="808" w:type="dxa"/>
                  <w:vMerge w:val="restart"/>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排放</w:t>
                  </w:r>
                </w:p>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去向</w:t>
                  </w:r>
                </w:p>
              </w:tc>
              <w:tc>
                <w:tcPr>
                  <w:tcW w:w="720" w:type="dxa"/>
                  <w:vMerge w:val="restart"/>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排放规律</w:t>
                  </w:r>
                </w:p>
              </w:tc>
              <w:tc>
                <w:tcPr>
                  <w:tcW w:w="2876" w:type="dxa"/>
                  <w:gridSpan w:val="3"/>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排放口基本情况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trHeight w:val="1104" w:hRule="atLeast"/>
                <w:jc w:val="center"/>
              </w:trPr>
              <w:tc>
                <w:tcPr>
                  <w:tcW w:w="636" w:type="dxa"/>
                  <w:vMerge w:val="continue"/>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p>
              </w:tc>
              <w:tc>
                <w:tcPr>
                  <w:tcW w:w="553"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处理能力</w:t>
                  </w:r>
                </w:p>
              </w:tc>
              <w:tc>
                <w:tcPr>
                  <w:tcW w:w="690"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治理工艺</w:t>
                  </w:r>
                </w:p>
              </w:tc>
              <w:tc>
                <w:tcPr>
                  <w:tcW w:w="571"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治理效率</w:t>
                  </w:r>
                </w:p>
              </w:tc>
              <w:tc>
                <w:tcPr>
                  <w:tcW w:w="62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是否为可行技术</w:t>
                  </w:r>
                </w:p>
              </w:tc>
              <w:tc>
                <w:tcPr>
                  <w:tcW w:w="610" w:type="dxa"/>
                  <w:vMerge w:val="continue"/>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p>
              </w:tc>
              <w:tc>
                <w:tcPr>
                  <w:tcW w:w="808" w:type="dxa"/>
                  <w:vMerge w:val="continue"/>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p>
              </w:tc>
              <w:tc>
                <w:tcPr>
                  <w:tcW w:w="720" w:type="dxa"/>
                  <w:vMerge w:val="continue"/>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p>
              </w:tc>
              <w:tc>
                <w:tcPr>
                  <w:tcW w:w="845"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编号及名称</w:t>
                  </w:r>
                </w:p>
              </w:tc>
              <w:tc>
                <w:tcPr>
                  <w:tcW w:w="777"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类型</w:t>
                  </w:r>
                </w:p>
              </w:tc>
              <w:tc>
                <w:tcPr>
                  <w:tcW w:w="1254"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t>地理坐标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trHeight w:val="584" w:hRule="atLeast"/>
                <w:jc w:val="center"/>
              </w:trPr>
              <w:tc>
                <w:tcPr>
                  <w:tcW w:w="636"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生活污水</w:t>
                  </w:r>
                </w:p>
              </w:tc>
              <w:tc>
                <w:tcPr>
                  <w:tcW w:w="553"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highlight w:val="none"/>
                      <w14:textFill>
                        <w14:solidFill>
                          <w14:schemeClr w14:val="tx1">
                            <w14:lumMod w14:val="95000"/>
                            <w14:lumOff w14:val="5000"/>
                          </w14:schemeClr>
                        </w14:solidFill>
                      </w14:textFill>
                    </w:rPr>
                    <w:t>5t/d</w:t>
                  </w:r>
                </w:p>
              </w:tc>
              <w:tc>
                <w:tcPr>
                  <w:tcW w:w="690"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化粪池</w:t>
                  </w:r>
                  <w:r>
                    <w:rPr>
                      <w:rFonts w:hint="eastAsia" w:cs="Times New Roman"/>
                      <w:color w:val="0D0D0D" w:themeColor="text1" w:themeTint="F2"/>
                      <w:lang w:val="en-US" w:eastAsia="zh-CN"/>
                      <w14:textFill>
                        <w14:solidFill>
                          <w14:schemeClr w14:val="tx1">
                            <w14:lumMod w14:val="95000"/>
                            <w14:lumOff w14:val="5000"/>
                          </w14:schemeClr>
                        </w14:solidFill>
                      </w14:textFill>
                    </w:rPr>
                    <w:t>+市政污水管网</w:t>
                  </w:r>
                </w:p>
              </w:tc>
              <w:tc>
                <w:tcPr>
                  <w:tcW w:w="571"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w:t>
                  </w:r>
                </w:p>
              </w:tc>
              <w:tc>
                <w:tcPr>
                  <w:tcW w:w="62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是</w:t>
                  </w:r>
                </w:p>
              </w:tc>
              <w:tc>
                <w:tcPr>
                  <w:tcW w:w="610"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lang w:val="en-US" w:eastAsia="zh-CN"/>
                      <w14:textFill>
                        <w14:solidFill>
                          <w14:schemeClr w14:val="tx1">
                            <w14:lumMod w14:val="95000"/>
                            <w14:lumOff w14:val="5000"/>
                          </w14:schemeClr>
                        </w14:solidFill>
                      </w14:textFill>
                    </w:rPr>
                    <w:t>直排</w:t>
                  </w:r>
                </w:p>
              </w:tc>
              <w:tc>
                <w:tcPr>
                  <w:tcW w:w="808"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零</w:t>
                  </w: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陵区富家桥镇污水处理厂</w:t>
                  </w:r>
                </w:p>
              </w:tc>
              <w:tc>
                <w:tcPr>
                  <w:tcW w:w="720"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间接</w:t>
                  </w:r>
                </w:p>
              </w:tc>
              <w:tc>
                <w:tcPr>
                  <w:tcW w:w="845"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DW001</w:t>
                  </w:r>
                </w:p>
              </w:tc>
              <w:tc>
                <w:tcPr>
                  <w:tcW w:w="777" w:type="dxa"/>
                  <w:tcBorders>
                    <w:tl2br w:val="nil"/>
                    <w:tr2bl w:val="nil"/>
                  </w:tcBorders>
                  <w:noWrap w:val="0"/>
                  <w:vAlign w:val="center"/>
                </w:tcPr>
                <w:p>
                  <w:pPr>
                    <w:pStyle w:val="7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cs="Times New Roman"/>
                      <w:color w:val="0D0D0D" w:themeColor="text1" w:themeTint="F2"/>
                      <w:lang w:val="en-US" w:eastAsia="zh-CN"/>
                      <w14:textFill>
                        <w14:solidFill>
                          <w14:schemeClr w14:val="tx1">
                            <w14:lumMod w14:val="95000"/>
                            <w14:lumOff w14:val="5000"/>
                          </w14:schemeClr>
                        </w14:solidFill>
                      </w14:textFill>
                    </w:rPr>
                    <w:t>一般排放口</w:t>
                  </w:r>
                </w:p>
              </w:tc>
              <w:tc>
                <w:tcPr>
                  <w:tcW w:w="1254" w:type="dxa"/>
                  <w:tcBorders>
                    <w:tl2br w:val="nil"/>
                    <w:tr2bl w:val="nil"/>
                  </w:tcBorders>
                  <w:noWrap w:val="0"/>
                  <w:tcMar>
                    <w:top w:w="0" w:type="dxa"/>
                    <w:left w:w="28" w:type="dxa"/>
                    <w:bottom w:w="0" w:type="dxa"/>
                    <w:right w:w="28" w:type="dxa"/>
                  </w:tcMar>
                  <w:vAlign w:val="center"/>
                </w:tcPr>
                <w:p>
                  <w:pPr>
                    <w:pStyle w:val="79"/>
                    <w:keepNext w:val="0"/>
                    <w:keepLines w:val="0"/>
                    <w:suppressLineNumbers w:val="0"/>
                    <w:spacing w:before="0" w:beforeAutospacing="0" w:after="0" w:afterAutospacing="0"/>
                    <w:ind w:left="0" w:leftChars="0" w:right="0" w:rightChars="0" w:firstLine="0" w:firstLineChars="0"/>
                    <w:jc w:val="center"/>
                    <w:rPr>
                      <w:rFonts w:hint="eastAsia"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111.623904</w:t>
                  </w:r>
                  <w:r>
                    <w:rPr>
                      <w:rFonts w:hint="eastAsia" w:cs="Times New Roman"/>
                      <w:color w:val="0D0D0D" w:themeColor="text1" w:themeTint="F2"/>
                      <w:lang w:val="en-US" w:eastAsia="zh-CN"/>
                      <w14:textFill>
                        <w14:solidFill>
                          <w14:schemeClr w14:val="tx1">
                            <w14:lumMod w14:val="95000"/>
                            <w14:lumOff w14:val="5000"/>
                          </w14:schemeClr>
                        </w14:solidFill>
                      </w14:textFill>
                    </w:rPr>
                    <w:t>,</w:t>
                  </w:r>
                </w:p>
                <w:p>
                  <w:pPr>
                    <w:pStyle w:val="7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t>26.135441</w:t>
                  </w:r>
                </w:p>
              </w:tc>
            </w:tr>
          </w:tbl>
          <w:p>
            <w:pPr>
              <w:keepNext w:val="0"/>
              <w:keepLines w:val="0"/>
              <w:suppressLineNumbers w:val="0"/>
              <w:snapToGrid w:val="0"/>
              <w:spacing w:before="0" w:beforeAutospacing="0" w:after="0" w:afterAutospacing="0" w:line="360" w:lineRule="auto"/>
              <w:ind w:left="0" w:right="0" w:firstLine="480"/>
              <w:rPr>
                <w:rFonts w:hint="default" w:ascii="Times New Roman" w:hAnsi="Times New Roman" w:cs="Times New Roman"/>
                <w:b/>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项目废水经化粪池</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预</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处理后</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进入零陵区富家桥镇污水处理厂处理达标后外排潇水</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，从水环境影响角度分析，项目建设可行</w:t>
            </w: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对地表水影响较小。</w:t>
            </w:r>
          </w:p>
          <w:p>
            <w:pPr>
              <w:pStyle w:val="7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eastAsia" w:cs="Times New Roman"/>
                <w:color w:val="0D0D0D" w:themeColor="text1" w:themeTint="F2"/>
                <w:sz w:val="24"/>
                <w:szCs w:val="24"/>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u w:val="none"/>
                <w14:textFill>
                  <w14:solidFill>
                    <w14:schemeClr w14:val="tx1">
                      <w14:lumMod w14:val="95000"/>
                      <w14:lumOff w14:val="5000"/>
                    </w14:schemeClr>
                  </w14:solidFill>
                </w14:textFill>
              </w:rPr>
              <w:t>磨边产生的废水和玻璃清洗废水中仅含玻璃粉尘不含其它特</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征污物，废水经沉淀处理后循环使用不外排，因此</w:t>
            </w:r>
            <w:r>
              <w:rPr>
                <w:rFonts w:hint="eastAsia" w:cs="Times New Roman"/>
                <w:color w:val="0D0D0D" w:themeColor="text1" w:themeTint="F2"/>
                <w:sz w:val="24"/>
                <w:szCs w:val="24"/>
                <w:highlight w:val="none"/>
                <w:u w:val="non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在营运期间无生产废水外排。</w:t>
            </w:r>
          </w:p>
          <w:p>
            <w:pPr>
              <w:pStyle w:val="71"/>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highlight w:val="none"/>
                <w:lang w:val="en-US" w:eastAsia="zh-CN" w:bidi="ar-SA"/>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废水处理措施及可行性分析</w:t>
            </w:r>
          </w:p>
          <w:p>
            <w:pPr>
              <w:keepNext w:val="0"/>
              <w:keepLines w:val="0"/>
              <w:widowControl/>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color w:val="0D0D0D" w:themeColor="text1" w:themeTint="F2"/>
                <w:highlight w:val="none"/>
                <w14:textFill>
                  <w14:solidFill>
                    <w14:schemeClr w14:val="tx1">
                      <w14:lumMod w14:val="95000"/>
                      <w14:lumOff w14:val="5000"/>
                    </w14:schemeClr>
                  </w14:solidFill>
                </w14:textFill>
              </w:rPr>
            </w:pPr>
            <w:r>
              <w:rPr>
                <w:rFonts w:hint="eastAsia" w:asciiTheme="minorEastAsia" w:hAnsiTheme="minorEastAsia" w:eastAsiaTheme="minorEastAsia" w:cstheme="minorEastAsia"/>
                <w:color w:val="0D0D0D" w:themeColor="text1" w:themeTint="F2"/>
                <w:kern w:val="0"/>
                <w:sz w:val="24"/>
                <w:szCs w:val="24"/>
                <w:highlight w:val="none"/>
                <w:lang w:val="en-US" w:eastAsia="zh-CN" w:bidi="ar"/>
                <w14:textFill>
                  <w14:solidFill>
                    <w14:schemeClr w14:val="tx1">
                      <w14:lumMod w14:val="95000"/>
                      <w14:lumOff w14:val="5000"/>
                    </w14:schemeClr>
                  </w14:solidFill>
                </w14:textFill>
              </w:rPr>
              <w:t>富家桥镇污水处理厂纳污范围为近期规划范围，纳污面积235.09公顷，纳污范围内规划人口3420人，纳污范围内未规划工业。富家桥污水处理厂主要收纳纳污范围内居民生活污水。</w:t>
            </w:r>
          </w:p>
          <w:p>
            <w:pPr>
              <w:pStyle w:val="71"/>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永州市零陵区住房与城乡建设局投资 4077.13 万元，在富家桥镇永富社区建设永州市零陵区富家桥镇污水处理厂及其配套管网工程，工程总征地面积 3109.41m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。主要建设内容包括组合池、一体化设备、仓库、设备自控室、在线监控室等。项目近期（2025）建设规模为500m</w:t>
            </w:r>
            <w:r>
              <w:rPr>
                <w:rFonts w:hint="default" w:ascii="Times New Roman" w:hAnsi="Times New Roman" w:cs="Times New Roman"/>
                <w:color w:val="0D0D0D" w:themeColor="text1" w:themeTint="F2"/>
                <w:sz w:val="24"/>
                <w:szCs w:val="24"/>
                <w:highlight w:val="none"/>
                <w:u w:val="none"/>
                <w:vertAlign w:val="superscript"/>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szCs w:val="24"/>
                <w:highlight w:val="none"/>
                <w:u w:val="none"/>
                <w14:textFill>
                  <w14:solidFill>
                    <w14:schemeClr w14:val="tx1">
                      <w14:lumMod w14:val="95000"/>
                      <w14:lumOff w14:val="5000"/>
                    </w14:schemeClr>
                  </w14:solidFill>
                </w14:textFill>
              </w:rPr>
              <w:t>/d，，处理工艺为“格栅+调节池+A2O+沉淀池+紫外消毒”，出水水质排放达到《城镇污水处理厂污染物排放标准》（GB18918-2002）及2013年修改单一级B 准。</w:t>
            </w:r>
          </w:p>
          <w:p>
            <w:pPr>
              <w:pStyle w:val="71"/>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0D0D0D" w:themeColor="text1" w:themeTint="F2"/>
                <w:sz w:val="24"/>
                <w:szCs w:val="24"/>
                <w:highlight w:val="none"/>
                <w:u w:val="singl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highlight w:val="none"/>
                <w:u w:val="single"/>
                <w:lang w:val="en-US" w:eastAsia="zh-CN"/>
                <w14:textFill>
                  <w14:solidFill>
                    <w14:schemeClr w14:val="tx1">
                      <w14:lumMod w14:val="95000"/>
                      <w14:lumOff w14:val="5000"/>
                    </w14:schemeClr>
                  </w14:solidFill>
                </w14:textFill>
              </w:rPr>
              <w:t>3</w:t>
            </w:r>
            <w:r>
              <w:rPr>
                <w:rFonts w:hint="default" w:ascii="Times New Roman" w:hAnsi="Times New Roman" w:cs="Times New Roman"/>
                <w:b/>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Times New Roman" w:hAnsi="Times New Roman" w:cs="Times New Roman"/>
                <w:b/>
                <w:color w:val="0D0D0D" w:themeColor="text1" w:themeTint="F2"/>
                <w:sz w:val="24"/>
                <w:szCs w:val="24"/>
                <w:highlight w:val="none"/>
                <w:u w:val="single"/>
                <w:lang w:val="en-US" w:eastAsia="zh-CN"/>
                <w14:textFill>
                  <w14:solidFill>
                    <w14:schemeClr w14:val="tx1">
                      <w14:lumMod w14:val="95000"/>
                      <w14:lumOff w14:val="5000"/>
                    </w14:schemeClr>
                  </w14:solidFill>
                </w14:textFill>
              </w:rPr>
              <w:t>噪声</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（1）噪声源强</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项目建成后，该项目运营期主要噪声来源于厂区磨边、钢化工序等工序所使用的机械设备产生的噪声，其噪声源在</w:t>
            </w:r>
            <w:r>
              <w:rPr>
                <w:rFonts w:hint="eastAsia" w:eastAsia="宋体" w:cs="Times New Roman"/>
                <w:color w:val="0D0D0D" w:themeColor="text1" w:themeTint="F2"/>
                <w:sz w:val="24"/>
                <w:szCs w:val="24"/>
                <w:highlight w:val="none"/>
                <w:u w:val="single"/>
                <w:lang w:val="en-US" w:eastAsia="zh-CN"/>
                <w14:textFill>
                  <w14:solidFill>
                    <w14:schemeClr w14:val="tx1">
                      <w14:lumMod w14:val="95000"/>
                      <w14:lumOff w14:val="5000"/>
                    </w14:schemeClr>
                  </w14:solidFill>
                </w14:textFill>
              </w:rPr>
              <w:t>65</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w:t>
            </w: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95dB</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w:t>
            </w: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A</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）依据《环境工作手册-环境噪声控制卷》（高等教育出版社，2000年）可知，采取隔减振等措施均可达到10~25dB(A)的隔声（消声）量，墙壁可降低23~30dB(A)的噪声。</w:t>
            </w:r>
          </w:p>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表</w:t>
            </w:r>
            <w:r>
              <w:rPr>
                <w:rFonts w:hint="eastAsia" w:ascii="Times New Roman" w:hAnsi="Times New Roman" w:eastAsia="宋体" w:cs="Times New Roman"/>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4-5</w:t>
            </w:r>
            <w:r>
              <w:rPr>
                <w:rFonts w:hint="eastAsia" w:ascii="宋体" w:hAnsi="宋体" w:eastAsia="宋体" w:cs="宋体"/>
                <w:b/>
                <w:bCs/>
                <w:color w:val="0D0D0D" w:themeColor="text1" w:themeTint="F2"/>
                <w:kern w:val="2"/>
                <w:sz w:val="21"/>
                <w:szCs w:val="21"/>
                <w:highlight w:val="none"/>
                <w:u w:val="single"/>
                <w:lang w:val="en-US" w:eastAsia="zh-CN" w:bidi="ar"/>
                <w14:textFill>
                  <w14:solidFill>
                    <w14:schemeClr w14:val="tx1">
                      <w14:lumMod w14:val="95000"/>
                      <w14:lumOff w14:val="5000"/>
                    </w14:schemeClr>
                  </w14:solidFill>
                </w14:textFill>
              </w:rPr>
              <w:t xml:space="preserve"> </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主要噪声源及噪声强度一览表</w:t>
            </w:r>
          </w:p>
          <w:tbl>
            <w:tblPr>
              <w:tblStyle w:val="32"/>
              <w:tblW w:w="80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12"/>
              <w:gridCol w:w="1575"/>
              <w:gridCol w:w="1363"/>
              <w:gridCol w:w="1151"/>
              <w:gridCol w:w="1322"/>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62"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噪声源</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噪声产生强</w:t>
                  </w:r>
                </w:p>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度</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dB</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36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降噪措施</w:t>
                  </w: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降噪量</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dB</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噪声排放</w:t>
                  </w:r>
                </w:p>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强度</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dB</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A</w:t>
                  </w: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2"/>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噪声排放</w:t>
                  </w:r>
                </w:p>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持续时间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1"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玻璃切割机</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70~80</w:t>
                  </w:r>
                </w:p>
              </w:tc>
              <w:tc>
                <w:tcPr>
                  <w:tcW w:w="1363" w:type="dxa"/>
                  <w:vMerge w:val="restart"/>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消声减振、厂房隔声、距离衰减等</w:t>
                  </w: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25</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45~50</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2400</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1"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玻璃钢化炉</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75~85</w:t>
                  </w:r>
                </w:p>
              </w:tc>
              <w:tc>
                <w:tcPr>
                  <w:tcW w:w="136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25</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50~60</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2400</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6"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磨边机</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80~90</w:t>
                  </w:r>
                </w:p>
              </w:tc>
              <w:tc>
                <w:tcPr>
                  <w:tcW w:w="136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25</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55~65</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highlight w:val="none"/>
                      <w:u w:val="single"/>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2400</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6"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 xml:space="preserve">玻璃清洗机 </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65~</w:t>
                  </w: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70</w:t>
                  </w:r>
                </w:p>
              </w:tc>
              <w:tc>
                <w:tcPr>
                  <w:tcW w:w="136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25</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40~45</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2400h/a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41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空压机</w:t>
                  </w:r>
                </w:p>
              </w:tc>
              <w:tc>
                <w:tcPr>
                  <w:tcW w:w="1575"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70-85</w:t>
                  </w:r>
                </w:p>
              </w:tc>
              <w:tc>
                <w:tcPr>
                  <w:tcW w:w="136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0D0D0D" w:themeColor="text1" w:themeTint="F2"/>
                      <w:sz w:val="20"/>
                      <w:szCs w:val="20"/>
                      <w:highlight w:val="none"/>
                      <w14:textFill>
                        <w14:solidFill>
                          <w14:schemeClr w14:val="tx1">
                            <w14:lumMod w14:val="95000"/>
                            <w14:lumOff w14:val="5000"/>
                          </w14:schemeClr>
                        </w14:solidFill>
                      </w14:textFill>
                    </w:rPr>
                  </w:pPr>
                </w:p>
              </w:tc>
              <w:tc>
                <w:tcPr>
                  <w:tcW w:w="1151"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25</w:t>
                  </w:r>
                </w:p>
              </w:tc>
              <w:tc>
                <w:tcPr>
                  <w:tcW w:w="1322"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45~60</w:t>
                  </w:r>
                </w:p>
              </w:tc>
              <w:tc>
                <w:tcPr>
                  <w:tcW w:w="1213" w:type="dxa"/>
                  <w:tcBorders>
                    <w:tl2br w:val="nil"/>
                    <w:tr2bl w:val="nil"/>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highlight w:val="none"/>
                      <w:u w:val="single"/>
                      <w:lang w:val="en-US" w:eastAsia="zh-CN" w:bidi="ar"/>
                      <w14:textFill>
                        <w14:solidFill>
                          <w14:schemeClr w14:val="tx1">
                            <w14:lumMod w14:val="95000"/>
                            <w14:lumOff w14:val="5000"/>
                          </w14:schemeClr>
                        </w14:solidFill>
                      </w14:textFill>
                    </w:rPr>
                    <w:t>2400h/a</w:t>
                  </w:r>
                </w:p>
              </w:tc>
            </w:tr>
          </w:tbl>
          <w:p>
            <w:pPr>
              <w:keepNext w:val="0"/>
              <w:keepLines w:val="0"/>
              <w:numPr>
                <w:ilvl w:val="0"/>
                <w:numId w:val="4"/>
              </w:numPr>
              <w:suppressLineNumbers w:val="0"/>
              <w:spacing w:before="0" w:beforeLines="0" w:beforeAutospacing="0" w:after="0" w:afterLines="0" w:afterAutospacing="0" w:line="360" w:lineRule="auto"/>
              <w:ind w:left="0" w:leftChars="0" w:right="0" w:firstLine="482" w:firstLineChars="0"/>
              <w:jc w:val="left"/>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达标情况分析</w:t>
            </w:r>
          </w:p>
          <w:p>
            <w:pPr>
              <w:keepNext w:val="0"/>
              <w:keepLines w:val="0"/>
              <w:numPr>
                <w:ilvl w:val="0"/>
                <w:numId w:val="0"/>
              </w:numPr>
              <w:suppressLineNumbers w:val="0"/>
              <w:spacing w:before="0" w:beforeLines="0" w:beforeAutospacing="0" w:after="0" w:afterLines="0" w:afterAutospacing="0" w:line="360" w:lineRule="auto"/>
              <w:ind w:left="0" w:right="0" w:rightChars="0" w:firstLine="480" w:firstLineChars="200"/>
              <w:jc w:val="left"/>
              <w:rPr>
                <w:rFonts w:hint="default" w:ascii="Times New Roman" w:hAnsi="Times New Roman" w:cs="Times New Roman"/>
                <w:color w:val="0D0D0D" w:themeColor="text1" w:themeTint="F2"/>
                <w:sz w:val="24"/>
                <w:szCs w:val="24"/>
                <w:highlight w:val="none"/>
                <w:u w:val="single"/>
                <w14:textFill>
                  <w14:solidFill>
                    <w14:schemeClr w14:val="tx1">
                      <w14:lumMod w14:val="95000"/>
                      <w14:lumOff w14:val="5000"/>
                    </w14:schemeClr>
                  </w14:solidFill>
                </w14:textFill>
              </w:rPr>
            </w:pPr>
            <w:r>
              <w:rPr>
                <w:rFonts w:hint="eastAsia" w:cs="Times New Roman"/>
                <w:color w:val="0D0D0D" w:themeColor="text1" w:themeTint="F2"/>
                <w:sz w:val="24"/>
                <w:szCs w:val="24"/>
                <w:highlight w:val="none"/>
                <w:u w:val="single"/>
                <w:lang w:eastAsia="zh-CN"/>
                <w14:textFill>
                  <w14:solidFill>
                    <w14:schemeClr w14:val="tx1">
                      <w14:lumMod w14:val="95000"/>
                      <w14:lumOff w14:val="5000"/>
                    </w14:schemeClr>
                  </w14:solidFill>
                </w14:textFill>
              </w:rPr>
              <w:t>本扩建项目</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采用《环境影响评价技术导则—声环境》（</w:t>
            </w: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HJ2.4-2009</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）中推荐模式进行预测，噪声从声源发出后向外辐射，在传播过程中经距离衰减、地面构筑物屏蔽反射、空气吸收等阶段后到达受声点，本次评价采用</w:t>
            </w: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A</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声级计算。</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highlight w:val="none"/>
                <w:u w:val="single"/>
                <w:lang w:eastAsia="zh-CN"/>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highlight w:val="none"/>
                <w:u w:val="single"/>
                <w14:textFill>
                  <w14:solidFill>
                    <w14:schemeClr w14:val="tx1">
                      <w14:lumMod w14:val="95000"/>
                      <w14:lumOff w14:val="5000"/>
                    </w14:schemeClr>
                  </w14:solidFill>
                </w14:textFill>
              </w:rPr>
              <w:t>1</w:t>
            </w: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）受声点处的声压级计算公式</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highlight w:val="none"/>
                <w:u w:val="single"/>
                <w14:textFill>
                  <w14:solidFill>
                    <w14:schemeClr w14:val="tx1">
                      <w14:lumMod w14:val="95000"/>
                      <w14:lumOff w14:val="5000"/>
                    </w14:schemeClr>
                  </w14:solidFill>
                </w14:textFill>
              </w:rPr>
              <w:t>本评价采用整体声源评价法对声源进行预测评价。整体声源法的基本思路是将整个连续噪声区看作一个特大声源，称为整体声源。预先求得该整体声源的声功率级，然后计算该整体声源辐射的声能在向受声点传播过程中由各种因素引起的衰减，最后求得预测受声点的噪声级。整体声</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源辐射的声波在距声源中心为</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r</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的受声点处的声压级按下式计算：</w:t>
            </w:r>
          </w:p>
          <w:p>
            <w:pPr>
              <w:keepNext w:val="0"/>
              <w:keepLines w:val="0"/>
              <w:suppressLineNumbers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Lp=Lw—ΣAi。</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式中：Lp为受声点的预测声级；</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Lw为整体声源的声功率级；</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ΣAi为声传播途径上各种因素引起声能量的总衰减量，Ai为第i种因素造成的衰减量。</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2）整体声源声功率级的计算方法</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本评价按简化的Stueber公式计算：</w:t>
            </w:r>
          </w:p>
          <w:p>
            <w:pPr>
              <w:keepNext w:val="0"/>
              <w:keepLines w:val="0"/>
              <w:suppressLineNumbers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drawing>
                <wp:inline distT="0" distB="0" distL="114300" distR="114300">
                  <wp:extent cx="1722120" cy="335280"/>
                  <wp:effectExtent l="0" t="0" r="5080" b="762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6"/>
                          <a:stretch>
                            <a:fillRect/>
                          </a:stretch>
                        </pic:blipFill>
                        <pic:spPr>
                          <a:xfrm>
                            <a:off x="0" y="0"/>
                            <a:ext cx="1722120" cy="335280"/>
                          </a:xfrm>
                          <a:prstGeom prst="rect">
                            <a:avLst/>
                          </a:prstGeom>
                          <a:noFill/>
                          <a:ln>
                            <a:noFill/>
                          </a:ln>
                        </pic:spPr>
                      </pic:pic>
                    </a:graphicData>
                  </a:graphic>
                </wp:inline>
              </w:drawing>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式中：Lw——整体声源的声级功率级；</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piL——整体声源周界的声级平均值；</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S——整体声源所围成的面积；</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类比同类混凝土搅拌站场地噪声级，</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Lw</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取</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90dB</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w:t>
            </w:r>
          </w:p>
          <w:p>
            <w:pPr>
              <w:pStyle w:val="71"/>
              <w:keepNext w:val="0"/>
              <w:keepLines w:val="0"/>
              <w:numPr>
                <w:ilvl w:val="0"/>
                <w:numId w:val="5"/>
              </w:numPr>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ΣAi</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的</w:t>
            </w:r>
            <w:r>
              <w:rPr>
                <w:rFonts w:hint="default" w:ascii="Times New Roman" w:hAnsi="Times New Roman" w:eastAsia="宋体" w:cs="Times New Roman"/>
                <w:color w:val="0D0D0D" w:themeColor="text1" w:themeTint="F2"/>
                <w:sz w:val="24"/>
                <w:szCs w:val="24"/>
                <w:u w:val="single"/>
                <w:lang w:val="en-US" w:eastAsia="zh-CN"/>
                <w14:textFill>
                  <w14:solidFill>
                    <w14:schemeClr w14:val="tx1">
                      <w14:lumMod w14:val="95000"/>
                      <w14:lumOff w14:val="5000"/>
                    </w14:schemeClr>
                  </w14:solidFill>
                </w14:textFill>
              </w:rPr>
              <w:t>算</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法</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①距离衰减</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Ar</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Ar=10lg(2πr</w:t>
            </w:r>
            <w:r>
              <w:rPr>
                <w:rFonts w:hint="default" w:ascii="Times New Roman" w:hAnsi="Times New Roman" w:eastAsia="宋体" w:cs="Times New Roman"/>
                <w:color w:val="0D0D0D" w:themeColor="text1" w:themeTint="F2"/>
                <w:sz w:val="24"/>
                <w:szCs w:val="24"/>
                <w:u w:val="single"/>
                <w:vertAlign w:val="superscript"/>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其中：</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r</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为受声点到整体声源中心的距离。</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②屏障衰减</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Ad</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Ad=10lg(3+20N)</w:t>
            </w:r>
          </w:p>
          <w:p>
            <w:pPr>
              <w:pStyle w:val="71"/>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其中</w:t>
            </w:r>
            <w:r>
              <w:rPr>
                <w:rFonts w:hint="default" w:ascii="Times New Roman" w:hAnsi="Times New Roman" w:eastAsia="Times New Roman" w:cs="Times New Roman"/>
                <w:color w:val="0D0D0D" w:themeColor="text1" w:themeTint="F2"/>
                <w:sz w:val="24"/>
                <w:szCs w:val="24"/>
                <w:u w:val="single"/>
                <w14:textFill>
                  <w14:solidFill>
                    <w14:schemeClr w14:val="tx1">
                      <w14:lumMod w14:val="95000"/>
                      <w14:lumOff w14:val="5000"/>
                    </w14:schemeClr>
                  </w14:solidFill>
                </w14:textFill>
              </w:rPr>
              <w:t>N</w:t>
            </w: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为菲涅尔系数。</w:t>
            </w:r>
          </w:p>
          <w:p>
            <w:pPr>
              <w:pStyle w:val="71"/>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从不利角度，本评价预测时仅考虑声源几何扩散衰减和建筑的隔声的衰减，空气吸收衰减和附加衰减量作为安全系数不予考虑。</w:t>
            </w:r>
          </w:p>
          <w:p>
            <w:pPr>
              <w:pStyle w:val="71"/>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t>b）预测结果</w:t>
            </w:r>
          </w:p>
          <w:p>
            <w:pPr>
              <w:pStyle w:val="71"/>
              <w:keepNext w:val="0"/>
              <w:keepLines w:val="0"/>
              <w:numPr>
                <w:ilvl w:val="0"/>
                <w:numId w:val="0"/>
              </w:numPr>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1"/>
                <w:szCs w:val="21"/>
                <w:u w:val="single"/>
                <w:lang w:val="en-US" w:eastAsia="zh-CN"/>
                <w14:textFill>
                  <w14:solidFill>
                    <w14:schemeClr w14:val="tx1">
                      <w14:lumMod w14:val="95000"/>
                      <w14:lumOff w14:val="5000"/>
                    </w14:schemeClr>
                  </w14:solidFill>
                </w14:textFill>
              </w:rPr>
              <w:t>表</w:t>
            </w:r>
            <w:r>
              <w:rPr>
                <w:rFonts w:hint="eastAsia" w:cs="Times New Roman"/>
                <w:b/>
                <w:bCs/>
                <w:color w:val="0D0D0D" w:themeColor="text1" w:themeTint="F2"/>
                <w:sz w:val="21"/>
                <w:szCs w:val="21"/>
                <w:u w:val="single"/>
                <w:lang w:val="en-US" w:eastAsia="zh-CN"/>
                <w14:textFill>
                  <w14:solidFill>
                    <w14:schemeClr w14:val="tx1">
                      <w14:lumMod w14:val="95000"/>
                      <w14:lumOff w14:val="5000"/>
                    </w14:schemeClr>
                  </w14:solidFill>
                </w14:textFill>
              </w:rPr>
              <w:t xml:space="preserve">4-5 </w:t>
            </w:r>
            <w:r>
              <w:rPr>
                <w:rFonts w:hint="default" w:ascii="Times New Roman" w:hAnsi="Times New Roman" w:eastAsia="宋体" w:cs="Times New Roman"/>
                <w:b/>
                <w:bCs/>
                <w:color w:val="0D0D0D" w:themeColor="text1" w:themeTint="F2"/>
                <w:sz w:val="21"/>
                <w:szCs w:val="21"/>
                <w:u w:val="single"/>
                <w:lang w:val="en-US" w:eastAsia="zh-CN"/>
                <w14:textFill>
                  <w14:solidFill>
                    <w14:schemeClr w14:val="tx1">
                      <w14:lumMod w14:val="95000"/>
                      <w14:lumOff w14:val="5000"/>
                    </w14:schemeClr>
                  </w14:solidFill>
                </w14:textFill>
              </w:rPr>
              <w:t>噪声预测结果表单位：dB（A）</w:t>
            </w:r>
          </w:p>
          <w:tbl>
            <w:tblPr>
              <w:tblStyle w:val="32"/>
              <w:tblW w:w="801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2074"/>
              <w:gridCol w:w="1604"/>
              <w:gridCol w:w="1604"/>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132" w:type="dxa"/>
                  <w:vMerge w:val="restart"/>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序号</w:t>
                  </w:r>
                </w:p>
              </w:tc>
              <w:tc>
                <w:tcPr>
                  <w:tcW w:w="2074" w:type="dxa"/>
                  <w:vMerge w:val="restart"/>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位置</w:t>
                  </w:r>
                </w:p>
              </w:tc>
              <w:tc>
                <w:tcPr>
                  <w:tcW w:w="4812" w:type="dxa"/>
                  <w:gridSpan w:val="3"/>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132" w:type="dxa"/>
                  <w:vMerge w:val="continue"/>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p>
              </w:tc>
              <w:tc>
                <w:tcPr>
                  <w:tcW w:w="2074" w:type="dxa"/>
                  <w:vMerge w:val="continue"/>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背景值</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贡献值</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u w:val="single"/>
                      <w:vertAlign w:val="baseline"/>
                      <w:lang w:val="en-US" w:eastAsia="zh-CN"/>
                      <w14:textFill>
                        <w14:solidFill>
                          <w14:schemeClr w14:val="tx1">
                            <w14:lumMod w14:val="95000"/>
                            <w14:lumOff w14:val="5000"/>
                          </w14:schemeClr>
                        </w14:solidFill>
                      </w14:textFill>
                    </w:rPr>
                    <w:t>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32"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1</w:t>
                  </w:r>
                </w:p>
              </w:tc>
              <w:tc>
                <w:tcPr>
                  <w:tcW w:w="207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项目东厂界</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51.8</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47.5</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32"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2</w:t>
                  </w:r>
                </w:p>
              </w:tc>
              <w:tc>
                <w:tcPr>
                  <w:tcW w:w="207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项目南厂界</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51.7</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47.2</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32"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3</w:t>
                  </w:r>
                </w:p>
              </w:tc>
              <w:tc>
                <w:tcPr>
                  <w:tcW w:w="207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项目西厂界</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55.3</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50.6</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132"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4</w:t>
                  </w:r>
                </w:p>
              </w:tc>
              <w:tc>
                <w:tcPr>
                  <w:tcW w:w="207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项目北厂界</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53.7</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51.7</w:t>
                  </w:r>
                </w:p>
              </w:tc>
              <w:tc>
                <w:tcPr>
                  <w:tcW w:w="1604" w:type="dxa"/>
                  <w:tcBorders>
                    <w:tl2br w:val="nil"/>
                    <w:tr2bl w:val="nil"/>
                  </w:tcBorders>
                  <w:noWrap w:val="0"/>
                  <w:vAlign w:val="center"/>
                </w:tcPr>
                <w:p>
                  <w:pPr>
                    <w:pStyle w:val="71"/>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u w:val="single"/>
                      <w:vertAlign w:val="baseline"/>
                      <w:lang w:val="en-US" w:eastAsia="zh-CN"/>
                      <w14:textFill>
                        <w14:solidFill>
                          <w14:schemeClr w14:val="tx1">
                            <w14:lumMod w14:val="95000"/>
                            <w14:lumOff w14:val="5000"/>
                          </w14:schemeClr>
                        </w14:solidFill>
                      </w14:textFill>
                    </w:rPr>
                    <w:t>55.8</w:t>
                  </w:r>
                </w:p>
              </w:tc>
            </w:tr>
          </w:tbl>
          <w:p>
            <w:pPr>
              <w:pStyle w:val="71"/>
              <w:keepNext w:val="0"/>
              <w:keepLines w:val="0"/>
              <w:suppressLineNumbers w:val="0"/>
              <w:spacing w:before="0" w:beforeAutospacing="0" w:after="0" w:afterAutospacing="0" w:line="360" w:lineRule="auto"/>
              <w:ind w:left="0" w:right="0" w:firstLine="482"/>
              <w:rPr>
                <w:rFonts w:hint="default" w:ascii="Times New Roman" w:hAnsi="Times New Roman" w:cs="Times New Roman"/>
                <w:b w:val="0"/>
                <w:bCs/>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4"/>
                <w:szCs w:val="24"/>
                <w:u w:val="single"/>
                <w14:textFill>
                  <w14:solidFill>
                    <w14:schemeClr w14:val="tx1">
                      <w14:lumMod w14:val="95000"/>
                      <w14:lumOff w14:val="5000"/>
                    </w14:schemeClr>
                  </w14:solidFill>
                </w14:textFill>
              </w:rPr>
              <w:t>通过预测可知，</w:t>
            </w:r>
            <w:r>
              <w:rPr>
                <w:rFonts w:hint="eastAsia" w:cs="Times New Roman"/>
                <w:b w:val="0"/>
                <w:bCs/>
                <w:color w:val="0D0D0D" w:themeColor="text1" w:themeTint="F2"/>
                <w:sz w:val="24"/>
                <w:szCs w:val="24"/>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b w:val="0"/>
                <w:bCs/>
                <w:color w:val="0D0D0D" w:themeColor="text1" w:themeTint="F2"/>
                <w:sz w:val="24"/>
                <w:szCs w:val="24"/>
                <w:u w:val="single"/>
                <w14:textFill>
                  <w14:solidFill>
                    <w14:schemeClr w14:val="tx1">
                      <w14:lumMod w14:val="95000"/>
                      <w14:lumOff w14:val="5000"/>
                    </w14:schemeClr>
                  </w14:solidFill>
                </w14:textFill>
              </w:rPr>
              <w:t>对东、南、西、北厂界噪声均可满足《工业企业厂界环境噪声排放标准》（GB12348-2008）规定的</w:t>
            </w:r>
            <w:r>
              <w:rPr>
                <w:rFonts w:hint="eastAsia" w:cs="Times New Roman"/>
                <w:b w:val="0"/>
                <w:bCs/>
                <w:color w:val="0D0D0D" w:themeColor="text1" w:themeTint="F2"/>
                <w:sz w:val="24"/>
                <w:szCs w:val="24"/>
                <w:u w:val="single"/>
                <w:lang w:val="en-US" w:eastAsia="zh-CN"/>
                <w14:textFill>
                  <w14:solidFill>
                    <w14:schemeClr w14:val="tx1">
                      <w14:lumMod w14:val="95000"/>
                      <w14:lumOff w14:val="5000"/>
                    </w14:schemeClr>
                  </w14:solidFill>
                </w14:textFill>
              </w:rPr>
              <w:t>2</w:t>
            </w:r>
            <w:r>
              <w:rPr>
                <w:rFonts w:hint="default" w:ascii="Times New Roman" w:hAnsi="Times New Roman" w:cs="Times New Roman"/>
                <w:b w:val="0"/>
                <w:bCs/>
                <w:color w:val="0D0D0D" w:themeColor="text1" w:themeTint="F2"/>
                <w:sz w:val="24"/>
                <w:szCs w:val="24"/>
                <w:u w:val="single"/>
                <w14:textFill>
                  <w14:solidFill>
                    <w14:schemeClr w14:val="tx1">
                      <w14:lumMod w14:val="95000"/>
                      <w14:lumOff w14:val="5000"/>
                    </w14:schemeClr>
                  </w14:solidFill>
                </w14:textFill>
              </w:rPr>
              <w:t>类声环境功能排放限值要求。</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3</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）采取的噪声污染防治措施及影响分析</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本项目采取的噪声控制措施如下：</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①</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设备选型上使用国内先进的低噪声设备，安装设备时采取基础减震、橡胶减震接头及减震垫等措施。</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②</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合理布置噪声源。在满足工艺要求的同时，将高噪声设备集中布设于车间中部，有效利用距离衰减。</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2"/>
                <w:sz w:val="24"/>
                <w:szCs w:val="24"/>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③</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利用厂房隔声。生产过程中加强厂房门窗的密闭作业，减少设备运行噪声无阻挡传播。</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0"/>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4</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）噪声对周边敏感点的影响分析</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0"/>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本项目运行后，厂界噪声可达到《工业企业厂界环境噪声排放标准》（</w:t>
            </w: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GB12348-2008</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）中的</w:t>
            </w:r>
            <w:r>
              <w:rPr>
                <w:rFonts w:hint="eastAsia"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2</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类标准。项目周围附近</w:t>
            </w: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50m</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范围内无敏感点，因此，项目运行后产生的设备噪声对周围环境影响较少。</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0D0D0D" w:themeColor="text1" w:themeTint="F2"/>
                <w:kern w:val="0"/>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kern w:val="0"/>
                <w:sz w:val="24"/>
                <w:szCs w:val="24"/>
                <w:u w:val="single"/>
                <w:lang w:val="en-US" w:eastAsia="zh-CN" w:bidi="ar"/>
                <w14:textFill>
                  <w14:solidFill>
                    <w14:schemeClr w14:val="tx1">
                      <w14:lumMod w14:val="95000"/>
                      <w14:lumOff w14:val="5000"/>
                    </w14:schemeClr>
                  </w14:solidFill>
                </w14:textFill>
              </w:rPr>
              <w:t>5</w:t>
            </w:r>
            <w:r>
              <w:rPr>
                <w:rFonts w:hint="eastAsia" w:ascii="宋体" w:hAnsi="宋体" w:eastAsia="宋体" w:cs="宋体"/>
                <w:color w:val="0D0D0D" w:themeColor="text1" w:themeTint="F2"/>
                <w:kern w:val="0"/>
                <w:sz w:val="24"/>
                <w:szCs w:val="24"/>
                <w:u w:val="single"/>
                <w:lang w:val="en-US" w:eastAsia="zh-CN" w:bidi="ar"/>
                <w14:textFill>
                  <w14:solidFill>
                    <w14:schemeClr w14:val="tx1">
                      <w14:lumMod w14:val="95000"/>
                      <w14:lumOff w14:val="5000"/>
                    </w14:schemeClr>
                  </w14:solidFill>
                </w14:textFill>
              </w:rPr>
              <w:t>）噪声污染源监测计划</w:t>
            </w:r>
          </w:p>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表</w:t>
            </w:r>
            <w:r>
              <w:rPr>
                <w:rFonts w:hint="default" w:ascii="Times New Roman" w:hAnsi="Times New Roman" w:eastAsia="宋体" w:cs="Times New Roman"/>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4-</w:t>
            </w:r>
            <w:r>
              <w:rPr>
                <w:rFonts w:hint="eastAsia" w:ascii="Times New Roman" w:hAnsi="Times New Roman" w:eastAsia="宋体" w:cs="Times New Roman"/>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6</w:t>
            </w:r>
            <w:r>
              <w:rPr>
                <w:rFonts w:hint="default" w:ascii="Times New Roman" w:hAnsi="Times New Roman" w:eastAsia="宋体" w:cs="Times New Roman"/>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 xml:space="preserve">  </w:t>
            </w: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噪声监测及监测频次</w:t>
            </w:r>
          </w:p>
          <w:tbl>
            <w:tblPr>
              <w:tblStyle w:val="32"/>
              <w:tblW w:w="799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6"/>
              <w:gridCol w:w="1484"/>
              <w:gridCol w:w="1100"/>
              <w:gridCol w:w="1110"/>
              <w:gridCol w:w="32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1096" w:type="dxa"/>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监测内容</w:t>
                  </w:r>
                </w:p>
              </w:tc>
              <w:tc>
                <w:tcPr>
                  <w:tcW w:w="1484"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监测点位</w:t>
                  </w:r>
                </w:p>
              </w:tc>
              <w:tc>
                <w:tcPr>
                  <w:tcW w:w="1100"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监测项目</w:t>
                  </w:r>
                </w:p>
              </w:tc>
              <w:tc>
                <w:tcPr>
                  <w:tcW w:w="1110"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监测频率</w:t>
                  </w:r>
                </w:p>
              </w:tc>
              <w:tc>
                <w:tcPr>
                  <w:tcW w:w="3208"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1"/>
                      <w:szCs w:val="21"/>
                      <w:u w:val="single"/>
                      <w:lang w:val="en-US" w:eastAsia="zh-CN" w:bidi="ar"/>
                      <w14:textFill>
                        <w14:solidFill>
                          <w14:schemeClr w14:val="tx1">
                            <w14:lumMod w14:val="95000"/>
                            <w14:lumOff w14:val="5000"/>
                          </w14:schemeClr>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844" w:hRule="atLeast"/>
                <w:jc w:val="center"/>
              </w:trPr>
              <w:tc>
                <w:tcPr>
                  <w:tcW w:w="1096" w:type="dxa"/>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噪声</w:t>
                  </w:r>
                </w:p>
              </w:tc>
              <w:tc>
                <w:tcPr>
                  <w:tcW w:w="1484"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厂区边界</w:t>
                  </w:r>
                  <w:r>
                    <w:rPr>
                      <w:rFonts w:hint="default"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1m</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处</w:t>
                  </w:r>
                </w:p>
              </w:tc>
              <w:tc>
                <w:tcPr>
                  <w:tcW w:w="110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Leq(A</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w:t>
                  </w:r>
                </w:p>
              </w:tc>
              <w:tc>
                <w:tcPr>
                  <w:tcW w:w="111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u w:val="single"/>
                      <w:lang w:val="en-US"/>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1</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次</w:t>
                  </w:r>
                  <w:r>
                    <w:rPr>
                      <w:rFonts w:hint="default"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半年</w:t>
                  </w:r>
                </w:p>
              </w:tc>
              <w:tc>
                <w:tcPr>
                  <w:tcW w:w="3208"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suppressLineNumbers w:val="0"/>
                    <w:autoSpaceDE w:val="0"/>
                    <w:autoSpaceDN w:val="0"/>
                    <w:spacing w:before="0" w:beforeAutospacing="0" w:after="0" w:afterAutospacing="0" w:line="360" w:lineRule="auto"/>
                    <w:ind w:left="0" w:right="0" w:firstLine="0" w:firstLineChars="0"/>
                    <w:jc w:val="center"/>
                    <w:rPr>
                      <w:rFonts w:hint="default" w:ascii="Times New Roman" w:hAnsi="Times New Roman" w:eastAsia="宋体"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《工业企业边界环境噪声排放标准》（</w:t>
                  </w:r>
                  <w:r>
                    <w:rPr>
                      <w:rFonts w:hint="default"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GB12348-2008</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kern w:val="0"/>
                      <w:sz w:val="21"/>
                      <w:szCs w:val="21"/>
                      <w:u w:val="single"/>
                      <w:lang w:val="en-US" w:eastAsia="zh-CN" w:bidi="ar"/>
                      <w14:textFill>
                        <w14:solidFill>
                          <w14:schemeClr w14:val="tx1">
                            <w14:lumMod w14:val="95000"/>
                            <w14:lumOff w14:val="5000"/>
                          </w14:schemeClr>
                        </w14:solidFill>
                      </w14:textFill>
                    </w:rPr>
                    <w:t>2</w:t>
                  </w:r>
                  <w:r>
                    <w:rPr>
                      <w:rFonts w:hint="eastAsia" w:ascii="宋体" w:hAnsi="宋体" w:eastAsia="宋体" w:cs="宋体"/>
                      <w:color w:val="0D0D0D" w:themeColor="text1" w:themeTint="F2"/>
                      <w:kern w:val="0"/>
                      <w:sz w:val="21"/>
                      <w:szCs w:val="21"/>
                      <w:u w:val="single"/>
                      <w:lang w:val="en-US" w:eastAsia="zh-CN" w:bidi="ar"/>
                      <w14:textFill>
                        <w14:solidFill>
                          <w14:schemeClr w14:val="tx1">
                            <w14:lumMod w14:val="95000"/>
                            <w14:lumOff w14:val="5000"/>
                          </w14:schemeClr>
                        </w14:solidFill>
                      </w14:textFill>
                    </w:rPr>
                    <w:t>类标准</w:t>
                  </w:r>
                </w:p>
              </w:tc>
            </w:tr>
          </w:tbl>
          <w:p>
            <w:pPr>
              <w:pStyle w:val="71"/>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lang w:val="en-US" w:eastAsia="zh-CN"/>
                <w14:textFill>
                  <w14:solidFill>
                    <w14:schemeClr w14:val="tx1">
                      <w14:lumMod w14:val="95000"/>
                      <w14:lumOff w14:val="5000"/>
                    </w14:schemeClr>
                  </w14:solidFill>
                </w14:textFill>
              </w:rPr>
              <w:t>4</w:t>
            </w:r>
            <w:r>
              <w:rPr>
                <w:rFonts w:hint="default" w:ascii="Times New Roman" w:hAnsi="Times New Roman" w:cs="Times New Roman"/>
                <w:b/>
                <w:color w:val="0D0D0D" w:themeColor="text1" w:themeTint="F2"/>
                <w:sz w:val="24"/>
                <w:szCs w:val="24"/>
                <w14:textFill>
                  <w14:solidFill>
                    <w14:schemeClr w14:val="tx1">
                      <w14:lumMod w14:val="95000"/>
                      <w14:lumOff w14:val="5000"/>
                    </w14:schemeClr>
                  </w14:solidFill>
                </w14:textFill>
              </w:rPr>
              <w:t>、固体废物</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产生的固体废物为生活垃圾、一般工业固废、</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危险废物</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（1）生活垃圾</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拟建项目劳动定员为</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35人</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，生活垃圾产生量按0.5kg/d·人计，则生活垃圾产生总量为</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5.25</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t/a。由企业集中收集后交由当地环卫部门处理。</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（2）一般工业固废</w:t>
            </w:r>
          </w:p>
          <w:p>
            <w:pPr>
              <w:keepNext w:val="0"/>
              <w:keepLines w:val="0"/>
              <w:suppressLineNumbers w:val="0"/>
              <w:adjustRightInd w:val="0"/>
              <w:snapToGrid w:val="0"/>
              <w:spacing w:before="0" w:beforeAutospacing="0" w:after="0" w:afterAutospacing="0" w:line="360" w:lineRule="auto"/>
              <w:ind w:left="0" w:right="0" w:firstLine="480"/>
              <w:rPr>
                <w:rFonts w:hint="eastAsia"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①</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沉淀池玻璃沉渣、玻璃边角料</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机加工</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工序</w:t>
            </w:r>
            <w:r>
              <w:rPr>
                <w:rFonts w:hint="eastAsia"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切割工序</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产生废</w:t>
            </w:r>
            <w:r>
              <w:rPr>
                <w:rFonts w:hint="default"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玻璃</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渣</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、边角料</w:t>
            </w:r>
            <w:r>
              <w:rPr>
                <w:rFonts w:hint="eastAsia" w:ascii="Times New Roman" w:hAnsi="Times New Roman" w:cs="Times New Roman"/>
                <w:color w:val="0D0D0D" w:themeColor="text1" w:themeTint="F2"/>
                <w:sz w:val="24"/>
                <w:szCs w:val="24"/>
                <w:lang w:eastAsia="zh-CN"/>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属于一般工业固废，代码为304-002-08。</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根据《排放源统计调查产排污核算方法和系数手册》304玻璃制造行业系数手册，钢化玻璃固体废物产污系数为0.00052t/</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-产品，</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中空玻璃固体废物产污系数为0.00063t/</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-产品，</w:t>
            </w:r>
            <w:r>
              <w:rPr>
                <w:rFonts w:hint="eastAsia"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本扩建项目</w:t>
            </w:r>
            <w:r>
              <w:rPr>
                <w:rFonts w:hint="eastAsia"/>
                <w:color w:val="0D0D0D" w:themeColor="text1" w:themeTint="F2"/>
                <w:sz w:val="24"/>
                <w:szCs w:val="24"/>
                <w:lang w:val="en-US" w:eastAsia="zh-CN"/>
                <w14:textFill>
                  <w14:solidFill>
                    <w14:schemeClr w14:val="tx1">
                      <w14:lumMod w14:val="95000"/>
                      <w14:lumOff w14:val="5000"/>
                    </w14:schemeClr>
                  </w14:solidFill>
                </w14:textFill>
              </w:rPr>
              <w:t>钢化玻璃50万</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eastAsia"/>
                <w:color w:val="0D0D0D" w:themeColor="text1" w:themeTint="F2"/>
                <w:sz w:val="24"/>
                <w:szCs w:val="24"/>
                <w:lang w:val="en-US" w:eastAsia="zh-CN"/>
                <w14:textFill>
                  <w14:solidFill>
                    <w14:schemeClr w14:val="tx1">
                      <w14:lumMod w14:val="95000"/>
                      <w14:lumOff w14:val="5000"/>
                    </w14:schemeClr>
                  </w14:solidFill>
                </w14:textFill>
              </w:rPr>
              <w:t>、中空玻璃30万</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w:t>
            </w:r>
            <w:r>
              <w:rPr>
                <w:rFonts w:hint="eastAsia"/>
                <w:color w:val="0D0D0D" w:themeColor="text1" w:themeTint="F2"/>
                <w:sz w:val="24"/>
                <w:szCs w:val="24"/>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故</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沉淀池玻璃沉渣、边角料</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年产生量约</w:t>
            </w:r>
            <w:r>
              <w:rPr>
                <w:rFonts w:hint="eastAsia"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449</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t/a，经收集后外售。</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②废包装材料</w:t>
            </w:r>
          </w:p>
          <w:p>
            <w:pPr>
              <w:pStyle w:val="71"/>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在生产过程中会产生废包装材料，属于一般工业固废，代码为304-002-07。根据建设单位提供的资料可知，废包装材料产生量约1t/a，经收集后外售。</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（3）危险废物</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①</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废胶桶</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pPr>
            <w:r>
              <w:rPr>
                <w:rFonts w:hint="eastAsia"/>
                <w:color w:val="0D0D0D" w:themeColor="text1" w:themeTint="F2"/>
                <w:kern w:val="0"/>
                <w:sz w:val="24"/>
                <w:szCs w:val="24"/>
                <w:lang w:eastAsia="zh-CN" w:bidi="ar"/>
                <w14:textFill>
                  <w14:solidFill>
                    <w14:schemeClr w14:val="tx1">
                      <w14:lumMod w14:val="95000"/>
                      <w14:lumOff w14:val="5000"/>
                    </w14:schemeClr>
                  </w14:solidFill>
                </w14:textFill>
              </w:rPr>
              <w:t>本扩建项目</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使用原辅料剩余的废</w:t>
            </w:r>
            <w:r>
              <w:rPr>
                <w:rFonts w:hint="eastAsia" w:ascii="Times New Roman" w:hAnsi="Times New Roman"/>
                <w:color w:val="0D0D0D" w:themeColor="text1" w:themeTint="F2"/>
                <w:kern w:val="0"/>
                <w:sz w:val="24"/>
                <w:szCs w:val="24"/>
                <w:lang w:eastAsia="zh-CN" w:bidi="ar"/>
                <w14:textFill>
                  <w14:solidFill>
                    <w14:schemeClr w14:val="tx1">
                      <w14:lumMod w14:val="95000"/>
                      <w14:lumOff w14:val="5000"/>
                    </w14:schemeClr>
                  </w14:solidFill>
                </w14:textFill>
              </w:rPr>
              <w:t>胶</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桶，</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根据《国家危险废物名录》（2021年版），废胶桶属于危险废物，其类别是HW49（代码900-041-49）。</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根据建设单位提供的资料可知，</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产生量约为0.</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02</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t/a</w:t>
            </w:r>
            <w:r>
              <w:rPr>
                <w:rFonts w:hint="eastAsia" w:ascii="Times New Roman" w:hAnsi="Times New Roman"/>
                <w:color w:val="0D0D0D" w:themeColor="text1" w:themeTint="F2"/>
                <w:kern w:val="0"/>
                <w:sz w:val="24"/>
                <w:szCs w:val="24"/>
                <w:lang w:eastAsia="zh-CN" w:bidi="ar"/>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暂存于危废间，</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收集后统一交由有资质单位处理。</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②</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废机油</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kern w:val="0"/>
                <w:sz w:val="24"/>
                <w:szCs w:val="24"/>
                <w:lang w:eastAsia="zh-CN" w:bidi="ar"/>
                <w14:textFill>
                  <w14:solidFill>
                    <w14:schemeClr w14:val="tx1">
                      <w14:lumMod w14:val="95000"/>
                      <w14:lumOff w14:val="5000"/>
                    </w14:schemeClr>
                  </w14:solidFill>
                </w14:textFill>
              </w:rPr>
              <w:t>本扩建项目</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设备机油磨损后会添加新机油，</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故设备维修会产生废机油及废油桶。</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根据《国家危险废物名录》（2021年版），危险废物废机油，其类别是HW08（代码900-214-08）；</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废</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机</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油桶</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，其类别是HW4</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9</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（代码</w:t>
            </w:r>
            <w:r>
              <w:rPr>
                <w:rFonts w:hint="default" w:ascii="Times New Roman" w:hAnsi="Times New Roman"/>
                <w:color w:val="0D0D0D" w:themeColor="text1" w:themeTint="F2"/>
                <w:kern w:val="0"/>
                <w:sz w:val="24"/>
                <w:szCs w:val="24"/>
                <w14:textFill>
                  <w14:solidFill>
                    <w14:schemeClr w14:val="tx1">
                      <w14:lumMod w14:val="95000"/>
                      <w14:lumOff w14:val="5000"/>
                    </w14:schemeClr>
                  </w14:solidFill>
                </w14:textFill>
              </w:rPr>
              <w:t>900-</w:t>
            </w:r>
            <w:r>
              <w:rPr>
                <w:rFonts w:hint="eastAsia" w:ascii="Times New Roman" w:hAnsi="Times New Roman"/>
                <w:color w:val="0D0D0D" w:themeColor="text1" w:themeTint="F2"/>
                <w:kern w:val="0"/>
                <w:sz w:val="24"/>
                <w:szCs w:val="24"/>
                <w:lang w:val="en-US" w:eastAsia="zh-CN"/>
                <w14:textFill>
                  <w14:solidFill>
                    <w14:schemeClr w14:val="tx1">
                      <w14:lumMod w14:val="95000"/>
                      <w14:lumOff w14:val="5000"/>
                    </w14:schemeClr>
                  </w14:solidFill>
                </w14:textFill>
              </w:rPr>
              <w:t>041</w:t>
            </w:r>
            <w:r>
              <w:rPr>
                <w:rFonts w:hint="default" w:ascii="Times New Roman" w:hAnsi="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color w:val="0D0D0D" w:themeColor="text1" w:themeTint="F2"/>
                <w:kern w:val="0"/>
                <w:sz w:val="24"/>
                <w:szCs w:val="24"/>
                <w:lang w:val="en-US" w:eastAsia="zh-CN"/>
                <w14:textFill>
                  <w14:solidFill>
                    <w14:schemeClr w14:val="tx1">
                      <w14:lumMod w14:val="95000"/>
                      <w14:lumOff w14:val="5000"/>
                    </w14:schemeClr>
                  </w14:solidFill>
                </w14:textFill>
              </w:rPr>
              <w:t>4</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9。</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根据建设单位提供的资料可知，</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废机油产生量为0.02t/a</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废机油桶</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产生量约为0.</w:t>
            </w:r>
            <w:r>
              <w:rPr>
                <w:rFonts w:hint="eastAsia" w:ascii="Times New Roman" w:hAnsi="Times New Roman"/>
                <w:color w:val="0D0D0D" w:themeColor="text1" w:themeTint="F2"/>
                <w:kern w:val="0"/>
                <w:sz w:val="24"/>
                <w:szCs w:val="24"/>
                <w:lang w:val="en-US" w:eastAsia="zh-CN" w:bidi="ar"/>
                <w14:textFill>
                  <w14:solidFill>
                    <w14:schemeClr w14:val="tx1">
                      <w14:lumMod w14:val="95000"/>
                      <w14:lumOff w14:val="5000"/>
                    </w14:schemeClr>
                  </w14:solidFill>
                </w14:textFill>
              </w:rPr>
              <w:t>0</w:t>
            </w:r>
            <w:r>
              <w:rPr>
                <w:rFonts w:hint="eastAsia"/>
                <w:color w:val="0D0D0D" w:themeColor="text1" w:themeTint="F2"/>
                <w:kern w:val="0"/>
                <w:sz w:val="24"/>
                <w:szCs w:val="24"/>
                <w:lang w:val="en-US" w:eastAsia="zh-CN" w:bidi="ar"/>
                <w14:textFill>
                  <w14:solidFill>
                    <w14:schemeClr w14:val="tx1">
                      <w14:lumMod w14:val="95000"/>
                      <w14:lumOff w14:val="5000"/>
                    </w14:schemeClr>
                  </w14:solidFill>
                </w14:textFill>
              </w:rPr>
              <w:t>05</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t/a</w:t>
            </w:r>
            <w:r>
              <w:rPr>
                <w:rFonts w:hint="eastAsia" w:ascii="Times New Roman" w:hAnsi="Times New Roman"/>
                <w:color w:val="0D0D0D" w:themeColor="text1" w:themeTint="F2"/>
                <w:kern w:val="0"/>
                <w:sz w:val="24"/>
                <w:szCs w:val="24"/>
                <w:lang w:eastAsia="zh-CN" w:bidi="ar"/>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暂存于危废间，</w:t>
            </w:r>
            <w:r>
              <w:rPr>
                <w:rFonts w:hint="default" w:ascii="Times New Roman" w:hAnsi="Times New Roman"/>
                <w:color w:val="0D0D0D" w:themeColor="text1" w:themeTint="F2"/>
                <w:kern w:val="0"/>
                <w:sz w:val="24"/>
                <w:szCs w:val="24"/>
                <w:lang w:bidi="ar"/>
                <w14:textFill>
                  <w14:solidFill>
                    <w14:schemeClr w14:val="tx1">
                      <w14:lumMod w14:val="95000"/>
                      <w14:lumOff w14:val="5000"/>
                    </w14:schemeClr>
                  </w14:solidFill>
                </w14:textFill>
              </w:rPr>
              <w:t>收集</w:t>
            </w:r>
            <w:r>
              <w:rPr>
                <w:rFonts w:hint="default" w:ascii="Times New Roman" w:hAnsi="Times New Roman"/>
                <w:color w:val="0D0D0D" w:themeColor="text1" w:themeTint="F2"/>
                <w:kern w:val="0"/>
                <w:sz w:val="24"/>
                <w:szCs w:val="24"/>
                <w14:textFill>
                  <w14:solidFill>
                    <w14:schemeClr w14:val="tx1">
                      <w14:lumMod w14:val="95000"/>
                      <w14:lumOff w14:val="5000"/>
                    </w14:schemeClr>
                  </w14:solidFill>
                </w14:textFill>
              </w:rPr>
              <w:t>后统一交由有资质单位处理。</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因此，</w:t>
            </w: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固体废物均得到妥善有效处理，不会产生二次污染，不会对外环境造成不利影响。</w:t>
            </w:r>
          </w:p>
          <w:p>
            <w:pPr>
              <w:pStyle w:val="71"/>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p>
          <w:p>
            <w:pPr>
              <w:pStyle w:val="71"/>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表</w:t>
            </w:r>
            <w:r>
              <w:rPr>
                <w:rFonts w:hint="eastAsia" w:cs="Times New Roman"/>
                <w:b/>
                <w:bCs/>
                <w:color w:val="0D0D0D" w:themeColor="text1" w:themeTint="F2"/>
                <w:sz w:val="21"/>
                <w:szCs w:val="21"/>
                <w:lang w:val="en-US" w:eastAsia="zh-CN"/>
                <w14:textFill>
                  <w14:solidFill>
                    <w14:schemeClr w14:val="tx1">
                      <w14:lumMod w14:val="95000"/>
                      <w14:lumOff w14:val="5000"/>
                    </w14:schemeClr>
                  </w14:solidFill>
                </w14:textFill>
              </w:rPr>
              <w:t>4-7</w:t>
            </w: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运营期固体废物产生及治理情况一览表</w:t>
            </w:r>
          </w:p>
          <w:tbl>
            <w:tblPr>
              <w:tblStyle w:val="32"/>
              <w:tblW w:w="794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655"/>
              <w:gridCol w:w="2331"/>
              <w:gridCol w:w="1589"/>
              <w:gridCol w:w="1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序号</w:t>
                  </w:r>
                </w:p>
              </w:tc>
              <w:tc>
                <w:tcPr>
                  <w:tcW w:w="1655"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排放源</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污染物名称</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产生量（t/a）</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1</w:t>
                  </w:r>
                </w:p>
              </w:tc>
              <w:tc>
                <w:tcPr>
                  <w:tcW w:w="1655"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员工</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生活垃圾</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5.25</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环卫清运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2</w:t>
                  </w:r>
                </w:p>
              </w:tc>
              <w:tc>
                <w:tcPr>
                  <w:tcW w:w="1655"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生产车间</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不合格玻璃原片及玻璃切割边角料</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260</w:t>
                  </w:r>
                </w:p>
              </w:tc>
              <w:tc>
                <w:tcPr>
                  <w:tcW w:w="1589" w:type="dxa"/>
                  <w:vMerge w:val="restart"/>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外售给厂家回收利用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3</w:t>
                  </w:r>
                </w:p>
              </w:tc>
              <w:tc>
                <w:tcPr>
                  <w:tcW w:w="1655"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生产车间</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沉淀池废渣</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23.328</w:t>
                  </w:r>
                </w:p>
              </w:tc>
              <w:tc>
                <w:tcPr>
                  <w:tcW w:w="1589" w:type="dxa"/>
                  <w:vMerge w:val="continue"/>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4</w:t>
                  </w:r>
                </w:p>
              </w:tc>
              <w:tc>
                <w:tcPr>
                  <w:tcW w:w="1655"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生产车间</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钢化玻璃不合格品</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189</w:t>
                  </w:r>
                </w:p>
              </w:tc>
              <w:tc>
                <w:tcPr>
                  <w:tcW w:w="1589" w:type="dxa"/>
                  <w:vMerge w:val="continue"/>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5</w:t>
                  </w:r>
                </w:p>
              </w:tc>
              <w:tc>
                <w:tcPr>
                  <w:tcW w:w="1655" w:type="dxa"/>
                  <w:vMerge w:val="restart"/>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设备检修</w:t>
                  </w: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废机油</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0.0</w:t>
                  </w:r>
                  <w:r>
                    <w:rPr>
                      <w:rFonts w:hint="eastAsia"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w:t>
                  </w:r>
                </w:p>
              </w:tc>
              <w:tc>
                <w:tcPr>
                  <w:tcW w:w="1589" w:type="dxa"/>
                  <w:vMerge w:val="restart"/>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交有危险废物资质单位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8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6</w:t>
                  </w:r>
                </w:p>
              </w:tc>
              <w:tc>
                <w:tcPr>
                  <w:tcW w:w="1655" w:type="dxa"/>
                  <w:vMerge w:val="continue"/>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p>
              </w:tc>
              <w:tc>
                <w:tcPr>
                  <w:tcW w:w="2331"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lang w:val="en-US" w:eastAsia="zh-CN"/>
                      <w14:textFill>
                        <w14:solidFill>
                          <w14:schemeClr w14:val="tx1">
                            <w14:lumMod w14:val="95000"/>
                            <w14:lumOff w14:val="5000"/>
                          </w14:schemeClr>
                        </w14:solidFill>
                      </w14:textFill>
                    </w:rPr>
                    <w:t>废机油桶</w:t>
                  </w:r>
                </w:p>
              </w:tc>
              <w:tc>
                <w:tcPr>
                  <w:tcW w:w="1589"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highlight w:val="none"/>
                      <w:lang w:val="en-US" w:eastAsia="zh-CN"/>
                      <w14:textFill>
                        <w14:solidFill>
                          <w14:schemeClr w14:val="tx1">
                            <w14:lumMod w14:val="95000"/>
                            <w14:lumOff w14:val="5000"/>
                          </w14:schemeClr>
                        </w14:solidFill>
                      </w14:textFill>
                    </w:rPr>
                    <w:t>0.005</w:t>
                  </w:r>
                </w:p>
              </w:tc>
              <w:tc>
                <w:tcPr>
                  <w:tcW w:w="1589" w:type="dxa"/>
                  <w:vMerge w:val="continue"/>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r>
          </w:tbl>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u w:val="none"/>
                <w:lang w:val="en-US" w:eastAsia="zh-CN"/>
                <w14:textFill>
                  <w14:solidFill>
                    <w14:schemeClr w14:val="tx1">
                      <w14:lumMod w14:val="95000"/>
                      <w14:lumOff w14:val="5000"/>
                    </w14:schemeClr>
                  </w14:solidFill>
                </w14:textFill>
              </w:rPr>
              <w:t>4）</w:t>
            </w: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危险废物收集防范措施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散落情况。最后按照对危险废物交换和转移管理工作的有关要求，对危险废物进行安全包装，并在包装的明显位置附上危险废物标签。</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u w:val="none"/>
                <w:lang w:val="en-US" w:eastAsia="zh-CN"/>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危险固废暂存、运输防范措施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①贮存场所应符合《危险废物贮存污染控制标准》（GB18597-2023），有符合要求的专用标志。</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②危废的暂存措施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a采取室内贮存方式，</w:t>
            </w:r>
            <w:r>
              <w:rPr>
                <w:rFonts w:hint="eastAsia" w:cs="Times New Roman"/>
                <w:color w:val="0D0D0D" w:themeColor="text1" w:themeTint="F2"/>
                <w:u w:val="none"/>
                <w:lang w:val="en-US" w:eastAsia="zh-CN"/>
                <w14:textFill>
                  <w14:solidFill>
                    <w14:schemeClr w14:val="tx1">
                      <w14:lumMod w14:val="95000"/>
                      <w14:lumOff w14:val="5000"/>
                    </w14:schemeClr>
                  </w14:solidFill>
                </w14:textFill>
              </w:rPr>
              <w:t>按《危险废物识别标志设置技术规范》（HJ 1276-2022）、《环境保护图形标志—固体废物贮存（处置）场》（GB 15562.2-1995）修改单</w:t>
            </w: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设置环境保护图形标志和警示标志。清楚地标明废物类别、数量、主要成分、盛装日期、危险特性等。</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b按类别放入相应的容器内，不同的危险废物分开存放并设有隔离间隔断；贮存区内禁止混放不相容危险废物。</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c堆放场为封闭砖混构筑物，室内地面为水泥地，具有耐腐蚀性，基础设置至少1m厚粘土层（渗透系数≤10</w:t>
            </w:r>
            <w:r>
              <w:rPr>
                <w:rFonts w:hint="default" w:ascii="Times New Roman" w:hAnsi="Times New Roman" w:cs="Times New Roman"/>
                <w:color w:val="0D0D0D" w:themeColor="text1" w:themeTint="F2"/>
                <w:u w:val="none"/>
                <w:vertAlign w:val="superscript"/>
                <w:lang w:eastAsia="zh-CN"/>
                <w14:textFill>
                  <w14:solidFill>
                    <w14:schemeClr w14:val="tx1">
                      <w14:lumMod w14:val="95000"/>
                      <w14:lumOff w14:val="5000"/>
                    </w14:schemeClr>
                  </w14:solidFill>
                </w14:textFill>
              </w:rPr>
              <w:t>-7</w:t>
            </w: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cm/s），或2mm厚高密度聚乙烯，或至少2mm厚的其他人工材料，渗透系数≤10</w:t>
            </w:r>
            <w:r>
              <w:rPr>
                <w:rFonts w:hint="default" w:ascii="Times New Roman" w:hAnsi="Times New Roman" w:cs="Times New Roman"/>
                <w:color w:val="0D0D0D" w:themeColor="text1" w:themeTint="F2"/>
                <w:u w:val="none"/>
                <w:vertAlign w:val="superscript"/>
                <w:lang w:eastAsia="zh-CN"/>
                <w14:textFill>
                  <w14:solidFill>
                    <w14:schemeClr w14:val="tx1">
                      <w14:lumMod w14:val="95000"/>
                      <w14:lumOff w14:val="5000"/>
                    </w14:schemeClr>
                  </w14:solidFill>
                </w14:textFill>
              </w:rPr>
              <w:t>-10</w:t>
            </w: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cm/s。室内四周设置围堰，具有防渗、防晒、防雨和防风的效果。</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d废物运输过程中应做好危废的密闭储存措施，防止运输时危废的泄漏，造成环境污染。</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e建立档案制度，对暂存的废物种类、数量、特性、包装容器类别、存放库位、存入日期、运出日期等详细记录在案并长期保存。</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f贮存区考虑相应的集排水和防渗设施。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g贮存区符合消防要求。</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h建立定期巡查、维护制度。</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none"/>
                <w:lang w:eastAsia="zh-CN"/>
                <w14:textFill>
                  <w14:solidFill>
                    <w14:schemeClr w14:val="tx1">
                      <w14:lumMod w14:val="95000"/>
                      <w14:lumOff w14:val="5000"/>
                    </w14:schemeClr>
                  </w14:solidFill>
                </w14:textFill>
              </w:rPr>
              <w:t>综上所述，在加强管理的情况下，项目运营期间产生的固体废物对周围环境不会产生明显影响。</w:t>
            </w:r>
          </w:p>
          <w:p>
            <w:pPr>
              <w:pStyle w:val="71"/>
              <w:keepNext w:val="0"/>
              <w:keepLines w:val="0"/>
              <w:suppressLineNumbers w:val="0"/>
              <w:spacing w:before="0" w:beforeAutospacing="0" w:after="0" w:afterAutospacing="0"/>
              <w:ind w:left="0" w:right="0" w:firstLine="482"/>
              <w:rPr>
                <w:rFonts w:hint="default" w:ascii="Times New Roman" w:hAnsi="Times New Roman" w:cs="Times New Roman"/>
                <w:b/>
                <w:color w:val="0D0D0D" w:themeColor="text1" w:themeTint="F2"/>
                <w:u w:val="singl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u w:val="single"/>
                <w:lang w:val="en-US" w:eastAsia="zh-CN"/>
                <w14:textFill>
                  <w14:solidFill>
                    <w14:schemeClr w14:val="tx1">
                      <w14:lumMod w14:val="95000"/>
                      <w14:lumOff w14:val="5000"/>
                    </w14:schemeClr>
                  </w14:solidFill>
                </w14:textFill>
              </w:rPr>
              <w:t>5</w:t>
            </w:r>
            <w:r>
              <w:rPr>
                <w:rFonts w:hint="default" w:ascii="Times New Roman" w:hAnsi="Times New Roman" w:cs="Times New Roman"/>
                <w:b/>
                <w:color w:val="0D0D0D" w:themeColor="text1" w:themeTint="F2"/>
                <w:u w:val="single"/>
                <w14:textFill>
                  <w14:solidFill>
                    <w14:schemeClr w14:val="tx1">
                      <w14:lumMod w14:val="95000"/>
                      <w14:lumOff w14:val="5000"/>
                    </w14:schemeClr>
                  </w14:solidFill>
                </w14:textFill>
              </w:rPr>
              <w:t>、</w:t>
            </w:r>
            <w:r>
              <w:rPr>
                <w:rFonts w:hint="default" w:ascii="Times New Roman" w:hAnsi="Times New Roman" w:cs="Times New Roman"/>
                <w:b/>
                <w:color w:val="0D0D0D" w:themeColor="text1" w:themeTint="F2"/>
                <w:u w:val="single"/>
                <w:lang w:val="en-US" w:eastAsia="zh-CN"/>
                <w14:textFill>
                  <w14:solidFill>
                    <w14:schemeClr w14:val="tx1">
                      <w14:lumMod w14:val="95000"/>
                      <w14:lumOff w14:val="5000"/>
                    </w14:schemeClr>
                  </w14:solidFill>
                </w14:textFill>
              </w:rPr>
              <w:t>风险</w:t>
            </w:r>
            <w:r>
              <w:rPr>
                <w:rFonts w:hint="default" w:ascii="Times New Roman" w:hAnsi="Times New Roman" w:cs="Times New Roman"/>
                <w:b/>
                <w:color w:val="0D0D0D" w:themeColor="text1" w:themeTint="F2"/>
                <w:u w:val="single"/>
                <w14:textFill>
                  <w14:solidFill>
                    <w14:schemeClr w14:val="tx1">
                      <w14:lumMod w14:val="95000"/>
                      <w14:lumOff w14:val="5000"/>
                    </w14:schemeClr>
                  </w14:solidFill>
                </w14:textFill>
              </w:rPr>
              <w:t>分析</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pPr>
              <w:pStyle w:val="71"/>
              <w:keepNext w:val="0"/>
              <w:keepLines w:val="0"/>
              <w:suppressLineNumbers w:val="0"/>
              <w:spacing w:before="0" w:beforeAutospacing="0" w:after="0" w:afterAutospacing="0"/>
              <w:ind w:left="0" w:leftChars="0" w:right="0" w:firstLine="482" w:firstLineChars="200"/>
              <w:rPr>
                <w:rFonts w:hint="default" w:ascii="Times New Roman" w:hAnsi="Times New Roman" w:cs="Times New Roman"/>
                <w:b/>
                <w:bCs/>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u w:val="single"/>
                <w:lang w:eastAsia="zh-CN"/>
                <w14:textFill>
                  <w14:solidFill>
                    <w14:schemeClr w14:val="tx1">
                      <w14:lumMod w14:val="95000"/>
                      <w14:lumOff w14:val="5000"/>
                    </w14:schemeClr>
                  </w14:solidFill>
                </w14:textFill>
              </w:rPr>
              <w:t>5.1风险评价等级</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根据《建设项目环境风险评价技术导则（HJ169-2018）》中评价等级划分要求，</w:t>
            </w:r>
          </w:p>
          <w:p>
            <w:pPr>
              <w:pStyle w:val="71"/>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以及环境风险潜势的判断方法。判定和分级过程如下：</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（1）环境风险潜势划分</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根据《建设项目环境风险评价技术导则》（HJ/T169-2018），按照下表确定项目环境风险潜势。</w:t>
            </w:r>
          </w:p>
          <w:p>
            <w:pPr>
              <w:pStyle w:val="58"/>
              <w:keepNext w:val="0"/>
              <w:keepLines w:val="0"/>
              <w:suppressLineNumbers w:val="0"/>
              <w:tabs>
                <w:tab w:val="clear" w:pos="0"/>
              </w:tabs>
              <w:spacing w:before="0" w:beforeAutospacing="0" w:after="0" w:afterAutospacing="0"/>
              <w:ind w:left="0" w:leftChars="0" w:right="0" w:firstLine="0" w:firstLineChars="0"/>
              <w:rPr>
                <w:rFonts w:hint="default" w:ascii="Times New Roman" w:hAnsi="Times New Roman" w:cs="Times New Roman"/>
                <w:color w:val="0D0D0D" w:themeColor="text1" w:themeTint="F2"/>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1"/>
                <w:szCs w:val="21"/>
                <w:u w:val="single"/>
                <w14:textFill>
                  <w14:solidFill>
                    <w14:schemeClr w14:val="tx1">
                      <w14:lumMod w14:val="95000"/>
                      <w14:lumOff w14:val="5000"/>
                    </w14:schemeClr>
                  </w14:solidFill>
                </w14:textFill>
              </w:rPr>
              <w:t>表</w:t>
            </w:r>
            <w:r>
              <w:rPr>
                <w:rFonts w:hint="eastAsia" w:eastAsia="宋体" w:cs="Times New Roman"/>
                <w:b/>
                <w:bCs/>
                <w:color w:val="0D0D0D" w:themeColor="text1" w:themeTint="F2"/>
                <w:sz w:val="21"/>
                <w:szCs w:val="21"/>
                <w:u w:val="single"/>
                <w:lang w:val="en-US" w:eastAsia="zh-CN"/>
                <w14:textFill>
                  <w14:solidFill>
                    <w14:schemeClr w14:val="tx1">
                      <w14:lumMod w14:val="95000"/>
                      <w14:lumOff w14:val="5000"/>
                    </w14:schemeClr>
                  </w14:solidFill>
                </w14:textFill>
              </w:rPr>
              <w:t>4-8</w:t>
            </w:r>
            <w:r>
              <w:rPr>
                <w:rFonts w:hint="default" w:ascii="Times New Roman" w:hAnsi="Times New Roman" w:eastAsia="宋体" w:cs="Times New Roman"/>
                <w:b/>
                <w:bCs/>
                <w:color w:val="0D0D0D" w:themeColor="text1" w:themeTint="F2"/>
                <w:sz w:val="21"/>
                <w:szCs w:val="21"/>
                <w:u w:val="single"/>
                <w14:textFill>
                  <w14:solidFill>
                    <w14:schemeClr w14:val="tx1">
                      <w14:lumMod w14:val="95000"/>
                      <w14:lumOff w14:val="5000"/>
                    </w14:schemeClr>
                  </w14:solidFill>
                </w14:textFill>
              </w:rPr>
              <w:t>建设项目环境风险潜势划分</w:t>
            </w:r>
          </w:p>
          <w:tbl>
            <w:tblPr>
              <w:tblStyle w:val="31"/>
              <w:tblW w:w="799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1498"/>
              <w:gridCol w:w="1498"/>
              <w:gridCol w:w="1498"/>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2005"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环境敏感程度（E）</w:t>
                  </w:r>
                </w:p>
              </w:tc>
              <w:tc>
                <w:tcPr>
                  <w:tcW w:w="5994" w:type="dxa"/>
                  <w:gridSpan w:val="4"/>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00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极高危害（P1）</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高度危害（P2）</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中度危害（P3）</w:t>
                  </w:r>
                </w:p>
              </w:tc>
              <w:tc>
                <w:tcPr>
                  <w:tcW w:w="15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环境高度敏感区（E1）</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Ⅳ+</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Ⅳ</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c>
                <w:tcPr>
                  <w:tcW w:w="15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2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环境中度敏感区（E2）</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Ⅳ</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c>
                <w:tcPr>
                  <w:tcW w:w="15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环境低度敏感区（E3）</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Ⅲ</w:t>
                  </w:r>
                </w:p>
              </w:tc>
              <w:tc>
                <w:tcPr>
                  <w:tcW w:w="149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Ⅱ</w:t>
                  </w:r>
                </w:p>
              </w:tc>
              <w:tc>
                <w:tcPr>
                  <w:tcW w:w="15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7999" w:type="dxa"/>
                  <w:gridSpan w:val="5"/>
                  <w:tcBorders>
                    <w:tl2br w:val="nil"/>
                    <w:tr2bl w:val="nil"/>
                  </w:tcBorders>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注：Ⅳ+为极高环境风险。</w:t>
                  </w:r>
                </w:p>
              </w:tc>
            </w:tr>
          </w:tbl>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（2）危险物质及工艺系统危险性（P）分级</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不涉及危险化学品使用和存储，</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Q=0，Q&lt;1，则该项目的环境风险潜势为Ⅰ。</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（3）评价等级确定</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根据《建设项目环境风险评价技术导则》（HJ/T169－2018），按照下表确定项目评价工作等级。</w:t>
            </w:r>
          </w:p>
          <w:p>
            <w:pPr>
              <w:pStyle w:val="58"/>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1"/>
                <w:szCs w:val="21"/>
                <w:u w:val="single"/>
                <w14:textFill>
                  <w14:solidFill>
                    <w14:schemeClr w14:val="tx1">
                      <w14:lumMod w14:val="95000"/>
                      <w14:lumOff w14:val="5000"/>
                    </w14:schemeClr>
                  </w14:solidFill>
                </w14:textFill>
              </w:rPr>
              <w:t>表</w:t>
            </w:r>
            <w:r>
              <w:rPr>
                <w:rFonts w:hint="eastAsia" w:eastAsia="宋体" w:cs="Times New Roman"/>
                <w:b/>
                <w:bCs/>
                <w:color w:val="0D0D0D" w:themeColor="text1" w:themeTint="F2"/>
                <w:sz w:val="21"/>
                <w:szCs w:val="21"/>
                <w:u w:val="single"/>
                <w:lang w:val="en-US" w:eastAsia="zh-CN"/>
                <w14:textFill>
                  <w14:solidFill>
                    <w14:schemeClr w14:val="tx1">
                      <w14:lumMod w14:val="95000"/>
                      <w14:lumOff w14:val="5000"/>
                    </w14:schemeClr>
                  </w14:solidFill>
                </w14:textFill>
              </w:rPr>
              <w:t>4-9</w:t>
            </w:r>
            <w:r>
              <w:rPr>
                <w:rFonts w:hint="default" w:ascii="Times New Roman" w:hAnsi="Times New Roman" w:eastAsia="宋体" w:cs="Times New Roman"/>
                <w:b/>
                <w:bCs/>
                <w:color w:val="0D0D0D" w:themeColor="text1" w:themeTint="F2"/>
                <w:sz w:val="21"/>
                <w:szCs w:val="21"/>
                <w:u w:val="single"/>
                <w14:textFill>
                  <w14:solidFill>
                    <w14:schemeClr w14:val="tx1">
                      <w14:lumMod w14:val="95000"/>
                      <w14:lumOff w14:val="5000"/>
                    </w14:schemeClr>
                  </w14:solidFill>
                </w14:textFill>
              </w:rPr>
              <w:t>评价工作等级划分</w:t>
            </w:r>
          </w:p>
          <w:tbl>
            <w:tblPr>
              <w:tblStyle w:val="31"/>
              <w:tblW w:w="807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615"/>
              <w:gridCol w:w="1615"/>
              <w:gridCol w:w="1615"/>
              <w:gridCol w:w="1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bCs/>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16"/>
                      <w:u w:val="single"/>
                      <w14:textFill>
                        <w14:solidFill>
                          <w14:schemeClr w14:val="tx1">
                            <w14:lumMod w14:val="95000"/>
                            <w14:lumOff w14:val="5000"/>
                          </w14:schemeClr>
                        </w14:solidFill>
                      </w14:textFill>
                    </w:rPr>
                    <w:t>环境风险潜势</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16"/>
                      <w:u w:val="single"/>
                      <w14:textFill>
                        <w14:solidFill>
                          <w14:schemeClr w14:val="tx1">
                            <w14:lumMod w14:val="95000"/>
                            <w14:lumOff w14:val="5000"/>
                          </w14:schemeClr>
                        </w14:solidFill>
                      </w14:textFill>
                    </w:rPr>
                    <w:t>IV、IV</w:t>
                  </w:r>
                  <w:r>
                    <w:rPr>
                      <w:rFonts w:hint="default" w:ascii="Times New Roman" w:hAnsi="Times New Roman" w:cs="Times New Roman"/>
                      <w:b/>
                      <w:bCs/>
                      <w:color w:val="0D0D0D" w:themeColor="text1" w:themeTint="F2"/>
                      <w:sz w:val="21"/>
                      <w:szCs w:val="16"/>
                      <w:u w:val="single"/>
                      <w:vertAlign w:val="superscript"/>
                      <w14:textFill>
                        <w14:solidFill>
                          <w14:schemeClr w14:val="tx1">
                            <w14:lumMod w14:val="95000"/>
                            <w14:lumOff w14:val="5000"/>
                          </w14:schemeClr>
                        </w14:solidFill>
                      </w14:textFill>
                    </w:rPr>
                    <w:t>+</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16"/>
                      <w:u w:val="single"/>
                      <w14:textFill>
                        <w14:solidFill>
                          <w14:schemeClr w14:val="tx1">
                            <w14:lumMod w14:val="95000"/>
                            <w14:lumOff w14:val="5000"/>
                          </w14:schemeClr>
                        </w14:solidFill>
                      </w14:textFill>
                    </w:rPr>
                    <w:t>III</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16"/>
                      <w:u w:val="single"/>
                      <w14:textFill>
                        <w14:solidFill>
                          <w14:schemeClr w14:val="tx1">
                            <w14:lumMod w14:val="95000"/>
                            <w14:lumOff w14:val="5000"/>
                          </w14:schemeClr>
                        </w14:solidFill>
                      </w14:textFill>
                    </w:rPr>
                    <w:t>II</w:t>
                  </w:r>
                </w:p>
              </w:tc>
              <w:tc>
                <w:tcPr>
                  <w:tcW w:w="1618"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16"/>
                      <w:u w:val="single"/>
                      <w14:textFill>
                        <w14:solidFill>
                          <w14:schemeClr w14:val="tx1">
                            <w14:lumMod w14:val="95000"/>
                            <w14:lumOff w14:val="5000"/>
                          </w14:schemeClr>
                        </w14:solidFill>
                      </w14:textFill>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val="0"/>
                      <w:bCs w:val="0"/>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16"/>
                      <w:u w:val="single"/>
                      <w14:textFill>
                        <w14:solidFill>
                          <w14:schemeClr w14:val="tx1">
                            <w14:lumMod w14:val="95000"/>
                            <w14:lumOff w14:val="5000"/>
                          </w14:schemeClr>
                        </w14:solidFill>
                      </w14:textFill>
                    </w:rPr>
                    <w:t>评价工作等级</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16"/>
                      <w:u w:val="single"/>
                      <w14:textFill>
                        <w14:solidFill>
                          <w14:schemeClr w14:val="tx1">
                            <w14:lumMod w14:val="95000"/>
                            <w14:lumOff w14:val="5000"/>
                          </w14:schemeClr>
                        </w14:solidFill>
                      </w14:textFill>
                    </w:rPr>
                    <w:t>一</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16"/>
                      <w:u w:val="single"/>
                      <w14:textFill>
                        <w14:solidFill>
                          <w14:schemeClr w14:val="tx1">
                            <w14:lumMod w14:val="95000"/>
                            <w14:lumOff w14:val="5000"/>
                          </w14:schemeClr>
                        </w14:solidFill>
                      </w14:textFill>
                    </w:rPr>
                    <w:t>二</w:t>
                  </w:r>
                </w:p>
              </w:tc>
              <w:tc>
                <w:tcPr>
                  <w:tcW w:w="1615"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16"/>
                      <w:u w:val="single"/>
                      <w14:textFill>
                        <w14:solidFill>
                          <w14:schemeClr w14:val="tx1">
                            <w14:lumMod w14:val="95000"/>
                            <w14:lumOff w14:val="5000"/>
                          </w14:schemeClr>
                        </w14:solidFill>
                      </w14:textFill>
                    </w:rPr>
                    <w:t>三</w:t>
                  </w:r>
                </w:p>
              </w:tc>
              <w:tc>
                <w:tcPr>
                  <w:tcW w:w="1618"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color w:val="0D0D0D" w:themeColor="text1" w:themeTint="F2"/>
                      <w:sz w:val="21"/>
                      <w:szCs w:val="16"/>
                      <w:u w:val="singl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1"/>
                      <w:szCs w:val="16"/>
                      <w:u w:val="single"/>
                      <w14:textFill>
                        <w14:solidFill>
                          <w14:schemeClr w14:val="tx1">
                            <w14:lumMod w14:val="95000"/>
                            <w14:lumOff w14:val="5000"/>
                          </w14:schemeClr>
                        </w14:solidFill>
                      </w14:textFill>
                    </w:rPr>
                    <w:t>简单分析</w:t>
                  </w:r>
                  <w:r>
                    <w:rPr>
                      <w:rFonts w:hint="default" w:ascii="Times New Roman" w:hAnsi="Times New Roman" w:cs="Times New Roman"/>
                      <w:b w:val="0"/>
                      <w:bCs w:val="0"/>
                      <w:color w:val="0D0D0D" w:themeColor="text1" w:themeTint="F2"/>
                      <w:sz w:val="21"/>
                      <w:szCs w:val="16"/>
                      <w:u w:val="single"/>
                      <w:vertAlign w:val="superscript"/>
                      <w14:textFill>
                        <w14:solidFill>
                          <w14:schemeClr w14:val="tx1">
                            <w14:lumMod w14:val="95000"/>
                            <w14:lumOff w14:val="5000"/>
                          </w14:schemeClr>
                        </w14:solidFill>
                      </w14:textFill>
                    </w:rPr>
                    <w:t>a</w:t>
                  </w:r>
                </w:p>
              </w:tc>
            </w:tr>
          </w:tbl>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项目的风险潜势为Ⅰ，则项目环境风险评价可只开展简单分析。</w:t>
            </w:r>
          </w:p>
          <w:p>
            <w:pPr>
              <w:pStyle w:val="71"/>
              <w:keepNext w:val="0"/>
              <w:keepLines w:val="0"/>
              <w:suppressLineNumbers w:val="0"/>
              <w:spacing w:before="0" w:beforeAutospacing="0" w:after="0" w:afterAutospacing="0"/>
              <w:ind w:left="0" w:leftChars="0" w:right="0" w:firstLine="482" w:firstLineChars="200"/>
              <w:rPr>
                <w:rFonts w:hint="default" w:ascii="Times New Roman" w:hAnsi="Times New Roman" w:cs="Times New Roman"/>
                <w:b/>
                <w:bCs/>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u w:val="single"/>
                <w:lang w:eastAsia="zh-CN"/>
                <w14:textFill>
                  <w14:solidFill>
                    <w14:schemeClr w14:val="tx1">
                      <w14:lumMod w14:val="95000"/>
                      <w14:lumOff w14:val="5000"/>
                    </w14:schemeClr>
                  </w14:solidFill>
                </w14:textFill>
              </w:rPr>
              <w:t>5.2风险识别对事故影响进行简要分析</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（1）风险识别</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①机械保养产生的废机油发生泄漏事故。</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②</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存在的主要环境风险源是火灾事故。项目最可能发生的环境风险事故是厂区内发生火灾及次生事故，企业厂区仓库储存有包装材料等可燃物品，当由于工人违章操作或误操作引起厂区发生重大火灾时，未能及时发现扑灭着火点，致使火势变大，发展为重大火灾后，会对厂区生产车间、仓库等造成重大损失。</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（2）突发事故产生的环境影响及应急处理措施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根据</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特征及所在地的环境特点，本评价将对上述事故引发的影响进行分析评价。</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1）生产疏忽引起的火灾等事故发生对地表水环境的影响及应急处理措施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原材料正常情况下均为密封保存，不会有污染物进入雨水管网或污水管网，基本不会对周围水环境产生影响。当发生火灾事故时，在火灾、爆炸的灭火过程中，消防喷水、泡沫喷淋等均会产生废水，以下消防废液含有大量的石油类，若直接通过市政雨水或污水管网进入纳污水体或市政污水处理厂，含高浓度的消防排水势必对水体造成不利的影响，当发生液体泄漏时，如果处理不当，同样发生严重的后果。风险事故发生时的废水应急处理同时建议采取一下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风险事故发生时的废水应急处理同时建议采取一下措施：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A.建议建设单位在雨水管网出口处设置一个闸门，发生事故时及时关闭闸门，防止泄漏液体和消防废水流出厂区，将其可能产生的环境影响控制在厂区之内。</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B.发生火灾事故时，在事故发生位置四周用装满沙土的袋子围成围堰拦截消防废液，并在厂内采取导流方式将消防废液、泡沫等统一收集，集中处理，消除隐患后交由有资质单位处理。</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C.车间地面必须作水泥硬底化防渗处理，发生散落时，材料不会通过地面渗入地下而污染地下水。</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2）生产疏忽引起的火灾等事故发生对大气环境的影响及应急处理措施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项目生产车间发生火灾事故时，由火灾产生的颗粒物会飞扬，气体排放随风向外扩散，在不利风向时，周围是企业及员工及村庄等均会受到不同程度的影响。风险事故发生时的废气应急处理措施：</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A.发生火灾事故后，及时疏散厂内员工，从污染源上控制其对大气的污染，应急救援后产生的废物委托有资质的单位处理。</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B.发生火灾时，应及时采取相应的灭火措施并疏散厂内员工，必要时启动突发事故应急预案，及时疏散周围的居民。</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C.事故发生时，救援人员必须佩戴理性的防毒过滤面具，同时穿好工作服，迅速判明事故当时的风向，可利用风标、旗帜等辨明风向，向上风向撤离，尽可能向侧、逆风向转移。</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D.废气处理设施发生故障时，应及时停止生产，维修人员必须佩戴防毒过滤面具，同时穿好工作服，迅速检查故障原因。</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E.确认最近敏感点的位置，在迅速采取应急措施的情况下，敏感点区域的人员需在一定的时间进行撤离和防护。</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F.事故发生后，相关部门要制定污染监测计划，对可能污染进行监测，根据现场监测结果，确定被转移、疏散群众返回时间，直至无异常方可停止监测工作。</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4）</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机械保养产生的废机油，采用密封容器收集后暂存在危险废物暂存间，定期交有危险废物资质单位处置，</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在生产车间设置危险废物暂存库贮存执行《危险废物贮存污染控制标准》（GB18597-2023）的要求，库房封闭，并做好防雨、防风、防扬散措施。建议危险废物备用吸油毡等应急物资，如遇到废机油容器破碎造成废机油泄漏，采用吸油毡对泄漏的废机油进行吸收清理，沾有废机油的吸油毡为危险废物，交有危险废物资质单位处置。</w:t>
            </w:r>
          </w:p>
          <w:p>
            <w:pPr>
              <w:pStyle w:val="71"/>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综上，建设单位应严格按照消防及安监部门的要求，做好防范措施，建立健全突发环境事故应急组织机构，以便采取更有效的措施来监测灾情及防止污染事故的进一步扩散。在采取以上措施的情况下，</w:t>
            </w:r>
            <w:r>
              <w:rPr>
                <w:rFonts w:hint="eastAsia" w:cs="Times New Roman"/>
                <w:color w:val="0D0D0D" w:themeColor="text1" w:themeTint="F2"/>
                <w:u w:val="single"/>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u w:val="single"/>
                <w:lang w:eastAsia="zh-CN"/>
                <w14:textFill>
                  <w14:solidFill>
                    <w14:schemeClr w14:val="tx1">
                      <w14:lumMod w14:val="95000"/>
                      <w14:lumOff w14:val="5000"/>
                    </w14:schemeClr>
                  </w14:solidFill>
                </w14:textFill>
              </w:rPr>
              <w:t>风险事故发生概率很低，环境风险在可接受范围内。</w:t>
            </w:r>
          </w:p>
          <w:p>
            <w:pPr>
              <w:pStyle w:val="71"/>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cs="Times New Roman"/>
                <w:b/>
                <w:bCs/>
                <w:i w:val="0"/>
                <w:iCs w:val="0"/>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cs="Times New Roman"/>
                <w:b/>
                <w:bCs/>
                <w:i w:val="0"/>
                <w:iCs w:val="0"/>
                <w:color w:val="0D0D0D" w:themeColor="text1" w:themeTint="F2"/>
                <w:sz w:val="24"/>
                <w:szCs w:val="24"/>
                <w:u w:val="single"/>
                <w:lang w:eastAsia="zh-CN"/>
                <w14:textFill>
                  <w14:solidFill>
                    <w14:schemeClr w14:val="tx1">
                      <w14:lumMod w14:val="95000"/>
                      <w14:lumOff w14:val="5000"/>
                    </w14:schemeClr>
                  </w14:solidFill>
                </w14:textFill>
              </w:rPr>
              <w:t>5.3分析结论</w:t>
            </w:r>
          </w:p>
          <w:p>
            <w:pPr>
              <w:pStyle w:val="71"/>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0D0D0D" w:themeColor="text1" w:themeTint="F2"/>
                <w:sz w:val="24"/>
                <w:szCs w:val="24"/>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lang w:eastAsia="zh-CN"/>
                <w14:textFill>
                  <w14:solidFill>
                    <w14:schemeClr w14:val="tx1">
                      <w14:lumMod w14:val="95000"/>
                      <w14:lumOff w14:val="5000"/>
                    </w14:schemeClr>
                  </w14:solidFill>
                </w14:textFill>
              </w:rPr>
              <w:t>项目运营过程中必须严格执行国家的技术规范和操作规程要求，落实各项预防措施。在认真落实工程拟采取的事故对策后，制定突发环境事件应急预案，工程的事故对周围影响处于可接受水平。</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lang w:val="en-US" w:eastAsia="zh-CN"/>
                <w14:textFill>
                  <w14:solidFill>
                    <w14:schemeClr w14:val="tx1">
                      <w14:lumMod w14:val="95000"/>
                      <w14:lumOff w14:val="5000"/>
                    </w14:schemeClr>
                  </w14:solidFill>
                </w14:textFill>
              </w:rPr>
              <w:t>因此，工程的建设运行不会导致环境质量出现明显下降和生态功能的损坏，项目选址具有环境可行性。</w:t>
            </w:r>
          </w:p>
          <w:p>
            <w:pPr>
              <w:pStyle w:val="72"/>
              <w:keepNext w:val="0"/>
              <w:keepLines w:val="0"/>
              <w:suppressLineNumbers w:val="0"/>
              <w:spacing w:before="0" w:beforeAutospacing="0" w:after="0" w:afterAutospacing="0" w:line="360" w:lineRule="auto"/>
              <w:ind w:left="0" w:right="0" w:firstLine="0"/>
              <w:rPr>
                <w:rFonts w:hint="default" w:ascii="Times New Roman" w:hAnsi="Times New Roman" w:cs="Times New Roman"/>
                <w:b/>
                <w:color w:val="0D0D0D" w:themeColor="text1" w:themeTint="F2"/>
                <w:kern w:val="2"/>
                <w:sz w:val="24"/>
                <w:szCs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kern w:val="2"/>
                <w:sz w:val="24"/>
                <w:szCs w:val="24"/>
                <w14:textFill>
                  <w14:solidFill>
                    <w14:schemeClr w14:val="tx1">
                      <w14:lumMod w14:val="95000"/>
                      <w14:lumOff w14:val="5000"/>
                    </w14:schemeClr>
                  </w14:solidFill>
                </w14:textFill>
              </w:rPr>
              <w:t>三、环保设施与投资估算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eastAsia" w:cs="Times New Roman"/>
                <w:color w:val="0D0D0D" w:themeColor="text1" w:themeTint="F2"/>
                <w:sz w:val="24"/>
                <w:szCs w:val="24"/>
                <w:lang w:eastAsia="zh-CN"/>
                <w14:textFill>
                  <w14:solidFill>
                    <w14:schemeClr w14:val="tx1">
                      <w14:lumMod w14:val="95000"/>
                      <w14:lumOff w14:val="5000"/>
                    </w14:schemeClr>
                  </w14:solidFill>
                </w14:textFill>
              </w:rPr>
              <w:t>本扩建项目</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总投资为</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00</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万元，环保投资总额为</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1</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万元，占总投资的</w:t>
            </w:r>
            <w:r>
              <w:rPr>
                <w:rFonts w:hint="eastAsia" w:cs="Times New Roman"/>
                <w:color w:val="0D0D0D" w:themeColor="text1" w:themeTint="F2"/>
                <w:sz w:val="24"/>
                <w:szCs w:val="24"/>
                <w:lang w:val="en-US" w:eastAsia="zh-CN"/>
                <w14:textFill>
                  <w14:solidFill>
                    <w14:schemeClr w14:val="tx1">
                      <w14:lumMod w14:val="95000"/>
                      <w14:lumOff w14:val="5000"/>
                    </w14:schemeClr>
                  </w14:solidFill>
                </w14:textFill>
              </w:rPr>
              <w:t>7</w:t>
            </w:r>
            <w:r>
              <w:rPr>
                <w:rFonts w:hint="default" w:ascii="Times New Roman" w:hAnsi="Times New Roman" w:cs="Times New Roman"/>
                <w:color w:val="0D0D0D" w:themeColor="text1" w:themeTint="F2"/>
                <w:sz w:val="24"/>
                <w:szCs w:val="24"/>
                <w:lang w:val="en-US" w:eastAsia="zh-CN"/>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sz w:val="24"/>
                <w:szCs w:val="24"/>
                <w14:textFill>
                  <w14:solidFill>
                    <w14:schemeClr w14:val="tx1">
                      <w14:lumMod w14:val="95000"/>
                      <w14:lumOff w14:val="5000"/>
                    </w14:schemeClr>
                  </w14:solidFill>
                </w14:textFill>
              </w:rPr>
              <w:t>%。项目环保设施及投资见下表：</w:t>
            </w:r>
          </w:p>
          <w:p>
            <w:pPr>
              <w:pStyle w:val="58"/>
              <w:keepNext w:val="0"/>
              <w:keepLines w:val="0"/>
              <w:suppressLineNumbers w:val="0"/>
              <w:snapToGrid w:val="0"/>
              <w:spacing w:before="0" w:beforeAutospacing="0" w:after="0" w:afterAutospacing="0" w:line="240" w:lineRule="auto"/>
              <w:ind w:left="0" w:leftChars="0" w:right="0" w:firstLine="0" w:firstLineChars="0"/>
              <w:rPr>
                <w:rFonts w:hint="default" w:ascii="Times New Roman" w:hAnsi="Times New Roman" w:eastAsia="宋体" w:cs="Times New Roman"/>
                <w:b/>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1"/>
                <w:szCs w:val="21"/>
                <w14:textFill>
                  <w14:solidFill>
                    <w14:schemeClr w14:val="tx1">
                      <w14:lumMod w14:val="95000"/>
                      <w14:lumOff w14:val="5000"/>
                    </w14:schemeClr>
                  </w14:solidFill>
                </w14:textFill>
              </w:rPr>
              <w:t>表</w:t>
            </w:r>
            <w:r>
              <w:rPr>
                <w:rFonts w:hint="eastAsia" w:eastAsia="宋体" w:cs="Times New Roman"/>
                <w:b/>
                <w:color w:val="0D0D0D" w:themeColor="text1" w:themeTint="F2"/>
                <w:sz w:val="21"/>
                <w:szCs w:val="21"/>
                <w:lang w:val="en-US" w:eastAsia="zh-CN"/>
                <w14:textFill>
                  <w14:solidFill>
                    <w14:schemeClr w14:val="tx1">
                      <w14:lumMod w14:val="95000"/>
                      <w14:lumOff w14:val="5000"/>
                    </w14:schemeClr>
                  </w14:solidFill>
                </w14:textFill>
              </w:rPr>
              <w:t>4-10</w:t>
            </w:r>
            <w:r>
              <w:rPr>
                <w:rFonts w:hint="default" w:ascii="Times New Roman" w:hAnsi="Times New Roman" w:eastAsia="宋体" w:cs="Times New Roman"/>
                <w:b/>
                <w:color w:val="0D0D0D" w:themeColor="text1" w:themeTint="F2"/>
                <w:sz w:val="21"/>
                <w:szCs w:val="21"/>
                <w14:textFill>
                  <w14:solidFill>
                    <w14:schemeClr w14:val="tx1">
                      <w14:lumMod w14:val="95000"/>
                      <w14:lumOff w14:val="5000"/>
                    </w14:schemeClr>
                  </w14:solidFill>
                </w14:textFill>
              </w:rPr>
              <w:t>环保设施及投资一览表</w:t>
            </w:r>
          </w:p>
          <w:tbl>
            <w:tblPr>
              <w:tblStyle w:val="31"/>
              <w:tblW w:w="80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92"/>
              <w:gridCol w:w="1213"/>
              <w:gridCol w:w="3030"/>
              <w:gridCol w:w="1086"/>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序号</w:t>
                  </w:r>
                </w:p>
              </w:tc>
              <w:tc>
                <w:tcPr>
                  <w:tcW w:w="69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内容</w:t>
                  </w:r>
                </w:p>
              </w:tc>
              <w:tc>
                <w:tcPr>
                  <w:tcW w:w="121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污染源</w:t>
                  </w:r>
                </w:p>
              </w:tc>
              <w:tc>
                <w:tcPr>
                  <w:tcW w:w="30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环保措施</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投资</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（万元）</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14:textFill>
                        <w14:solidFill>
                          <w14:schemeClr w14:val="tx1">
                            <w14:lumMod w14:val="95000"/>
                            <w14:lumOff w14:val="5000"/>
                          </w14:schemeClr>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1</w:t>
                  </w:r>
                </w:p>
              </w:tc>
              <w:tc>
                <w:tcPr>
                  <w:tcW w:w="69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废气治理</w:t>
                  </w:r>
                </w:p>
              </w:tc>
              <w:tc>
                <w:tcPr>
                  <w:tcW w:w="121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油烟废气</w:t>
                  </w:r>
                </w:p>
              </w:tc>
              <w:tc>
                <w:tcPr>
                  <w:tcW w:w="30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设油烟净化装置，处理后经烟道由楼顶排放</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D0D0D" w:themeColor="text1" w:themeTint="F2"/>
                      <w:sz w:val="21"/>
                      <w:szCs w:val="21"/>
                      <w:lang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lang w:val="en-US" w:eastAsia="zh-CN"/>
                      <w14:textFill>
                        <w14:solidFill>
                          <w14:schemeClr w14:val="tx1">
                            <w14:lumMod w14:val="95000"/>
                            <w14:lumOff w14:val="5000"/>
                          </w14:schemeClr>
                        </w14:solidFill>
                      </w14:textFill>
                    </w:rPr>
                    <w:t>/</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lang w:val="en-US" w:eastAsia="zh-CN"/>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2</w:t>
                  </w:r>
                </w:p>
              </w:tc>
              <w:tc>
                <w:tcPr>
                  <w:tcW w:w="692"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废水处理</w:t>
                  </w:r>
                </w:p>
              </w:tc>
              <w:tc>
                <w:tcPr>
                  <w:tcW w:w="121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生活污水、</w:t>
                  </w:r>
                </w:p>
              </w:tc>
              <w:tc>
                <w:tcPr>
                  <w:tcW w:w="30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隔油池、化粪池、一体化污水处理设施</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3</w:t>
                  </w:r>
                </w:p>
              </w:tc>
              <w:tc>
                <w:tcPr>
                  <w:tcW w:w="692"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c>
                <w:tcPr>
                  <w:tcW w:w="121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沉淀池</w:t>
                  </w:r>
                </w:p>
              </w:tc>
              <w:tc>
                <w:tcPr>
                  <w:tcW w:w="30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lang w:val="en-US" w:eastAsia="zh-CN"/>
                      <w14:textFill>
                        <w14:solidFill>
                          <w14:schemeClr w14:val="tx1">
                            <w14:lumMod w14:val="95000"/>
                            <w14:lumOff w14:val="5000"/>
                          </w14:schemeClr>
                        </w14:solidFill>
                      </w14:textFill>
                    </w:rPr>
                    <w:t>生产废水三级沉淀池</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5</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lang w:val="en-US" w:eastAsia="zh-CN"/>
                      <w14:textFill>
                        <w14:solidFill>
                          <w14:schemeClr w14:val="tx1">
                            <w14:lumMod w14:val="95000"/>
                            <w14:lumOff w14:val="5000"/>
                          </w14:schemeClr>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1"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4</w:t>
                  </w:r>
                </w:p>
              </w:tc>
              <w:tc>
                <w:tcPr>
                  <w:tcW w:w="692"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固废治理</w:t>
                  </w:r>
                </w:p>
              </w:tc>
              <w:tc>
                <w:tcPr>
                  <w:tcW w:w="1213"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一般固废</w:t>
                  </w:r>
                </w:p>
              </w:tc>
              <w:tc>
                <w:tcPr>
                  <w:tcW w:w="3030"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固废暂存间</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0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c>
                <w:tcPr>
                  <w:tcW w:w="692"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c>
                <w:tcPr>
                  <w:tcW w:w="1213"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生活垃圾</w:t>
                  </w:r>
                </w:p>
              </w:tc>
              <w:tc>
                <w:tcPr>
                  <w:tcW w:w="3030"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设垃圾桶收集，交环卫部门处置</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1</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0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c>
                <w:tcPr>
                  <w:tcW w:w="692"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c>
                <w:tcPr>
                  <w:tcW w:w="1213"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废机油</w:t>
                  </w:r>
                </w:p>
              </w:tc>
              <w:tc>
                <w:tcPr>
                  <w:tcW w:w="3030"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危废暂存间</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2</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70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5</w:t>
                  </w:r>
                </w:p>
              </w:tc>
              <w:tc>
                <w:tcPr>
                  <w:tcW w:w="69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噪声治理</w:t>
                  </w:r>
                </w:p>
              </w:tc>
              <w:tc>
                <w:tcPr>
                  <w:tcW w:w="121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噪声</w:t>
                  </w:r>
                </w:p>
              </w:tc>
              <w:tc>
                <w:tcPr>
                  <w:tcW w:w="30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选用底噪声设备</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厂房采取隔声等措施</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5</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5636" w:type="dxa"/>
                  <w:gridSpan w:val="4"/>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合计</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15</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5636" w:type="dxa"/>
                  <w:gridSpan w:val="4"/>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环保投资占总投资比例</w:t>
                  </w:r>
                </w:p>
              </w:tc>
              <w:tc>
                <w:tcPr>
                  <w:tcW w:w="108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lang w:val="en-US" w:eastAsia="zh-CN"/>
                      <w14:textFill>
                        <w14:solidFill>
                          <w14:schemeClr w14:val="tx1">
                            <w14:lumMod w14:val="95000"/>
                            <w14:lumOff w14:val="5000"/>
                          </w14:schemeClr>
                        </w14:solidFill>
                      </w14:textFill>
                    </w:rPr>
                    <w:t>7</w:t>
                  </w: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.5</w:t>
                  </w:r>
                  <w: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t>%</w:t>
                  </w:r>
                </w:p>
              </w:tc>
              <w:tc>
                <w:tcPr>
                  <w:tcW w:w="13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D0D0D" w:themeColor="text1" w:themeTint="F2"/>
                      <w:sz w:val="21"/>
                      <w:szCs w:val="21"/>
                      <w14:textFill>
                        <w14:solidFill>
                          <w14:schemeClr w14:val="tx1">
                            <w14:lumMod w14:val="95000"/>
                            <w14:lumOff w14:val="5000"/>
                          </w14:schemeClr>
                        </w14:solidFill>
                      </w14:textFill>
                    </w:rPr>
                  </w:pPr>
                </w:p>
              </w:tc>
            </w:tr>
          </w:tbl>
          <w:p>
            <w:pPr>
              <w:pStyle w:val="72"/>
              <w:keepNext w:val="0"/>
              <w:keepLines w:val="0"/>
              <w:suppressLineNumbers w:val="0"/>
              <w:spacing w:before="0" w:beforeLines="50" w:beforeAutospacing="0" w:after="0" w:afterAutospacing="0" w:line="360" w:lineRule="auto"/>
              <w:ind w:left="0" w:right="0" w:firstLine="0"/>
              <w:rPr>
                <w:rFonts w:hint="default" w:ascii="Times New Roman" w:hAnsi="Times New Roman" w:cs="Times New Roman"/>
                <w:b/>
                <w:color w:val="0D0D0D" w:themeColor="text1" w:themeTint="F2"/>
                <w:kern w:val="2"/>
                <w:sz w:val="24"/>
                <w:szCs w:val="24"/>
                <w:u w:val="singl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kern w:val="2"/>
                <w:sz w:val="24"/>
                <w:szCs w:val="24"/>
                <w:u w:val="single"/>
                <w14:textFill>
                  <w14:solidFill>
                    <w14:schemeClr w14:val="tx1">
                      <w14:lumMod w14:val="95000"/>
                      <w14:lumOff w14:val="5000"/>
                    </w14:schemeClr>
                  </w14:solidFill>
                </w14:textFill>
              </w:rPr>
              <w:t>四、环境保护三同时验收一览表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为贯彻落实新修改的《建设项目环境保护管理条例》，规范建设项目竣工后建设单位自主开展环境保护验收的程序和标准。根据《建设项目竣工环境保护验收暂行办法》（国环规环评[2017]4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具体验收流程见下图</w:t>
            </w:r>
            <w:r>
              <w:rPr>
                <w:rFonts w:hint="eastAsia" w:cs="Times New Roman"/>
                <w:color w:val="0D0D0D" w:themeColor="text1" w:themeTint="F2"/>
                <w:sz w:val="24"/>
                <w:szCs w:val="24"/>
                <w:u w:val="single"/>
                <w:lang w:val="en-US" w:eastAsia="zh-CN"/>
                <w14:textFill>
                  <w14:solidFill>
                    <w14:schemeClr w14:val="tx1">
                      <w14:lumMod w14:val="95000"/>
                      <w14:lumOff w14:val="5000"/>
                    </w14:schemeClr>
                  </w14:solidFill>
                </w14:textFill>
              </w:rPr>
              <w:t>4</w:t>
            </w: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w:t>
            </w:r>
            <w:r>
              <w:rPr>
                <w:rFonts w:hint="eastAsia" w:cs="Times New Roman"/>
                <w:color w:val="0D0D0D" w:themeColor="text1" w:themeTint="F2"/>
                <w:sz w:val="24"/>
                <w:szCs w:val="24"/>
                <w:u w:val="single"/>
                <w:lang w:val="en-US" w:eastAsia="zh-CN"/>
                <w14:textFill>
                  <w14:solidFill>
                    <w14:schemeClr w14:val="tx1">
                      <w14:lumMod w14:val="95000"/>
                      <w14:lumOff w14:val="5000"/>
                    </w14:schemeClr>
                  </w14:solidFill>
                </w14:textFill>
              </w:rPr>
              <w:t>1</w:t>
            </w: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b/>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szCs w:val="24"/>
                <w:u w:val="single"/>
                <w14:textFill>
                  <w14:solidFill>
                    <w14:schemeClr w14:val="tx1">
                      <w14:lumMod w14:val="95000"/>
                      <w14:lumOff w14:val="5000"/>
                    </w14:schemeClr>
                  </w14:solidFill>
                </w14:textFill>
              </w:rPr>
              <w:drawing>
                <wp:anchor distT="0" distB="0" distL="114300" distR="114300" simplePos="0" relativeHeight="251662336" behindDoc="0" locked="0" layoutInCell="1" allowOverlap="1">
                  <wp:simplePos x="0" y="0"/>
                  <wp:positionH relativeFrom="column">
                    <wp:posOffset>169545</wp:posOffset>
                  </wp:positionH>
                  <wp:positionV relativeFrom="paragraph">
                    <wp:posOffset>33655</wp:posOffset>
                  </wp:positionV>
                  <wp:extent cx="5173345" cy="1112520"/>
                  <wp:effectExtent l="0" t="0" r="8255" b="5080"/>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7">
                            <a:lum bright="-6000" contrast="24000"/>
                          </a:blip>
                          <a:stretch>
                            <a:fillRect/>
                          </a:stretch>
                        </pic:blipFill>
                        <pic:spPr>
                          <a:xfrm>
                            <a:off x="0" y="0"/>
                            <a:ext cx="5173345" cy="1112520"/>
                          </a:xfrm>
                          <a:prstGeom prst="rect">
                            <a:avLst/>
                          </a:prstGeom>
                          <a:noFill/>
                          <a:ln>
                            <a:noFill/>
                          </a:ln>
                        </pic:spPr>
                      </pic:pic>
                    </a:graphicData>
                  </a:graphic>
                </wp:anchor>
              </w:drawing>
            </w:r>
            <w:r>
              <w:rPr>
                <w:rFonts w:hint="default" w:ascii="Times New Roman" w:hAnsi="Times New Roman" w:cs="Times New Roman"/>
                <w:b/>
                <w:color w:val="0D0D0D" w:themeColor="text1" w:themeTint="F2"/>
                <w:sz w:val="24"/>
                <w:szCs w:val="24"/>
                <w:u w:val="single"/>
                <w14:textFill>
                  <w14:solidFill>
                    <w14:schemeClr w14:val="tx1">
                      <w14:lumMod w14:val="95000"/>
                      <w14:lumOff w14:val="5000"/>
                    </w14:schemeClr>
                  </w14:solidFill>
                </w14:textFill>
              </w:rPr>
              <w:t>图</w:t>
            </w:r>
            <w:r>
              <w:rPr>
                <w:rFonts w:hint="eastAsia" w:cs="Times New Roman"/>
                <w:b/>
                <w:color w:val="0D0D0D" w:themeColor="text1" w:themeTint="F2"/>
                <w:sz w:val="24"/>
                <w:szCs w:val="24"/>
                <w:u w:val="single"/>
                <w:lang w:val="en-US" w:eastAsia="zh-CN"/>
                <w14:textFill>
                  <w14:solidFill>
                    <w14:schemeClr w14:val="tx1">
                      <w14:lumMod w14:val="95000"/>
                      <w14:lumOff w14:val="5000"/>
                    </w14:schemeClr>
                  </w14:solidFill>
                </w14:textFill>
              </w:rPr>
              <w:t xml:space="preserve">4-1 </w:t>
            </w:r>
            <w:r>
              <w:rPr>
                <w:rFonts w:hint="default" w:ascii="Times New Roman" w:hAnsi="Times New Roman" w:cs="Times New Roman"/>
                <w:b/>
                <w:color w:val="0D0D0D" w:themeColor="text1" w:themeTint="F2"/>
                <w:sz w:val="24"/>
                <w:szCs w:val="24"/>
                <w:u w:val="single"/>
                <w14:textFill>
                  <w14:solidFill>
                    <w14:schemeClr w14:val="tx1">
                      <w14:lumMod w14:val="95000"/>
                      <w14:lumOff w14:val="5000"/>
                    </w14:schemeClr>
                  </w14:solidFill>
                </w14:textFill>
              </w:rPr>
              <w:t>竣工验收流程图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验收程序简述及相关要求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（2）编制验收监测报告，本项以排放污染物为主的建设项目，参照《建设项目竣工环境保护验收技术指南污染影响类》编制验收监测报告，建设单位不具备自主验收能力的可以委托有能力的技术机构编制。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3）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4）验收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（5）验收报告公示期满后5个工作日内，建设单位应当登录全国建设项目竣工环境保护验收信息平台，填报建设项目基本信息、环境保护设施验收情况等相关信息，环境保护主管部门对上述信息予以公开。</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6）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pPr>
              <w:keepNext w:val="0"/>
              <w:keepLines w:val="0"/>
              <w:suppressLineNumbers w:val="0"/>
              <w:snapToGrid w:val="0"/>
              <w:spacing w:before="0" w:beforeAutospacing="0" w:after="0" w:afterAutospacing="0" w:line="360" w:lineRule="auto"/>
              <w:ind w:left="0" w:right="0" w:firstLine="470" w:firstLineChars="196"/>
              <w:rPr>
                <w:rFonts w:hint="default" w:ascii="Times New Roman" w:hAnsi="Times New Roman" w:eastAsia="宋体" w:cs="Times New Roman"/>
                <w:b/>
                <w:color w:val="0D0D0D" w:themeColor="text1" w:themeTint="F2"/>
                <w:sz w:val="24"/>
                <w:szCs w:val="24"/>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szCs w:val="24"/>
                <w:u w:val="single"/>
                <w14:textFill>
                  <w14:solidFill>
                    <w14:schemeClr w14:val="tx1">
                      <w14:lumMod w14:val="95000"/>
                      <w14:lumOff w14:val="5000"/>
                    </w14:schemeClr>
                  </w14:solidFill>
                </w14:textFill>
              </w:rPr>
              <w:t>项目环境保护三同时验收一览表如下表所示：</w:t>
            </w:r>
          </w:p>
          <w:p>
            <w:pPr>
              <w:keepNext w:val="0"/>
              <w:keepLines w:val="0"/>
              <w:suppressLineNumbers w:val="0"/>
              <w:tabs>
                <w:tab w:val="left" w:pos="5010"/>
              </w:tabs>
              <w:spacing w:before="0" w:beforeAutospacing="0" w:after="0" w:afterAutospacing="0"/>
              <w:ind w:left="0" w:right="0"/>
              <w:jc w:val="center"/>
              <w:rPr>
                <w:rFonts w:hint="default" w:ascii="Times New Roman" w:hAnsi="Times New Roman" w:eastAsia="宋体" w:cs="Times New Roman"/>
                <w:b/>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1"/>
                <w:szCs w:val="21"/>
                <w:u w:val="single"/>
                <w14:textFill>
                  <w14:solidFill>
                    <w14:schemeClr w14:val="tx1">
                      <w14:lumMod w14:val="95000"/>
                      <w14:lumOff w14:val="5000"/>
                    </w14:schemeClr>
                  </w14:solidFill>
                </w14:textFill>
              </w:rPr>
              <w:t>表</w:t>
            </w:r>
            <w:r>
              <w:rPr>
                <w:rFonts w:hint="eastAsia" w:cs="Times New Roman"/>
                <w:b/>
                <w:color w:val="0D0D0D" w:themeColor="text1" w:themeTint="F2"/>
                <w:sz w:val="21"/>
                <w:szCs w:val="21"/>
                <w:u w:val="single"/>
                <w:lang w:val="en-US" w:eastAsia="zh-CN"/>
                <w14:textFill>
                  <w14:solidFill>
                    <w14:schemeClr w14:val="tx1">
                      <w14:lumMod w14:val="95000"/>
                      <w14:lumOff w14:val="5000"/>
                    </w14:schemeClr>
                  </w14:solidFill>
                </w14:textFill>
              </w:rPr>
              <w:t>4-11</w:t>
            </w:r>
            <w:r>
              <w:rPr>
                <w:rFonts w:hint="default" w:ascii="Times New Roman" w:hAnsi="Times New Roman" w:eastAsia="宋体" w:cs="Times New Roman"/>
                <w:b/>
                <w:color w:val="0D0D0D" w:themeColor="text1" w:themeTint="F2"/>
                <w:sz w:val="21"/>
                <w:szCs w:val="21"/>
                <w:u w:val="single"/>
                <w14:textFill>
                  <w14:solidFill>
                    <w14:schemeClr w14:val="tx1">
                      <w14:lumMod w14:val="95000"/>
                      <w14:lumOff w14:val="5000"/>
                    </w14:schemeClr>
                  </w14:solidFill>
                </w14:textFill>
              </w:rPr>
              <w:t>环境保护三同时验收一览表</w:t>
            </w:r>
          </w:p>
          <w:tbl>
            <w:tblPr>
              <w:tblStyle w:val="31"/>
              <w:tblW w:w="80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11"/>
              <w:gridCol w:w="2473"/>
              <w:gridCol w:w="2108"/>
              <w:gridCol w:w="1000"/>
              <w:gridCol w:w="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blHeader/>
                <w:jc w:val="center"/>
              </w:trPr>
              <w:tc>
                <w:tcPr>
                  <w:tcW w:w="66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项目</w:t>
                  </w:r>
                </w:p>
              </w:tc>
              <w:tc>
                <w:tcPr>
                  <w:tcW w:w="111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污染源</w:t>
                  </w:r>
                </w:p>
              </w:tc>
              <w:tc>
                <w:tcPr>
                  <w:tcW w:w="2473"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105" w:firstLineChars="5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治理措施</w:t>
                  </w:r>
                </w:p>
              </w:tc>
              <w:tc>
                <w:tcPr>
                  <w:tcW w:w="210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执行标准</w:t>
                  </w:r>
                </w:p>
              </w:tc>
              <w:tc>
                <w:tcPr>
                  <w:tcW w:w="1000" w:type="dxa"/>
                  <w:tcBorders>
                    <w:tl2br w:val="nil"/>
                    <w:tr2bl w:val="nil"/>
                  </w:tcBorders>
                  <w:noWrap w:val="0"/>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b/>
                      <w:bCs/>
                      <w:color w:val="0D0D0D" w:themeColor="text1" w:themeTint="F2"/>
                      <w:u w:val="single"/>
                      <w14:textFill>
                        <w14:solidFill>
                          <w14:schemeClr w14:val="tx1">
                            <w14:lumMod w14:val="95000"/>
                            <w14:lumOff w14:val="5000"/>
                          </w14:schemeClr>
                        </w14:solidFill>
                      </w14:textFill>
                    </w:rPr>
                  </w:pPr>
                  <w:r>
                    <w:rPr>
                      <w:rFonts w:hint="default"/>
                      <w:b/>
                      <w:bCs/>
                      <w:color w:val="0D0D0D" w:themeColor="text1" w:themeTint="F2"/>
                      <w:u w:val="single"/>
                      <w14:textFill>
                        <w14:solidFill>
                          <w14:schemeClr w14:val="tx1">
                            <w14:lumMod w14:val="95000"/>
                            <w14:lumOff w14:val="5000"/>
                          </w14:schemeClr>
                        </w14:solidFill>
                      </w14:textFill>
                    </w:rPr>
                    <w:t>验收</w:t>
                  </w:r>
                </w:p>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bCs/>
                      <w:color w:val="0D0D0D" w:themeColor="text1" w:themeTint="F2"/>
                      <w:spacing w:val="-20"/>
                      <w:szCs w:val="21"/>
                      <w:u w:val="single"/>
                      <w14:textFill>
                        <w14:solidFill>
                          <w14:schemeClr w14:val="tx1">
                            <w14:lumMod w14:val="95000"/>
                            <w14:lumOff w14:val="5000"/>
                          </w14:schemeClr>
                        </w14:solidFill>
                      </w14:textFill>
                    </w:rPr>
                  </w:pPr>
                  <w:r>
                    <w:rPr>
                      <w:rFonts w:hint="default"/>
                      <w:b/>
                      <w:bCs/>
                      <w:color w:val="0D0D0D" w:themeColor="text1" w:themeTint="F2"/>
                      <w:u w:val="single"/>
                      <w14:textFill>
                        <w14:solidFill>
                          <w14:schemeClr w14:val="tx1">
                            <w14:lumMod w14:val="95000"/>
                            <w14:lumOff w14:val="5000"/>
                          </w14:schemeClr>
                        </w14:solidFill>
                      </w14:textFill>
                    </w:rPr>
                    <w:t>内容</w:t>
                  </w:r>
                </w:p>
              </w:tc>
              <w:tc>
                <w:tcPr>
                  <w:tcW w:w="67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jc w:val="center"/>
              </w:trPr>
              <w:tc>
                <w:tcPr>
                  <w:tcW w:w="668"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废气</w:t>
                  </w:r>
                </w:p>
              </w:tc>
              <w:tc>
                <w:tcPr>
                  <w:tcW w:w="111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t>油烟废气</w:t>
                  </w:r>
                </w:p>
              </w:tc>
              <w:tc>
                <w:tcPr>
                  <w:tcW w:w="247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设油烟净化装置，处理后经烟道由楼顶排放</w:t>
                  </w:r>
                </w:p>
              </w:tc>
              <w:tc>
                <w:tcPr>
                  <w:tcW w:w="2108"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105" w:firstLineChars="5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《饮食业油烟排放标准》（GB18483-2001）</w:t>
                  </w:r>
                </w:p>
              </w:tc>
              <w:tc>
                <w:tcPr>
                  <w:tcW w:w="10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pacing w:val="-20"/>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达标排放</w:t>
                  </w:r>
                </w:p>
              </w:tc>
              <w:tc>
                <w:tcPr>
                  <w:tcW w:w="67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668"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t>玻璃磨边</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t>粉尘</w:t>
                  </w:r>
                </w:p>
              </w:tc>
              <w:tc>
                <w:tcPr>
                  <w:tcW w:w="2473"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湿</w:t>
                  </w: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法</w:t>
                  </w: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磨边、车间排</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气扇无组织排放</w:t>
                  </w:r>
                </w:p>
              </w:tc>
              <w:tc>
                <w:tcPr>
                  <w:tcW w:w="2108"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firstLine="105" w:firstLineChars="50"/>
                    <w:jc w:val="center"/>
                    <w:rPr>
                      <w:rFonts w:hint="eastAsia"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《玻璃工业大气污染物排放标准》（GB26453-2022）附录B</w:t>
                  </w: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限值标准</w:t>
                  </w:r>
                </w:p>
              </w:tc>
              <w:tc>
                <w:tcPr>
                  <w:tcW w:w="100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达标排放</w:t>
                  </w:r>
                </w:p>
              </w:tc>
              <w:tc>
                <w:tcPr>
                  <w:tcW w:w="677"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668"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D0D0D" w:themeColor="text1" w:themeTint="F2"/>
                      <w14:textFill>
                        <w14:solidFill>
                          <w14:schemeClr w14:val="tx1">
                            <w14:lumMod w14:val="95000"/>
                            <w14:lumOff w14:val="5000"/>
                          </w14:schemeClr>
                        </w14:solidFill>
                      </w14:textFill>
                    </w:rPr>
                  </w:pPr>
                </w:p>
              </w:tc>
              <w:tc>
                <w:tcPr>
                  <w:tcW w:w="111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D0D0D" w:themeColor="text1" w:themeTint="F2"/>
                      <w:sz w:val="21"/>
                      <w:szCs w:val="21"/>
                      <w:u w:val="single"/>
                      <w:lang w:val="en-US" w:eastAsia="zh-CN"/>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lang w:val="en-US" w:eastAsia="zh-CN"/>
                      <w14:textFill>
                        <w14:solidFill>
                          <w14:schemeClr w14:val="tx1">
                            <w14:lumMod w14:val="95000"/>
                            <w14:lumOff w14:val="5000"/>
                          </w14:schemeClr>
                        </w14:solidFill>
                      </w14:textFill>
                    </w:rPr>
                    <w:t>非甲烷总烃</w:t>
                  </w:r>
                </w:p>
              </w:tc>
              <w:tc>
                <w:tcPr>
                  <w:tcW w:w="247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p>
              </w:tc>
              <w:tc>
                <w:tcPr>
                  <w:tcW w:w="2108"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p>
              </w:tc>
              <w:tc>
                <w:tcPr>
                  <w:tcW w:w="100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p>
              </w:tc>
              <w:tc>
                <w:tcPr>
                  <w:tcW w:w="677"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42" w:hRule="atLeast"/>
                <w:jc w:val="center"/>
              </w:trPr>
              <w:tc>
                <w:tcPr>
                  <w:tcW w:w="66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废水</w:t>
                  </w:r>
                </w:p>
              </w:tc>
              <w:tc>
                <w:tcPr>
                  <w:tcW w:w="111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kern w:val="0"/>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u w:val="single"/>
                      <w14:textFill>
                        <w14:solidFill>
                          <w14:schemeClr w14:val="tx1">
                            <w14:lumMod w14:val="95000"/>
                            <w14:lumOff w14:val="5000"/>
                          </w14:schemeClr>
                        </w14:solidFill>
                      </w14:textFill>
                    </w:rPr>
                    <w:t>生活污水</w:t>
                  </w:r>
                </w:p>
              </w:tc>
              <w:tc>
                <w:tcPr>
                  <w:tcW w:w="247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废水（食堂废水预先经隔油池处理）进入零陵区富家桥镇污水处理厂处理达标后外排</w:t>
                  </w:r>
                </w:p>
              </w:tc>
              <w:tc>
                <w:tcPr>
                  <w:tcW w:w="210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废水出水水质执行</w:t>
                  </w:r>
                  <w:r>
                    <w:rPr>
                      <w:rFonts w:hint="eastAsia" w:cs="Times New Roman"/>
                      <w:color w:val="0D0D0D" w:themeColor="text1" w:themeTint="F2"/>
                      <w:sz w:val="21"/>
                      <w:szCs w:val="21"/>
                      <w:highlight w:val="none"/>
                      <w:u w:val="single"/>
                      <w:lang w:eastAsia="zh-CN"/>
                      <w14:textFill>
                        <w14:solidFill>
                          <w14:schemeClr w14:val="tx1">
                            <w14:lumMod w14:val="95000"/>
                            <w14:lumOff w14:val="5000"/>
                          </w14:schemeClr>
                        </w14:solidFill>
                      </w14:textFill>
                    </w:rPr>
                    <w:t>《城镇污水处理厂污染物排放标准》（GB 18918-2002）</w:t>
                  </w:r>
                  <w:r>
                    <w:rPr>
                      <w:rFonts w:hint="default" w:ascii="Times New Roman" w:hAnsi="Times New Roman" w:cs="Times New Roman"/>
                      <w:color w:val="0D0D0D" w:themeColor="text1" w:themeTint="F2"/>
                      <w:sz w:val="21"/>
                      <w:szCs w:val="21"/>
                      <w:highlight w:val="none"/>
                      <w:u w:val="single"/>
                      <w14:textFill>
                        <w14:solidFill>
                          <w14:schemeClr w14:val="tx1">
                            <w14:lumMod w14:val="95000"/>
                            <w14:lumOff w14:val="5000"/>
                          </w14:schemeClr>
                        </w14:solidFill>
                      </w14:textFill>
                    </w:rPr>
                    <w:t>中的</w:t>
                  </w:r>
                  <w:r>
                    <w:rPr>
                      <w:rFonts w:hint="eastAsia" w:cs="Times New Roman"/>
                      <w:color w:val="0D0D0D" w:themeColor="text1" w:themeTint="F2"/>
                      <w:sz w:val="21"/>
                      <w:szCs w:val="21"/>
                      <w:highlight w:val="none"/>
                      <w:u w:val="single"/>
                      <w:lang w:val="en-US" w:eastAsia="zh-CN"/>
                      <w14:textFill>
                        <w14:solidFill>
                          <w14:schemeClr w14:val="tx1">
                            <w14:lumMod w14:val="95000"/>
                            <w14:lumOff w14:val="5000"/>
                          </w14:schemeClr>
                        </w14:solidFill>
                      </w14:textFill>
                    </w:rPr>
                    <w:t>一级 B 标准</w:t>
                  </w:r>
                </w:p>
              </w:tc>
              <w:tc>
                <w:tcPr>
                  <w:tcW w:w="10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pacing w:val="-6"/>
                      <w:sz w:val="21"/>
                      <w:szCs w:val="21"/>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进入富家桥污水处理厂处理</w:t>
                  </w:r>
                </w:p>
              </w:tc>
              <w:tc>
                <w:tcPr>
                  <w:tcW w:w="67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jc w:val="center"/>
              </w:trPr>
              <w:tc>
                <w:tcPr>
                  <w:tcW w:w="66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噪声</w:t>
                  </w:r>
                </w:p>
              </w:tc>
              <w:tc>
                <w:tcPr>
                  <w:tcW w:w="111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设备噪声</w:t>
                  </w:r>
                </w:p>
              </w:tc>
              <w:tc>
                <w:tcPr>
                  <w:tcW w:w="247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t>选用低噪设备、加强管理和园区绿化，夜间不营业</w:t>
                  </w:r>
                </w:p>
              </w:tc>
              <w:tc>
                <w:tcPr>
                  <w:tcW w:w="210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w:t>
                  </w:r>
                  <w:r>
                    <w:rPr>
                      <w:rFonts w:hint="eastAsia" w:cs="Times New Roman"/>
                      <w:color w:val="0D0D0D" w:themeColor="text1" w:themeTint="F2"/>
                      <w:sz w:val="21"/>
                      <w:szCs w:val="21"/>
                      <w:u w:val="single"/>
                      <w:lang w:eastAsia="zh-CN"/>
                      <w14:textFill>
                        <w14:solidFill>
                          <w14:schemeClr w14:val="tx1">
                            <w14:lumMod w14:val="95000"/>
                            <w14:lumOff w14:val="5000"/>
                          </w14:schemeClr>
                        </w14:solidFill>
                      </w14:textFill>
                    </w:rPr>
                    <w:t>工业企业厂界环境噪声排放标准》(GB12348-2008)中 2 类标准</w:t>
                  </w:r>
                </w:p>
              </w:tc>
              <w:tc>
                <w:tcPr>
                  <w:tcW w:w="10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厂界达标</w:t>
                  </w:r>
                </w:p>
              </w:tc>
              <w:tc>
                <w:tcPr>
                  <w:tcW w:w="67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固体废物</w:t>
                  </w:r>
                </w:p>
              </w:tc>
              <w:tc>
                <w:tcPr>
                  <w:tcW w:w="1111"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一般固废</w:t>
                  </w:r>
                </w:p>
              </w:tc>
              <w:tc>
                <w:tcPr>
                  <w:tcW w:w="2473"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一般固废暂存间</w:t>
                  </w:r>
                </w:p>
              </w:tc>
              <w:tc>
                <w:tcPr>
                  <w:tcW w:w="210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符合环保相关规范要求</w:t>
                  </w:r>
                </w:p>
              </w:tc>
              <w:tc>
                <w:tcPr>
                  <w:tcW w:w="10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全部无害化处理，做到零排放</w:t>
                  </w:r>
                </w:p>
              </w:tc>
              <w:tc>
                <w:tcPr>
                  <w:tcW w:w="67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bookmarkStart w:id="13" w:name="OLE_LINK2"/>
                  <w:bookmarkStart w:id="14" w:name="OLE_LINK1"/>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环评要求</w:t>
                  </w:r>
                  <w:bookmarkEnd w:id="13"/>
                  <w:bookmarkEnd w:id="14"/>
                </w:p>
              </w:tc>
            </w:tr>
          </w:tbl>
          <w:p>
            <w:pPr>
              <w:pStyle w:val="7"/>
              <w:keepNext w:val="0"/>
              <w:keepLines w:val="0"/>
              <w:suppressLineNumbers w:val="0"/>
              <w:spacing w:beforeAutospacing="0" w:afterAutospacing="0"/>
              <w:ind w:left="0" w:leftChars="0" w:right="0" w:rightChars="0" w:firstLine="0" w:firstLineChars="0"/>
              <w:jc w:val="center"/>
              <w:rPr>
                <w:rFonts w:hint="default" w:ascii="Times New Roman" w:hAnsi="Times New Roman" w:cs="Times New Roman"/>
                <w:b/>
                <w:color w:val="0D0D0D" w:themeColor="text1" w:themeTint="F2"/>
                <w:sz w:val="28"/>
                <w:u w:val="single"/>
                <w14:textFill>
                  <w14:solidFill>
                    <w14:schemeClr w14:val="tx1">
                      <w14:lumMod w14:val="95000"/>
                      <w14:lumOff w14:val="5000"/>
                    </w14:schemeClr>
                  </w14:solidFill>
                </w14:textFill>
              </w:rPr>
            </w:pPr>
            <w:r>
              <w:rPr>
                <w:rFonts w:hint="eastAsia" w:cs="Times New Roman"/>
                <w:color w:val="0D0D0D" w:themeColor="text1" w:themeTint="F2"/>
                <w:u w:val="single"/>
                <w:lang w:val="en-US" w:eastAsia="zh-CN"/>
                <w14:textFill>
                  <w14:solidFill>
                    <w14:schemeClr w14:val="tx1">
                      <w14:lumMod w14:val="95000"/>
                      <w14:lumOff w14:val="5000"/>
                    </w14:schemeClr>
                  </w14:solidFill>
                </w14:textFill>
              </w:rPr>
              <w:t>表4-12</w:t>
            </w:r>
            <w:r>
              <w:rPr>
                <w:rFonts w:hint="default" w:ascii="Times New Roman" w:hAnsi="Times New Roman" w:cs="Times New Roman"/>
                <w:color w:val="0D0D0D" w:themeColor="text1" w:themeTint="F2"/>
                <w:u w:val="single"/>
                <w14:textFill>
                  <w14:solidFill>
                    <w14:schemeClr w14:val="tx1">
                      <w14:lumMod w14:val="95000"/>
                      <w14:lumOff w14:val="5000"/>
                    </w14:schemeClr>
                  </w14:solidFill>
                </w14:textFill>
              </w:rPr>
              <w:br w:type="page"/>
            </w:r>
            <w:r>
              <w:rPr>
                <w:rStyle w:val="74"/>
                <w:rFonts w:hint="default" w:ascii="Times New Roman" w:hAnsi="Times New Roman" w:cs="Times New Roman"/>
                <w:b/>
                <w:bCs w:val="0"/>
                <w:color w:val="0D0D0D" w:themeColor="text1" w:themeTint="F2"/>
                <w:u w:val="single"/>
                <w14:textFill>
                  <w14:solidFill>
                    <w14:schemeClr w14:val="tx1">
                      <w14:lumMod w14:val="95000"/>
                      <w14:lumOff w14:val="5000"/>
                    </w14:schemeClr>
                  </w14:solidFill>
                </w14:textFill>
              </w:rPr>
              <w:t>建设项目拟采取的防治措施及预期治理效果</w:t>
            </w:r>
          </w:p>
          <w:tbl>
            <w:tblPr>
              <w:tblStyle w:val="31"/>
              <w:tblW w:w="80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01"/>
              <w:gridCol w:w="1118"/>
              <w:gridCol w:w="1280"/>
              <w:gridCol w:w="3212"/>
              <w:gridCol w:w="1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1" w:hRule="atLeast"/>
                <w:jc w:val="center"/>
              </w:trPr>
              <w:tc>
                <w:tcPr>
                  <w:tcW w:w="561"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内容</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类型</w:t>
                  </w:r>
                </w:p>
              </w:tc>
              <w:tc>
                <w:tcPr>
                  <w:tcW w:w="1519" w:type="dxa"/>
                  <w:gridSpan w:val="2"/>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排放源</w:t>
                  </w:r>
                </w:p>
              </w:tc>
              <w:tc>
                <w:tcPr>
                  <w:tcW w:w="1280" w:type="dxa"/>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t>污染物</w:t>
                  </w:r>
                </w:p>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t>名称</w:t>
                  </w:r>
                </w:p>
              </w:tc>
              <w:tc>
                <w:tcPr>
                  <w:tcW w:w="3212" w:type="dxa"/>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t>防治措施</w:t>
                  </w:r>
                </w:p>
              </w:tc>
              <w:tc>
                <w:tcPr>
                  <w:tcW w:w="1466"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预期治理</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u w:val="single"/>
                      <w14:textFill>
                        <w14:solidFill>
                          <w14:schemeClr w14:val="tx1">
                            <w14:lumMod w14:val="95000"/>
                            <w14:lumOff w14:val="5000"/>
                          </w14:schemeClr>
                        </w14:solidFill>
                      </w14:textFill>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1" w:hRule="atLeast"/>
                <w:jc w:val="center"/>
              </w:trPr>
              <w:tc>
                <w:tcPr>
                  <w:tcW w:w="561"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水</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污</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染</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物</w:t>
                  </w:r>
                </w:p>
              </w:tc>
              <w:tc>
                <w:tcPr>
                  <w:tcW w:w="401"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运营期</w:t>
                  </w:r>
                </w:p>
              </w:tc>
              <w:tc>
                <w:tcPr>
                  <w:tcW w:w="11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员工</w:t>
                  </w:r>
                </w:p>
              </w:tc>
              <w:tc>
                <w:tcPr>
                  <w:tcW w:w="1280"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生活污水、</w:t>
                  </w:r>
                </w:p>
              </w:tc>
              <w:tc>
                <w:tcPr>
                  <w:tcW w:w="3212"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经隔油池化粪池预处理</w:t>
                  </w: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后进入零陵区富家桥镇污水处理厂处理达标后外排</w:t>
                  </w:r>
                </w:p>
              </w:tc>
              <w:tc>
                <w:tcPr>
                  <w:tcW w:w="1466"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达标排放，对环境影响较小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 w:hRule="atLeast"/>
                <w:jc w:val="center"/>
              </w:trPr>
              <w:tc>
                <w:tcPr>
                  <w:tcW w:w="561"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大气污染物</w:t>
                  </w:r>
                </w:p>
              </w:tc>
              <w:tc>
                <w:tcPr>
                  <w:tcW w:w="401"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运营期</w:t>
                  </w:r>
                </w:p>
              </w:tc>
              <w:tc>
                <w:tcPr>
                  <w:tcW w:w="11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食堂</w:t>
                  </w:r>
                </w:p>
              </w:tc>
              <w:tc>
                <w:tcPr>
                  <w:tcW w:w="12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t>油烟废气</w:t>
                  </w:r>
                </w:p>
              </w:tc>
              <w:tc>
                <w:tcPr>
                  <w:tcW w:w="321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设油烟净化装置，处理后经烟道由楼顶排放</w:t>
                  </w:r>
                </w:p>
              </w:tc>
              <w:tc>
                <w:tcPr>
                  <w:tcW w:w="1466"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达标排放，对环境影响较小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56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8"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生产车间</w:t>
                  </w:r>
                </w:p>
              </w:tc>
              <w:tc>
                <w:tcPr>
                  <w:tcW w:w="12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bCs/>
                      <w:color w:val="0D0D0D" w:themeColor="text1" w:themeTint="F2"/>
                      <w:sz w:val="21"/>
                      <w:szCs w:val="21"/>
                      <w:u w:val="single"/>
                      <w:lang w:val="en-US" w:eastAsia="zh-CN"/>
                      <w14:textFill>
                        <w14:solidFill>
                          <w14:schemeClr w14:val="tx1">
                            <w14:lumMod w14:val="95000"/>
                            <w14:lumOff w14:val="5000"/>
                          </w14:schemeClr>
                        </w14:solidFill>
                      </w14:textFill>
                    </w:rPr>
                    <w:t>颗粒物</w:t>
                  </w:r>
                </w:p>
              </w:tc>
              <w:tc>
                <w:tcPr>
                  <w:tcW w:w="3212"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加强通风</w:t>
                  </w:r>
                </w:p>
              </w:tc>
              <w:tc>
                <w:tcPr>
                  <w:tcW w:w="146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56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D0D0D" w:themeColor="text1" w:themeTint="F2"/>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D0D0D" w:themeColor="text1" w:themeTint="F2"/>
                      <w:u w:val="single"/>
                      <w14:textFill>
                        <w14:solidFill>
                          <w14:schemeClr w14:val="tx1">
                            <w14:lumMod w14:val="95000"/>
                            <w14:lumOff w14:val="5000"/>
                          </w14:schemeClr>
                        </w14:solidFill>
                      </w14:textFill>
                    </w:rPr>
                  </w:pPr>
                </w:p>
              </w:tc>
              <w:tc>
                <w:tcPr>
                  <w:tcW w:w="1118"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D0D0D" w:themeColor="text1" w:themeTint="F2"/>
                      <w:u w:val="single"/>
                      <w14:textFill>
                        <w14:solidFill>
                          <w14:schemeClr w14:val="tx1">
                            <w14:lumMod w14:val="95000"/>
                            <w14:lumOff w14:val="5000"/>
                          </w14:schemeClr>
                        </w14:solidFill>
                      </w14:textFill>
                    </w:rPr>
                  </w:pPr>
                </w:p>
              </w:tc>
              <w:tc>
                <w:tcPr>
                  <w:tcW w:w="12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lang w:val="en-US" w:eastAsia="zh-CN"/>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1"/>
                      <w:szCs w:val="21"/>
                      <w:u w:val="single"/>
                      <w:lang w:val="en-US" w:eastAsia="zh-CN"/>
                      <w14:textFill>
                        <w14:solidFill>
                          <w14:schemeClr w14:val="tx1">
                            <w14:lumMod w14:val="95000"/>
                            <w14:lumOff w14:val="5000"/>
                          </w14:schemeClr>
                        </w14:solidFill>
                      </w14:textFill>
                    </w:rPr>
                    <w:t>非甲烷总烃</w:t>
                  </w:r>
                </w:p>
              </w:tc>
              <w:tc>
                <w:tcPr>
                  <w:tcW w:w="3212"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lang w:val="en-US" w:eastAsia="zh-CN"/>
                      <w14:textFill>
                        <w14:solidFill>
                          <w14:schemeClr w14:val="tx1">
                            <w14:lumMod w14:val="95000"/>
                            <w14:lumOff w14:val="5000"/>
                          </w14:schemeClr>
                        </w14:solidFill>
                      </w14:textFill>
                    </w:rPr>
                  </w:pPr>
                </w:p>
              </w:tc>
              <w:tc>
                <w:tcPr>
                  <w:tcW w:w="146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D0D0D" w:themeColor="text1" w:themeTint="F2"/>
                      <w:sz w:val="21"/>
                      <w:szCs w:val="21"/>
                      <w:u w:val="single"/>
                      <w:lang w:val="en-US" w:eastAsia="zh-CN"/>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jc w:val="center"/>
              </w:trPr>
              <w:tc>
                <w:tcPr>
                  <w:tcW w:w="561"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固体废</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废</w:t>
                  </w:r>
                </w:p>
              </w:tc>
              <w:tc>
                <w:tcPr>
                  <w:tcW w:w="401" w:type="dxa"/>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运营期</w:t>
                  </w:r>
                </w:p>
              </w:tc>
              <w:tc>
                <w:tcPr>
                  <w:tcW w:w="1118"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员工</w:t>
                  </w:r>
                </w:p>
              </w:tc>
              <w:tc>
                <w:tcPr>
                  <w:tcW w:w="1280"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生活垃圾</w:t>
                  </w:r>
                </w:p>
              </w:tc>
              <w:tc>
                <w:tcPr>
                  <w:tcW w:w="3212"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设专用收集桶收集，交交取得经营许可的餐厨垃圾收运单位清运处理</w:t>
                  </w:r>
                </w:p>
              </w:tc>
              <w:tc>
                <w:tcPr>
                  <w:tcW w:w="1466" w:type="dxa"/>
                  <w:vMerge w:val="restart"/>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eastAsia="宋体" w:cs="Times New Roman"/>
                      <w:b w:val="0"/>
                      <w:bCs/>
                      <w:color w:val="0D0D0D" w:themeColor="text1" w:themeTint="F2"/>
                      <w:sz w:val="21"/>
                      <w:szCs w:val="21"/>
                      <w:u w:val="single"/>
                      <w14:textFill>
                        <w14:solidFill>
                          <w14:schemeClr w14:val="tx1">
                            <w14:lumMod w14:val="95000"/>
                            <w14:lumOff w14:val="5000"/>
                          </w14:schemeClr>
                        </w14:solidFill>
                      </w14:textFill>
                    </w:rPr>
                    <w:t>妥善处置，处置去向明确，对环境影响不大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11" w:hRule="atLeast"/>
                <w:jc w:val="center"/>
              </w:trPr>
              <w:tc>
                <w:tcPr>
                  <w:tcW w:w="56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8"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生产车间</w:t>
                  </w:r>
                </w:p>
              </w:tc>
              <w:tc>
                <w:tcPr>
                  <w:tcW w:w="1280"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不合格玻璃原片及玻璃切割边角料</w:t>
                  </w:r>
                </w:p>
              </w:tc>
              <w:tc>
                <w:tcPr>
                  <w:tcW w:w="3212" w:type="dxa"/>
                  <w:vMerge w:val="restart"/>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eastAsia="宋体" w:cs="Times New Roman"/>
                      <w:color w:val="0D0D0D" w:themeColor="text1" w:themeTint="F2"/>
                      <w:sz w:val="21"/>
                      <w:szCs w:val="21"/>
                      <w:u w:val="singl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一般固废间暂存，综合利用</w:t>
                  </w:r>
                </w:p>
              </w:tc>
              <w:tc>
                <w:tcPr>
                  <w:tcW w:w="1466" w:type="dxa"/>
                  <w:vMerge w:val="continue"/>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56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8"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生产车间</w:t>
                  </w:r>
                </w:p>
              </w:tc>
              <w:tc>
                <w:tcPr>
                  <w:tcW w:w="1280"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沉淀池废渣</w:t>
                  </w:r>
                </w:p>
              </w:tc>
              <w:tc>
                <w:tcPr>
                  <w:tcW w:w="3212" w:type="dxa"/>
                  <w:vMerge w:val="continue"/>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466" w:type="dxa"/>
                  <w:vMerge w:val="continue"/>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 w:hRule="atLeast"/>
                <w:jc w:val="center"/>
              </w:trPr>
              <w:tc>
                <w:tcPr>
                  <w:tcW w:w="56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8"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生产车间</w:t>
                  </w:r>
                </w:p>
              </w:tc>
              <w:tc>
                <w:tcPr>
                  <w:tcW w:w="1280"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钢化玻璃不合格品</w:t>
                  </w:r>
                </w:p>
              </w:tc>
              <w:tc>
                <w:tcPr>
                  <w:tcW w:w="3212" w:type="dxa"/>
                  <w:vMerge w:val="continue"/>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466" w:type="dxa"/>
                  <w:vMerge w:val="continue"/>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jc w:val="center"/>
              </w:trPr>
              <w:tc>
                <w:tcPr>
                  <w:tcW w:w="56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401" w:type="dxa"/>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p>
              </w:tc>
              <w:tc>
                <w:tcPr>
                  <w:tcW w:w="11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生产车间</w:t>
                  </w:r>
                </w:p>
              </w:tc>
              <w:tc>
                <w:tcPr>
                  <w:tcW w:w="1280" w:type="dxa"/>
                  <w:tcBorders>
                    <w:tl2br w:val="nil"/>
                    <w:tr2bl w:val="nil"/>
                  </w:tcBorders>
                  <w:noWrap w:val="0"/>
                  <w:vAlign w:val="center"/>
                </w:tcPr>
                <w:p>
                  <w:pPr>
                    <w:pStyle w:val="7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废机油</w:t>
                  </w:r>
                </w:p>
              </w:tc>
              <w:tc>
                <w:tcPr>
                  <w:tcW w:w="3212" w:type="dxa"/>
                  <w:tcBorders>
                    <w:tl2br w:val="nil"/>
                    <w:tr2bl w:val="nil"/>
                  </w:tcBorders>
                  <w:noWrap w:val="0"/>
                  <w:vAlign w:val="center"/>
                </w:tcPr>
                <w:p>
                  <w:pPr>
                    <w:pStyle w:val="73"/>
                    <w:keepNext w:val="0"/>
                    <w:keepLines w:val="0"/>
                    <w:suppressLineNumbers w:val="0"/>
                    <w:spacing w:beforeAutospacing="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交</w:t>
                  </w: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由有</w:t>
                  </w: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资质</w:t>
                  </w:r>
                  <w:r>
                    <w:rPr>
                      <w:rFonts w:hint="eastAsia" w:cs="Times New Roman"/>
                      <w:color w:val="0D0D0D" w:themeColor="text1" w:themeTint="F2"/>
                      <w:sz w:val="21"/>
                      <w:szCs w:val="21"/>
                      <w:u w:val="single"/>
                      <w:lang w:val="en-US" w:eastAsia="zh-CN"/>
                      <w14:textFill>
                        <w14:solidFill>
                          <w14:schemeClr w14:val="tx1">
                            <w14:lumMod w14:val="95000"/>
                            <w14:lumOff w14:val="5000"/>
                          </w14:schemeClr>
                        </w14:solidFill>
                      </w14:textFill>
                    </w:rPr>
                    <w:t>危废</w:t>
                  </w:r>
                  <w:r>
                    <w:rPr>
                      <w:rFonts w:hint="default" w:ascii="Times New Roman" w:hAnsi="Times New Roman" w:cs="Times New Roman"/>
                      <w:color w:val="0D0D0D" w:themeColor="text1" w:themeTint="F2"/>
                      <w:sz w:val="21"/>
                      <w:szCs w:val="21"/>
                      <w:u w:val="single"/>
                      <w:lang w:val="en-US" w:eastAsia="zh-CN"/>
                      <w14:textFill>
                        <w14:solidFill>
                          <w14:schemeClr w14:val="tx1">
                            <w14:lumMod w14:val="95000"/>
                            <w14:lumOff w14:val="5000"/>
                          </w14:schemeClr>
                        </w14:solidFill>
                      </w14:textFill>
                    </w:rPr>
                    <w:t>单位</w:t>
                  </w: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处置</w:t>
                  </w:r>
                </w:p>
              </w:tc>
              <w:tc>
                <w:tcPr>
                  <w:tcW w:w="1466" w:type="dxa"/>
                  <w:vMerge w:val="continue"/>
                  <w:tcBorders>
                    <w:tl2br w:val="nil"/>
                    <w:tr2bl w:val="nil"/>
                  </w:tcBorders>
                  <w:noWrap w:val="0"/>
                  <w:vAlign w:val="center"/>
                </w:tcPr>
                <w:p>
                  <w:pPr>
                    <w:pStyle w:val="53"/>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D0D0D" w:themeColor="text1" w:themeTint="F2"/>
                      <w:sz w:val="21"/>
                      <w:szCs w:val="21"/>
                      <w:u w:val="single"/>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8" w:hRule="atLeast"/>
                <w:jc w:val="center"/>
              </w:trPr>
              <w:tc>
                <w:tcPr>
                  <w:tcW w:w="561"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噪声</w:t>
                  </w:r>
                </w:p>
              </w:tc>
              <w:tc>
                <w:tcPr>
                  <w:tcW w:w="1519" w:type="dxa"/>
                  <w:gridSpan w:val="2"/>
                  <w:tcBorders>
                    <w:tl2br w:val="nil"/>
                    <w:tr2bl w:val="nil"/>
                  </w:tcBorders>
                  <w:noWrap w:val="0"/>
                  <w:vAlign w:val="center"/>
                </w:tcPr>
                <w:p>
                  <w:pPr>
                    <w:pStyle w:val="52"/>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营运期</w:t>
                  </w:r>
                </w:p>
              </w:tc>
              <w:tc>
                <w:tcPr>
                  <w:tcW w:w="1280" w:type="dxa"/>
                  <w:tcBorders>
                    <w:tl2br w:val="nil"/>
                    <w:tr2bl w:val="nil"/>
                  </w:tcBorders>
                  <w:noWrap w:val="0"/>
                  <w:vAlign w:val="center"/>
                </w:tcPr>
                <w:p>
                  <w:pPr>
                    <w:pStyle w:val="52"/>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设备噪声</w:t>
                  </w:r>
                </w:p>
              </w:tc>
              <w:tc>
                <w:tcPr>
                  <w:tcW w:w="3212" w:type="dxa"/>
                  <w:tcBorders>
                    <w:tl2br w:val="nil"/>
                    <w:tr2bl w:val="nil"/>
                  </w:tcBorders>
                  <w:noWrap w:val="0"/>
                  <w:vAlign w:val="center"/>
                </w:tcPr>
                <w:p>
                  <w:pPr>
                    <w:pStyle w:val="52"/>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采取合理安排营业时间、合理布置噪声源、绿化吸声、选用低噪声设备等措施</w:t>
                  </w:r>
                </w:p>
              </w:tc>
              <w:tc>
                <w:tcPr>
                  <w:tcW w:w="1466"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0D0D0D" w:themeColor="text1" w:themeTint="F2"/>
                      <w:sz w:val="21"/>
                      <w:szCs w:val="21"/>
                      <w:u w:val="singl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u w:val="single"/>
                      <w14:textFill>
                        <w14:solidFill>
                          <w14:schemeClr w14:val="tx1">
                            <w14:lumMod w14:val="95000"/>
                            <w14:lumOff w14:val="5000"/>
                          </w14:schemeClr>
                        </w14:solidFill>
                      </w14:textFill>
                    </w:rPr>
                    <w:t>边界噪声达《</w:t>
                  </w:r>
                  <w:r>
                    <w:rPr>
                      <w:rFonts w:hint="eastAsia" w:cs="Times New Roman"/>
                      <w:color w:val="0D0D0D" w:themeColor="text1" w:themeTint="F2"/>
                      <w:sz w:val="21"/>
                      <w:szCs w:val="21"/>
                      <w:u w:val="single"/>
                      <w:lang w:eastAsia="zh-CN"/>
                      <w14:textFill>
                        <w14:solidFill>
                          <w14:schemeClr w14:val="tx1">
                            <w14:lumMod w14:val="95000"/>
                            <w14:lumOff w14:val="5000"/>
                          </w14:schemeClr>
                        </w14:solidFill>
                      </w14:textFill>
                    </w:rPr>
                    <w:t>工业企业厂界环境噪声排放标准》(GB12348-2008)中 2 类标准</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0D0D0D" w:themeColor="text1" w:themeTint="F2"/>
                <w:spacing w:val="-10"/>
                <w:szCs w:val="21"/>
                <w14:textFill>
                  <w14:solidFill>
                    <w14:schemeClr w14:val="tx1">
                      <w14:lumMod w14:val="95000"/>
                      <w14:lumOff w14:val="5000"/>
                    </w14:schemeClr>
                  </w14:solidFill>
                </w14:textFill>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7"/>
        <w:jc w:val="center"/>
        <w:outlineLvl w:val="0"/>
        <w:rPr>
          <w:rFonts w:ascii="黑体" w:hAnsi="黑体" w:eastAsia="黑体"/>
          <w:snapToGrid w:val="0"/>
          <w:sz w:val="30"/>
          <w:szCs w:val="30"/>
        </w:rPr>
      </w:pPr>
      <w:bookmarkStart w:id="15" w:name="_Toc15951"/>
      <w:bookmarkStart w:id="16" w:name="_Toc3072"/>
      <w:r>
        <w:rPr>
          <w:rFonts w:hint="eastAsia" w:ascii="黑体" w:hAnsi="黑体" w:eastAsia="黑体"/>
          <w:snapToGrid w:val="0"/>
          <w:sz w:val="30"/>
          <w:szCs w:val="30"/>
        </w:rPr>
        <w:t>五、</w:t>
      </w:r>
      <w:bookmarkStart w:id="17" w:name="_Hlk54167917"/>
      <w:r>
        <w:rPr>
          <w:rFonts w:hint="eastAsia" w:ascii="黑体" w:hAnsi="黑体" w:eastAsia="黑体"/>
          <w:snapToGrid w:val="0"/>
          <w:sz w:val="30"/>
          <w:szCs w:val="30"/>
        </w:rPr>
        <w:t>环境保护措施监督检查清单</w:t>
      </w:r>
      <w:bookmarkEnd w:id="15"/>
      <w:bookmarkEnd w:id="16"/>
      <w:bookmarkEnd w:id="17"/>
    </w:p>
    <w:tbl>
      <w:tblPr>
        <w:tblStyle w:val="31"/>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547"/>
        <w:gridCol w:w="1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eastAsia" w:ascii="宋体" w:hAnsi="宋体" w:cs="宋体"/>
                <w:b/>
                <w:bCs/>
                <w:sz w:val="21"/>
                <w:szCs w:val="21"/>
              </w:rPr>
            </w:pPr>
            <w:r>
              <w:rPr>
                <w:rFonts w:hint="eastAsia" w:ascii="宋体" w:hAnsi="宋体" w:cs="宋体"/>
                <w:b/>
                <w:bCs/>
                <w:sz w:val="21"/>
                <w:szCs w:val="21"/>
              </w:rPr>
              <w:t>内容</w:t>
            </w:r>
          </w:p>
          <w:p>
            <w:pPr>
              <w:keepNext w:val="0"/>
              <w:keepLines w:val="0"/>
              <w:suppressLineNumbers w:val="0"/>
              <w:adjustRightInd w:val="0"/>
              <w:snapToGrid w:val="0"/>
              <w:spacing w:before="0" w:beforeAutospacing="0" w:after="0" w:afterAutospacing="0"/>
              <w:ind w:left="0" w:right="0"/>
              <w:rPr>
                <w:rFonts w:hint="eastAsia" w:ascii="宋体" w:hAnsi="宋体" w:cs="宋体"/>
                <w:b/>
                <w:bCs/>
                <w:sz w:val="21"/>
                <w:szCs w:val="21"/>
              </w:rPr>
            </w:pPr>
            <w:r>
              <w:rPr>
                <w:rFonts w:hint="eastAsia" w:ascii="宋体" w:hAnsi="宋体" w:cs="宋体"/>
                <w:b/>
                <w:bCs/>
                <w:sz w:val="21"/>
                <w:szCs w:val="21"/>
              </w:rPr>
              <w:t>要素</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排放口(编号、</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名称)/污染源</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污染物项目</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环境保护措施</w:t>
            </w:r>
          </w:p>
        </w:tc>
        <w:tc>
          <w:tcPr>
            <w:tcW w:w="19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大气环境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磨边工序</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颗粒物</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湿法作业、加强通风</w:t>
            </w:r>
          </w:p>
        </w:tc>
        <w:tc>
          <w:tcPr>
            <w:tcW w:w="196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《玻璃工业大气污染物排放标准》（GB26453-2022）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涂胶、封胶</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非甲烷总烃</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加强通风、规范作业</w:t>
            </w:r>
          </w:p>
        </w:tc>
        <w:tc>
          <w:tcPr>
            <w:tcW w:w="19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地表水环境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DW001、厂区总排水口/生活废水生活污水</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pH、COD、BOD5、悬浮物、氨氮等</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rPr>
              <w:t>经化粪池处理后，</w:t>
            </w:r>
            <w:r>
              <w:rPr>
                <w:rFonts w:hint="eastAsia" w:ascii="宋体" w:hAnsi="宋体" w:cs="宋体"/>
                <w:sz w:val="21"/>
                <w:szCs w:val="21"/>
                <w:lang w:val="en-US" w:eastAsia="zh-CN"/>
              </w:rPr>
              <w:t>进入富家桥镇污水处理厂处理后外排</w:t>
            </w:r>
          </w:p>
        </w:tc>
        <w:tc>
          <w:tcPr>
            <w:tcW w:w="1965" w:type="dxa"/>
            <w:noWrap w:val="0"/>
            <w:tcMar>
              <w:top w:w="0" w:type="dxa"/>
              <w:left w:w="51" w:type="dxa"/>
              <w:bottom w:w="0" w:type="dxa"/>
              <w:right w:w="51" w:type="dxa"/>
            </w:tcMar>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《城镇污水处理厂污染物排放标准》（GB18918-2002）中的一级 B 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声环境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厂界四周</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等效A 声级</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选用低噪设备、加装基础减振装置、厂房隔声</w:t>
            </w:r>
          </w:p>
        </w:tc>
        <w:tc>
          <w:tcPr>
            <w:tcW w:w="19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工业企业厂界环境噪声排放标准》(GB12348-2008)中 2 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电磁辐射</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c>
          <w:tcPr>
            <w:tcW w:w="154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c>
          <w:tcPr>
            <w:tcW w:w="19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固体废物</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cs="宋体"/>
                <w:sz w:val="21"/>
                <w:szCs w:val="21"/>
              </w:rPr>
            </w:pPr>
            <w:r>
              <w:rPr>
                <w:rFonts w:hint="eastAsia" w:ascii="宋体" w:hAnsi="宋体" w:cs="宋体"/>
                <w:sz w:val="21"/>
                <w:szCs w:val="21"/>
              </w:rPr>
              <w:t>玻璃边角料、不合格产品、沉淀池废渣均可出售于专门收购玻璃公司回收利用；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left"/>
              <w:rPr>
                <w:rFonts w:hint="default"/>
              </w:rPr>
            </w:pP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cs="宋体"/>
                <w:sz w:val="21"/>
                <w:szCs w:val="21"/>
              </w:rPr>
            </w:pPr>
            <w:r>
              <w:rPr>
                <w:rFonts w:hint="eastAsia" w:ascii="宋体" w:hAnsi="宋体" w:cs="宋体"/>
                <w:sz w:val="21"/>
                <w:szCs w:val="21"/>
              </w:rPr>
              <w:t>生活垃圾集中收集后，统一清运至环卫部门指定的地方处理。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cs="宋体"/>
                <w:sz w:val="21"/>
                <w:szCs w:val="21"/>
              </w:rPr>
            </w:pP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cs="宋体"/>
                <w:sz w:val="21"/>
                <w:szCs w:val="21"/>
              </w:rPr>
            </w:pPr>
            <w:r>
              <w:rPr>
                <w:rFonts w:hint="eastAsia" w:ascii="宋体" w:hAnsi="宋体" w:cs="宋体"/>
                <w:sz w:val="21"/>
                <w:szCs w:val="21"/>
              </w:rPr>
              <w:t>危险废物：设置危废暂存间，废胶桶、废机油、废抹布、棉纱</w:t>
            </w:r>
            <w:r>
              <w:rPr>
                <w:rFonts w:hint="eastAsia" w:ascii="宋体" w:hAnsi="宋体" w:cs="宋体"/>
                <w:sz w:val="21"/>
                <w:szCs w:val="21"/>
                <w:lang w:val="en-US" w:eastAsia="zh-CN"/>
              </w:rPr>
              <w:t>等</w:t>
            </w:r>
            <w:r>
              <w:rPr>
                <w:rFonts w:hint="eastAsia" w:ascii="宋体" w:hAnsi="宋体" w:cs="宋体"/>
                <w:sz w:val="21"/>
                <w:szCs w:val="21"/>
              </w:rPr>
              <w:t>妥善分类收集后暂存于危废暂存间，委托有资质单位统一处置；符合《危险废物贮存污染控制标准》（GB18597-2023）相关要求。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土壤及地下水</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污染防治措施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z w:val="21"/>
                <w:szCs w:val="21"/>
              </w:rPr>
            </w:pPr>
            <w:r>
              <w:rPr>
                <w:rFonts w:hint="eastAsia" w:ascii="宋体" w:hAnsi="宋体" w:cs="宋体"/>
                <w:b/>
                <w:bCs/>
                <w:sz w:val="21"/>
                <w:szCs w:val="21"/>
              </w:rPr>
              <w:t>生态保护措施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
                <w:bCs/>
                <w:spacing w:val="-8"/>
                <w:sz w:val="21"/>
                <w:szCs w:val="21"/>
              </w:rPr>
            </w:pPr>
            <w:r>
              <w:rPr>
                <w:rFonts w:hint="eastAsia" w:ascii="宋体" w:hAnsi="宋体" w:cs="宋体"/>
                <w:b/>
                <w:bCs/>
                <w:spacing w:val="-8"/>
                <w:sz w:val="21"/>
                <w:szCs w:val="21"/>
              </w:rPr>
              <w:t>环境风险</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pacing w:val="-8"/>
                <w:sz w:val="21"/>
                <w:szCs w:val="21"/>
              </w:rPr>
            </w:pPr>
            <w:r>
              <w:rPr>
                <w:rFonts w:hint="eastAsia" w:ascii="宋体" w:hAnsi="宋体" w:cs="宋体"/>
                <w:b/>
                <w:bCs/>
                <w:spacing w:val="-8"/>
                <w:sz w:val="21"/>
                <w:szCs w:val="21"/>
              </w:rPr>
              <w:t>防范措施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
                <w:bCs/>
                <w:spacing w:val="-8"/>
                <w:sz w:val="21"/>
                <w:szCs w:val="21"/>
              </w:rPr>
            </w:pPr>
            <w:r>
              <w:rPr>
                <w:rFonts w:hint="eastAsia" w:ascii="宋体" w:hAnsi="宋体" w:cs="宋体"/>
                <w:b/>
                <w:bCs/>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spacing w:val="-8"/>
                <w:sz w:val="21"/>
                <w:szCs w:val="21"/>
              </w:rPr>
            </w:pPr>
            <w:r>
              <w:rPr>
                <w:rFonts w:hint="eastAsia" w:ascii="宋体" w:hAnsi="宋体" w:cs="宋体"/>
                <w:b/>
                <w:bCs/>
                <w:spacing w:val="-8"/>
                <w:sz w:val="21"/>
                <w:szCs w:val="21"/>
              </w:rPr>
              <w:t>管理要求</w:t>
            </w:r>
          </w:p>
        </w:tc>
        <w:tc>
          <w:tcPr>
            <w:tcW w:w="7022" w:type="dxa"/>
            <w:gridSpan w:val="4"/>
            <w:noWrap w:val="0"/>
            <w:vAlign w:val="center"/>
          </w:tcPr>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按照相关法律法规和技术规范，建设单位应组织开展环境监测活动，严格落实制定的环境监测计划。明确单位责任人和相关人员环境保护责任，不断提高污染治理和环境管理水平，自觉接受监督检查。</w:t>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22" w:firstLineChars="200"/>
              <w:rPr>
                <w:rFonts w:hint="eastAsia" w:ascii="宋体" w:hAnsi="宋体" w:cs="宋体"/>
                <w:b/>
                <w:bCs/>
                <w:sz w:val="21"/>
                <w:szCs w:val="21"/>
              </w:rPr>
            </w:pPr>
            <w:r>
              <w:rPr>
                <w:rFonts w:hint="eastAsia" w:ascii="宋体" w:hAnsi="宋体" w:eastAsia="宋体" w:cs="宋体"/>
                <w:b/>
                <w:bCs/>
                <w:kern w:val="2"/>
                <w:sz w:val="21"/>
                <w:szCs w:val="21"/>
                <w:lang w:val="en-US" w:eastAsia="zh-CN" w:bidi="ar-SA"/>
              </w:rPr>
              <w:t>1、</w:t>
            </w:r>
            <w:r>
              <w:rPr>
                <w:rFonts w:hint="eastAsia" w:ascii="宋体" w:hAnsi="宋体" w:cs="宋体"/>
                <w:b/>
                <w:bCs/>
                <w:sz w:val="21"/>
                <w:szCs w:val="21"/>
              </w:rPr>
              <w:t>竣工环境保护验收</w:t>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20" w:firstLineChars="200"/>
              <w:rPr>
                <w:rFonts w:hint="eastAsia" w:ascii="宋体" w:hAnsi="宋体" w:cs="宋体"/>
                <w:sz w:val="21"/>
                <w:szCs w:val="21"/>
              </w:rPr>
            </w:pPr>
            <w:r>
              <w:rPr>
                <w:rFonts w:hint="eastAsia" w:ascii="宋体" w:hAnsi="宋体" w:cs="宋体"/>
                <w:sz w:val="21"/>
                <w:szCs w:val="21"/>
              </w:rPr>
              <w:t>根据《建设项目竣工环境保护验收暂行办法》的规定，建设项目竣工后，建设单位应当如实查验、监测、记载建设项目环境保护设施的建设和调试情况，编制验收监测报告表。</w:t>
            </w:r>
          </w:p>
          <w:p>
            <w:pPr>
              <w:keepNext w:val="0"/>
              <w:keepLines w:val="0"/>
              <w:numPr>
                <w:ilvl w:val="0"/>
                <w:numId w:val="0"/>
              </w:numPr>
              <w:suppressLineNumbers w:val="0"/>
              <w:adjustRightInd w:val="0"/>
              <w:snapToGrid w:val="0"/>
              <w:spacing w:before="0" w:beforeAutospacing="0" w:after="0" w:afterAutospacing="0" w:line="360" w:lineRule="auto"/>
              <w:ind w:left="0" w:right="0" w:rightChars="0" w:firstLine="422" w:firstLineChars="200"/>
              <w:rPr>
                <w:rFonts w:hint="eastAsia" w:ascii="宋体" w:hAnsi="宋体" w:cs="宋体"/>
                <w:sz w:val="21"/>
                <w:szCs w:val="21"/>
              </w:rPr>
            </w:pPr>
            <w:r>
              <w:rPr>
                <w:rFonts w:hint="eastAsia" w:ascii="宋体" w:hAnsi="宋体" w:cs="宋体"/>
                <w:b/>
                <w:bCs/>
                <w:sz w:val="21"/>
                <w:szCs w:val="21"/>
              </w:rPr>
              <w:t>2、排污许可管理要求</w:t>
            </w:r>
          </w:p>
          <w:p>
            <w:pPr>
              <w:keepNext w:val="0"/>
              <w:keepLines w:val="0"/>
              <w:numPr>
                <w:ilvl w:val="0"/>
                <w:numId w:val="0"/>
              </w:numPr>
              <w:suppressLineNumbers w:val="0"/>
              <w:adjustRightInd w:val="0"/>
              <w:snapToGrid w:val="0"/>
              <w:spacing w:before="0" w:beforeAutospacing="0" w:after="0" w:afterAutospacing="0" w:line="360" w:lineRule="auto"/>
              <w:ind w:left="0" w:right="0" w:rightChars="0" w:firstLine="420" w:firstLineChars="200"/>
              <w:rPr>
                <w:rFonts w:hint="eastAsia" w:ascii="宋体" w:hAnsi="宋体" w:cs="宋体"/>
                <w:sz w:val="21"/>
                <w:szCs w:val="21"/>
              </w:rPr>
            </w:pPr>
            <w:r>
              <w:rPr>
                <w:rFonts w:hint="eastAsia" w:ascii="宋体" w:hAnsi="宋体" w:cs="宋体"/>
                <w:sz w:val="21"/>
                <w:szCs w:val="21"/>
              </w:rPr>
              <w:t>根据《固定污染源排污许可分类管理名录(2019 年版)》(生态环境部 第 11 号) 对应“6</w:t>
            </w:r>
            <w:r>
              <w:rPr>
                <w:rFonts w:hint="eastAsia" w:ascii="宋体" w:hAnsi="宋体" w:cs="宋体"/>
                <w:sz w:val="21"/>
                <w:szCs w:val="21"/>
                <w:lang w:val="en-US" w:eastAsia="zh-CN"/>
              </w:rPr>
              <w:t>6</w:t>
            </w:r>
            <w:r>
              <w:rPr>
                <w:rFonts w:hint="eastAsia" w:ascii="宋体" w:hAnsi="宋体" w:cs="宋体"/>
                <w:sz w:val="21"/>
                <w:szCs w:val="21"/>
              </w:rPr>
              <w:t>、玻璃制造 30</w:t>
            </w:r>
            <w:r>
              <w:rPr>
                <w:rFonts w:hint="eastAsia" w:ascii="宋体" w:hAnsi="宋体" w:cs="宋体"/>
                <w:sz w:val="21"/>
                <w:szCs w:val="21"/>
                <w:lang w:val="en-US" w:eastAsia="zh-CN"/>
              </w:rPr>
              <w:t>5</w:t>
            </w:r>
            <w:r>
              <w:rPr>
                <w:rFonts w:hint="eastAsia" w:ascii="宋体" w:hAnsi="宋体" w:cs="宋体"/>
                <w:sz w:val="21"/>
                <w:szCs w:val="21"/>
              </w:rPr>
              <w:t>、</w:t>
            </w:r>
            <w:r>
              <w:rPr>
                <w:rFonts w:hint="eastAsia" w:ascii="宋体" w:hAnsi="宋体" w:cs="宋体"/>
                <w:sz w:val="21"/>
                <w:szCs w:val="21"/>
                <w:lang w:val="en-US" w:eastAsia="zh-CN"/>
              </w:rPr>
              <w:t>其他</w:t>
            </w:r>
            <w:r>
              <w:rPr>
                <w:rFonts w:hint="eastAsia" w:ascii="宋体" w:hAnsi="宋体" w:cs="宋体"/>
                <w:sz w:val="21"/>
                <w:szCs w:val="21"/>
              </w:rPr>
              <w:t>”，属于</w:t>
            </w:r>
            <w:r>
              <w:rPr>
                <w:rFonts w:hint="eastAsia" w:ascii="宋体" w:hAnsi="宋体" w:cs="宋体"/>
                <w:sz w:val="21"/>
                <w:szCs w:val="21"/>
                <w:lang w:val="en-US" w:eastAsia="zh-CN"/>
              </w:rPr>
              <w:t>登记</w:t>
            </w:r>
            <w:r>
              <w:rPr>
                <w:rFonts w:hint="eastAsia" w:ascii="宋体" w:hAnsi="宋体" w:cs="宋体"/>
                <w:sz w:val="21"/>
                <w:szCs w:val="21"/>
              </w:rPr>
              <w:t>管理；因此，建设单位应当在启动生产设施或者发生实际排污之前在全国排污许可证管理信息平台进行排污许可申报工作。</w:t>
            </w:r>
          </w:p>
        </w:tc>
      </w:tr>
    </w:tbl>
    <w:p>
      <w:pPr>
        <w:pStyle w:val="27"/>
        <w:jc w:val="center"/>
        <w:outlineLvl w:val="0"/>
        <w:rPr>
          <w:rFonts w:ascii="黑体" w:hAnsi="黑体" w:eastAsia="黑体"/>
          <w:snapToGrid w:val="0"/>
          <w:sz w:val="30"/>
          <w:szCs w:val="30"/>
        </w:rPr>
      </w:pPr>
      <w:r>
        <w:rPr>
          <w:snapToGrid w:val="0"/>
        </w:rPr>
        <w:br w:type="page"/>
      </w:r>
      <w:bookmarkStart w:id="18" w:name="_Toc7801"/>
      <w:bookmarkStart w:id="19" w:name="_Toc21742"/>
      <w:r>
        <w:rPr>
          <w:rFonts w:hint="eastAsia" w:ascii="黑体" w:hAnsi="黑体" w:eastAsia="黑体"/>
          <w:snapToGrid w:val="0"/>
          <w:sz w:val="30"/>
          <w:szCs w:val="30"/>
        </w:rPr>
        <w:t>六、结论</w:t>
      </w:r>
      <w:bookmarkEnd w:id="18"/>
      <w:bookmarkEnd w:id="19"/>
    </w:p>
    <w:tbl>
      <w:tblPr>
        <w:tblStyle w:val="31"/>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spacing w:before="0" w:beforeAutospacing="0" w:after="0" w:afterAutospacing="0" w:line="360" w:lineRule="auto"/>
              <w:ind w:left="0" w:right="0" w:firstLine="480" w:firstLineChars="200"/>
              <w:jc w:val="both"/>
              <w:rPr>
                <w:rFonts w:hint="default" w:ascii="宋体" w:cs="宋体"/>
                <w:sz w:val="24"/>
              </w:rPr>
            </w:pPr>
          </w:p>
          <w:p>
            <w:pPr>
              <w:keepNext w:val="0"/>
              <w:keepLines w:val="0"/>
              <w:suppressLineNumbers w:val="0"/>
              <w:spacing w:before="0" w:beforeAutospacing="0" w:after="0" w:afterAutospacing="0" w:line="360" w:lineRule="auto"/>
              <w:ind w:left="0" w:right="0" w:firstLine="480" w:firstLineChars="200"/>
              <w:jc w:val="both"/>
              <w:rPr>
                <w:rFonts w:hint="default" w:ascii="宋体" w:cs="宋体"/>
                <w:sz w:val="24"/>
              </w:rPr>
            </w:pPr>
            <w:r>
              <w:rPr>
                <w:rFonts w:hint="eastAsia" w:ascii="宋体" w:cs="宋体"/>
                <w:sz w:val="24"/>
                <w:lang w:eastAsia="zh-CN"/>
              </w:rPr>
              <w:t>本扩建项目</w:t>
            </w:r>
            <w:r>
              <w:rPr>
                <w:rFonts w:hint="default" w:ascii="宋体" w:cs="宋体"/>
                <w:sz w:val="24"/>
              </w:rPr>
              <w:t>符合国家产业政策。建设项目采用了先进的生产工艺，产污量少；建设项目所排放的污染物采取了有效的污染控制措施，污染物能达标排放。预测表明对评价区的水、气、声环境影响较小，不会降低项目所在地的环境质量。本评价认为企业必须严格按照本报告提出的相关要求组织实施，对项目产生的污染物进行治理，减少三废污染物的产生量和排放量，严格执行“三同时”，重点做好大气污染防治工作，并切实采取本报告提出的清洁生产措施、事故应急预案与环境风险防范措施。在此基础上，从环境保护角度分析，</w:t>
            </w:r>
            <w:r>
              <w:rPr>
                <w:rFonts w:hint="eastAsia" w:ascii="宋体" w:cs="宋体"/>
                <w:sz w:val="24"/>
                <w:lang w:eastAsia="zh-CN"/>
              </w:rPr>
              <w:t>本扩建项目</w:t>
            </w:r>
            <w:r>
              <w:rPr>
                <w:rFonts w:hint="default" w:ascii="宋体" w:cs="宋体"/>
                <w:sz w:val="24"/>
              </w:rPr>
              <w:t>从环保角度而言是可行的。</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3"/>
        <w:bidi w:val="0"/>
        <w:rPr>
          <w:rFonts w:hint="default"/>
          <w:lang w:val="en-US" w:eastAsia="zh-CN"/>
        </w:rPr>
      </w:pPr>
      <w:bookmarkStart w:id="20" w:name="_Toc19918"/>
      <w:r>
        <w:rPr>
          <w:rFonts w:hint="eastAsia"/>
        </w:rPr>
        <w:t>附表</w:t>
      </w:r>
      <w:bookmarkEnd w:id="20"/>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方正小标宋_GBK" w:hAnsi="黑体" w:eastAsia="方正小标宋_GBK"/>
          <w:snapToGrid w:val="0"/>
          <w:sz w:val="38"/>
          <w:szCs w:val="38"/>
        </w:rPr>
      </w:pPr>
      <w:bookmarkStart w:id="21" w:name="_Toc19849"/>
      <w:bookmarkStart w:id="22" w:name="_Toc28895"/>
      <w:r>
        <w:rPr>
          <w:rFonts w:hint="eastAsia" w:ascii="方正小标宋_GBK" w:hAnsi="黑体" w:eastAsia="方正小标宋_GBK"/>
          <w:snapToGrid w:val="0"/>
          <w:sz w:val="38"/>
          <w:szCs w:val="38"/>
        </w:rPr>
        <w:t>建设项目污染物排放量汇总表</w:t>
      </w:r>
      <w:bookmarkEnd w:id="21"/>
      <w:bookmarkEnd w:id="22"/>
    </w:p>
    <w:tbl>
      <w:tblPr>
        <w:tblStyle w:val="31"/>
        <w:tblW w:w="1393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432"/>
        <w:gridCol w:w="1719"/>
        <w:gridCol w:w="1290"/>
        <w:gridCol w:w="1719"/>
        <w:gridCol w:w="1576"/>
        <w:gridCol w:w="1781"/>
        <w:gridCol w:w="1981"/>
        <w:gridCol w:w="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1605" w:type="dxa"/>
            <w:tcBorders>
              <w:tl2br w:val="single" w:color="auto" w:sz="4" w:space="0"/>
            </w:tcBorders>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jc w:val="right"/>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pPr>
            <w:r>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t>项目</w:t>
            </w:r>
          </w:p>
          <w:p>
            <w:pPr>
              <w:pStyle w:val="46"/>
              <w:keepNext w:val="0"/>
              <w:keepLines w:val="0"/>
              <w:suppressLineNumbers w:val="0"/>
              <w:spacing w:before="0" w:beforeLines="0" w:beforeAutospacing="0" w:after="0" w:afterLines="0" w:afterAutospacing="0" w:line="240" w:lineRule="auto"/>
              <w:ind w:left="0" w:right="0"/>
              <w:jc w:val="left"/>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pPr>
            <w:r>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t>分类</w:t>
            </w:r>
          </w:p>
        </w:tc>
        <w:tc>
          <w:tcPr>
            <w:tcW w:w="1432"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pPr>
            <w:r>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t>污染物名称</w:t>
            </w:r>
          </w:p>
        </w:tc>
        <w:tc>
          <w:tcPr>
            <w:tcW w:w="1719"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现有工程</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体</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物</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产生量）</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instrText xml:space="preserve"> = 1 \* GB3 \* MERGEFORMAT </w:instrTex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①</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290"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现有工程</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许可排放量</w:t>
            </w:r>
          </w:p>
          <w:p>
            <w:pPr>
              <w:pStyle w:val="46"/>
              <w:keepNext w:val="0"/>
              <w:keepLines w:val="0"/>
              <w:suppressLineNumbers w:val="0"/>
              <w:spacing w:before="0" w:beforeLines="0" w:beforeAutospacing="0" w:after="0" w:afterLines="0" w:afterAutospacing="0"/>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instrText xml:space="preserve"> = 2 \* GB3 \* MERGEFORMAT </w:instrTex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ascii="黑体" w:hAnsi="黑体" w:eastAsia="黑体" w:cs="宋体"/>
                <w:snapToGrid w:val="0"/>
                <w:color w:val="0D0D0D" w:themeColor="text1" w:themeTint="F2"/>
                <w:spacing w:val="-6"/>
                <w:kern w:val="21"/>
                <w:szCs w:val="21"/>
                <w14:textFill>
                  <w14:solidFill>
                    <w14:schemeClr w14:val="tx1">
                      <w14:lumMod w14:val="95000"/>
                      <w14:lumOff w14:val="5000"/>
                    </w14:schemeClr>
                  </w14:solidFill>
                </w14:textFill>
              </w:rPr>
              <w:t>②</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719"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在建工程</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体</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物</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产生量）</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instrText xml:space="preserve"> = 3 \* GB3 \* MERGEFORMAT </w:instrTex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③</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576"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本项目</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体</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物</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产生量）</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instrText xml:space="preserve"> = 4 \* GB3 \* MERGEFORMAT </w:instrTex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④</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781"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以新带老削减量</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（新建项目不填）</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instrText xml:space="preserve"> = 5 \* GB3 \* MERGEFORMAT </w:instrTex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⑤</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end"/>
            </w:r>
          </w:p>
        </w:tc>
        <w:tc>
          <w:tcPr>
            <w:tcW w:w="1981"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eastAsia"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本项目建成后</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pPr>
            <w:r>
              <w:rPr>
                <w:rFonts w:hint="eastAsia"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全厂</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排放量（固</w:t>
            </w:r>
            <w:r>
              <w:rPr>
                <w:rFonts w:hint="eastAsia"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体</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废</w:t>
            </w:r>
            <w:r>
              <w:rPr>
                <w:rFonts w:hint="eastAsia"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物</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t>产生量）</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instrText xml:space="preserve"> = 6 \* GB3 \* MERGEFORMAT </w:instrTex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⑥</w:t>
            </w:r>
            <w:r>
              <w:rPr>
                <w:rFonts w:hint="default" w:ascii="黑体" w:hAnsi="黑体" w:eastAsia="黑体"/>
                <w:snapToGrid w:val="0"/>
                <w:color w:val="0D0D0D" w:themeColor="text1" w:themeTint="F2"/>
                <w:spacing w:val="-16"/>
                <w:kern w:val="21"/>
                <w:szCs w:val="21"/>
                <w14:textFill>
                  <w14:solidFill>
                    <w14:schemeClr w14:val="tx1">
                      <w14:lumMod w14:val="95000"/>
                      <w14:lumOff w14:val="5000"/>
                    </w14:schemeClr>
                  </w14:solidFill>
                </w14:textFill>
              </w:rPr>
              <w:fldChar w:fldCharType="end"/>
            </w:r>
          </w:p>
        </w:tc>
        <w:tc>
          <w:tcPr>
            <w:tcW w:w="833" w:type="dxa"/>
            <w:noWrap w:val="0"/>
            <w:tcMar>
              <w:left w:w="28" w:type="dxa"/>
              <w:right w:w="28" w:type="dxa"/>
            </w:tcMar>
            <w:vAlign w:val="center"/>
          </w:tcPr>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t>变化量</w:t>
            </w:r>
          </w:p>
          <w:p>
            <w:pPr>
              <w:pStyle w:val="46"/>
              <w:keepNext w:val="0"/>
              <w:keepLines w:val="0"/>
              <w:suppressLineNumbers w:val="0"/>
              <w:spacing w:before="0" w:beforeLines="0" w:beforeAutospacing="0" w:after="0" w:afterLines="0" w:afterAutospacing="0" w:line="240" w:lineRule="auto"/>
              <w:ind w:left="0" w:right="0"/>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pP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instrText xml:space="preserve"> = 7 \* GB3 \* MERGEFORMAT </w:instrTex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ascii="黑体" w:hAnsi="黑体" w:eastAsia="黑体" w:cs="宋体"/>
                <w:color w:val="0D0D0D" w:themeColor="text1" w:themeTint="F2"/>
                <w:kern w:val="2"/>
                <w:szCs w:val="21"/>
                <w14:textFill>
                  <w14:solidFill>
                    <w14:schemeClr w14:val="tx1">
                      <w14:lumMod w14:val="95000"/>
                      <w14:lumOff w14:val="5000"/>
                    </w14:schemeClr>
                  </w14:solidFill>
                </w14:textFill>
              </w:rPr>
              <w:t>⑦</w:t>
            </w:r>
            <w:r>
              <w:rPr>
                <w:rFonts w:hint="default" w:ascii="黑体" w:hAnsi="黑体" w:eastAsia="黑体"/>
                <w:snapToGrid w:val="0"/>
                <w:color w:val="0D0D0D" w:themeColor="text1" w:themeTint="F2"/>
                <w:spacing w:val="-6"/>
                <w:kern w:val="21"/>
                <w:szCs w:val="21"/>
                <w14:textFill>
                  <w14:solidFill>
                    <w14:schemeClr w14:val="tx1">
                      <w14:lumMod w14:val="95000"/>
                      <w14:lumOff w14:val="5000"/>
                    </w14:schemeClr>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restart"/>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废气</w:t>
            </w: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颗粒物</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1.05t/a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1.05t/a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1.05t/a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非甲烷总烃</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0.257t/a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0.427t/a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0.427t/a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restart"/>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废水</w:t>
            </w: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废水总量</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806.4t/a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1260m</w:t>
            </w:r>
            <w:r>
              <w:rPr>
                <w:rFonts w:hint="eastAsia" w:hAnsi="宋体" w:cs="宋体"/>
                <w:snapToGrid w:val="0"/>
                <w:color w:val="0D0D0D" w:themeColor="text1" w:themeTint="F2"/>
                <w:kern w:val="21"/>
                <w:szCs w:val="21"/>
                <w:vertAlign w:val="superscript"/>
                <w:lang w:val="en-US" w:eastAsia="zh-CN"/>
                <w14:textFill>
                  <w14:solidFill>
                    <w14:schemeClr w14:val="tx1">
                      <w14:lumMod w14:val="95000"/>
                      <w14:lumOff w14:val="5000"/>
                    </w14:schemeClr>
                  </w14:solidFill>
                </w14:textFill>
              </w:rPr>
              <w:t>3</w:t>
            </w: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1260m3/a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453.6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t>COD</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0.226t/a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0.353t/a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0.353t/a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t>BOD</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0.097t/a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0.151t/a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0.151t/a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t>SS</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0.161t/a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0.252t/a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0.252t/a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t>氨氮</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0.0161t/a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0.0252t/a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0.0252t/a</w:t>
            </w:r>
          </w:p>
        </w:tc>
        <w:tc>
          <w:tcPr>
            <w:tcW w:w="833" w:type="dxa"/>
            <w:noWrap w:val="0"/>
            <w:tcMar>
              <w:top w:w="0" w:type="dxa"/>
              <w:left w:w="51" w:type="dxa"/>
              <w:bottom w:w="0" w:type="dxa"/>
              <w:right w:w="51" w:type="dxa"/>
            </w:tcMar>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0.0091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restart"/>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一般工业</w:t>
            </w:r>
          </w:p>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固体废物</w:t>
            </w: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玻璃边角料</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275t/a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449t/a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449t/a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不合格产品</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5t/a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10t/a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10t/a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铝条边角料</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0.06t/a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0.1t/a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沉底池沉渣</w:t>
            </w:r>
          </w:p>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r>
              <w:rPr>
                <w:rFonts w:hint="default" w:hAnsi="宋体" w:cs="宋体"/>
                <w:snapToGrid w:val="0"/>
                <w:color w:val="0D0D0D" w:themeColor="text1" w:themeTint="F2"/>
                <w:kern w:val="21"/>
                <w:szCs w:val="21"/>
                <w14:textFill>
                  <w14:solidFill>
                    <w14:schemeClr w14:val="tx1">
                      <w14:lumMod w14:val="95000"/>
                      <w14:lumOff w14:val="5000"/>
                    </w14:schemeClr>
                  </w14:solidFill>
                </w14:textFill>
              </w:rPr>
              <w:t>（玻璃废渣）</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0.5t/a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1t/a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0.5t/a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05" w:type="dxa"/>
            <w:vMerge w:val="restart"/>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危险废物</w:t>
            </w: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废</w:t>
            </w: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机油</w:t>
            </w: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桶</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0.002t/a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0.003t/a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0.005t/a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605" w:type="dxa"/>
            <w:vMerge w:val="continue"/>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432"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cs="宋体"/>
                <w:snapToGrid w:val="0"/>
                <w:color w:val="0D0D0D" w:themeColor="text1" w:themeTint="F2"/>
                <w:kern w:val="21"/>
                <w:szCs w:val="21"/>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14:textFill>
                  <w14:solidFill>
                    <w14:schemeClr w14:val="tx1">
                      <w14:lumMod w14:val="95000"/>
                      <w14:lumOff w14:val="5000"/>
                    </w14:schemeClr>
                  </w14:solidFill>
                </w14:textFill>
              </w:rPr>
              <w:t>废机油</w:t>
            </w: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0.02t/a</w:t>
            </w:r>
          </w:p>
        </w:tc>
        <w:tc>
          <w:tcPr>
            <w:tcW w:w="1290"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719"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576"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0.02t/a</w:t>
            </w:r>
          </w:p>
        </w:tc>
        <w:tc>
          <w:tcPr>
            <w:tcW w:w="17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cs="宋体"/>
                <w:snapToGrid w:val="0"/>
                <w:color w:val="0D0D0D" w:themeColor="text1" w:themeTint="F2"/>
                <w:kern w:val="21"/>
                <w:szCs w:val="21"/>
                <w14:textFill>
                  <w14:solidFill>
                    <w14:schemeClr w14:val="tx1">
                      <w14:lumMod w14:val="95000"/>
                      <w14:lumOff w14:val="5000"/>
                    </w14:schemeClr>
                  </w14:solidFill>
                </w14:textFill>
              </w:rPr>
            </w:pPr>
          </w:p>
        </w:tc>
        <w:tc>
          <w:tcPr>
            <w:tcW w:w="1981"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0.02t/a</w:t>
            </w:r>
          </w:p>
        </w:tc>
        <w:tc>
          <w:tcPr>
            <w:tcW w:w="833" w:type="dxa"/>
            <w:noWrap w:val="0"/>
            <w:vAlign w:val="center"/>
          </w:tcPr>
          <w:p>
            <w:pPr>
              <w:pStyle w:val="46"/>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D0D0D" w:themeColor="text1" w:themeTint="F2"/>
                <w:kern w:val="21"/>
                <w:szCs w:val="21"/>
                <w:lang w:val="en-US" w:eastAsia="zh-CN"/>
                <w14:textFill>
                  <w14:solidFill>
                    <w14:schemeClr w14:val="tx1">
                      <w14:lumMod w14:val="95000"/>
                      <w14:lumOff w14:val="5000"/>
                    </w14:schemeClr>
                  </w14:solidFill>
                </w14:textFill>
              </w:rPr>
            </w:pPr>
            <w:r>
              <w:rPr>
                <w:rFonts w:hint="eastAsia" w:hAnsi="宋体" w:cs="宋体"/>
                <w:snapToGrid w:val="0"/>
                <w:color w:val="0D0D0D" w:themeColor="text1" w:themeTint="F2"/>
                <w:kern w:val="21"/>
                <w:szCs w:val="21"/>
                <w:lang w:val="en-US" w:eastAsia="zh-CN"/>
                <w14:textFill>
                  <w14:solidFill>
                    <w14:schemeClr w14:val="tx1">
                      <w14:lumMod w14:val="95000"/>
                      <w14:lumOff w14:val="5000"/>
                    </w14:schemeClr>
                  </w14:solidFill>
                </w14:textFill>
              </w:rPr>
              <w:t>0</w:t>
            </w:r>
          </w:p>
        </w:tc>
      </w:tr>
    </w:tbl>
    <w:p>
      <w:pPr>
        <w:pStyle w:val="46"/>
        <w:spacing w:before="192" w:beforeLines="80" w:after="24"/>
        <w:jc w:val="left"/>
        <w:rPr>
          <w:rFonts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lang w:eastAsia="zh-CN"/>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ˎ̥">
    <w:altName w:val="Times New Roman"/>
    <w:panose1 w:val="00000000000000000000"/>
    <w:charset w:val="01"/>
    <w:family w:val="decorative"/>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IkrFdxgEAAHQDAAAOAAAAAAAAAAEAIAAAAB4BAABkcnMvZTJvRG9jLnht&#10;bFBLBQYAAAAABgAGAFkBAABW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ga5xgEAAHMDAAAOAAAAAAAAAAEAIAAAAB4BAABkcnMvZTJvRG9jLnht&#10;bFBLBQYAAAAABgAGAFkBAABW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QHl1CxgEAAHMDAAAOAAAAAAAAAAEAIAAAAB4BAABkcnMvZTJvRG9jLnht&#10;bFBLBQYAAAAABgAGAFkBAABW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lang w:eastAsia="zh-CN"/>
      </w:rPr>
      <w:t>年产50万平方米钢化玻璃及30万平方米中空玻璃扩建项目</w:t>
    </w:r>
    <w:r>
      <w:rPr>
        <w:rFonts w:hint="eastAsia"/>
      </w:rPr>
      <w:t xml:space="preserve">目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rPr>
      <w:t>年产</w:t>
    </w:r>
    <w:r>
      <w:rPr>
        <w:rFonts w:hint="eastAsia"/>
        <w:lang w:val="en-US" w:eastAsia="zh-CN"/>
      </w:rPr>
      <w:t>5</w:t>
    </w:r>
    <w:r>
      <w:rPr>
        <w:rFonts w:hint="eastAsia"/>
      </w:rPr>
      <w:t>0万平方米钢化玻璃</w:t>
    </w:r>
    <w:r>
      <w:rPr>
        <w:rFonts w:hint="eastAsia"/>
        <w:lang w:val="en-US" w:eastAsia="zh-CN"/>
      </w:rPr>
      <w:t>、30万平方米中空玻璃扩建</w:t>
    </w:r>
    <w:r>
      <w:rPr>
        <w:rFonts w:hint="eastAsia"/>
      </w:rPr>
      <w:t xml:space="preserve">项目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77093D"/>
    <w:multiLevelType w:val="singleLevel"/>
    <w:tmpl w:val="9A77093D"/>
    <w:lvl w:ilvl="0" w:tentative="0">
      <w:start w:val="4"/>
      <w:numFmt w:val="decimal"/>
      <w:suff w:val="nothing"/>
      <w:lvlText w:val="（%1）"/>
      <w:lvlJc w:val="left"/>
    </w:lvl>
  </w:abstractNum>
  <w:abstractNum w:abstractNumId="1">
    <w:nsid w:val="F5450A41"/>
    <w:multiLevelType w:val="singleLevel"/>
    <w:tmpl w:val="F5450A41"/>
    <w:lvl w:ilvl="0" w:tentative="0">
      <w:start w:val="1"/>
      <w:numFmt w:val="decimal"/>
      <w:suff w:val="nothing"/>
      <w:lvlText w:val="%1、"/>
      <w:lvlJc w:val="left"/>
    </w:lvl>
  </w:abstractNum>
  <w:abstractNum w:abstractNumId="2">
    <w:nsid w:val="FE50A844"/>
    <w:multiLevelType w:val="singleLevel"/>
    <w:tmpl w:val="FE50A844"/>
    <w:lvl w:ilvl="0" w:tentative="0">
      <w:start w:val="3"/>
      <w:numFmt w:val="decimal"/>
      <w:suff w:val="nothing"/>
      <w:lvlText w:val="%1）"/>
      <w:lvlJc w:val="left"/>
    </w:lvl>
  </w:abstractNum>
  <w:abstractNum w:abstractNumId="3">
    <w:nsid w:val="127AE3AE"/>
    <w:multiLevelType w:val="singleLevel"/>
    <w:tmpl w:val="127AE3AE"/>
    <w:lvl w:ilvl="0" w:tentative="0">
      <w:start w:val="2"/>
      <w:numFmt w:val="decimal"/>
      <w:suff w:val="nothing"/>
      <w:lvlText w:val="（%1）"/>
      <w:lvlJc w:val="left"/>
    </w:lvl>
  </w:abstractNum>
  <w:abstractNum w:abstractNumId="4">
    <w:nsid w:val="3637ED3E"/>
    <w:multiLevelType w:val="singleLevel"/>
    <w:tmpl w:val="3637ED3E"/>
    <w:lvl w:ilvl="0" w:tentative="0">
      <w:start w:val="2"/>
      <w:numFmt w:val="decimal"/>
      <w:suff w:val="nothing"/>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5YjE5YTM2Njc0YTFkOTBjYjRiYzU0OWVkNWU4NDA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92F4D"/>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9D518A"/>
    <w:rsid w:val="02F96569"/>
    <w:rsid w:val="035B4CF7"/>
    <w:rsid w:val="036E6600"/>
    <w:rsid w:val="037140E1"/>
    <w:rsid w:val="03D251BA"/>
    <w:rsid w:val="03EA7B21"/>
    <w:rsid w:val="05C101B1"/>
    <w:rsid w:val="05F83EAE"/>
    <w:rsid w:val="063E7D85"/>
    <w:rsid w:val="07066B50"/>
    <w:rsid w:val="07293586"/>
    <w:rsid w:val="07295285"/>
    <w:rsid w:val="07636392"/>
    <w:rsid w:val="076E3F95"/>
    <w:rsid w:val="07770C56"/>
    <w:rsid w:val="07BC5398"/>
    <w:rsid w:val="092217DD"/>
    <w:rsid w:val="093A7294"/>
    <w:rsid w:val="0A263993"/>
    <w:rsid w:val="0A2D3AC2"/>
    <w:rsid w:val="0A3010C7"/>
    <w:rsid w:val="0AA755DF"/>
    <w:rsid w:val="0B120D44"/>
    <w:rsid w:val="0BD27BF6"/>
    <w:rsid w:val="0C2933A1"/>
    <w:rsid w:val="0C3B3C7D"/>
    <w:rsid w:val="0CAB2EAE"/>
    <w:rsid w:val="0CB621CB"/>
    <w:rsid w:val="0D1036A0"/>
    <w:rsid w:val="0D621C7D"/>
    <w:rsid w:val="0E73034D"/>
    <w:rsid w:val="0EF0697B"/>
    <w:rsid w:val="0EFF1C33"/>
    <w:rsid w:val="0F13775A"/>
    <w:rsid w:val="0F5F45FE"/>
    <w:rsid w:val="0F9A112B"/>
    <w:rsid w:val="106D2F64"/>
    <w:rsid w:val="10B63710"/>
    <w:rsid w:val="10F10820"/>
    <w:rsid w:val="111C2F7A"/>
    <w:rsid w:val="11665CA1"/>
    <w:rsid w:val="13951726"/>
    <w:rsid w:val="14396509"/>
    <w:rsid w:val="14DD2C3C"/>
    <w:rsid w:val="151352B4"/>
    <w:rsid w:val="15510782"/>
    <w:rsid w:val="16087E1D"/>
    <w:rsid w:val="16C66559"/>
    <w:rsid w:val="17701D14"/>
    <w:rsid w:val="1772678E"/>
    <w:rsid w:val="17735226"/>
    <w:rsid w:val="189F624C"/>
    <w:rsid w:val="19512561"/>
    <w:rsid w:val="1A1C66C0"/>
    <w:rsid w:val="1A42393B"/>
    <w:rsid w:val="1AAD45DE"/>
    <w:rsid w:val="1B046F80"/>
    <w:rsid w:val="1B3267B5"/>
    <w:rsid w:val="1B40161D"/>
    <w:rsid w:val="1B441859"/>
    <w:rsid w:val="1B6606B1"/>
    <w:rsid w:val="1C5E7925"/>
    <w:rsid w:val="1CE974F2"/>
    <w:rsid w:val="1CFD070F"/>
    <w:rsid w:val="1D051720"/>
    <w:rsid w:val="1D5F6196"/>
    <w:rsid w:val="1D6132A5"/>
    <w:rsid w:val="1D8E56D5"/>
    <w:rsid w:val="1E7A43DA"/>
    <w:rsid w:val="1FE05166"/>
    <w:rsid w:val="1FE7539E"/>
    <w:rsid w:val="20671BE0"/>
    <w:rsid w:val="20963CB8"/>
    <w:rsid w:val="20A81A1B"/>
    <w:rsid w:val="20B07FB6"/>
    <w:rsid w:val="20B646FB"/>
    <w:rsid w:val="21261D0E"/>
    <w:rsid w:val="213B74B1"/>
    <w:rsid w:val="215A2310"/>
    <w:rsid w:val="21DE318A"/>
    <w:rsid w:val="21EF5B80"/>
    <w:rsid w:val="22576990"/>
    <w:rsid w:val="22F47480"/>
    <w:rsid w:val="23DE1C48"/>
    <w:rsid w:val="240210CD"/>
    <w:rsid w:val="24BF09F7"/>
    <w:rsid w:val="252D53FE"/>
    <w:rsid w:val="25EC2D81"/>
    <w:rsid w:val="274460D0"/>
    <w:rsid w:val="277057A2"/>
    <w:rsid w:val="28E026ED"/>
    <w:rsid w:val="28EE2B4C"/>
    <w:rsid w:val="29206EB8"/>
    <w:rsid w:val="29595666"/>
    <w:rsid w:val="29874881"/>
    <w:rsid w:val="29E325E0"/>
    <w:rsid w:val="2A452503"/>
    <w:rsid w:val="2A7021E0"/>
    <w:rsid w:val="2AA459CB"/>
    <w:rsid w:val="2BA936A8"/>
    <w:rsid w:val="2BD30AF4"/>
    <w:rsid w:val="2C315A5A"/>
    <w:rsid w:val="2C4B1C25"/>
    <w:rsid w:val="2D9E56F5"/>
    <w:rsid w:val="2E667F96"/>
    <w:rsid w:val="2E6B7686"/>
    <w:rsid w:val="2E8226AB"/>
    <w:rsid w:val="2F0B2CB1"/>
    <w:rsid w:val="2F8B1361"/>
    <w:rsid w:val="2FD065E6"/>
    <w:rsid w:val="2FD96870"/>
    <w:rsid w:val="30351EF8"/>
    <w:rsid w:val="30580BC9"/>
    <w:rsid w:val="311E2ED7"/>
    <w:rsid w:val="31317909"/>
    <w:rsid w:val="315619EE"/>
    <w:rsid w:val="315C449C"/>
    <w:rsid w:val="31B82709"/>
    <w:rsid w:val="31D05482"/>
    <w:rsid w:val="31F34783"/>
    <w:rsid w:val="32400B34"/>
    <w:rsid w:val="32612164"/>
    <w:rsid w:val="329E6876"/>
    <w:rsid w:val="333015F2"/>
    <w:rsid w:val="33416F13"/>
    <w:rsid w:val="334B6320"/>
    <w:rsid w:val="33D934D4"/>
    <w:rsid w:val="33FE2F6A"/>
    <w:rsid w:val="340E07E5"/>
    <w:rsid w:val="34235BF7"/>
    <w:rsid w:val="34461025"/>
    <w:rsid w:val="34FC2020"/>
    <w:rsid w:val="358C5FA8"/>
    <w:rsid w:val="35C15DF1"/>
    <w:rsid w:val="36074A7F"/>
    <w:rsid w:val="363F6125"/>
    <w:rsid w:val="36923549"/>
    <w:rsid w:val="369C5DEA"/>
    <w:rsid w:val="36B75FBF"/>
    <w:rsid w:val="36BD0C45"/>
    <w:rsid w:val="36FE3931"/>
    <w:rsid w:val="37380A8A"/>
    <w:rsid w:val="37E00298"/>
    <w:rsid w:val="38312021"/>
    <w:rsid w:val="38777C0A"/>
    <w:rsid w:val="38B302F9"/>
    <w:rsid w:val="38F12CD3"/>
    <w:rsid w:val="38F94775"/>
    <w:rsid w:val="392971ED"/>
    <w:rsid w:val="39325651"/>
    <w:rsid w:val="3A114D6B"/>
    <w:rsid w:val="3A872856"/>
    <w:rsid w:val="3B3763D1"/>
    <w:rsid w:val="3C2F6E1E"/>
    <w:rsid w:val="3C4F64BA"/>
    <w:rsid w:val="3C603D66"/>
    <w:rsid w:val="3CDA245A"/>
    <w:rsid w:val="3CF94A29"/>
    <w:rsid w:val="3D1E06B7"/>
    <w:rsid w:val="3E083850"/>
    <w:rsid w:val="3EDA0523"/>
    <w:rsid w:val="3EDF1D37"/>
    <w:rsid w:val="3FCA4AFB"/>
    <w:rsid w:val="407A6407"/>
    <w:rsid w:val="40C664DF"/>
    <w:rsid w:val="41056CE4"/>
    <w:rsid w:val="4200449D"/>
    <w:rsid w:val="423A3BCC"/>
    <w:rsid w:val="424E57D2"/>
    <w:rsid w:val="428D6673"/>
    <w:rsid w:val="42B26C49"/>
    <w:rsid w:val="433A6FE6"/>
    <w:rsid w:val="43480868"/>
    <w:rsid w:val="4350713C"/>
    <w:rsid w:val="436653E0"/>
    <w:rsid w:val="43C4431A"/>
    <w:rsid w:val="449A14A3"/>
    <w:rsid w:val="44B951CC"/>
    <w:rsid w:val="44CD14E0"/>
    <w:rsid w:val="44F20B0B"/>
    <w:rsid w:val="451407E3"/>
    <w:rsid w:val="452E5F4C"/>
    <w:rsid w:val="45612018"/>
    <w:rsid w:val="458946E9"/>
    <w:rsid w:val="45A47C0E"/>
    <w:rsid w:val="46577FD6"/>
    <w:rsid w:val="46D955A7"/>
    <w:rsid w:val="46F06445"/>
    <w:rsid w:val="47133957"/>
    <w:rsid w:val="47560C5C"/>
    <w:rsid w:val="47A07E0C"/>
    <w:rsid w:val="47C3085C"/>
    <w:rsid w:val="4870272E"/>
    <w:rsid w:val="48851317"/>
    <w:rsid w:val="49DC7715"/>
    <w:rsid w:val="4A023139"/>
    <w:rsid w:val="4A7B576F"/>
    <w:rsid w:val="4A9D50F4"/>
    <w:rsid w:val="4AF561A9"/>
    <w:rsid w:val="4C4A0649"/>
    <w:rsid w:val="4C7E5ECA"/>
    <w:rsid w:val="4C876AA5"/>
    <w:rsid w:val="4C9852F2"/>
    <w:rsid w:val="4CEC0C42"/>
    <w:rsid w:val="4D0E00FB"/>
    <w:rsid w:val="4D1220F9"/>
    <w:rsid w:val="4D176606"/>
    <w:rsid w:val="4DEC4FB0"/>
    <w:rsid w:val="4E075D8A"/>
    <w:rsid w:val="4EC00FAD"/>
    <w:rsid w:val="4F9843DC"/>
    <w:rsid w:val="4FC62A8C"/>
    <w:rsid w:val="4FE20F0D"/>
    <w:rsid w:val="4FE51552"/>
    <w:rsid w:val="50504C4B"/>
    <w:rsid w:val="507408A5"/>
    <w:rsid w:val="509C6E7C"/>
    <w:rsid w:val="5162104E"/>
    <w:rsid w:val="52A23798"/>
    <w:rsid w:val="53A039CC"/>
    <w:rsid w:val="53A1505A"/>
    <w:rsid w:val="54063E08"/>
    <w:rsid w:val="543437E8"/>
    <w:rsid w:val="54F73313"/>
    <w:rsid w:val="54F80955"/>
    <w:rsid w:val="555170A7"/>
    <w:rsid w:val="557E2A53"/>
    <w:rsid w:val="5587536D"/>
    <w:rsid w:val="559B174B"/>
    <w:rsid w:val="55CE0CF4"/>
    <w:rsid w:val="55E55AE9"/>
    <w:rsid w:val="56B22A9C"/>
    <w:rsid w:val="57B72A76"/>
    <w:rsid w:val="57C3426C"/>
    <w:rsid w:val="57CE1F93"/>
    <w:rsid w:val="584865A4"/>
    <w:rsid w:val="588743D1"/>
    <w:rsid w:val="5887701A"/>
    <w:rsid w:val="59C0439F"/>
    <w:rsid w:val="5ABE2233"/>
    <w:rsid w:val="5BDF5D95"/>
    <w:rsid w:val="5BFE7528"/>
    <w:rsid w:val="5C2E10D2"/>
    <w:rsid w:val="5D2D2B69"/>
    <w:rsid w:val="5E2467F1"/>
    <w:rsid w:val="5F1A2B43"/>
    <w:rsid w:val="5F5C5FB8"/>
    <w:rsid w:val="5F6375C0"/>
    <w:rsid w:val="5F851A64"/>
    <w:rsid w:val="5FB837BB"/>
    <w:rsid w:val="5FD236FA"/>
    <w:rsid w:val="60423169"/>
    <w:rsid w:val="609400D9"/>
    <w:rsid w:val="60CC405A"/>
    <w:rsid w:val="61142CDC"/>
    <w:rsid w:val="61E215D8"/>
    <w:rsid w:val="621B3775"/>
    <w:rsid w:val="62364782"/>
    <w:rsid w:val="62467BC8"/>
    <w:rsid w:val="62832BCA"/>
    <w:rsid w:val="62870A35"/>
    <w:rsid w:val="63055D12"/>
    <w:rsid w:val="6394356A"/>
    <w:rsid w:val="63C61B2C"/>
    <w:rsid w:val="63D40BE9"/>
    <w:rsid w:val="64102431"/>
    <w:rsid w:val="64A5243A"/>
    <w:rsid w:val="64F531DE"/>
    <w:rsid w:val="65373578"/>
    <w:rsid w:val="671F124A"/>
    <w:rsid w:val="673C21C9"/>
    <w:rsid w:val="677A33C6"/>
    <w:rsid w:val="67F662E4"/>
    <w:rsid w:val="681F6961"/>
    <w:rsid w:val="68610A2F"/>
    <w:rsid w:val="68805514"/>
    <w:rsid w:val="68C2756A"/>
    <w:rsid w:val="69316E2F"/>
    <w:rsid w:val="694E2071"/>
    <w:rsid w:val="69766163"/>
    <w:rsid w:val="697A3B33"/>
    <w:rsid w:val="69A979E3"/>
    <w:rsid w:val="69B12D00"/>
    <w:rsid w:val="69D44760"/>
    <w:rsid w:val="6A1947B1"/>
    <w:rsid w:val="6A520EC7"/>
    <w:rsid w:val="6AE82338"/>
    <w:rsid w:val="6AF87E20"/>
    <w:rsid w:val="6B322639"/>
    <w:rsid w:val="6C636C38"/>
    <w:rsid w:val="6D6E4CF4"/>
    <w:rsid w:val="6DB34098"/>
    <w:rsid w:val="6DB545B6"/>
    <w:rsid w:val="6DE02FB4"/>
    <w:rsid w:val="6E514CED"/>
    <w:rsid w:val="6EB563D5"/>
    <w:rsid w:val="6ED92677"/>
    <w:rsid w:val="6F225983"/>
    <w:rsid w:val="6FFC5590"/>
    <w:rsid w:val="706D1DD0"/>
    <w:rsid w:val="70856B87"/>
    <w:rsid w:val="70D527EE"/>
    <w:rsid w:val="715B5300"/>
    <w:rsid w:val="71AF30EC"/>
    <w:rsid w:val="71D27F8A"/>
    <w:rsid w:val="72553024"/>
    <w:rsid w:val="72651BB4"/>
    <w:rsid w:val="73122968"/>
    <w:rsid w:val="731F5D5E"/>
    <w:rsid w:val="736A2CC9"/>
    <w:rsid w:val="73C51AD5"/>
    <w:rsid w:val="741E793C"/>
    <w:rsid w:val="745E3944"/>
    <w:rsid w:val="74BB2697"/>
    <w:rsid w:val="7635099D"/>
    <w:rsid w:val="77762421"/>
    <w:rsid w:val="778443B9"/>
    <w:rsid w:val="77B56B1F"/>
    <w:rsid w:val="77C964EA"/>
    <w:rsid w:val="780F09F4"/>
    <w:rsid w:val="78A34264"/>
    <w:rsid w:val="78A90480"/>
    <w:rsid w:val="79876FF5"/>
    <w:rsid w:val="7A364017"/>
    <w:rsid w:val="7A6D427A"/>
    <w:rsid w:val="7A8265E1"/>
    <w:rsid w:val="7B26797F"/>
    <w:rsid w:val="7B3664EC"/>
    <w:rsid w:val="7B686D42"/>
    <w:rsid w:val="7B841746"/>
    <w:rsid w:val="7C6C5AC7"/>
    <w:rsid w:val="7CC6544B"/>
    <w:rsid w:val="7CD836EE"/>
    <w:rsid w:val="7D0239FF"/>
    <w:rsid w:val="7D5E40CD"/>
    <w:rsid w:val="7DCD56F2"/>
    <w:rsid w:val="7E535DCD"/>
    <w:rsid w:val="7EF00A8D"/>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3"/>
    <w:next w:val="1"/>
    <w:qFormat/>
    <w:locked/>
    <w:uiPriority w:val="0"/>
    <w:pPr>
      <w:keepNext/>
      <w:keepLines/>
      <w:tabs>
        <w:tab w:val="left" w:pos="1260"/>
      </w:tabs>
      <w:spacing w:before="260" w:after="260" w:line="413" w:lineRule="auto"/>
      <w:outlineLvl w:val="1"/>
    </w:pPr>
    <w:rPr>
      <w:rFonts w:ascii="Arial" w:hAnsi="Arial" w:eastAsia="黑体"/>
      <w:sz w:val="32"/>
      <w:szCs w:val="20"/>
    </w:rPr>
  </w:style>
  <w:style w:type="paragraph" w:styleId="5">
    <w:name w:val="heading 3"/>
    <w:basedOn w:val="4"/>
    <w:next w:val="1"/>
    <w:qFormat/>
    <w:locked/>
    <w:uiPriority w:val="0"/>
    <w:pPr>
      <w:keepNext/>
      <w:keepLines/>
      <w:spacing w:before="260" w:after="260" w:line="416" w:lineRule="auto"/>
      <w:outlineLvl w:val="2"/>
    </w:pPr>
    <w:rPr>
      <w:sz w:val="32"/>
      <w:szCs w:val="32"/>
    </w:rPr>
  </w:style>
  <w:style w:type="paragraph" w:styleId="6">
    <w:name w:val="heading 5"/>
    <w:basedOn w:val="1"/>
    <w:next w:val="7"/>
    <w:link w:val="74"/>
    <w:qFormat/>
    <w:locked/>
    <w:uiPriority w:val="0"/>
    <w:pPr>
      <w:keepNext/>
      <w:keepLines/>
      <w:spacing w:before="120" w:line="360" w:lineRule="auto"/>
      <w:ind w:left="1008" w:hanging="1008"/>
      <w:outlineLvl w:val="4"/>
    </w:pPr>
    <w:rPr>
      <w:bCs/>
      <w:sz w:val="24"/>
      <w:szCs w:val="28"/>
    </w:rPr>
  </w:style>
  <w:style w:type="character" w:default="1" w:styleId="28">
    <w:name w:val="Default Paragraph Font"/>
    <w:semiHidden/>
    <w:qFormat/>
    <w:uiPriority w:val="0"/>
  </w:style>
  <w:style w:type="table" w:default="1" w:styleId="3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First Indent 2"/>
    <w:next w:val="1"/>
    <w:unhideWhenUsed/>
    <w:qFormat/>
    <w:locked/>
    <w:uiPriority w:val="99"/>
    <w:pPr>
      <w:keepNext w:val="0"/>
      <w:keepLines w:val="0"/>
      <w:widowControl w:val="0"/>
      <w:suppressLineNumbers w:val="0"/>
      <w:spacing w:after="120" w:afterLines="0" w:afterAutospacing="0" w:line="360" w:lineRule="auto"/>
      <w:ind w:left="420" w:leftChars="200" w:firstLine="420" w:firstLineChars="200"/>
      <w:jc w:val="both"/>
    </w:pPr>
    <w:rPr>
      <w:rFonts w:hint="default" w:ascii="Times New Roman" w:hAnsi="Times New Roman" w:eastAsia="宋体" w:cs="Times New Roman"/>
      <w:kern w:val="2"/>
      <w:sz w:val="24"/>
      <w:szCs w:val="24"/>
      <w:lang w:val="en-US" w:eastAsia="zh-CN" w:bidi="ar"/>
    </w:rPr>
  </w:style>
  <w:style w:type="paragraph" w:styleId="7">
    <w:name w:val="Body Text First Indent"/>
    <w:basedOn w:val="8"/>
    <w:qFormat/>
    <w:locked/>
    <w:uiPriority w:val="99"/>
    <w:pPr>
      <w:ind w:firstLine="420" w:firstLineChars="100"/>
    </w:pPr>
    <w:rPr>
      <w:kern w:val="0"/>
      <w:sz w:val="24"/>
    </w:rPr>
  </w:style>
  <w:style w:type="paragraph" w:styleId="8">
    <w:name w:val="Body Text"/>
    <w:basedOn w:val="1"/>
    <w:link w:val="35"/>
    <w:qFormat/>
    <w:uiPriority w:val="0"/>
    <w:pPr>
      <w:widowControl/>
      <w:snapToGrid w:val="0"/>
      <w:spacing w:before="60" w:after="160" w:line="259" w:lineRule="auto"/>
      <w:ind w:right="113"/>
    </w:pPr>
    <w:rPr>
      <w:kern w:val="0"/>
      <w:sz w:val="18"/>
      <w:szCs w:val="20"/>
    </w:rPr>
  </w:style>
  <w:style w:type="paragraph" w:styleId="9">
    <w:name w:val="annotation subject"/>
    <w:basedOn w:val="10"/>
    <w:next w:val="11"/>
    <w:link w:val="42"/>
    <w:semiHidden/>
    <w:qFormat/>
    <w:uiPriority w:val="0"/>
    <w:rPr>
      <w:b/>
      <w:sz w:val="24"/>
      <w:szCs w:val="20"/>
    </w:rPr>
  </w:style>
  <w:style w:type="paragraph" w:styleId="10">
    <w:name w:val="annotation text"/>
    <w:basedOn w:val="1"/>
    <w:link w:val="34"/>
    <w:semiHidden/>
    <w:qFormat/>
    <w:uiPriority w:val="0"/>
    <w:pPr>
      <w:jc w:val="left"/>
    </w:pPr>
    <w:rPr>
      <w:kern w:val="0"/>
      <w:sz w:val="24"/>
      <w:szCs w:val="20"/>
    </w:rPr>
  </w:style>
  <w:style w:type="paragraph" w:customStyle="1" w:styleId="11">
    <w:name w:val="样式 标题 1 + 黑色"/>
    <w:basedOn w:val="3"/>
    <w:next w:val="1"/>
    <w:qFormat/>
    <w:uiPriority w:val="0"/>
    <w:pPr>
      <w:keepNext w:val="0"/>
      <w:pageBreakBefore/>
      <w:widowControl/>
      <w:numPr>
        <w:ilvl w:val="0"/>
        <w:numId w:val="0"/>
      </w:numPr>
      <w:tabs>
        <w:tab w:val="left" w:pos="567"/>
      </w:tabs>
      <w:spacing w:before="240" w:line="240" w:lineRule="auto"/>
      <w:ind w:left="431" w:hanging="431"/>
      <w:jc w:val="left"/>
    </w:pPr>
    <w:rPr>
      <w:snapToGrid/>
      <w:color w:val="000000"/>
      <w:kern w:val="32"/>
      <w:sz w:val="32"/>
      <w:szCs w:val="32"/>
    </w:rPr>
  </w:style>
  <w:style w:type="paragraph" w:styleId="12">
    <w:name w:val="Normal Indent"/>
    <w:basedOn w:val="1"/>
    <w:next w:val="13"/>
    <w:qFormat/>
    <w:locked/>
    <w:uiPriority w:val="0"/>
    <w:pPr>
      <w:ind w:firstLine="420" w:firstLineChars="200"/>
    </w:pPr>
    <w:rPr>
      <w:sz w:val="21"/>
    </w:rPr>
  </w:style>
  <w:style w:type="paragraph" w:styleId="13">
    <w:name w:val="toc 1"/>
    <w:basedOn w:val="1"/>
    <w:next w:val="1"/>
    <w:qFormat/>
    <w:locked/>
    <w:uiPriority w:val="0"/>
    <w:pPr>
      <w:spacing w:before="120" w:beforeLines="0" w:beforeAutospacing="0"/>
      <w:jc w:val="left"/>
    </w:pPr>
    <w:rPr>
      <w:rFonts w:eastAsia="黑体"/>
      <w:b/>
      <w:caps/>
      <w:sz w:val="28"/>
    </w:rPr>
  </w:style>
  <w:style w:type="paragraph" w:styleId="14">
    <w:name w:val="caption"/>
    <w:basedOn w:val="1"/>
    <w:next w:val="1"/>
    <w:qFormat/>
    <w:locked/>
    <w:uiPriority w:val="35"/>
    <w:pPr>
      <w:adjustRightInd w:val="0"/>
      <w:snapToGrid w:val="0"/>
      <w:jc w:val="center"/>
    </w:pPr>
    <w:rPr>
      <w:b/>
    </w:rPr>
  </w:style>
  <w:style w:type="paragraph" w:styleId="15">
    <w:name w:val="Body Text Indent"/>
    <w:basedOn w:val="1"/>
    <w:next w:val="16"/>
    <w:link w:val="36"/>
    <w:qFormat/>
    <w:uiPriority w:val="0"/>
    <w:pPr>
      <w:spacing w:after="120"/>
      <w:ind w:left="420" w:leftChars="200"/>
    </w:pPr>
    <w:rPr>
      <w:kern w:val="0"/>
      <w:sz w:val="24"/>
      <w:szCs w:val="20"/>
    </w:rPr>
  </w:style>
  <w:style w:type="paragraph" w:styleId="16">
    <w:name w:val="toc 9"/>
    <w:basedOn w:val="1"/>
    <w:next w:val="1"/>
    <w:qFormat/>
    <w:locked/>
    <w:uiPriority w:val="0"/>
    <w:pPr>
      <w:widowControl/>
      <w:wordWrap w:val="0"/>
      <w:ind w:left="2975"/>
    </w:pPr>
    <w:rPr>
      <w:szCs w:val="22"/>
    </w:rPr>
  </w:style>
  <w:style w:type="paragraph" w:styleId="17">
    <w:name w:val="toc 3"/>
    <w:basedOn w:val="1"/>
    <w:next w:val="1"/>
    <w:qFormat/>
    <w:locked/>
    <w:uiPriority w:val="0"/>
    <w:pPr>
      <w:tabs>
        <w:tab w:val="right" w:leader="dot" w:pos="9750"/>
      </w:tabs>
      <w:ind w:left="1440" w:leftChars="600" w:firstLine="0" w:firstLineChars="0"/>
    </w:pPr>
    <w:rPr>
      <w:rFonts w:ascii="宋体" w:hAnsi="宋体" w:eastAsia="宋体"/>
      <w:szCs w:val="24"/>
      <w:lang w:eastAsia="zh-CN"/>
    </w:rPr>
  </w:style>
  <w:style w:type="paragraph" w:styleId="18">
    <w:name w:val="Plain Text"/>
    <w:basedOn w:val="1"/>
    <w:next w:val="1"/>
    <w:qFormat/>
    <w:locked/>
    <w:uiPriority w:val="0"/>
    <w:pPr>
      <w:tabs>
        <w:tab w:val="left" w:pos="0"/>
      </w:tabs>
      <w:snapToGrid w:val="0"/>
      <w:spacing w:line="324" w:lineRule="auto"/>
    </w:pPr>
    <w:rPr>
      <w:rFonts w:ascii="宋体" w:hAnsi="Courier New"/>
      <w:kern w:val="2"/>
      <w:sz w:val="21"/>
    </w:rPr>
  </w:style>
  <w:style w:type="paragraph" w:styleId="19">
    <w:name w:val="Date"/>
    <w:basedOn w:val="1"/>
    <w:next w:val="1"/>
    <w:link w:val="37"/>
    <w:qFormat/>
    <w:uiPriority w:val="0"/>
    <w:pPr>
      <w:ind w:left="100" w:leftChars="2500"/>
    </w:pPr>
    <w:rPr>
      <w:kern w:val="0"/>
      <w:sz w:val="24"/>
      <w:szCs w:val="20"/>
    </w:rPr>
  </w:style>
  <w:style w:type="paragraph" w:styleId="20">
    <w:name w:val="Body Text Indent 2"/>
    <w:basedOn w:val="1"/>
    <w:qFormat/>
    <w:locked/>
    <w:uiPriority w:val="0"/>
    <w:pPr>
      <w:spacing w:after="120" w:afterLines="0" w:line="480" w:lineRule="auto"/>
      <w:ind w:left="420" w:leftChars="200"/>
    </w:pPr>
    <w:rPr>
      <w:szCs w:val="24"/>
    </w:rPr>
  </w:style>
  <w:style w:type="paragraph" w:styleId="21">
    <w:name w:val="Balloon Text"/>
    <w:basedOn w:val="1"/>
    <w:link w:val="38"/>
    <w:semiHidden/>
    <w:qFormat/>
    <w:uiPriority w:val="0"/>
    <w:rPr>
      <w:kern w:val="0"/>
      <w:sz w:val="18"/>
      <w:szCs w:val="20"/>
    </w:rPr>
  </w:style>
  <w:style w:type="paragraph" w:styleId="22">
    <w:name w:val="footer"/>
    <w:basedOn w:val="1"/>
    <w:link w:val="39"/>
    <w:qFormat/>
    <w:uiPriority w:val="99"/>
    <w:pPr>
      <w:tabs>
        <w:tab w:val="center" w:pos="4153"/>
        <w:tab w:val="right" w:pos="8306"/>
      </w:tabs>
      <w:snapToGrid w:val="0"/>
      <w:jc w:val="left"/>
    </w:pPr>
    <w:rPr>
      <w:kern w:val="0"/>
      <w:sz w:val="18"/>
      <w:szCs w:val="20"/>
    </w:rPr>
  </w:style>
  <w:style w:type="paragraph" w:styleId="23">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Subtitle"/>
    <w:basedOn w:val="1"/>
    <w:next w:val="1"/>
    <w:qFormat/>
    <w:locked/>
    <w:uiPriority w:val="11"/>
    <w:pPr>
      <w:spacing w:before="240" w:after="60" w:line="312" w:lineRule="auto"/>
      <w:jc w:val="center"/>
      <w:outlineLvl w:val="1"/>
    </w:pPr>
    <w:rPr>
      <w:rFonts w:ascii="Cambria" w:hAnsi="Cambria"/>
      <w:b/>
      <w:bCs/>
      <w:kern w:val="28"/>
      <w:sz w:val="32"/>
      <w:szCs w:val="32"/>
    </w:rPr>
  </w:style>
  <w:style w:type="paragraph" w:styleId="25">
    <w:name w:val="List"/>
    <w:basedOn w:val="1"/>
    <w:qFormat/>
    <w:locked/>
    <w:uiPriority w:val="0"/>
    <w:pPr>
      <w:ind w:firstLine="0" w:firstLineChars="0"/>
      <w:jc w:val="center"/>
    </w:pPr>
    <w:rPr>
      <w:b/>
      <w:sz w:val="21"/>
    </w:rPr>
  </w:style>
  <w:style w:type="paragraph" w:styleId="26">
    <w:name w:val="toc 2"/>
    <w:basedOn w:val="1"/>
    <w:next w:val="1"/>
    <w:qFormat/>
    <w:locked/>
    <w:uiPriority w:val="0"/>
    <w:pPr>
      <w:tabs>
        <w:tab w:val="right" w:leader="dot" w:pos="8880"/>
      </w:tabs>
      <w:ind w:left="0" w:leftChars="0" w:firstLine="1124" w:firstLineChars="400"/>
    </w:pPr>
    <w:rPr>
      <w:rFonts w:ascii="Times New Roman" w:hAnsi="Times New Roman" w:eastAsia="宋体" w:cs="Times New Roman"/>
      <w:bCs/>
      <w:szCs w:val="32"/>
      <w:lang w:eastAsia="zh-CN"/>
    </w:rPr>
  </w:style>
  <w:style w:type="paragraph" w:styleId="27">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character" w:styleId="29">
    <w:name w:val="page number"/>
    <w:basedOn w:val="28"/>
    <w:qFormat/>
    <w:locked/>
    <w:uiPriority w:val="0"/>
  </w:style>
  <w:style w:type="character" w:styleId="30">
    <w:name w:val="annotation reference"/>
    <w:semiHidden/>
    <w:qFormat/>
    <w:uiPriority w:val="0"/>
    <w:rPr>
      <w:sz w:val="21"/>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3">
    <w:name w:val="xl27"/>
    <w:basedOn w:val="1"/>
    <w:qFormat/>
    <w:uiPriority w:val="0"/>
    <w:pPr>
      <w:widowControl/>
      <w:spacing w:before="100" w:after="100"/>
      <w:jc w:val="center"/>
      <w:textAlignment w:val="center"/>
    </w:pPr>
    <w:rPr>
      <w:rFonts w:ascii="宋体" w:hAnsi="宋体"/>
      <w:kern w:val="0"/>
      <w:sz w:val="24"/>
      <w:szCs w:val="20"/>
    </w:rPr>
  </w:style>
  <w:style w:type="character" w:customStyle="1" w:styleId="34">
    <w:name w:val="批注文字 Char"/>
    <w:link w:val="10"/>
    <w:qFormat/>
    <w:locked/>
    <w:uiPriority w:val="0"/>
    <w:rPr>
      <w:rFonts w:ascii="Times New Roman" w:hAnsi="Times New Roman" w:eastAsia="宋体"/>
      <w:sz w:val="24"/>
    </w:rPr>
  </w:style>
  <w:style w:type="character" w:customStyle="1" w:styleId="35">
    <w:name w:val="正文文本 Char"/>
    <w:link w:val="8"/>
    <w:qFormat/>
    <w:locked/>
    <w:uiPriority w:val="0"/>
    <w:rPr>
      <w:sz w:val="18"/>
    </w:rPr>
  </w:style>
  <w:style w:type="character" w:customStyle="1" w:styleId="36">
    <w:name w:val="正文文本缩进 Char"/>
    <w:link w:val="15"/>
    <w:semiHidden/>
    <w:qFormat/>
    <w:locked/>
    <w:uiPriority w:val="0"/>
    <w:rPr>
      <w:rFonts w:ascii="Times New Roman" w:hAnsi="Times New Roman" w:eastAsia="宋体"/>
      <w:sz w:val="24"/>
    </w:rPr>
  </w:style>
  <w:style w:type="character" w:customStyle="1" w:styleId="37">
    <w:name w:val="日期 Char"/>
    <w:link w:val="19"/>
    <w:qFormat/>
    <w:locked/>
    <w:uiPriority w:val="0"/>
    <w:rPr>
      <w:rFonts w:ascii="Times New Roman" w:hAnsi="Times New Roman" w:eastAsia="宋体"/>
      <w:sz w:val="24"/>
    </w:rPr>
  </w:style>
  <w:style w:type="character" w:customStyle="1" w:styleId="38">
    <w:name w:val="批注框文本 Char"/>
    <w:link w:val="21"/>
    <w:semiHidden/>
    <w:qFormat/>
    <w:locked/>
    <w:uiPriority w:val="0"/>
    <w:rPr>
      <w:rFonts w:ascii="Times New Roman" w:hAnsi="Times New Roman" w:eastAsia="宋体"/>
      <w:sz w:val="18"/>
    </w:rPr>
  </w:style>
  <w:style w:type="character" w:customStyle="1" w:styleId="39">
    <w:name w:val="页脚 Char"/>
    <w:link w:val="22"/>
    <w:qFormat/>
    <w:locked/>
    <w:uiPriority w:val="99"/>
    <w:rPr>
      <w:sz w:val="18"/>
    </w:rPr>
  </w:style>
  <w:style w:type="character" w:customStyle="1" w:styleId="40">
    <w:name w:val="页眉 Char"/>
    <w:link w:val="23"/>
    <w:qFormat/>
    <w:locked/>
    <w:uiPriority w:val="0"/>
    <w:rPr>
      <w:sz w:val="18"/>
    </w:rPr>
  </w:style>
  <w:style w:type="character" w:customStyle="1" w:styleId="41">
    <w:name w:val="普通(网站) Char"/>
    <w:link w:val="27"/>
    <w:qFormat/>
    <w:locked/>
    <w:uiPriority w:val="0"/>
    <w:rPr>
      <w:rFonts w:ascii="宋体" w:hAnsi="宋体" w:eastAsia="宋体"/>
      <w:sz w:val="24"/>
    </w:rPr>
  </w:style>
  <w:style w:type="character" w:customStyle="1" w:styleId="42">
    <w:name w:val="批注主题 Char"/>
    <w:link w:val="9"/>
    <w:semiHidden/>
    <w:qFormat/>
    <w:locked/>
    <w:uiPriority w:val="0"/>
    <w:rPr>
      <w:rFonts w:ascii="Times New Roman" w:hAnsi="Times New Roman" w:eastAsia="宋体"/>
      <w:b/>
      <w:kern w:val="2"/>
      <w:sz w:val="24"/>
    </w:rPr>
  </w:style>
  <w:style w:type="character" w:customStyle="1" w:styleId="43">
    <w:name w:val="页脚 字符"/>
    <w:basedOn w:val="28"/>
    <w:qFormat/>
    <w:uiPriority w:val="99"/>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文字 字符1"/>
    <w:semiHidden/>
    <w:qFormat/>
    <w:uiPriority w:val="0"/>
    <w:rPr>
      <w:rFonts w:ascii="Times New Roman" w:hAnsi="Times New Roman" w:eastAsia="宋体"/>
      <w:sz w:val="24"/>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1111正文"/>
    <w:basedOn w:val="1"/>
    <w:qFormat/>
    <w:uiPriority w:val="0"/>
    <w:pPr>
      <w:autoSpaceDN w:val="0"/>
      <w:ind w:firstLine="560" w:firstLineChars="200"/>
      <w:jc w:val="left"/>
    </w:pPr>
    <w:rPr>
      <w:rFonts w:ascii="宋体" w:hAnsi="宋体"/>
      <w:szCs w:val="28"/>
    </w:rPr>
  </w:style>
  <w:style w:type="paragraph" w:customStyle="1" w:styleId="52">
    <w:name w:val="表格文字"/>
    <w:basedOn w:val="1"/>
    <w:qFormat/>
    <w:uiPriority w:val="0"/>
    <w:pPr>
      <w:widowControl/>
      <w:jc w:val="center"/>
    </w:pPr>
    <w:rPr>
      <w:rFonts w:ascii="宋体" w:hAnsi="宋体" w:cs="宋体"/>
      <w:color w:val="000000"/>
      <w:kern w:val="0"/>
      <w:szCs w:val="21"/>
    </w:rPr>
  </w:style>
  <w:style w:type="paragraph" w:customStyle="1" w:styleId="53">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paragraph" w:customStyle="1" w:styleId="54">
    <w:name w:val="正文 32"/>
    <w:basedOn w:val="1"/>
    <w:next w:val="55"/>
    <w:qFormat/>
    <w:uiPriority w:val="0"/>
    <w:pPr>
      <w:autoSpaceDE w:val="0"/>
      <w:autoSpaceDN w:val="0"/>
      <w:adjustRightInd w:val="0"/>
      <w:spacing w:line="300" w:lineRule="auto"/>
      <w:ind w:firstLine="567"/>
      <w:textAlignment w:val="baseline"/>
    </w:pPr>
    <w:rPr>
      <w:rFonts w:ascii="Times New Roman" w:hAnsi="Times New Roman" w:eastAsia="楷体_GB2312"/>
      <w:kern w:val="0"/>
      <w:sz w:val="24"/>
      <w:szCs w:val="20"/>
    </w:rPr>
  </w:style>
  <w:style w:type="paragraph" w:customStyle="1" w:styleId="55">
    <w:name w:val="xl30"/>
    <w:basedOn w:val="1"/>
    <w:next w:val="9"/>
    <w:qFormat/>
    <w:uiPriority w:val="0"/>
    <w:pPr>
      <w:widowControl/>
      <w:pBdr>
        <w:bottom w:val="single" w:color="auto" w:sz="4" w:space="0"/>
      </w:pBdr>
      <w:spacing w:before="156" w:beforeLines="50"/>
      <w:jc w:val="center"/>
      <w:textAlignment w:val="center"/>
    </w:pPr>
    <w:rPr>
      <w:rFonts w:eastAsia="Arial Unicode MS"/>
      <w:kern w:val="0"/>
    </w:rPr>
  </w:style>
  <w:style w:type="paragraph" w:customStyle="1" w:styleId="56">
    <w:name w:val="正文1"/>
    <w:basedOn w:val="1"/>
    <w:next w:val="1"/>
    <w:qFormat/>
    <w:uiPriority w:val="0"/>
    <w:pPr>
      <w:spacing w:line="360" w:lineRule="auto"/>
      <w:ind w:firstLine="723" w:firstLineChars="200"/>
    </w:pPr>
    <w:rPr>
      <w:kern w:val="0"/>
      <w:szCs w:val="20"/>
    </w:rPr>
  </w:style>
  <w:style w:type="paragraph" w:customStyle="1" w:styleId="57">
    <w:name w:val="表中文字"/>
    <w:basedOn w:val="58"/>
    <w:qFormat/>
    <w:uiPriority w:val="0"/>
    <w:pPr>
      <w:tabs>
        <w:tab w:val="left" w:pos="0"/>
      </w:tabs>
      <w:spacing w:line="240" w:lineRule="auto"/>
    </w:pPr>
  </w:style>
  <w:style w:type="paragraph" w:customStyle="1" w:styleId="58">
    <w:name w:val="表头"/>
    <w:basedOn w:val="59"/>
    <w:next w:val="1"/>
    <w:qFormat/>
    <w:uiPriority w:val="0"/>
    <w:pPr>
      <w:tabs>
        <w:tab w:val="left" w:pos="0"/>
      </w:tabs>
      <w:adjustRightInd w:val="0"/>
      <w:spacing w:line="500" w:lineRule="exact"/>
      <w:jc w:val="center"/>
    </w:pPr>
    <w:rPr>
      <w:rFonts w:eastAsia="楷体_GB2312"/>
      <w:sz w:val="28"/>
      <w:szCs w:val="28"/>
    </w:rPr>
  </w:style>
  <w:style w:type="paragraph" w:customStyle="1" w:styleId="59">
    <w:name w:val="11111111111"/>
    <w:basedOn w:val="1"/>
    <w:qFormat/>
    <w:uiPriority w:val="0"/>
    <w:pPr>
      <w:spacing w:line="480" w:lineRule="exact"/>
      <w:jc w:val="center"/>
    </w:pPr>
    <w:rPr>
      <w:rFonts w:ascii="Times New Roman" w:hAnsi="Times New Roman" w:eastAsia="宋体"/>
      <w:b/>
      <w:sz w:val="21"/>
    </w:rPr>
  </w:style>
  <w:style w:type="paragraph" w:customStyle="1" w:styleId="60">
    <w:name w:val="预案内容"/>
    <w:basedOn w:val="1"/>
    <w:qFormat/>
    <w:uiPriority w:val="0"/>
    <w:pPr>
      <w:tabs>
        <w:tab w:val="left" w:pos="0"/>
      </w:tabs>
      <w:spacing w:line="480" w:lineRule="exact"/>
      <w:ind w:firstLine="880" w:firstLineChars="200"/>
    </w:pPr>
    <w:rPr>
      <w:kern w:val="0"/>
      <w:sz w:val="24"/>
      <w:szCs w:val="20"/>
    </w:rPr>
  </w:style>
  <w:style w:type="paragraph" w:customStyle="1" w:styleId="61">
    <w:name w:val="样式 左侧:  0.85 厘米"/>
    <w:basedOn w:val="1"/>
    <w:semiHidden/>
    <w:qFormat/>
    <w:uiPriority w:val="0"/>
    <w:pPr>
      <w:adjustRightInd w:val="0"/>
      <w:spacing w:line="360" w:lineRule="auto"/>
      <w:ind w:firstLine="480" w:firstLineChars="200"/>
    </w:pPr>
    <w:rPr>
      <w:rFonts w:cs="宋体"/>
      <w:kern w:val="0"/>
      <w:sz w:val="24"/>
    </w:rPr>
  </w:style>
  <w:style w:type="paragraph" w:customStyle="1" w:styleId="62">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63">
    <w:name w:val="表文字"/>
    <w:basedOn w:val="1"/>
    <w:qFormat/>
    <w:uiPriority w:val="0"/>
    <w:pPr>
      <w:tabs>
        <w:tab w:val="left" w:pos="945"/>
        <w:tab w:val="right" w:leader="dot" w:pos="1155"/>
        <w:tab w:val="left" w:pos="8715"/>
      </w:tabs>
      <w:adjustRightInd w:val="0"/>
      <w:snapToGrid w:val="0"/>
      <w:spacing w:before="46" w:beforeLines="15" w:after="46" w:afterLines="15" w:line="360" w:lineRule="auto"/>
      <w:jc w:val="center"/>
      <w:textAlignment w:val="baseline"/>
    </w:pPr>
    <w:rPr>
      <w:rFonts w:ascii="宋体" w:hAnsi="宋体"/>
      <w:snapToGrid w:val="0"/>
      <w:color w:val="000000"/>
      <w:kern w:val="0"/>
      <w:szCs w:val="9"/>
    </w:rPr>
  </w:style>
  <w:style w:type="paragraph" w:customStyle="1" w:styleId="64">
    <w:name w:val="段落"/>
    <w:basedOn w:val="1"/>
    <w:next w:val="65"/>
    <w:qFormat/>
    <w:uiPriority w:val="0"/>
    <w:pPr>
      <w:tabs>
        <w:tab w:val="left" w:pos="1021"/>
      </w:tabs>
      <w:spacing w:line="360" w:lineRule="auto"/>
      <w:ind w:firstLine="504"/>
    </w:pPr>
    <w:rPr>
      <w:rFonts w:ascii="宋体" w:hAnsi="ˎ̥"/>
      <w:color w:val="000000"/>
      <w:kern w:val="24"/>
      <w:position w:val="-40"/>
      <w:sz w:val="24"/>
    </w:rPr>
  </w:style>
  <w:style w:type="paragraph" w:customStyle="1" w:styleId="65">
    <w:name w:val="默认段落字体 Para Char"/>
    <w:basedOn w:val="1"/>
    <w:next w:val="66"/>
    <w:qFormat/>
    <w:uiPriority w:val="0"/>
    <w:rPr>
      <w:rFonts w:ascii="Times New Roman" w:hAnsi="Times New Roman"/>
      <w:szCs w:val="28"/>
    </w:rPr>
  </w:style>
  <w:style w:type="paragraph" w:customStyle="1" w:styleId="66">
    <w:name w:val="样式 正文首行缩进 2 + 左侧:  2 字符 首行缩进:  2 字符 +"/>
    <w:basedOn w:val="1"/>
    <w:next w:val="54"/>
    <w:semiHidden/>
    <w:qFormat/>
    <w:uiPriority w:val="0"/>
    <w:pPr>
      <w:spacing w:before="156" w:beforeLines="50"/>
      <w:ind w:firstLine="561"/>
    </w:pPr>
    <w:rPr>
      <w:rFonts w:cs="宋体"/>
    </w:rPr>
  </w:style>
  <w:style w:type="paragraph" w:customStyle="1" w:styleId="67">
    <w:name w:val="Default"/>
    <w:basedOn w:val="68"/>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8">
    <w:name w:val="纯文本1"/>
    <w:next w:val="18"/>
    <w:qFormat/>
    <w:uiPriority w:val="0"/>
    <w:pPr>
      <w:widowControl w:val="0"/>
      <w:adjustRightInd w:val="0"/>
      <w:jc w:val="both"/>
    </w:pPr>
    <w:rPr>
      <w:rFonts w:ascii="宋体" w:hAnsi="Courier New" w:eastAsia="宋体" w:cs="Times New Roman"/>
      <w:kern w:val="2"/>
      <w:sz w:val="21"/>
      <w:lang w:val="en-US" w:eastAsia="zh-CN" w:bidi="ar-SA"/>
    </w:rPr>
  </w:style>
  <w:style w:type="paragraph" w:customStyle="1" w:styleId="69">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70">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71">
    <w:name w:val="【正文】"/>
    <w:basedOn w:val="1"/>
    <w:qFormat/>
    <w:uiPriority w:val="0"/>
    <w:pPr>
      <w:spacing w:line="440" w:lineRule="exact"/>
      <w:ind w:firstLine="544" w:firstLineChars="200"/>
    </w:pPr>
    <w:rPr>
      <w:rFonts w:cs="宋体"/>
      <w:sz w:val="24"/>
      <w:szCs w:val="20"/>
    </w:rPr>
  </w:style>
  <w:style w:type="paragraph" w:customStyle="1" w:styleId="72">
    <w:name w:val="报告"/>
    <w:basedOn w:val="1"/>
    <w:qFormat/>
    <w:uiPriority w:val="0"/>
    <w:pPr>
      <w:adjustRightInd w:val="0"/>
      <w:spacing w:line="360" w:lineRule="auto"/>
      <w:ind w:firstLine="505"/>
      <w:jc w:val="left"/>
      <w:textAlignment w:val="baseline"/>
    </w:pPr>
  </w:style>
  <w:style w:type="paragraph" w:customStyle="1" w:styleId="73">
    <w:name w:val="报告表格"/>
    <w:basedOn w:val="1"/>
    <w:qFormat/>
    <w:uiPriority w:val="0"/>
    <w:pPr>
      <w:autoSpaceDE w:val="0"/>
      <w:autoSpaceDN w:val="0"/>
      <w:adjustRightInd w:val="0"/>
      <w:spacing w:before="40" w:after="40"/>
      <w:jc w:val="center"/>
    </w:pPr>
    <w:rPr>
      <w:kern w:val="0"/>
      <w:szCs w:val="20"/>
    </w:rPr>
  </w:style>
  <w:style w:type="character" w:customStyle="1" w:styleId="74">
    <w:name w:val="标题 5 Char"/>
    <w:link w:val="6"/>
    <w:qFormat/>
    <w:uiPriority w:val="0"/>
    <w:rPr>
      <w:bCs/>
      <w:sz w:val="24"/>
      <w:szCs w:val="28"/>
    </w:rPr>
  </w:style>
  <w:style w:type="paragraph" w:customStyle="1" w:styleId="75">
    <w:name w:val="Table Paragraph"/>
    <w:basedOn w:val="1"/>
    <w:unhideWhenUsed/>
    <w:qFormat/>
    <w:uiPriority w:val="1"/>
    <w:pPr>
      <w:spacing w:beforeLines="0" w:afterLines="0"/>
    </w:pPr>
    <w:rPr>
      <w:rFonts w:hint="eastAsia"/>
      <w:sz w:val="24"/>
      <w:szCs w:val="24"/>
    </w:rPr>
  </w:style>
  <w:style w:type="paragraph" w:customStyle="1" w:styleId="76">
    <w:name w:val="A表格文字"/>
    <w:basedOn w:val="25"/>
    <w:qFormat/>
    <w:uiPriority w:val="0"/>
    <w:pPr>
      <w:spacing w:line="240" w:lineRule="auto"/>
    </w:pPr>
    <w:rPr>
      <w:rFonts w:ascii="Times New Roman" w:hAnsi="Times New Roman"/>
      <w:b w:val="0"/>
    </w:rPr>
  </w:style>
  <w:style w:type="paragraph" w:customStyle="1" w:styleId="77">
    <w:name w:val="A表头"/>
    <w:basedOn w:val="12"/>
    <w:next w:val="1"/>
    <w:qFormat/>
    <w:uiPriority w:val="0"/>
    <w:pPr>
      <w:tabs>
        <w:tab w:val="left" w:pos="1485"/>
        <w:tab w:val="center" w:pos="4113"/>
      </w:tabs>
      <w:spacing w:line="240" w:lineRule="auto"/>
      <w:ind w:firstLine="0" w:firstLineChars="0"/>
      <w:jc w:val="center"/>
    </w:pPr>
    <w:rPr>
      <w:rFonts w:ascii="黑体" w:hAnsi="黑体"/>
      <w:b/>
      <w:spacing w:val="6"/>
      <w:kern w:val="0"/>
      <w:position w:val="10"/>
      <w:sz w:val="21"/>
      <w:szCs w:val="20"/>
    </w:rPr>
  </w:style>
  <w:style w:type="paragraph" w:customStyle="1" w:styleId="78">
    <w:name w:val="表头--"/>
    <w:basedOn w:val="1"/>
    <w:qFormat/>
    <w:uiPriority w:val="0"/>
    <w:pPr>
      <w:spacing w:line="360" w:lineRule="exact"/>
      <w:ind w:firstLine="0" w:firstLineChars="0"/>
      <w:jc w:val="center"/>
    </w:pPr>
    <w:rPr>
      <w:rFonts w:ascii="宋体" w:hAnsi="宋体" w:cs="宋体"/>
      <w:b/>
      <w:bCs/>
      <w:sz w:val="21"/>
      <w:szCs w:val="21"/>
    </w:rPr>
  </w:style>
  <w:style w:type="paragraph" w:customStyle="1" w:styleId="79">
    <w:name w:val="表格内容自定"/>
    <w:basedOn w:val="1"/>
    <w:qFormat/>
    <w:uiPriority w:val="0"/>
    <w:pPr>
      <w:spacing w:line="240" w:lineRule="auto"/>
      <w:ind w:firstLine="0" w:firstLineChars="0"/>
      <w:jc w:val="center"/>
      <w:textAlignment w:val="center"/>
    </w:pPr>
    <w:rPr>
      <w:sz w:val="21"/>
      <w:szCs w:val="21"/>
    </w:rPr>
  </w:style>
  <w:style w:type="paragraph" w:customStyle="1" w:styleId="8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30368</Words>
  <Characters>34125</Characters>
  <Lines>1</Lines>
  <Paragraphs>1</Paragraphs>
  <TotalTime>4</TotalTime>
  <ScaleCrop>false</ScaleCrop>
  <LinksUpToDate>false</LinksUpToDate>
  <CharactersWithSpaces>34311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2025-01-07T01:53:57Z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230A85AAE50C4DC596005193178B2B9A_13</vt:lpwstr>
  </property>
</Properties>
</file>