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600" w:lineRule="exact"/>
        <w:jc w:val="center"/>
        <w:rPr>
          <w:rFonts w:ascii="??_GB2312" w:eastAsia="Times New Roman" w:cs="??_GB2312"/>
          <w:color w:val="000000" w:themeColor="text1"/>
          <w:sz w:val="32"/>
          <w:szCs w:val="32"/>
          <w:lang w:val="zh-CN"/>
          <w14:textFill>
            <w14:solidFill>
              <w14:schemeClr w14:val="tx1"/>
            </w14:solidFill>
          </w14:textFill>
        </w:rPr>
      </w:pPr>
    </w:p>
    <w:p>
      <w:pPr>
        <w:adjustRightInd w:val="0"/>
        <w:snapToGrid w:val="0"/>
        <w:spacing w:line="600" w:lineRule="exact"/>
        <w:jc w:val="center"/>
        <w:rPr>
          <w:rFonts w:ascii="??_GB2312" w:eastAsia="Times New Roman" w:cs="??_GB2312"/>
          <w:color w:val="000000" w:themeColor="text1"/>
          <w:sz w:val="32"/>
          <w:szCs w:val="32"/>
          <w:lang w:val="zh-CN"/>
          <w14:textFill>
            <w14:solidFill>
              <w14:schemeClr w14:val="tx1"/>
            </w14:solidFill>
          </w14:textFill>
        </w:rPr>
      </w:pPr>
    </w:p>
    <w:p>
      <w:pPr>
        <w:adjustRightInd w:val="0"/>
        <w:snapToGrid w:val="0"/>
        <w:spacing w:line="600" w:lineRule="exact"/>
        <w:jc w:val="center"/>
        <w:rPr>
          <w:rFonts w:ascii="??_GB2312" w:eastAsia="Times New Roman" w:cs="??_GB2312"/>
          <w:color w:val="000000" w:themeColor="text1"/>
          <w:sz w:val="32"/>
          <w:szCs w:val="32"/>
          <w:lang w:val="zh-CN"/>
          <w14:textFill>
            <w14:solidFill>
              <w14:schemeClr w14:val="tx1"/>
            </w14:solidFill>
          </w14:textFill>
        </w:rPr>
      </w:pPr>
    </w:p>
    <w:p>
      <w:pPr>
        <w:adjustRightInd w:val="0"/>
        <w:snapToGrid w:val="0"/>
        <w:spacing w:line="600" w:lineRule="exact"/>
        <w:jc w:val="center"/>
        <w:rPr>
          <w:rFonts w:hint="eastAsia"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零环评〔2024〕</w:t>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val="zh-CN"/>
          <w14:textFill>
            <w14:solidFill>
              <w14:schemeClr w14:val="tx1"/>
            </w14:solidFill>
          </w14:textFill>
        </w:rPr>
        <w:t>号</w:t>
      </w:r>
    </w:p>
    <w:p>
      <w:pPr>
        <w:adjustRightInd w:val="0"/>
        <w:snapToGrid w:val="0"/>
        <w:spacing w:line="600" w:lineRule="exact"/>
        <w:rPr>
          <w:rFonts w:ascii="仿宋" w:hAnsi="仿宋" w:eastAsia="仿宋"/>
          <w:b/>
          <w:bCs/>
          <w:color w:val="000000" w:themeColor="text1"/>
          <w:sz w:val="32"/>
          <w:szCs w:val="32"/>
          <w14:textFill>
            <w14:solidFill>
              <w14:schemeClr w14:val="tx1"/>
            </w14:solidFill>
          </w14:textFill>
        </w:rPr>
      </w:pPr>
    </w:p>
    <w:p>
      <w:pPr>
        <w:spacing w:line="580" w:lineRule="exact"/>
        <w:jc w:val="center"/>
        <w:rPr>
          <w:rFonts w:hint="eastAsia" w:ascii="宋体" w:hAnsi="宋体" w:eastAsia="宋体" w:cs="宋体"/>
          <w:b/>
          <w:bCs/>
          <w:color w:val="000000" w:themeColor="text1"/>
          <w:sz w:val="36"/>
          <w:szCs w:val="36"/>
          <w:lang w:val="en-GB"/>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zh-CN"/>
          <w14:textFill>
            <w14:solidFill>
              <w14:schemeClr w14:val="tx1"/>
            </w14:solidFill>
          </w14:textFill>
        </w:rPr>
        <w:t>关于</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年产6000万块页岩标砖协同处置一般固废技术改造项目环境影响报告表</w:t>
      </w:r>
      <w:r>
        <w:rPr>
          <w:rFonts w:hint="eastAsia" w:ascii="方正小标宋简体" w:hAnsi="方正小标宋简体" w:eastAsia="方正小标宋简体" w:cs="方正小标宋简体"/>
          <w:b w:val="0"/>
          <w:bCs w:val="0"/>
          <w:color w:val="000000" w:themeColor="text1"/>
          <w:sz w:val="44"/>
          <w:szCs w:val="44"/>
          <w:lang w:val="zh-CN"/>
          <w14:textFill>
            <w14:solidFill>
              <w14:schemeClr w14:val="tx1"/>
            </w14:solidFill>
          </w14:textFill>
        </w:rPr>
        <w:t>的批复</w:t>
      </w:r>
    </w:p>
    <w:p>
      <w:pPr>
        <w:rPr>
          <w:color w:val="000000" w:themeColor="text1"/>
          <w14:textFill>
            <w14:solidFill>
              <w14:schemeClr w14:val="tx1"/>
            </w14:solidFill>
          </w14:textFill>
        </w:rPr>
      </w:pPr>
    </w:p>
    <w:p>
      <w:pPr>
        <w:spacing w:line="560" w:lineRule="exact"/>
        <w:rPr>
          <w:rFonts w:hint="eastAsia"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湖南湘敏环保科技有限公司</w:t>
      </w:r>
      <w:r>
        <w:rPr>
          <w:rFonts w:hint="eastAsia" w:ascii="仿宋" w:hAnsi="仿宋" w:eastAsia="仿宋" w:cs="仿宋"/>
          <w:color w:val="000000" w:themeColor="text1"/>
          <w:sz w:val="32"/>
          <w:szCs w:val="32"/>
          <w:lang w:val="zh-CN"/>
          <w14:textFill>
            <w14:solidFill>
              <w14:schemeClr w14:val="tx1"/>
            </w14:solidFill>
          </w14:textFill>
        </w:rPr>
        <w:t>：</w:t>
      </w:r>
    </w:p>
    <w:p>
      <w:pPr>
        <w:pStyle w:val="24"/>
        <w:spacing w:beforeLines="0" w:afterLines="0" w:line="560" w:lineRule="exact"/>
        <w:ind w:firstLine="64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你公司关于申请批复的请示和《年产6000万块页岩标砖协同处置一般固废技术改造项目环境影响报告表》(报批稿)及相关附件收悉，经研究，现批复如下：</w:t>
      </w:r>
    </w:p>
    <w:p>
      <w:pPr>
        <w:pStyle w:val="24"/>
        <w:spacing w:beforeLines="0" w:afterLines="0" w:line="560" w:lineRule="exact"/>
        <w:ind w:firstLine="64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你公司拟在永州市零陵区接履桥镇集义村现有厂区内建设年产6000万块页岩标砖协同处置一般固废技术改造项目,项目系在现有厂区范围内进行，不涉及新增用地和矿区开采。总投资200万元（其中环保投资5.8万元，占总投资的2.9%），主要工程内容包括：在现有</w:t>
      </w:r>
      <w:r>
        <w:rPr>
          <w:rFonts w:hint="eastAsia" w:ascii="仿宋" w:hAnsi="仿宋" w:eastAsia="仿宋" w:cs="仿宋"/>
          <w:color w:val="000000" w:themeColor="text1"/>
          <w:sz w:val="32"/>
          <w:szCs w:val="32"/>
          <w:shd w:val="clear" w:color="auto" w:fill="FFFFFF"/>
          <w14:textFill>
            <w14:solidFill>
              <w14:schemeClr w14:val="tx1"/>
            </w14:solidFill>
          </w14:textFill>
        </w:rPr>
        <w:t>厂区</w:t>
      </w:r>
      <w:r>
        <w:rPr>
          <w:rFonts w:hint="eastAsia" w:ascii="仿宋" w:hAnsi="仿宋" w:eastAsia="仿宋" w:cs="仿宋"/>
          <w:color w:val="000000" w:themeColor="text1"/>
          <w:sz w:val="32"/>
          <w:szCs w:val="32"/>
          <w14:textFill>
            <w14:solidFill>
              <w14:schemeClr w14:val="tx1"/>
            </w14:solidFill>
          </w14:textFill>
        </w:rPr>
        <w:t>内新增部分生产设备、料仓污泥抓斗机、污泥专用输送机各一台、污泥废气喷淋植物液除臭系统一套对现有烧结多孔砖生产线进行技术改造，即用河道淤泥和生活污泥、粉煤灰、炉渣等一般固废代替部分页岩作为原料进行烧结多孔砖的生产，技改后页岩标砖产能不变，产能仍保持年产6000万块页岩折标砖。技改完成后年综合利用河道淤泥和生活污泥3.51万吨、粉煤灰1.95万吨、炉渣5.85万吨。</w:t>
      </w:r>
    </w:p>
    <w:p>
      <w:pPr>
        <w:pStyle w:val="24"/>
        <w:spacing w:beforeLines="0" w:afterLines="0" w:line="560" w:lineRule="exact"/>
        <w:ind w:firstLine="640"/>
        <w:rPr>
          <w:rFonts w:hint="eastAsia" w:ascii="仿宋" w:hAnsi="仿宋" w:eastAsia="仿宋" w:cs="仿宋"/>
          <w:color w:val="000000" w:themeColor="text1"/>
          <w:kern w:val="32"/>
          <w:sz w:val="32"/>
          <w:szCs w:val="32"/>
          <w14:textFill>
            <w14:solidFill>
              <w14:schemeClr w14:val="tx1"/>
            </w14:solidFill>
          </w14:textFill>
        </w:rPr>
      </w:pPr>
      <w:r>
        <w:rPr>
          <w:rFonts w:hint="eastAsia" w:ascii="仿宋" w:hAnsi="仿宋" w:eastAsia="仿宋" w:cs="仿宋"/>
          <w:color w:val="000000" w:themeColor="text1"/>
          <w:kern w:val="32"/>
          <w:sz w:val="32"/>
          <w:szCs w:val="32"/>
          <w14:textFill>
            <w14:solidFill>
              <w14:schemeClr w14:val="tx1"/>
            </w14:solidFill>
          </w14:textFill>
        </w:rPr>
        <w:t>根据报告表评价结论和专家评审意见，在建设单位严格落实环评报告和本批复提出的各项环保要求及环境影响减缓措施，确保污染物达标排放的前提下，依据《中华人民共和国环境影响评价法》第二十二条等规定，</w:t>
      </w:r>
      <w:r>
        <w:rPr>
          <w:rFonts w:hint="eastAsia" w:ascii="仿宋" w:hAnsi="仿宋" w:eastAsia="仿宋" w:cs="仿宋"/>
          <w:bCs/>
          <w:color w:val="000000" w:themeColor="text1"/>
          <w:kern w:val="32"/>
          <w:sz w:val="32"/>
          <w:szCs w:val="32"/>
          <w14:textFill>
            <w14:solidFill>
              <w14:schemeClr w14:val="tx1"/>
            </w14:solidFill>
          </w14:textFill>
        </w:rPr>
        <w:t>从环保角度分析，我局同意</w:t>
      </w:r>
      <w:r>
        <w:rPr>
          <w:rFonts w:hint="eastAsia" w:ascii="仿宋" w:hAnsi="仿宋" w:eastAsia="仿宋" w:cs="仿宋"/>
          <w:color w:val="000000" w:themeColor="text1"/>
          <w:kern w:val="32"/>
          <w:sz w:val="32"/>
          <w:szCs w:val="32"/>
          <w14:textFill>
            <w14:solidFill>
              <w14:schemeClr w14:val="tx1"/>
            </w14:solidFill>
          </w14:textFill>
        </w:rPr>
        <w:t>该项目</w:t>
      </w:r>
      <w:r>
        <w:rPr>
          <w:rFonts w:hint="eastAsia" w:ascii="仿宋" w:hAnsi="仿宋" w:eastAsia="仿宋" w:cs="仿宋"/>
          <w:bCs/>
          <w:color w:val="000000" w:themeColor="text1"/>
          <w:kern w:val="32"/>
          <w:sz w:val="32"/>
          <w:szCs w:val="32"/>
          <w14:textFill>
            <w14:solidFill>
              <w14:schemeClr w14:val="tx1"/>
            </w14:solidFill>
          </w14:textFill>
        </w:rPr>
        <w:t>建设</w:t>
      </w:r>
      <w:r>
        <w:rPr>
          <w:rFonts w:hint="eastAsia" w:ascii="仿宋" w:hAnsi="仿宋" w:eastAsia="仿宋" w:cs="仿宋"/>
          <w:color w:val="000000" w:themeColor="text1"/>
          <w:kern w:val="32"/>
          <w:sz w:val="32"/>
          <w:szCs w:val="32"/>
          <w14:textFill>
            <w14:solidFill>
              <w14:schemeClr w14:val="tx1"/>
            </w14:solidFill>
          </w14:textFill>
        </w:rPr>
        <w:t>。本批复及有关附件是该项目环保审批的法律文件。自批复之日起超过5年方开工建设的，或改变项目性质、规模、地点、工艺、环境保护措施，必须依法重新报批。</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二、建设单位在项目设计、建设和运行期间，</w:t>
      </w:r>
      <w:r>
        <w:rPr>
          <w:rFonts w:hint="eastAsia" w:ascii="仿宋" w:hAnsi="仿宋" w:eastAsia="仿宋" w:cs="仿宋"/>
          <w:bCs/>
          <w:color w:val="000000" w:themeColor="text1"/>
          <w:sz w:val="32"/>
          <w:szCs w:val="32"/>
          <w14:textFill>
            <w14:solidFill>
              <w14:schemeClr w14:val="tx1"/>
            </w14:solidFill>
          </w14:textFill>
        </w:rPr>
        <w:t>必须严格执行环保“三同时”制度，</w:t>
      </w:r>
      <w:r>
        <w:rPr>
          <w:rFonts w:hint="eastAsia" w:ascii="仿宋" w:hAnsi="仿宋" w:eastAsia="仿宋" w:cs="仿宋"/>
          <w:color w:val="000000" w:themeColor="text1"/>
          <w:sz w:val="32"/>
          <w:szCs w:val="32"/>
          <w14:textFill>
            <w14:solidFill>
              <w14:schemeClr w14:val="tx1"/>
            </w14:solidFill>
          </w14:textFill>
        </w:rPr>
        <w:t>并着重做好以下工作：</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（一）落实</w:t>
      </w:r>
      <w:r>
        <w:rPr>
          <w:rFonts w:hint="eastAsia" w:ascii="仿宋" w:hAnsi="仿宋" w:eastAsia="仿宋" w:cs="仿宋"/>
          <w:color w:val="000000" w:themeColor="text1"/>
          <w:sz w:val="32"/>
          <w:szCs w:val="32"/>
          <w:lang w:val="zh-CN"/>
          <w14:textFill>
            <w14:solidFill>
              <w14:schemeClr w14:val="tx1"/>
            </w14:solidFill>
          </w14:textFill>
        </w:rPr>
        <w:t>相关政策要求。</w:t>
      </w:r>
      <w:r>
        <w:rPr>
          <w:rFonts w:hint="eastAsia" w:ascii="仿宋" w:hAnsi="仿宋" w:eastAsia="仿宋" w:cs="仿宋"/>
          <w:color w:val="000000" w:themeColor="text1"/>
          <w:sz w:val="32"/>
          <w:szCs w:val="32"/>
          <w14:textFill>
            <w14:solidFill>
              <w14:schemeClr w14:val="tx1"/>
            </w14:solidFill>
          </w14:textFill>
        </w:rPr>
        <w:t>所选用生产设备及环保设施应符合国家质量安全要求，禁止选用国家明令禁止的淘汰、落后设备及工艺。落实好各项安全措施，避免因安全问题引发次生环境问题。按照《环境保护图形标志——排放口（源）》（GB15562.1-1995）、《环境保护图形标志—固体废物贮存（处置）场》（GB15562.2-1995）及2023年修改单的规定和要求，设置环境保护图形标志牌。</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落实废水污染防治。项目不新增生活污水；协同处置的污泥或淤泥等带入的废水全部用于制砖，在干燥和焙烧过程中全部蒸发掉或进入产品。烟气脱硫除尘废水经沉淀池沉淀处理后，循环使用。项目不设置生产废水排放口。</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落实废气污染防治。严格落实大气污染防治措施。完善现有的原料堆存、粉碎及隧道窑等废气治理措施，确保生产过程中废气排放满足《砖瓦工业大气污染物排放标准》(GB29620-2013)及其修改单中排放限值要求。污泥全部存放于密闭车间内，污泥暂存区域产生的恶臭全部送入隧道窑焚烧处理，并在污泥堆存区域周边定期喷洒植物液等措施，确保污泥暂存等过程中产生的恶臭气体排放满足《恶臭污染物排放标准》(GB14554-1993)表1标准限值排放限值要求。</w:t>
      </w:r>
    </w:p>
    <w:p>
      <w:pPr>
        <w:adjustRightInd w:val="0"/>
        <w:snapToGrid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落实噪声污染防治。选用低噪声设备，合理车间内平面布局，并采取消声、隔声等措施，确保厂界噪声达到《工业企业厂界环境噪声排放标准》（GB12348-2008）相应标准。合理安排各类机械、生产设备和运输车辆的工作时间。</w:t>
      </w:r>
    </w:p>
    <w:p>
      <w:pPr>
        <w:adjustRightInd w:val="0"/>
        <w:snapToGrid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落实固体废物管理措施。按报告表提出的措施和要求，做好固体废物的收集与贮存。一般固体废物按照《一般工业固体废物贮存和填埋污染控制标准》（GB18599-2020）要求管理。危险废物须严格执行国家和湖南省危险废物管理有关规定，按照《危险废物贮存污染控制标准》（GB18597-2023）要求规范贮存、转移和处置。生活垃圾经分类收集后，交由当地环卫部门统一回收处置。</w:t>
      </w:r>
    </w:p>
    <w:p>
      <w:pPr>
        <w:adjustRightInd w:val="0"/>
        <w:snapToGrid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落实生态保护措施。建立健全环境管理制度，明确环境保护管理人员和职责。做好日常环境管理工作，加强环境保护设施的运行管理，确保环境保护设施正常运行和污染物稳定达标排放。加强环境风险防范措施，制定环境风险应急预案及防范措施，提高事故风险防范和污染控制能力，确保项目周边环境安全。</w:t>
      </w:r>
    </w:p>
    <w:p>
      <w:pPr>
        <w:adjustRightInd w:val="0"/>
        <w:snapToGrid w:val="0"/>
        <w:spacing w:line="560" w:lineRule="exact"/>
        <w:ind w:firstLine="640" w:firstLineChars="200"/>
        <w:rPr>
          <w:rFonts w:hint="eastAsia"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 xml:space="preserve">（七）维护社会稳定。加强对项目附近环境敏感点的环境保护，处理好与周边的关系，防止因环保诉求而引发矛盾，自觉维护社会稳定。 </w:t>
      </w:r>
    </w:p>
    <w:p>
      <w:pPr>
        <w:adjustRightInd w:val="0"/>
        <w:snapToGrid w:val="0"/>
        <w:spacing w:line="560" w:lineRule="exact"/>
        <w:ind w:firstLine="640" w:firstLineChars="200"/>
        <w:rPr>
          <w:rFonts w:hint="eastAsia"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三、项目建设必须严格执行配套的环境保护设施与主体工程同时设计、同时施工、同时投产使用的环境保护“三同时”制度。项目完工后，应按规定程序实施竣工环境保护验收，并按照相关要求做好监测和信息公开。建设项目发生实际排污行为之前，应按规定办理相关排污许可手续。</w:t>
      </w:r>
    </w:p>
    <w:p>
      <w:pPr>
        <w:adjustRightInd w:val="0"/>
        <w:snapToGrid w:val="0"/>
        <w:spacing w:line="560" w:lineRule="exact"/>
        <w:ind w:firstLine="640" w:firstLineChars="200"/>
        <w:rPr>
          <w:rFonts w:hint="eastAsia"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四、报告表经批准后，建设项目的性质、规模、地点、采用的生产工艺或者防治污染、防止生态破坏的措施发生重大变动的，或自批准之日起超过五年开工建设的，须重新报批。</w:t>
      </w:r>
    </w:p>
    <w:p>
      <w:pPr>
        <w:adjustRightInd w:val="0"/>
        <w:snapToGrid w:val="0"/>
        <w:spacing w:line="560" w:lineRule="exact"/>
        <w:ind w:firstLine="640" w:firstLineChars="200"/>
        <w:rPr>
          <w:rFonts w:hint="eastAsia"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五、若发现本项目存在承诺弄虚作假或环评文件有严重质量问题等情形的，将依法撤销行政审批决定。建设单位应承担生态环境保护主体责任，按规定接受各级生态环境部门的监督检查。</w:t>
      </w:r>
    </w:p>
    <w:p>
      <w:pPr>
        <w:adjustRightInd w:val="0"/>
        <w:snapToGrid w:val="0"/>
        <w:spacing w:line="560" w:lineRule="exact"/>
        <w:ind w:firstLine="640" w:firstLineChars="200"/>
        <w:rPr>
          <w:rFonts w:hint="eastAsia"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六、永州市生态环境保护综合行政执法支队零陵大队组织开展该项目“三同时”监督检查及管理工作，建设单位按规定接受各级生态部门日常检查。</w:t>
      </w:r>
    </w:p>
    <w:p>
      <w:pPr>
        <w:adjustRightInd w:val="0"/>
        <w:snapToGrid w:val="0"/>
        <w:spacing w:line="560" w:lineRule="exact"/>
        <w:ind w:firstLine="4419" w:firstLineChars="1381"/>
        <w:jc w:val="center"/>
        <w:outlineLvl w:val="0"/>
        <w:rPr>
          <w:rFonts w:hint="eastAsia" w:ascii="仿宋" w:hAnsi="仿宋" w:eastAsia="仿宋" w:cs="仿宋"/>
          <w:color w:val="000000" w:themeColor="text1"/>
          <w:sz w:val="32"/>
          <w:szCs w:val="32"/>
          <w:lang w:val="zh-CN"/>
          <w14:textFill>
            <w14:solidFill>
              <w14:schemeClr w14:val="tx1"/>
            </w14:solidFill>
          </w14:textFill>
        </w:rPr>
      </w:pPr>
    </w:p>
    <w:p>
      <w:pPr>
        <w:adjustRightInd w:val="0"/>
        <w:snapToGrid w:val="0"/>
        <w:spacing w:line="560" w:lineRule="exact"/>
        <w:ind w:firstLine="4419" w:firstLineChars="1381"/>
        <w:jc w:val="center"/>
        <w:outlineLvl w:val="0"/>
        <w:rPr>
          <w:rFonts w:hint="eastAsia" w:ascii="仿宋" w:hAnsi="仿宋" w:eastAsia="仿宋" w:cs="仿宋"/>
          <w:color w:val="000000" w:themeColor="text1"/>
          <w:sz w:val="32"/>
          <w:szCs w:val="32"/>
          <w:lang w:val="zh-CN"/>
          <w14:textFill>
            <w14:solidFill>
              <w14:schemeClr w14:val="tx1"/>
            </w14:solidFill>
          </w14:textFill>
        </w:rPr>
      </w:pPr>
    </w:p>
    <w:p>
      <w:pPr>
        <w:adjustRightInd w:val="0"/>
        <w:snapToGrid w:val="0"/>
        <w:spacing w:line="560" w:lineRule="exact"/>
        <w:ind w:firstLine="4419" w:firstLineChars="1381"/>
        <w:jc w:val="center"/>
        <w:outlineLvl w:val="0"/>
        <w:rPr>
          <w:rFonts w:hint="eastAsia" w:ascii="仿宋" w:hAnsi="仿宋" w:eastAsia="仿宋" w:cs="仿宋"/>
          <w:color w:val="000000" w:themeColor="text1"/>
          <w:sz w:val="32"/>
          <w:szCs w:val="32"/>
          <w:lang w:val="zh-CN"/>
          <w14:textFill>
            <w14:solidFill>
              <w14:schemeClr w14:val="tx1"/>
            </w14:solidFill>
          </w14:textFill>
        </w:rPr>
      </w:pPr>
    </w:p>
    <w:p>
      <w:pPr>
        <w:adjustRightInd w:val="0"/>
        <w:snapToGrid w:val="0"/>
        <w:spacing w:line="560" w:lineRule="exact"/>
        <w:ind w:firstLine="4419" w:firstLineChars="1381"/>
        <w:jc w:val="center"/>
        <w:outlineLvl w:val="0"/>
        <w:rPr>
          <w:rFonts w:hint="eastAsia"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永州市生态环境局</w:t>
      </w:r>
    </w:p>
    <w:p>
      <w:pPr>
        <w:adjustRightInd w:val="0"/>
        <w:snapToGrid w:val="0"/>
        <w:spacing w:line="560" w:lineRule="exact"/>
        <w:ind w:firstLine="4419" w:firstLineChars="1381"/>
        <w:jc w:val="center"/>
        <w:rPr>
          <w:rFonts w:hint="eastAsia"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24</w:t>
      </w:r>
      <w:r>
        <w:rPr>
          <w:rFonts w:hint="eastAsia" w:ascii="仿宋" w:hAnsi="仿宋" w:eastAsia="仿宋" w:cs="仿宋"/>
          <w:color w:val="000000" w:themeColor="text1"/>
          <w:sz w:val="32"/>
          <w:szCs w:val="32"/>
          <w:lang w:val="zh-CN"/>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lang w:val="zh-CN"/>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19</w:t>
      </w:r>
      <w:r>
        <w:rPr>
          <w:rFonts w:hint="eastAsia" w:ascii="仿宋" w:hAnsi="仿宋" w:eastAsia="仿宋" w:cs="仿宋"/>
          <w:color w:val="000000" w:themeColor="text1"/>
          <w:sz w:val="32"/>
          <w:szCs w:val="32"/>
          <w:lang w:val="zh-CN"/>
          <w14:textFill>
            <w14:solidFill>
              <w14:schemeClr w14:val="tx1"/>
            </w14:solidFill>
          </w14:textFill>
        </w:rPr>
        <w:t>日</w:t>
      </w:r>
    </w:p>
    <w:p>
      <w:pPr>
        <w:pStyle w:val="2"/>
        <w:rPr>
          <w:rFonts w:hint="eastAsia" w:ascii="仿宋" w:hAnsi="仿宋" w:eastAsia="仿宋" w:cs="仿宋"/>
          <w:color w:val="000000" w:themeColor="text1"/>
          <w:lang w:val="zh-CN"/>
          <w14:textFill>
            <w14:solidFill>
              <w14:schemeClr w14:val="tx1"/>
            </w14:solidFill>
          </w14:textFill>
        </w:rPr>
      </w:pPr>
    </w:p>
    <w:p>
      <w:pPr>
        <w:pStyle w:val="13"/>
        <w:rPr>
          <w:rFonts w:hint="eastAsia" w:ascii="仿宋" w:hAnsi="仿宋" w:eastAsia="仿宋" w:cs="仿宋"/>
          <w:color w:val="000000" w:themeColor="text1"/>
          <w:lang w:val="zh-CN"/>
          <w14:textFill>
            <w14:solidFill>
              <w14:schemeClr w14:val="tx1"/>
            </w14:solidFill>
          </w14:textFill>
        </w:rPr>
      </w:pPr>
    </w:p>
    <w:tbl>
      <w:tblPr>
        <w:tblStyle w:val="12"/>
        <w:tblW w:w="884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845" w:type="dxa"/>
          </w:tcPr>
          <w:p>
            <w:pPr>
              <w:adjustRightInd w:val="0"/>
              <w:snapToGrid w:val="0"/>
              <w:spacing w:line="600" w:lineRule="exact"/>
              <w:rPr>
                <w:rFonts w:hint="eastAsia" w:ascii="仿宋" w:hAnsi="仿宋" w:eastAsia="仿宋" w:cs="仿宋"/>
                <w:color w:val="000000" w:themeColor="text1"/>
                <w:sz w:val="32"/>
                <w:szCs w:val="32"/>
                <w14:textFill>
                  <w14:solidFill>
                    <w14:schemeClr w14:val="tx1"/>
                  </w14:solidFill>
                </w14:textFill>
              </w:rPr>
            </w:pPr>
            <w:bookmarkStart w:id="0" w:name="_GoBack"/>
            <w:r>
              <w:rPr>
                <w:rFonts w:hint="eastAsia" w:ascii="仿宋" w:hAnsi="仿宋" w:eastAsia="仿宋" w:cs="仿宋"/>
                <w:color w:val="000000" w:themeColor="text1"/>
                <w:sz w:val="32"/>
                <w:szCs w:val="32"/>
                <w:lang w:val="zh-CN"/>
                <w14:textFill>
                  <w14:solidFill>
                    <w14:schemeClr w14:val="tx1"/>
                  </w14:solidFill>
                </w14:textFill>
              </w:rPr>
              <w:t>抄送：湖南雅邦环保科技有限公司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845" w:type="dxa"/>
          </w:tcPr>
          <w:p>
            <w:pPr>
              <w:adjustRightInd w:val="0"/>
              <w:snapToGrid w:val="0"/>
              <w:spacing w:line="600" w:lineRule="exact"/>
              <w:rPr>
                <w:rFonts w:hint="eastAsia"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永州市生态环境局零陵分局           2024年</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lang w:val="zh-CN"/>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19</w:t>
            </w:r>
            <w:r>
              <w:rPr>
                <w:rFonts w:hint="eastAsia" w:ascii="仿宋" w:hAnsi="仿宋" w:eastAsia="仿宋" w:cs="仿宋"/>
                <w:color w:val="000000" w:themeColor="text1"/>
                <w:sz w:val="32"/>
                <w:szCs w:val="32"/>
                <w:lang w:val="zh-CN"/>
                <w14:textFill>
                  <w14:solidFill>
                    <w14:schemeClr w14:val="tx1"/>
                  </w14:solidFill>
                </w14:textFill>
              </w:rPr>
              <w:t>日印发</w:t>
            </w:r>
          </w:p>
        </w:tc>
      </w:tr>
      <w:bookmarkEnd w:id="0"/>
    </w:tbl>
    <w:p>
      <w:pPr>
        <w:adjustRightInd w:val="0"/>
        <w:snapToGrid w:val="0"/>
        <w:spacing w:line="600" w:lineRule="exact"/>
        <w:rPr>
          <w:rFonts w:hint="eastAsia" w:ascii="仿宋" w:hAnsi="仿宋" w:eastAsia="仿宋" w:cs="仿宋"/>
          <w:color w:val="000000" w:themeColor="text1"/>
          <w:sz w:val="32"/>
          <w:szCs w:val="32"/>
          <w14:textFill>
            <w14:solidFill>
              <w14:schemeClr w14:val="tx1"/>
            </w14:solidFill>
          </w14:textFill>
        </w:rPr>
      </w:pPr>
    </w:p>
    <w:sectPr>
      <w:headerReference r:id="rId3" w:type="default"/>
      <w:footerReference r:id="rId4" w:type="default"/>
      <w:footerReference r:id="rId5" w:type="even"/>
      <w:pgSz w:w="11906" w:h="16838"/>
      <w:pgMar w:top="1701" w:right="1644" w:bottom="1474" w:left="164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4</w: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t xml:space="preserve"> </w: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lY2RmMTdmNzZmMWIwYjJkOWNmNDZiNzY1M2NmZmUifQ=="/>
  </w:docVars>
  <w:rsids>
    <w:rsidRoot w:val="00172A27"/>
    <w:rsid w:val="000172CD"/>
    <w:rsid w:val="000208B3"/>
    <w:rsid w:val="00022CAE"/>
    <w:rsid w:val="000334D0"/>
    <w:rsid w:val="00043C70"/>
    <w:rsid w:val="00044519"/>
    <w:rsid w:val="00046999"/>
    <w:rsid w:val="00052DEB"/>
    <w:rsid w:val="00053BE9"/>
    <w:rsid w:val="00054CD8"/>
    <w:rsid w:val="00062696"/>
    <w:rsid w:val="00077D77"/>
    <w:rsid w:val="000906DC"/>
    <w:rsid w:val="000919AA"/>
    <w:rsid w:val="00095508"/>
    <w:rsid w:val="000A3175"/>
    <w:rsid w:val="000B0A56"/>
    <w:rsid w:val="000D3930"/>
    <w:rsid w:val="000D4372"/>
    <w:rsid w:val="000D4F97"/>
    <w:rsid w:val="000D6070"/>
    <w:rsid w:val="000E4047"/>
    <w:rsid w:val="000E41F7"/>
    <w:rsid w:val="000E4561"/>
    <w:rsid w:val="000F3EDB"/>
    <w:rsid w:val="001043B0"/>
    <w:rsid w:val="001059E3"/>
    <w:rsid w:val="00106CF1"/>
    <w:rsid w:val="00115C3C"/>
    <w:rsid w:val="0012379F"/>
    <w:rsid w:val="001250F0"/>
    <w:rsid w:val="00133C52"/>
    <w:rsid w:val="00134DD7"/>
    <w:rsid w:val="00143821"/>
    <w:rsid w:val="00146AEF"/>
    <w:rsid w:val="0014766C"/>
    <w:rsid w:val="001551A7"/>
    <w:rsid w:val="001563D1"/>
    <w:rsid w:val="001647AE"/>
    <w:rsid w:val="00164BC5"/>
    <w:rsid w:val="00172A27"/>
    <w:rsid w:val="001A52DE"/>
    <w:rsid w:val="001B0A03"/>
    <w:rsid w:val="001C0A22"/>
    <w:rsid w:val="001C2D3D"/>
    <w:rsid w:val="001C2F62"/>
    <w:rsid w:val="001D5F75"/>
    <w:rsid w:val="001D6C0D"/>
    <w:rsid w:val="001D6DE1"/>
    <w:rsid w:val="001D7341"/>
    <w:rsid w:val="001E370C"/>
    <w:rsid w:val="001E52EA"/>
    <w:rsid w:val="001E7BBA"/>
    <w:rsid w:val="001F5FA2"/>
    <w:rsid w:val="00205DBE"/>
    <w:rsid w:val="0021131E"/>
    <w:rsid w:val="002131E8"/>
    <w:rsid w:val="00226372"/>
    <w:rsid w:val="00227011"/>
    <w:rsid w:val="00232BFF"/>
    <w:rsid w:val="00241539"/>
    <w:rsid w:val="00254E67"/>
    <w:rsid w:val="002614F7"/>
    <w:rsid w:val="00264AA7"/>
    <w:rsid w:val="0026579E"/>
    <w:rsid w:val="00265EED"/>
    <w:rsid w:val="00266A7B"/>
    <w:rsid w:val="00266FFB"/>
    <w:rsid w:val="00270FC3"/>
    <w:rsid w:val="002748C4"/>
    <w:rsid w:val="00275B09"/>
    <w:rsid w:val="00282869"/>
    <w:rsid w:val="00291960"/>
    <w:rsid w:val="00293543"/>
    <w:rsid w:val="00297EDA"/>
    <w:rsid w:val="002A0A67"/>
    <w:rsid w:val="002A3772"/>
    <w:rsid w:val="002B36DC"/>
    <w:rsid w:val="002C074A"/>
    <w:rsid w:val="002C1AC7"/>
    <w:rsid w:val="002C3203"/>
    <w:rsid w:val="002C5098"/>
    <w:rsid w:val="002E5EC0"/>
    <w:rsid w:val="002E76F3"/>
    <w:rsid w:val="002F0422"/>
    <w:rsid w:val="002F1801"/>
    <w:rsid w:val="002F56B5"/>
    <w:rsid w:val="002F7BE1"/>
    <w:rsid w:val="00320119"/>
    <w:rsid w:val="00321F65"/>
    <w:rsid w:val="0032235E"/>
    <w:rsid w:val="003242F2"/>
    <w:rsid w:val="003248E5"/>
    <w:rsid w:val="00342072"/>
    <w:rsid w:val="00343D73"/>
    <w:rsid w:val="0034403A"/>
    <w:rsid w:val="00344384"/>
    <w:rsid w:val="003612A5"/>
    <w:rsid w:val="00375057"/>
    <w:rsid w:val="003760ED"/>
    <w:rsid w:val="003809FA"/>
    <w:rsid w:val="00386598"/>
    <w:rsid w:val="0039084A"/>
    <w:rsid w:val="003909A2"/>
    <w:rsid w:val="00391D17"/>
    <w:rsid w:val="00391F05"/>
    <w:rsid w:val="003945C7"/>
    <w:rsid w:val="003978D5"/>
    <w:rsid w:val="00397F21"/>
    <w:rsid w:val="003A0092"/>
    <w:rsid w:val="003A2324"/>
    <w:rsid w:val="003A2AEE"/>
    <w:rsid w:val="003A507C"/>
    <w:rsid w:val="003A7091"/>
    <w:rsid w:val="003C3238"/>
    <w:rsid w:val="003C709E"/>
    <w:rsid w:val="003D6D86"/>
    <w:rsid w:val="003E1D3A"/>
    <w:rsid w:val="003E214E"/>
    <w:rsid w:val="003F41CD"/>
    <w:rsid w:val="003F7440"/>
    <w:rsid w:val="003F7D8D"/>
    <w:rsid w:val="0040106E"/>
    <w:rsid w:val="0041101E"/>
    <w:rsid w:val="004171EB"/>
    <w:rsid w:val="00417952"/>
    <w:rsid w:val="00427B2F"/>
    <w:rsid w:val="00430331"/>
    <w:rsid w:val="00432F30"/>
    <w:rsid w:val="0044342C"/>
    <w:rsid w:val="00453997"/>
    <w:rsid w:val="004608D8"/>
    <w:rsid w:val="00490009"/>
    <w:rsid w:val="00494B1F"/>
    <w:rsid w:val="00494DC8"/>
    <w:rsid w:val="00496A6F"/>
    <w:rsid w:val="004970F7"/>
    <w:rsid w:val="004A03C4"/>
    <w:rsid w:val="004A45BA"/>
    <w:rsid w:val="004A4CF5"/>
    <w:rsid w:val="004B33F1"/>
    <w:rsid w:val="004B3E81"/>
    <w:rsid w:val="004B4265"/>
    <w:rsid w:val="004B623F"/>
    <w:rsid w:val="004D34B2"/>
    <w:rsid w:val="004D3A82"/>
    <w:rsid w:val="004E1458"/>
    <w:rsid w:val="004E1EA1"/>
    <w:rsid w:val="004E31C2"/>
    <w:rsid w:val="004E52FC"/>
    <w:rsid w:val="004F47DA"/>
    <w:rsid w:val="004F799C"/>
    <w:rsid w:val="005016FA"/>
    <w:rsid w:val="00505303"/>
    <w:rsid w:val="00506FA1"/>
    <w:rsid w:val="005108F7"/>
    <w:rsid w:val="00511EDC"/>
    <w:rsid w:val="00517638"/>
    <w:rsid w:val="005209DF"/>
    <w:rsid w:val="005272C3"/>
    <w:rsid w:val="005353F4"/>
    <w:rsid w:val="00536E57"/>
    <w:rsid w:val="0054067C"/>
    <w:rsid w:val="0055048A"/>
    <w:rsid w:val="00551306"/>
    <w:rsid w:val="00565905"/>
    <w:rsid w:val="00565C6B"/>
    <w:rsid w:val="005671F6"/>
    <w:rsid w:val="005856A6"/>
    <w:rsid w:val="005A42AF"/>
    <w:rsid w:val="005B45BF"/>
    <w:rsid w:val="005C1DEC"/>
    <w:rsid w:val="005C6F4F"/>
    <w:rsid w:val="005C7567"/>
    <w:rsid w:val="005D08C7"/>
    <w:rsid w:val="005D5823"/>
    <w:rsid w:val="005E018E"/>
    <w:rsid w:val="005E38D8"/>
    <w:rsid w:val="005F28F4"/>
    <w:rsid w:val="005F3F60"/>
    <w:rsid w:val="005F5C4C"/>
    <w:rsid w:val="00603136"/>
    <w:rsid w:val="006258B2"/>
    <w:rsid w:val="00632922"/>
    <w:rsid w:val="0067173D"/>
    <w:rsid w:val="006723D5"/>
    <w:rsid w:val="0067412D"/>
    <w:rsid w:val="00680034"/>
    <w:rsid w:val="00685679"/>
    <w:rsid w:val="00687A95"/>
    <w:rsid w:val="0069085B"/>
    <w:rsid w:val="006910F7"/>
    <w:rsid w:val="006C0528"/>
    <w:rsid w:val="006C6113"/>
    <w:rsid w:val="006D4094"/>
    <w:rsid w:val="006D4A6A"/>
    <w:rsid w:val="006E0F8D"/>
    <w:rsid w:val="006E17F3"/>
    <w:rsid w:val="006F003D"/>
    <w:rsid w:val="006F2CCB"/>
    <w:rsid w:val="007075D0"/>
    <w:rsid w:val="00707A91"/>
    <w:rsid w:val="00712B79"/>
    <w:rsid w:val="007151D1"/>
    <w:rsid w:val="00715EB0"/>
    <w:rsid w:val="00726E52"/>
    <w:rsid w:val="00735892"/>
    <w:rsid w:val="0073615A"/>
    <w:rsid w:val="0074285D"/>
    <w:rsid w:val="0074598B"/>
    <w:rsid w:val="007467E9"/>
    <w:rsid w:val="00747E5B"/>
    <w:rsid w:val="00751C3E"/>
    <w:rsid w:val="00753D03"/>
    <w:rsid w:val="00756A29"/>
    <w:rsid w:val="00757A63"/>
    <w:rsid w:val="00763B9F"/>
    <w:rsid w:val="00773847"/>
    <w:rsid w:val="00776FE4"/>
    <w:rsid w:val="00783ED3"/>
    <w:rsid w:val="00793CBD"/>
    <w:rsid w:val="007A0B9A"/>
    <w:rsid w:val="007A2CB7"/>
    <w:rsid w:val="007A6445"/>
    <w:rsid w:val="007B4420"/>
    <w:rsid w:val="007B573C"/>
    <w:rsid w:val="007C5158"/>
    <w:rsid w:val="007D0BB5"/>
    <w:rsid w:val="007D0D45"/>
    <w:rsid w:val="007E209A"/>
    <w:rsid w:val="007E219D"/>
    <w:rsid w:val="007E4A1E"/>
    <w:rsid w:val="007F0DBF"/>
    <w:rsid w:val="007F2508"/>
    <w:rsid w:val="007F5DDE"/>
    <w:rsid w:val="00805A1D"/>
    <w:rsid w:val="008124FB"/>
    <w:rsid w:val="00812E95"/>
    <w:rsid w:val="00821623"/>
    <w:rsid w:val="008248D3"/>
    <w:rsid w:val="00834755"/>
    <w:rsid w:val="0083600A"/>
    <w:rsid w:val="00841445"/>
    <w:rsid w:val="00841E03"/>
    <w:rsid w:val="00846AE4"/>
    <w:rsid w:val="008501A4"/>
    <w:rsid w:val="008518E1"/>
    <w:rsid w:val="00853297"/>
    <w:rsid w:val="00862659"/>
    <w:rsid w:val="00863449"/>
    <w:rsid w:val="00864F3C"/>
    <w:rsid w:val="00873755"/>
    <w:rsid w:val="00876D59"/>
    <w:rsid w:val="00886F6B"/>
    <w:rsid w:val="00890F81"/>
    <w:rsid w:val="00892D45"/>
    <w:rsid w:val="0089364C"/>
    <w:rsid w:val="008A17B2"/>
    <w:rsid w:val="008A3A15"/>
    <w:rsid w:val="008A5BCD"/>
    <w:rsid w:val="008A6805"/>
    <w:rsid w:val="008B0E82"/>
    <w:rsid w:val="008C3121"/>
    <w:rsid w:val="008C35EE"/>
    <w:rsid w:val="008D4538"/>
    <w:rsid w:val="008E1E76"/>
    <w:rsid w:val="008E2069"/>
    <w:rsid w:val="008E4827"/>
    <w:rsid w:val="008F011F"/>
    <w:rsid w:val="008F033A"/>
    <w:rsid w:val="008F3E9F"/>
    <w:rsid w:val="008F6FF7"/>
    <w:rsid w:val="00905FC1"/>
    <w:rsid w:val="00913049"/>
    <w:rsid w:val="00920C99"/>
    <w:rsid w:val="00921A92"/>
    <w:rsid w:val="009258EC"/>
    <w:rsid w:val="0092786C"/>
    <w:rsid w:val="009340EF"/>
    <w:rsid w:val="00934B42"/>
    <w:rsid w:val="009358E2"/>
    <w:rsid w:val="009367E8"/>
    <w:rsid w:val="0094051A"/>
    <w:rsid w:val="00951F05"/>
    <w:rsid w:val="00957726"/>
    <w:rsid w:val="00960BA3"/>
    <w:rsid w:val="009679A2"/>
    <w:rsid w:val="00970582"/>
    <w:rsid w:val="009730E7"/>
    <w:rsid w:val="00973B68"/>
    <w:rsid w:val="009838E9"/>
    <w:rsid w:val="00987189"/>
    <w:rsid w:val="00992913"/>
    <w:rsid w:val="00995B22"/>
    <w:rsid w:val="009B7B36"/>
    <w:rsid w:val="009C059E"/>
    <w:rsid w:val="009C07FE"/>
    <w:rsid w:val="009C38E9"/>
    <w:rsid w:val="009C3D09"/>
    <w:rsid w:val="009C5226"/>
    <w:rsid w:val="009C5D11"/>
    <w:rsid w:val="009C5DB9"/>
    <w:rsid w:val="009C60C7"/>
    <w:rsid w:val="009C6658"/>
    <w:rsid w:val="009D6929"/>
    <w:rsid w:val="009E3F42"/>
    <w:rsid w:val="009F1E09"/>
    <w:rsid w:val="009F4284"/>
    <w:rsid w:val="00A00347"/>
    <w:rsid w:val="00A030C1"/>
    <w:rsid w:val="00A12612"/>
    <w:rsid w:val="00A16DFC"/>
    <w:rsid w:val="00A24252"/>
    <w:rsid w:val="00A260F7"/>
    <w:rsid w:val="00A4019D"/>
    <w:rsid w:val="00A407C0"/>
    <w:rsid w:val="00A475AD"/>
    <w:rsid w:val="00A51458"/>
    <w:rsid w:val="00A51FE8"/>
    <w:rsid w:val="00A53C13"/>
    <w:rsid w:val="00A54165"/>
    <w:rsid w:val="00A5449F"/>
    <w:rsid w:val="00A566C3"/>
    <w:rsid w:val="00A56B08"/>
    <w:rsid w:val="00A63418"/>
    <w:rsid w:val="00A63CD3"/>
    <w:rsid w:val="00A7130B"/>
    <w:rsid w:val="00A83499"/>
    <w:rsid w:val="00A844A6"/>
    <w:rsid w:val="00A848A0"/>
    <w:rsid w:val="00A854D0"/>
    <w:rsid w:val="00A920B7"/>
    <w:rsid w:val="00A92FC9"/>
    <w:rsid w:val="00AA3D82"/>
    <w:rsid w:val="00AB7231"/>
    <w:rsid w:val="00AC2F29"/>
    <w:rsid w:val="00AC6FA0"/>
    <w:rsid w:val="00AC7B37"/>
    <w:rsid w:val="00AD38AF"/>
    <w:rsid w:val="00AE4822"/>
    <w:rsid w:val="00AF4AF9"/>
    <w:rsid w:val="00AF799E"/>
    <w:rsid w:val="00AF7CB7"/>
    <w:rsid w:val="00B12438"/>
    <w:rsid w:val="00B2201D"/>
    <w:rsid w:val="00B22EA0"/>
    <w:rsid w:val="00B34AAD"/>
    <w:rsid w:val="00B429B8"/>
    <w:rsid w:val="00B51452"/>
    <w:rsid w:val="00B53748"/>
    <w:rsid w:val="00B53857"/>
    <w:rsid w:val="00B55B83"/>
    <w:rsid w:val="00B61324"/>
    <w:rsid w:val="00B625F0"/>
    <w:rsid w:val="00B65CBA"/>
    <w:rsid w:val="00B75A64"/>
    <w:rsid w:val="00B800B0"/>
    <w:rsid w:val="00B81752"/>
    <w:rsid w:val="00B8234A"/>
    <w:rsid w:val="00B82AC5"/>
    <w:rsid w:val="00B85DDE"/>
    <w:rsid w:val="00B9186D"/>
    <w:rsid w:val="00BA3AD6"/>
    <w:rsid w:val="00BA6E30"/>
    <w:rsid w:val="00BC0871"/>
    <w:rsid w:val="00BC1406"/>
    <w:rsid w:val="00BC409E"/>
    <w:rsid w:val="00BC4643"/>
    <w:rsid w:val="00BC4E5F"/>
    <w:rsid w:val="00BD5E44"/>
    <w:rsid w:val="00BE082C"/>
    <w:rsid w:val="00BE3019"/>
    <w:rsid w:val="00BF05AD"/>
    <w:rsid w:val="00BF61D5"/>
    <w:rsid w:val="00C02CE5"/>
    <w:rsid w:val="00C07C48"/>
    <w:rsid w:val="00C144C0"/>
    <w:rsid w:val="00C2064B"/>
    <w:rsid w:val="00C21036"/>
    <w:rsid w:val="00C40192"/>
    <w:rsid w:val="00C55887"/>
    <w:rsid w:val="00C56F9A"/>
    <w:rsid w:val="00C5722C"/>
    <w:rsid w:val="00C572E1"/>
    <w:rsid w:val="00C6400B"/>
    <w:rsid w:val="00C64F3D"/>
    <w:rsid w:val="00C65B3E"/>
    <w:rsid w:val="00C7486B"/>
    <w:rsid w:val="00C74A9A"/>
    <w:rsid w:val="00C7793B"/>
    <w:rsid w:val="00C8168B"/>
    <w:rsid w:val="00C8690F"/>
    <w:rsid w:val="00C86C5D"/>
    <w:rsid w:val="00C916B2"/>
    <w:rsid w:val="00C931CA"/>
    <w:rsid w:val="00C94B4A"/>
    <w:rsid w:val="00C95E61"/>
    <w:rsid w:val="00CA202A"/>
    <w:rsid w:val="00CA3B67"/>
    <w:rsid w:val="00CB229D"/>
    <w:rsid w:val="00CB5B42"/>
    <w:rsid w:val="00CD07E8"/>
    <w:rsid w:val="00CD4CCC"/>
    <w:rsid w:val="00CD66D1"/>
    <w:rsid w:val="00CD767F"/>
    <w:rsid w:val="00CF1235"/>
    <w:rsid w:val="00CF6162"/>
    <w:rsid w:val="00D065FA"/>
    <w:rsid w:val="00D223D4"/>
    <w:rsid w:val="00D26775"/>
    <w:rsid w:val="00D327E8"/>
    <w:rsid w:val="00D37BD9"/>
    <w:rsid w:val="00D4203A"/>
    <w:rsid w:val="00D426A4"/>
    <w:rsid w:val="00D42F3E"/>
    <w:rsid w:val="00D451A0"/>
    <w:rsid w:val="00D47295"/>
    <w:rsid w:val="00D53374"/>
    <w:rsid w:val="00D60C18"/>
    <w:rsid w:val="00D64109"/>
    <w:rsid w:val="00D66B77"/>
    <w:rsid w:val="00D8098E"/>
    <w:rsid w:val="00D907AE"/>
    <w:rsid w:val="00DB0F0B"/>
    <w:rsid w:val="00DC5BCA"/>
    <w:rsid w:val="00DC7C1B"/>
    <w:rsid w:val="00DD1EE9"/>
    <w:rsid w:val="00DD4D63"/>
    <w:rsid w:val="00DD5A54"/>
    <w:rsid w:val="00DD75B5"/>
    <w:rsid w:val="00DE760A"/>
    <w:rsid w:val="00DF1948"/>
    <w:rsid w:val="00DF1A99"/>
    <w:rsid w:val="00E0096C"/>
    <w:rsid w:val="00E07B1A"/>
    <w:rsid w:val="00E14DDC"/>
    <w:rsid w:val="00E175A1"/>
    <w:rsid w:val="00E22F42"/>
    <w:rsid w:val="00E2641F"/>
    <w:rsid w:val="00E3470A"/>
    <w:rsid w:val="00E44062"/>
    <w:rsid w:val="00E534AB"/>
    <w:rsid w:val="00E6611E"/>
    <w:rsid w:val="00E76A89"/>
    <w:rsid w:val="00E77318"/>
    <w:rsid w:val="00E77F8A"/>
    <w:rsid w:val="00E805BC"/>
    <w:rsid w:val="00E849BF"/>
    <w:rsid w:val="00E93A79"/>
    <w:rsid w:val="00EA63E6"/>
    <w:rsid w:val="00EA7479"/>
    <w:rsid w:val="00EB304B"/>
    <w:rsid w:val="00EC4634"/>
    <w:rsid w:val="00EC7276"/>
    <w:rsid w:val="00ED1E40"/>
    <w:rsid w:val="00ED30FD"/>
    <w:rsid w:val="00ED59B9"/>
    <w:rsid w:val="00EE0235"/>
    <w:rsid w:val="00EE3BE6"/>
    <w:rsid w:val="00EE54AE"/>
    <w:rsid w:val="00EF4802"/>
    <w:rsid w:val="00F01B8B"/>
    <w:rsid w:val="00F04840"/>
    <w:rsid w:val="00F055C8"/>
    <w:rsid w:val="00F0662B"/>
    <w:rsid w:val="00F1094B"/>
    <w:rsid w:val="00F11777"/>
    <w:rsid w:val="00F13AFA"/>
    <w:rsid w:val="00F23472"/>
    <w:rsid w:val="00F26999"/>
    <w:rsid w:val="00F320BD"/>
    <w:rsid w:val="00F33F0E"/>
    <w:rsid w:val="00F36987"/>
    <w:rsid w:val="00F41731"/>
    <w:rsid w:val="00F47D15"/>
    <w:rsid w:val="00F52ABA"/>
    <w:rsid w:val="00F52FC2"/>
    <w:rsid w:val="00F610A9"/>
    <w:rsid w:val="00F63DE1"/>
    <w:rsid w:val="00F80D75"/>
    <w:rsid w:val="00F8203B"/>
    <w:rsid w:val="00F90CFC"/>
    <w:rsid w:val="00F91DEA"/>
    <w:rsid w:val="00F95562"/>
    <w:rsid w:val="00FA3F21"/>
    <w:rsid w:val="00FA4A2B"/>
    <w:rsid w:val="00FC3769"/>
    <w:rsid w:val="00FC4ACA"/>
    <w:rsid w:val="00FC5ED1"/>
    <w:rsid w:val="00FD3178"/>
    <w:rsid w:val="00FD5932"/>
    <w:rsid w:val="00FE2C97"/>
    <w:rsid w:val="00FE2E64"/>
    <w:rsid w:val="00FE43B7"/>
    <w:rsid w:val="00FE6AB0"/>
    <w:rsid w:val="00FF583F"/>
    <w:rsid w:val="0270061D"/>
    <w:rsid w:val="029E162E"/>
    <w:rsid w:val="04FB66CD"/>
    <w:rsid w:val="05790857"/>
    <w:rsid w:val="06456F2D"/>
    <w:rsid w:val="067601CC"/>
    <w:rsid w:val="06B75113"/>
    <w:rsid w:val="07A80227"/>
    <w:rsid w:val="07A928F3"/>
    <w:rsid w:val="08861C8C"/>
    <w:rsid w:val="0A76233A"/>
    <w:rsid w:val="0A7A21BB"/>
    <w:rsid w:val="0B071D3B"/>
    <w:rsid w:val="0C3C1484"/>
    <w:rsid w:val="0C5745FC"/>
    <w:rsid w:val="0D4973AE"/>
    <w:rsid w:val="0E290DD5"/>
    <w:rsid w:val="0EAC50D3"/>
    <w:rsid w:val="0EBD003E"/>
    <w:rsid w:val="0F580DB7"/>
    <w:rsid w:val="0F8E4E74"/>
    <w:rsid w:val="11CD56FB"/>
    <w:rsid w:val="127A5C8A"/>
    <w:rsid w:val="12BF1FCA"/>
    <w:rsid w:val="13200E62"/>
    <w:rsid w:val="135750B9"/>
    <w:rsid w:val="141D25CF"/>
    <w:rsid w:val="14506500"/>
    <w:rsid w:val="15AA1C40"/>
    <w:rsid w:val="165450A1"/>
    <w:rsid w:val="16B40FC8"/>
    <w:rsid w:val="16C277E9"/>
    <w:rsid w:val="16F97DBF"/>
    <w:rsid w:val="18623FB7"/>
    <w:rsid w:val="1AB30DF8"/>
    <w:rsid w:val="1B102E00"/>
    <w:rsid w:val="1BA62502"/>
    <w:rsid w:val="1DD862F0"/>
    <w:rsid w:val="1F141D14"/>
    <w:rsid w:val="1F3857F3"/>
    <w:rsid w:val="20D51C6C"/>
    <w:rsid w:val="212A3ECD"/>
    <w:rsid w:val="212D2F22"/>
    <w:rsid w:val="216E78CB"/>
    <w:rsid w:val="21925A69"/>
    <w:rsid w:val="2217065D"/>
    <w:rsid w:val="23A928D9"/>
    <w:rsid w:val="24847D67"/>
    <w:rsid w:val="27035D34"/>
    <w:rsid w:val="288B74A1"/>
    <w:rsid w:val="29124BB0"/>
    <w:rsid w:val="2956626B"/>
    <w:rsid w:val="29BD1AEA"/>
    <w:rsid w:val="2AAE2D33"/>
    <w:rsid w:val="2BBA2211"/>
    <w:rsid w:val="2CC27AB5"/>
    <w:rsid w:val="2DB10A51"/>
    <w:rsid w:val="2E864E3C"/>
    <w:rsid w:val="30A725BF"/>
    <w:rsid w:val="3155674E"/>
    <w:rsid w:val="31B36D73"/>
    <w:rsid w:val="32FC0B6A"/>
    <w:rsid w:val="3313038A"/>
    <w:rsid w:val="34C573BD"/>
    <w:rsid w:val="352C5EFF"/>
    <w:rsid w:val="35A10A01"/>
    <w:rsid w:val="36A45F48"/>
    <w:rsid w:val="38CE6310"/>
    <w:rsid w:val="39DC0460"/>
    <w:rsid w:val="3A1221C3"/>
    <w:rsid w:val="40AD74A2"/>
    <w:rsid w:val="41070884"/>
    <w:rsid w:val="418B202B"/>
    <w:rsid w:val="422C3859"/>
    <w:rsid w:val="433206AE"/>
    <w:rsid w:val="43650488"/>
    <w:rsid w:val="439E2535"/>
    <w:rsid w:val="45925068"/>
    <w:rsid w:val="45C71428"/>
    <w:rsid w:val="48074B4D"/>
    <w:rsid w:val="480F1458"/>
    <w:rsid w:val="48592450"/>
    <w:rsid w:val="4895625A"/>
    <w:rsid w:val="49060960"/>
    <w:rsid w:val="4AF225DA"/>
    <w:rsid w:val="4B215F25"/>
    <w:rsid w:val="4B627223"/>
    <w:rsid w:val="4DA73E7B"/>
    <w:rsid w:val="4E0B633E"/>
    <w:rsid w:val="4F68050E"/>
    <w:rsid w:val="4F9C4909"/>
    <w:rsid w:val="4FD741B9"/>
    <w:rsid w:val="50A3118B"/>
    <w:rsid w:val="50B05655"/>
    <w:rsid w:val="5199361E"/>
    <w:rsid w:val="53A019B1"/>
    <w:rsid w:val="545F7ABE"/>
    <w:rsid w:val="54F5454A"/>
    <w:rsid w:val="55DF7E14"/>
    <w:rsid w:val="56666AD6"/>
    <w:rsid w:val="56AF5AF8"/>
    <w:rsid w:val="57A27BF2"/>
    <w:rsid w:val="59376914"/>
    <w:rsid w:val="5975770A"/>
    <w:rsid w:val="59E56237"/>
    <w:rsid w:val="5A347D92"/>
    <w:rsid w:val="5B136F0D"/>
    <w:rsid w:val="5C013209"/>
    <w:rsid w:val="5E366531"/>
    <w:rsid w:val="5EA54320"/>
    <w:rsid w:val="5EA63B95"/>
    <w:rsid w:val="5EE72E9E"/>
    <w:rsid w:val="617A5C72"/>
    <w:rsid w:val="631A1780"/>
    <w:rsid w:val="634A4F24"/>
    <w:rsid w:val="637349EC"/>
    <w:rsid w:val="66644AC0"/>
    <w:rsid w:val="666563CF"/>
    <w:rsid w:val="67597C98"/>
    <w:rsid w:val="67D45756"/>
    <w:rsid w:val="69376833"/>
    <w:rsid w:val="69B31FE7"/>
    <w:rsid w:val="6BF37D88"/>
    <w:rsid w:val="6CD5739E"/>
    <w:rsid w:val="6D775ADE"/>
    <w:rsid w:val="6DF66946"/>
    <w:rsid w:val="6E7D0E15"/>
    <w:rsid w:val="6F5E4A4D"/>
    <w:rsid w:val="71AF3137"/>
    <w:rsid w:val="71FC6338"/>
    <w:rsid w:val="72141A90"/>
    <w:rsid w:val="7328760D"/>
    <w:rsid w:val="73EF5B48"/>
    <w:rsid w:val="74D8656F"/>
    <w:rsid w:val="76214607"/>
    <w:rsid w:val="76780840"/>
    <w:rsid w:val="76832D41"/>
    <w:rsid w:val="76A64B6F"/>
    <w:rsid w:val="76B441CE"/>
    <w:rsid w:val="7A455929"/>
    <w:rsid w:val="7A583CAC"/>
    <w:rsid w:val="7C6D24C9"/>
    <w:rsid w:val="7CA53FB3"/>
    <w:rsid w:val="7DD17A9C"/>
    <w:rsid w:val="7E055DC0"/>
    <w:rsid w:val="7F8D1A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黑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qFormat="1" w:uiPriority="0" w:semiHidden="0"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iPriority="59"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customStyle="1" w:styleId="2">
    <w:name w:val="guo-正文缩进2"/>
    <w:basedOn w:val="3"/>
    <w:qFormat/>
    <w:uiPriority w:val="0"/>
    <w:pPr>
      <w:tabs>
        <w:tab w:val="left" w:pos="1021"/>
      </w:tabs>
      <w:ind w:firstLine="562"/>
    </w:pPr>
  </w:style>
  <w:style w:type="paragraph" w:customStyle="1" w:styleId="3">
    <w:name w:val="guo-正文不缩进"/>
    <w:basedOn w:val="1"/>
    <w:qFormat/>
    <w:uiPriority w:val="0"/>
    <w:pPr>
      <w:tabs>
        <w:tab w:val="left" w:pos="1021"/>
      </w:tabs>
    </w:pPr>
  </w:style>
  <w:style w:type="paragraph" w:styleId="4">
    <w:name w:val="Document Map"/>
    <w:basedOn w:val="1"/>
    <w:link w:val="16"/>
    <w:semiHidden/>
    <w:qFormat/>
    <w:uiPriority w:val="99"/>
    <w:pPr>
      <w:shd w:val="clear" w:color="auto" w:fill="000080"/>
    </w:pPr>
  </w:style>
  <w:style w:type="paragraph" w:styleId="5">
    <w:name w:val="Balloon Text"/>
    <w:basedOn w:val="1"/>
    <w:link w:val="17"/>
    <w:semiHidden/>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index heading"/>
    <w:basedOn w:val="1"/>
    <w:next w:val="9"/>
    <w:unhideWhenUsed/>
    <w:qFormat/>
    <w:locked/>
    <w:uiPriority w:val="0"/>
    <w:rPr>
      <w:rFonts w:ascii="等线 Light" w:hAnsi="等线 Light" w:eastAsia="等线 Light"/>
      <w:b/>
      <w:bCs/>
      <w:sz w:val="24"/>
      <w:szCs w:val="20"/>
    </w:rPr>
  </w:style>
  <w:style w:type="paragraph" w:styleId="9">
    <w:name w:val="index 1"/>
    <w:basedOn w:val="1"/>
    <w:next w:val="1"/>
    <w:qFormat/>
    <w:locked/>
    <w:uiPriority w:val="0"/>
  </w:style>
  <w:style w:type="character" w:styleId="11">
    <w:name w:val="page number"/>
    <w:basedOn w:val="10"/>
    <w:qFormat/>
    <w:uiPriority w:val="99"/>
    <w:rPr>
      <w:rFonts w:cs="Times New Roman"/>
    </w:rPr>
  </w:style>
  <w:style w:type="paragraph" w:customStyle="1" w:styleId="13">
    <w:name w:val="Default"/>
    <w:basedOn w:val="14"/>
    <w:next w:val="15"/>
    <w:qFormat/>
    <w:uiPriority w:val="0"/>
    <w:pPr>
      <w:autoSpaceDE w:val="0"/>
      <w:autoSpaceDN w:val="0"/>
    </w:pPr>
    <w:rPr>
      <w:rFonts w:ascii="宋体" w:hAnsi="宋体" w:cs="宋体"/>
      <w:color w:val="000000"/>
      <w:sz w:val="24"/>
    </w:rPr>
  </w:style>
  <w:style w:type="paragraph" w:customStyle="1" w:styleId="14">
    <w:name w:val="纯文本1"/>
    <w:basedOn w:val="1"/>
    <w:qFormat/>
    <w:uiPriority w:val="0"/>
    <w:pPr>
      <w:adjustRightInd w:val="0"/>
    </w:pPr>
    <w:rPr>
      <w:rFonts w:hAnsi="Courier New"/>
    </w:rPr>
  </w:style>
  <w:style w:type="paragraph" w:customStyle="1" w:styleId="15">
    <w:name w:val="样式1"/>
    <w:basedOn w:val="8"/>
    <w:next w:val="1"/>
    <w:qFormat/>
    <w:uiPriority w:val="0"/>
    <w:pPr>
      <w:spacing w:beforeLines="50" w:line="440" w:lineRule="exact"/>
      <w:ind w:left="100" w:leftChars="100"/>
    </w:pPr>
    <w:rPr>
      <w:rFonts w:ascii="宋体" w:hAnsi="宋体" w:eastAsia="宋体"/>
      <w:b w:val="0"/>
      <w:bCs w:val="0"/>
    </w:rPr>
  </w:style>
  <w:style w:type="character" w:customStyle="1" w:styleId="16">
    <w:name w:val="文档结构图 Char"/>
    <w:basedOn w:val="10"/>
    <w:link w:val="4"/>
    <w:semiHidden/>
    <w:qFormat/>
    <w:locked/>
    <w:uiPriority w:val="99"/>
    <w:rPr>
      <w:rFonts w:eastAsia="宋体" w:cs="Times New Roman"/>
      <w:sz w:val="2"/>
    </w:rPr>
  </w:style>
  <w:style w:type="character" w:customStyle="1" w:styleId="17">
    <w:name w:val="批注框文本 Char"/>
    <w:basedOn w:val="10"/>
    <w:link w:val="5"/>
    <w:semiHidden/>
    <w:qFormat/>
    <w:locked/>
    <w:uiPriority w:val="99"/>
    <w:rPr>
      <w:rFonts w:eastAsia="宋体" w:cs="Times New Roman"/>
      <w:sz w:val="2"/>
    </w:rPr>
  </w:style>
  <w:style w:type="character" w:customStyle="1" w:styleId="18">
    <w:name w:val="页脚 Char"/>
    <w:basedOn w:val="10"/>
    <w:link w:val="6"/>
    <w:semiHidden/>
    <w:qFormat/>
    <w:locked/>
    <w:uiPriority w:val="99"/>
    <w:rPr>
      <w:rFonts w:eastAsia="宋体" w:cs="Times New Roman"/>
      <w:sz w:val="18"/>
      <w:szCs w:val="18"/>
    </w:rPr>
  </w:style>
  <w:style w:type="character" w:customStyle="1" w:styleId="19">
    <w:name w:val="页眉 Char"/>
    <w:basedOn w:val="10"/>
    <w:link w:val="7"/>
    <w:semiHidden/>
    <w:qFormat/>
    <w:locked/>
    <w:uiPriority w:val="99"/>
    <w:rPr>
      <w:rFonts w:eastAsia="宋体" w:cs="Times New Roman"/>
      <w:sz w:val="18"/>
      <w:szCs w:val="18"/>
    </w:rPr>
  </w:style>
  <w:style w:type="paragraph" w:customStyle="1" w:styleId="20">
    <w:name w:val="Char Char Char"/>
    <w:basedOn w:val="4"/>
    <w:qFormat/>
    <w:uiPriority w:val="99"/>
    <w:pPr>
      <w:adjustRightInd w:val="0"/>
      <w:spacing w:line="436" w:lineRule="exact"/>
      <w:ind w:left="357"/>
      <w:jc w:val="left"/>
      <w:outlineLvl w:val="3"/>
    </w:pPr>
    <w:rPr>
      <w:rFonts w:ascii="Tahoma" w:hAnsi="Tahoma"/>
      <w:b/>
      <w:sz w:val="44"/>
    </w:rPr>
  </w:style>
  <w:style w:type="paragraph" w:customStyle="1" w:styleId="21">
    <w:name w:val="Char1"/>
    <w:basedOn w:val="1"/>
    <w:qFormat/>
    <w:uiPriority w:val="99"/>
    <w:pPr>
      <w:spacing w:line="360" w:lineRule="auto"/>
      <w:ind w:firstLine="200" w:firstLineChars="200"/>
    </w:pPr>
    <w:rPr>
      <w:rFonts w:ascii="宋体" w:cs="宋体"/>
      <w:sz w:val="24"/>
    </w:rPr>
  </w:style>
  <w:style w:type="paragraph" w:customStyle="1" w:styleId="22">
    <w:name w:val="1 Char"/>
    <w:basedOn w:val="1"/>
    <w:qFormat/>
    <w:uiPriority w:val="99"/>
    <w:rPr>
      <w:sz w:val="24"/>
    </w:rPr>
  </w:style>
  <w:style w:type="paragraph" w:customStyle="1" w:styleId="23">
    <w:name w:val="正文小四"/>
    <w:qFormat/>
    <w:uiPriority w:val="99"/>
    <w:pPr>
      <w:ind w:firstLine="150" w:firstLineChars="150"/>
    </w:pPr>
    <w:rPr>
      <w:rFonts w:ascii="宋体" w:hAnsi="Times New Roman" w:eastAsia="宋体" w:cs="Times New Roman"/>
      <w:kern w:val="2"/>
      <w:sz w:val="24"/>
      <w:szCs w:val="24"/>
      <w:lang w:val="en-US" w:eastAsia="zh-CN" w:bidi="ar-SA"/>
    </w:rPr>
  </w:style>
  <w:style w:type="paragraph" w:customStyle="1" w:styleId="24">
    <w:name w:val="永环书正文"/>
    <w:basedOn w:val="1"/>
    <w:qFormat/>
    <w:uiPriority w:val="99"/>
    <w:pPr>
      <w:spacing w:beforeLines="20" w:afterLines="20" w:line="360" w:lineRule="auto"/>
      <w:ind w:firstLine="20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317</Words>
  <Characters>1811</Characters>
  <Lines>15</Lines>
  <Paragraphs>4</Paragraphs>
  <TotalTime>11</TotalTime>
  <ScaleCrop>false</ScaleCrop>
  <LinksUpToDate>false</LinksUpToDate>
  <CharactersWithSpaces>2124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2024-09-02T02:46:00Z</dcterms:created>
  <dc:creator>微软用户</dc:creator>
  <cp:lastModifiedBy>Administrator</cp:lastModifiedBy>
  <cp:lastPrinted>2024-09-21T07:49:00Z</cp:lastPrinted>
  <dcterms:modified xsi:type="dcterms:W3CDTF">2024-09-21T11:12:30Z</dcterms:modified>
  <dc:title>永环评[2012]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365F7923C85E4D37B8C1165E5577E38E_12</vt:lpwstr>
  </property>
</Properties>
</file>