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41402">
      <w:pPr>
        <w:ind w:firstLine="1040"/>
        <w:rPr>
          <w:rFonts w:ascii="方正小标宋_GBK" w:eastAsia="方正小标宋_GBK"/>
          <w:bCs/>
          <w:color w:val="0D0D0D" w:themeColor="text1" w:themeTint="F2"/>
          <w:sz w:val="52"/>
          <w:szCs w:val="52"/>
          <w14:textFill>
            <w14:solidFill>
              <w14:schemeClr w14:val="tx1">
                <w14:lumMod w14:val="95000"/>
                <w14:lumOff w14:val="5000"/>
              </w14:schemeClr>
            </w14:solidFill>
          </w14:textFill>
        </w:rPr>
      </w:pPr>
    </w:p>
    <w:p w14:paraId="35E06C84">
      <w:pPr>
        <w:ind w:firstLine="0" w:firstLineChars="0"/>
        <w:rPr>
          <w:rFonts w:ascii="方正小标宋_GBK" w:eastAsia="方正小标宋_GBK"/>
          <w:bCs/>
          <w:color w:val="0D0D0D" w:themeColor="text1" w:themeTint="F2"/>
          <w:sz w:val="52"/>
          <w:szCs w:val="52"/>
          <w14:textFill>
            <w14:solidFill>
              <w14:schemeClr w14:val="tx1">
                <w14:lumMod w14:val="95000"/>
                <w14:lumOff w14:val="5000"/>
              </w14:schemeClr>
            </w14:solidFill>
          </w14:textFill>
        </w:rPr>
      </w:pPr>
    </w:p>
    <w:p w14:paraId="7DAFCAFB">
      <w:pPr>
        <w:ind w:firstLine="0" w:firstLineChars="0"/>
        <w:jc w:val="center"/>
        <w:outlineLvl w:val="0"/>
        <w:rPr>
          <w:rFonts w:ascii="方正小标宋_GBK" w:eastAsia="方正小标宋_GBK"/>
          <w:bCs/>
          <w:color w:val="0D0D0D" w:themeColor="text1" w:themeTint="F2"/>
          <w:sz w:val="52"/>
          <w:szCs w:val="52"/>
          <w14:textFill>
            <w14:solidFill>
              <w14:schemeClr w14:val="tx1">
                <w14:lumMod w14:val="95000"/>
                <w14:lumOff w14:val="5000"/>
              </w14:schemeClr>
            </w14:solidFill>
          </w14:textFill>
        </w:rPr>
      </w:pPr>
      <w:bookmarkStart w:id="0" w:name="_Toc13835"/>
      <w:bookmarkStart w:id="1" w:name="_Toc28354"/>
      <w:r>
        <w:rPr>
          <w:rFonts w:hint="eastAsia" w:ascii="方正小标宋_GBK" w:eastAsia="方正小标宋_GBK"/>
          <w:bCs/>
          <w:color w:val="0D0D0D" w:themeColor="text1" w:themeTint="F2"/>
          <w:sz w:val="52"/>
          <w:szCs w:val="52"/>
          <w14:textFill>
            <w14:solidFill>
              <w14:schemeClr w14:val="tx1">
                <w14:lumMod w14:val="95000"/>
                <w14:lumOff w14:val="5000"/>
              </w14:schemeClr>
            </w14:solidFill>
          </w14:textFill>
        </w:rPr>
        <w:t>建设项目环境影响报告表</w:t>
      </w:r>
      <w:bookmarkEnd w:id="0"/>
      <w:bookmarkEnd w:id="1"/>
    </w:p>
    <w:p w14:paraId="5C0B06E1">
      <w:pPr>
        <w:ind w:firstLine="0" w:firstLineChars="0"/>
        <w:jc w:val="center"/>
        <w:rPr>
          <w:rFonts w:ascii="楷体_GB2312" w:eastAsia="楷体_GB2312"/>
          <w:bCs/>
          <w:color w:val="0D0D0D" w:themeColor="text1" w:themeTint="F2"/>
          <w:sz w:val="48"/>
          <w:szCs w:val="48"/>
          <w14:textFill>
            <w14:solidFill>
              <w14:schemeClr w14:val="tx1">
                <w14:lumMod w14:val="95000"/>
                <w14:lumOff w14:val="5000"/>
              </w14:schemeClr>
            </w14:solidFill>
          </w14:textFill>
        </w:rPr>
      </w:pPr>
      <w:r>
        <w:rPr>
          <w:rFonts w:hint="eastAsia" w:ascii="楷体_GB2312" w:eastAsia="楷体_GB2312"/>
          <w:bCs/>
          <w:color w:val="0D0D0D" w:themeColor="text1" w:themeTint="F2"/>
          <w:sz w:val="48"/>
          <w:szCs w:val="48"/>
          <w14:textFill>
            <w14:solidFill>
              <w14:schemeClr w14:val="tx1">
                <w14:lumMod w14:val="95000"/>
                <w14:lumOff w14:val="5000"/>
              </w14:schemeClr>
            </w14:solidFill>
          </w14:textFill>
        </w:rPr>
        <w:t>（污染影响类）</w:t>
      </w:r>
    </w:p>
    <w:p w14:paraId="4664658B">
      <w:pPr>
        <w:ind w:firstLine="960"/>
        <w:rPr>
          <w:rFonts w:ascii="楷体_GB2312" w:eastAsia="楷体_GB2312"/>
          <w:bCs/>
          <w:color w:val="0D0D0D" w:themeColor="text1" w:themeTint="F2"/>
          <w:sz w:val="48"/>
          <w:szCs w:val="48"/>
          <w14:textFill>
            <w14:solidFill>
              <w14:schemeClr w14:val="tx1">
                <w14:lumMod w14:val="95000"/>
                <w14:lumOff w14:val="5000"/>
              </w14:schemeClr>
            </w14:solidFill>
          </w14:textFill>
        </w:rPr>
      </w:pPr>
    </w:p>
    <w:p w14:paraId="14984EB4">
      <w:pPr>
        <w:ind w:firstLine="960"/>
        <w:rPr>
          <w:rFonts w:ascii="楷体_GB2312" w:eastAsia="楷体_GB2312"/>
          <w:bCs/>
          <w:color w:val="0D0D0D" w:themeColor="text1" w:themeTint="F2"/>
          <w:sz w:val="48"/>
          <w:szCs w:val="48"/>
          <w14:textFill>
            <w14:solidFill>
              <w14:schemeClr w14:val="tx1">
                <w14:lumMod w14:val="95000"/>
                <w14:lumOff w14:val="5000"/>
              </w14:schemeClr>
            </w14:solidFill>
          </w14:textFill>
        </w:rPr>
      </w:pPr>
    </w:p>
    <w:p w14:paraId="321014A0">
      <w:pPr>
        <w:ind w:firstLine="960"/>
        <w:rPr>
          <w:rFonts w:ascii="楷体_GB2312" w:eastAsia="楷体_GB2312"/>
          <w:bCs/>
          <w:color w:val="0D0D0D" w:themeColor="text1" w:themeTint="F2"/>
          <w:sz w:val="48"/>
          <w:szCs w:val="48"/>
          <w14:textFill>
            <w14:solidFill>
              <w14:schemeClr w14:val="tx1">
                <w14:lumMod w14:val="95000"/>
                <w14:lumOff w14:val="5000"/>
              </w14:schemeClr>
            </w14:solidFill>
          </w14:textFill>
        </w:rPr>
      </w:pPr>
    </w:p>
    <w:p w14:paraId="73197ABD">
      <w:pPr>
        <w:ind w:firstLine="960"/>
        <w:rPr>
          <w:rFonts w:ascii="楷体_GB2312" w:eastAsia="楷体_GB2312"/>
          <w:bCs/>
          <w:color w:val="0D0D0D" w:themeColor="text1" w:themeTint="F2"/>
          <w:sz w:val="48"/>
          <w:szCs w:val="48"/>
          <w14:textFill>
            <w14:solidFill>
              <w14:schemeClr w14:val="tx1">
                <w14:lumMod w14:val="95000"/>
                <w14:lumOff w14:val="5000"/>
              </w14:schemeClr>
            </w14:solidFill>
          </w14:textFill>
        </w:rPr>
      </w:pPr>
    </w:p>
    <w:p w14:paraId="2DF411AC">
      <w:pPr>
        <w:ind w:firstLine="960"/>
        <w:rPr>
          <w:rFonts w:ascii="楷体_GB2312" w:eastAsia="楷体_GB2312"/>
          <w:bCs/>
          <w:color w:val="0D0D0D" w:themeColor="text1" w:themeTint="F2"/>
          <w:sz w:val="48"/>
          <w:szCs w:val="48"/>
          <w14:textFill>
            <w14:solidFill>
              <w14:schemeClr w14:val="tx1">
                <w14:lumMod w14:val="95000"/>
                <w14:lumOff w14:val="5000"/>
              </w14:schemeClr>
            </w14:solidFill>
          </w14:textFill>
        </w:rPr>
      </w:pPr>
    </w:p>
    <w:p w14:paraId="0756BB45">
      <w:pPr>
        <w:spacing w:line="600" w:lineRule="auto"/>
        <w:ind w:firstLine="0" w:firstLineChars="0"/>
        <w:rPr>
          <w:rFonts w:ascii="仿宋_GB2312" w:eastAsia="仿宋_GB2312"/>
          <w:color w:val="0D0D0D" w:themeColor="text1" w:themeTint="F2"/>
          <w:w w:val="90"/>
          <w:sz w:val="36"/>
          <w:szCs w:val="36"/>
          <w:u w:val="single"/>
          <w14:textFill>
            <w14:solidFill>
              <w14:schemeClr w14:val="tx1">
                <w14:lumMod w14:val="95000"/>
                <w14:lumOff w14:val="5000"/>
              </w14:schemeClr>
            </w14:solidFill>
          </w14:textFill>
        </w:rPr>
      </w:pPr>
      <w:r>
        <w:rPr>
          <w:rFonts w:hint="eastAsia" w:ascii="仿宋_GB2312" w:eastAsia="仿宋_GB2312"/>
          <w:color w:val="0D0D0D" w:themeColor="text1" w:themeTint="F2"/>
          <w:sz w:val="36"/>
          <w:szCs w:val="36"/>
          <w14:textFill>
            <w14:solidFill>
              <w14:schemeClr w14:val="tx1">
                <w14:lumMod w14:val="95000"/>
                <w14:lumOff w14:val="5000"/>
              </w14:schemeClr>
            </w14:solidFill>
          </w14:textFill>
        </w:rPr>
        <w:t>项目名称：</w:t>
      </w:r>
      <w:r>
        <w:rPr>
          <w:rFonts w:hint="eastAsia" w:ascii="仿宋_GB2312" w:eastAsia="仿宋_GB2312"/>
          <w:color w:val="0D0D0D" w:themeColor="text1" w:themeTint="F2"/>
          <w:w w:val="90"/>
          <w:sz w:val="36"/>
          <w:szCs w:val="36"/>
          <w:u w:val="single"/>
          <w14:textFill>
            <w14:solidFill>
              <w14:schemeClr w14:val="tx1">
                <w14:lumMod w14:val="95000"/>
                <w14:lumOff w14:val="5000"/>
              </w14:schemeClr>
            </w14:solidFill>
          </w14:textFill>
        </w:rPr>
        <w:t>年产2000吨热塑性聚氨酯弹性体（TPU)项目</w:t>
      </w:r>
    </w:p>
    <w:p w14:paraId="255AF9FE">
      <w:pPr>
        <w:spacing w:line="600" w:lineRule="auto"/>
        <w:ind w:firstLine="0" w:firstLineChars="0"/>
        <w:rPr>
          <w:rFonts w:ascii="仿宋_GB2312" w:eastAsia="仿宋_GB2312"/>
          <w:color w:val="0D0D0D" w:themeColor="text1" w:themeTint="F2"/>
          <w:w w:val="90"/>
          <w:sz w:val="36"/>
          <w:szCs w:val="36"/>
          <w:u w:val="single"/>
          <w14:textFill>
            <w14:solidFill>
              <w14:schemeClr w14:val="tx1">
                <w14:lumMod w14:val="95000"/>
                <w14:lumOff w14:val="5000"/>
              </w14:schemeClr>
            </w14:solidFill>
          </w14:textFill>
        </w:rPr>
      </w:pPr>
      <w:r>
        <w:rPr>
          <w:rFonts w:hint="eastAsia" w:ascii="仿宋_GB2312" w:eastAsia="仿宋_GB2312"/>
          <w:color w:val="0D0D0D" w:themeColor="text1" w:themeTint="F2"/>
          <w:sz w:val="36"/>
          <w:szCs w:val="36"/>
          <w14:textFill>
            <w14:solidFill>
              <w14:schemeClr w14:val="tx1">
                <w14:lumMod w14:val="95000"/>
                <w14:lumOff w14:val="5000"/>
              </w14:schemeClr>
            </w14:solidFill>
          </w14:textFill>
        </w:rPr>
        <w:t>建设单位（盖章）：</w:t>
      </w:r>
      <w:r>
        <w:rPr>
          <w:rFonts w:hint="eastAsia" w:ascii="仿宋_GB2312" w:eastAsia="仿宋_GB2312"/>
          <w:color w:val="0D0D0D" w:themeColor="text1" w:themeTint="F2"/>
          <w:w w:val="90"/>
          <w:sz w:val="36"/>
          <w:szCs w:val="36"/>
          <w:u w:val="single"/>
          <w14:textFill>
            <w14:solidFill>
              <w14:schemeClr w14:val="tx1">
                <w14:lumMod w14:val="95000"/>
                <w14:lumOff w14:val="5000"/>
              </w14:schemeClr>
            </w14:solidFill>
          </w14:textFill>
        </w:rPr>
        <w:t>永州市零陵晨光树脂有限责任公司</w:t>
      </w:r>
    </w:p>
    <w:p w14:paraId="2E355A65">
      <w:pPr>
        <w:spacing w:line="600" w:lineRule="auto"/>
        <w:ind w:firstLine="0" w:firstLineChars="0"/>
        <w:rPr>
          <w:rFonts w:ascii="仿宋_GB2312" w:eastAsia="仿宋_GB2312"/>
          <w:color w:val="0D0D0D" w:themeColor="text1" w:themeTint="F2"/>
          <w:sz w:val="36"/>
          <w:szCs w:val="36"/>
          <w:u w:val="single"/>
          <w14:textFill>
            <w14:solidFill>
              <w14:schemeClr w14:val="tx1">
                <w14:lumMod w14:val="95000"/>
                <w14:lumOff w14:val="5000"/>
              </w14:schemeClr>
            </w14:solidFill>
          </w14:textFill>
        </w:rPr>
      </w:pPr>
      <w:r>
        <w:rPr>
          <w:rFonts w:hint="eastAsia" w:ascii="仿宋_GB2312" w:eastAsia="仿宋_GB2312"/>
          <w:color w:val="0D0D0D" w:themeColor="text1" w:themeTint="F2"/>
          <w:sz w:val="36"/>
          <w:szCs w:val="36"/>
          <w14:textFill>
            <w14:solidFill>
              <w14:schemeClr w14:val="tx1">
                <w14:lumMod w14:val="95000"/>
                <w14:lumOff w14:val="5000"/>
              </w14:schemeClr>
            </w14:solidFill>
          </w14:textFill>
        </w:rPr>
        <w:t>编制日期：</w:t>
      </w:r>
      <w:r>
        <w:rPr>
          <w:rFonts w:hint="eastAsia" w:ascii="仿宋_GB2312" w:eastAsia="仿宋_GB2312"/>
          <w:color w:val="0D0D0D" w:themeColor="text1" w:themeTint="F2"/>
          <w:sz w:val="36"/>
          <w:szCs w:val="36"/>
          <w:u w:val="single"/>
          <w14:textFill>
            <w14:solidFill>
              <w14:schemeClr w14:val="tx1">
                <w14:lumMod w14:val="95000"/>
                <w14:lumOff w14:val="5000"/>
              </w14:schemeClr>
            </w14:solidFill>
          </w14:textFill>
        </w:rPr>
        <w:t xml:space="preserve">           2024年9月               </w:t>
      </w:r>
    </w:p>
    <w:p w14:paraId="4FD9955B">
      <w:pPr>
        <w:spacing w:line="480" w:lineRule="auto"/>
        <w:ind w:firstLine="0" w:firstLineChars="0"/>
        <w:rPr>
          <w:rFonts w:ascii="楷体_GB2312" w:eastAsia="楷体_GB2312"/>
          <w:color w:val="0D0D0D" w:themeColor="text1" w:themeTint="F2"/>
          <w:sz w:val="36"/>
          <w:szCs w:val="36"/>
          <w14:textFill>
            <w14:solidFill>
              <w14:schemeClr w14:val="tx1">
                <w14:lumMod w14:val="95000"/>
                <w14:lumOff w14:val="5000"/>
              </w14:schemeClr>
            </w14:solidFill>
          </w14:textFill>
        </w:rPr>
      </w:pPr>
    </w:p>
    <w:p w14:paraId="69439488">
      <w:pPr>
        <w:spacing w:line="480" w:lineRule="auto"/>
        <w:ind w:firstLine="0" w:firstLineChars="0"/>
        <w:rPr>
          <w:rFonts w:ascii="楷体_GB2312" w:eastAsia="楷体_GB2312"/>
          <w:color w:val="0D0D0D" w:themeColor="text1" w:themeTint="F2"/>
          <w:sz w:val="36"/>
          <w:szCs w:val="36"/>
          <w14:textFill>
            <w14:solidFill>
              <w14:schemeClr w14:val="tx1">
                <w14:lumMod w14:val="95000"/>
                <w14:lumOff w14:val="5000"/>
              </w14:schemeClr>
            </w14:solidFill>
          </w14:textFill>
        </w:rPr>
      </w:pPr>
    </w:p>
    <w:p w14:paraId="60A60264">
      <w:pPr>
        <w:spacing w:line="480" w:lineRule="auto"/>
        <w:ind w:firstLine="0" w:firstLineChars="0"/>
        <w:rPr>
          <w:rFonts w:ascii="楷体_GB2312" w:eastAsia="楷体_GB2312"/>
          <w:color w:val="0D0D0D" w:themeColor="text1" w:themeTint="F2"/>
          <w:sz w:val="36"/>
          <w:szCs w:val="36"/>
          <w14:textFill>
            <w14:solidFill>
              <w14:schemeClr w14:val="tx1">
                <w14:lumMod w14:val="95000"/>
                <w14:lumOff w14:val="5000"/>
              </w14:schemeClr>
            </w14:solidFill>
          </w14:textFill>
        </w:rPr>
      </w:pPr>
    </w:p>
    <w:p w14:paraId="5BB6A020">
      <w:pPr>
        <w:spacing w:line="480" w:lineRule="auto"/>
        <w:ind w:firstLine="0" w:firstLineChars="0"/>
        <w:rPr>
          <w:rFonts w:ascii="楷体_GB2312" w:eastAsia="楷体_GB2312"/>
          <w:color w:val="0D0D0D" w:themeColor="text1" w:themeTint="F2"/>
          <w:sz w:val="36"/>
          <w:szCs w:val="36"/>
          <w14:textFill>
            <w14:solidFill>
              <w14:schemeClr w14:val="tx1">
                <w14:lumMod w14:val="95000"/>
                <w14:lumOff w14:val="5000"/>
              </w14:schemeClr>
            </w14:solidFill>
          </w14:textFill>
        </w:rPr>
      </w:pPr>
    </w:p>
    <w:p w14:paraId="0829D7C0">
      <w:pPr>
        <w:spacing w:line="480" w:lineRule="auto"/>
        <w:ind w:firstLine="0" w:firstLineChars="0"/>
        <w:jc w:val="center"/>
        <w:outlineLvl w:val="0"/>
        <w:rPr>
          <w:rFonts w:ascii="楷体_GB2312" w:eastAsia="楷体_GB2312"/>
          <w:color w:val="0D0D0D" w:themeColor="text1" w:themeTint="F2"/>
          <w:sz w:val="36"/>
          <w:szCs w:val="36"/>
          <w14:textFill>
            <w14:solidFill>
              <w14:schemeClr w14:val="tx1">
                <w14:lumMod w14:val="95000"/>
                <w14:lumOff w14:val="5000"/>
              </w14:schemeClr>
            </w14:solidFill>
          </w14:textFill>
        </w:rPr>
      </w:pPr>
      <w:bookmarkStart w:id="2" w:name="_Toc5094"/>
      <w:bookmarkStart w:id="3" w:name="_Toc26469"/>
      <w:r>
        <w:rPr>
          <w:rFonts w:hint="eastAsia" w:ascii="楷体_GB2312" w:eastAsia="楷体_GB2312"/>
          <w:color w:val="0D0D0D" w:themeColor="text1" w:themeTint="F2"/>
          <w:sz w:val="36"/>
          <w:szCs w:val="36"/>
          <w14:textFill>
            <w14:solidFill>
              <w14:schemeClr w14:val="tx1">
                <w14:lumMod w14:val="95000"/>
                <w14:lumOff w14:val="5000"/>
              </w14:schemeClr>
            </w14:solidFill>
          </w14:textFill>
        </w:rPr>
        <w:t>中华人民共和国生态环境部制</w:t>
      </w:r>
      <w:bookmarkEnd w:id="2"/>
      <w:bookmarkEnd w:id="3"/>
    </w:p>
    <w:p w14:paraId="48469859">
      <w:pPr>
        <w:ind w:firstLine="0" w:firstLineChars="0"/>
        <w:rPr>
          <w:rFonts w:ascii="楷体_GB2312" w:eastAsia="楷体_GB2312"/>
          <w:color w:val="0D0D0D" w:themeColor="text1" w:themeTint="F2"/>
          <w:sz w:val="36"/>
          <w:szCs w:val="36"/>
          <w14:textFill>
            <w14:solidFill>
              <w14:schemeClr w14:val="tx1">
                <w14:lumMod w14:val="95000"/>
                <w14:lumOff w14:val="5000"/>
              </w14:schemeClr>
            </w14:solidFill>
          </w14:textFill>
        </w:rPr>
      </w:pPr>
    </w:p>
    <w:p w14:paraId="03FB4BA9">
      <w:pPr>
        <w:rPr>
          <w:rFonts w:ascii="楷体_GB2312" w:eastAsia="楷体_GB2312"/>
          <w:color w:val="0D0D0D" w:themeColor="text1" w:themeTint="F2"/>
          <w:sz w:val="36"/>
          <w:szCs w:val="36"/>
          <w14:textFill>
            <w14:solidFill>
              <w14:schemeClr w14:val="tx1">
                <w14:lumMod w14:val="95000"/>
                <w14:lumOff w14:val="5000"/>
              </w14:schemeClr>
            </w14:solidFill>
          </w14:textFill>
        </w:rPr>
        <w:sectPr>
          <w:pgSz w:w="11906" w:h="16838"/>
          <w:pgMar w:top="1440" w:right="1800" w:bottom="1440" w:left="1800" w:header="851" w:footer="992" w:gutter="0"/>
          <w:cols w:space="425" w:num="1"/>
          <w:docGrid w:type="lines" w:linePitch="312" w:charSpace="0"/>
        </w:sectPr>
      </w:pPr>
    </w:p>
    <w:p w14:paraId="7B362C62">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30"/>
          <w:szCs w:val="30"/>
        </w:rPr>
      </w:pPr>
      <w:bookmarkStart w:id="4" w:name="_Toc29285"/>
      <w:bookmarkStart w:id="5" w:name="_Toc22876"/>
      <w:r>
        <w:rPr>
          <w:rFonts w:hint="eastAsia" w:ascii="黑体" w:hAnsi="宋体" w:eastAsia="黑体" w:cs="黑体"/>
          <w:kern w:val="2"/>
          <w:sz w:val="30"/>
          <w:szCs w:val="30"/>
          <w:lang w:val="en-US" w:eastAsia="zh-CN" w:bidi="ar"/>
        </w:rPr>
        <w:t>永州市零陵晨光树脂有限责任公司年产2000吨热塑性聚氨酯弹性体（TPU）项目环境影响报告表专家评审意见修改说明</w:t>
      </w:r>
    </w:p>
    <w:p w14:paraId="00698F22">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 xml:space="preserve"> </w:t>
      </w:r>
    </w:p>
    <w:tbl>
      <w:tblPr>
        <w:tblStyle w:val="16"/>
        <w:tblW w:w="49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35"/>
        <w:gridCol w:w="2846"/>
      </w:tblGrid>
      <w:tr w14:paraId="32BA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6" w:hRule="atLeast"/>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09F2E342">
            <w:pPr>
              <w:keepNext w:val="0"/>
              <w:keepLines w:val="0"/>
              <w:widowControl w:val="0"/>
              <w:suppressLineNumbers w:val="0"/>
              <w:autoSpaceDE w:val="0"/>
              <w:autoSpaceDN/>
              <w:adjustRightInd w:val="0"/>
              <w:snapToGrid w:val="0"/>
              <w:spacing w:before="0" w:beforeAutospacing="0" w:after="0" w:afterAutospacing="0" w:line="288" w:lineRule="auto"/>
              <w:ind w:left="0" w:right="0"/>
              <w:jc w:val="center"/>
              <w:rPr>
                <w:rFonts w:hint="default" w:ascii="Times New Roman" w:hAnsi="Times New Roman" w:eastAsia="宋体" w:cs="Times New Roman"/>
                <w:kern w:val="2"/>
                <w:sz w:val="21"/>
                <w:szCs w:val="21"/>
              </w:rPr>
            </w:pPr>
            <w:bookmarkStart w:id="6" w:name="_Hlk45441695"/>
            <w:r>
              <w:rPr>
                <w:rFonts w:hint="eastAsia" w:ascii="宋体" w:hAnsi="宋体" w:eastAsia="宋体" w:cs="宋体"/>
                <w:kern w:val="2"/>
                <w:sz w:val="21"/>
                <w:szCs w:val="21"/>
                <w:lang w:val="en-US" w:eastAsia="zh-CN" w:bidi="ar"/>
              </w:rPr>
              <w:t>修改要求</w:t>
            </w:r>
            <w:bookmarkEnd w:id="6"/>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0A9FAEB0">
            <w:pPr>
              <w:keepNext w:val="0"/>
              <w:keepLines w:val="0"/>
              <w:widowControl w:val="0"/>
              <w:suppressLineNumbers w:val="0"/>
              <w:autoSpaceDE w:val="0"/>
              <w:autoSpaceDN/>
              <w:adjustRightInd w:val="0"/>
              <w:snapToGrid w:val="0"/>
              <w:spacing w:before="0" w:beforeAutospacing="0" w:after="0" w:afterAutospacing="0" w:line="288" w:lineRule="auto"/>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修改索引</w:t>
            </w:r>
          </w:p>
        </w:tc>
      </w:tr>
      <w:tr w14:paraId="4A413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439690B7">
            <w:pPr>
              <w:keepNext w:val="0"/>
              <w:keepLines w:val="0"/>
              <w:widowControl w:val="0"/>
              <w:suppressLineNumbers w:val="0"/>
              <w:autoSpaceDE w:val="0"/>
              <w:autoSpaceDN/>
              <w:adjustRightInd w:val="0"/>
              <w:snapToGrid w:val="0"/>
              <w:spacing w:before="0" w:beforeAutospacing="0" w:after="0" w:afterAutospacing="0" w:line="288"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、补充本项目与“三区三线”、工业园区产业定位等的相符性分析，进一步阐述项目选址合理性分析。</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3313B649">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0" w:firstLineChars="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已补充分析，</w:t>
            </w:r>
            <w:r>
              <w:rPr>
                <w:rFonts w:hint="default" w:ascii="Times New Roman" w:hAnsi="Times New Roman" w:eastAsia="宋体" w:cs="Times New Roman"/>
                <w:kern w:val="2"/>
                <w:sz w:val="21"/>
                <w:szCs w:val="21"/>
                <w:lang w:val="en-US" w:eastAsia="zh-CN" w:bidi="ar"/>
              </w:rPr>
              <w:t>P3-4</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P11-12</w:t>
            </w:r>
          </w:p>
        </w:tc>
      </w:tr>
      <w:tr w14:paraId="476B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73D73CF2">
            <w:pPr>
              <w:keepNext w:val="0"/>
              <w:keepLines w:val="0"/>
              <w:widowControl w:val="0"/>
              <w:suppressLineNumbers w:val="0"/>
              <w:autoSpaceDE w:val="0"/>
              <w:autoSpaceDN/>
              <w:adjustRightInd w:val="0"/>
              <w:snapToGrid w:val="0"/>
              <w:spacing w:before="0" w:beforeAutospacing="0" w:after="0" w:afterAutospacing="0" w:line="288" w:lineRule="auto"/>
              <w:ind w:left="0" w:right="0" w:firstLine="420" w:firstLineChars="200"/>
              <w:jc w:val="both"/>
              <w:rPr>
                <w:rFonts w:hint="eastAsia"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核实项目建设内容及规模，核实项目总投资，核实原辅材料种类、消耗量及其主要理化属性，明确其储存区域、最大贮存量及贮存条件等，补充物料平衡；明确主要原材料的合法源提出采用清洁原料的环评要求；核实主要生产设备及其参数。</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6FC68807">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0" w:firstLineChars="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已核实，</w:t>
            </w:r>
            <w:r>
              <w:rPr>
                <w:rFonts w:hint="default" w:ascii="Times New Roman" w:hAnsi="Times New Roman" w:eastAsia="宋体" w:cs="Times New Roman"/>
                <w:kern w:val="2"/>
                <w:sz w:val="21"/>
                <w:szCs w:val="21"/>
                <w:lang w:val="en-US" w:eastAsia="zh-CN" w:bidi="ar"/>
              </w:rPr>
              <w:t>P13-18</w:t>
            </w:r>
          </w:p>
        </w:tc>
      </w:tr>
      <w:tr w14:paraId="5F3E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5E578460">
            <w:pPr>
              <w:keepNext w:val="0"/>
              <w:keepLines w:val="0"/>
              <w:widowControl w:val="0"/>
              <w:suppressLineNumbers w:val="0"/>
              <w:autoSpaceDE w:val="0"/>
              <w:autoSpaceDN/>
              <w:adjustRightInd w:val="0"/>
              <w:snapToGrid w:val="0"/>
              <w:spacing w:before="0" w:beforeAutospacing="0" w:after="0" w:afterAutospacing="0" w:line="288"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、强化环境现状调查，核实引用数据的真实性、可代表性和有效性。核实环境保护目标分布情况；核实污染物排放标准。</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6693FA72">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0" w:firstLineChars="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本项目现状监测系按规范要求引用周边区域历史数据，已补充数据引用有效性说明，</w:t>
            </w:r>
            <w:r>
              <w:rPr>
                <w:rFonts w:hint="default" w:ascii="Times New Roman" w:hAnsi="Times New Roman" w:eastAsia="宋体" w:cs="Times New Roman"/>
                <w:kern w:val="2"/>
                <w:sz w:val="21"/>
                <w:szCs w:val="21"/>
                <w:lang w:val="en-US" w:eastAsia="zh-CN" w:bidi="ar"/>
              </w:rPr>
              <w:t>P21-23</w:t>
            </w:r>
            <w:r>
              <w:rPr>
                <w:rFonts w:hint="eastAsia" w:ascii="宋体" w:hAnsi="宋体" w:eastAsia="宋体" w:cs="宋体"/>
                <w:kern w:val="2"/>
                <w:sz w:val="21"/>
                <w:szCs w:val="21"/>
                <w:lang w:val="en-US" w:eastAsia="zh-CN" w:bidi="ar"/>
              </w:rPr>
              <w:t>；已核实修改环境保护目标分布情况见</w:t>
            </w:r>
            <w:r>
              <w:rPr>
                <w:rFonts w:hint="default" w:ascii="Times New Roman" w:hAnsi="Times New Roman" w:eastAsia="宋体" w:cs="Times New Roman"/>
                <w:kern w:val="2"/>
                <w:sz w:val="21"/>
                <w:szCs w:val="21"/>
                <w:lang w:val="en-US" w:eastAsia="zh-CN" w:bidi="ar"/>
              </w:rPr>
              <w:t>P24-25</w:t>
            </w:r>
            <w:r>
              <w:rPr>
                <w:rFonts w:hint="eastAsia" w:ascii="宋体" w:hAnsi="宋体" w:eastAsia="宋体" w:cs="宋体"/>
                <w:kern w:val="2"/>
                <w:sz w:val="21"/>
                <w:szCs w:val="21"/>
                <w:lang w:val="en-US" w:eastAsia="zh-CN" w:bidi="ar"/>
              </w:rPr>
              <w:t>；已核实污染物排放标准，</w:t>
            </w:r>
            <w:r>
              <w:rPr>
                <w:rFonts w:hint="default" w:ascii="Times New Roman" w:hAnsi="Times New Roman" w:eastAsia="宋体" w:cs="Times New Roman"/>
                <w:kern w:val="2"/>
                <w:sz w:val="21"/>
                <w:szCs w:val="21"/>
                <w:lang w:val="en-US" w:eastAsia="zh-CN" w:bidi="ar"/>
              </w:rPr>
              <w:t>P25</w:t>
            </w:r>
          </w:p>
        </w:tc>
      </w:tr>
      <w:tr w14:paraId="73A9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50" w:hRule="atLeast"/>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6ADAF5ED">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4</w:t>
            </w:r>
            <w:r>
              <w:rPr>
                <w:rFonts w:hint="eastAsia" w:ascii="宋体" w:hAnsi="宋体" w:eastAsia="宋体" w:cs="宋体"/>
                <w:kern w:val="2"/>
                <w:sz w:val="21"/>
                <w:szCs w:val="21"/>
                <w:lang w:val="en-US" w:eastAsia="zh-CN" w:bidi="ar"/>
              </w:rPr>
              <w:t>、细化生产工艺流程描述和产污环节分析，据此核实废气污染物的种类、源强，明确排气简的高度和数量，对照《国家污染防治技术指导目录</w:t>
            </w:r>
            <w:r>
              <w:rPr>
                <w:rFonts w:hint="default" w:ascii="Times New Roman" w:hAnsi="Times New Roman" w:eastAsia="宋体" w:cs="Times New Roman"/>
                <w:kern w:val="2"/>
                <w:sz w:val="21"/>
                <w:szCs w:val="21"/>
                <w:lang w:val="en-US" w:eastAsia="zh-CN" w:bidi="ar"/>
              </w:rPr>
              <w:t>2024</w:t>
            </w:r>
            <w:r>
              <w:rPr>
                <w:rFonts w:hint="eastAsia" w:ascii="宋体" w:hAnsi="宋体" w:eastAsia="宋体" w:cs="宋体"/>
                <w:kern w:val="2"/>
                <w:sz w:val="21"/>
                <w:szCs w:val="21"/>
                <w:lang w:val="en-US" w:eastAsia="zh-CN" w:bidi="ar"/>
              </w:rPr>
              <w:t>》，进一步论证废气处理措施的可行性；补充循环冷却水净化措施及回用可行性分析，补充项目生活污水排放去向，补充废水排放路径。</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5FBF8978">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0" w:firstLineChars="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已补充分析，确排气筒的高度和数量</w:t>
            </w:r>
            <w:r>
              <w:rPr>
                <w:rFonts w:hint="default" w:ascii="Times New Roman" w:hAnsi="Times New Roman" w:eastAsia="宋体" w:cs="Times New Roman"/>
                <w:kern w:val="2"/>
                <w:sz w:val="21"/>
                <w:szCs w:val="21"/>
                <w:lang w:val="en-US" w:eastAsia="zh-CN" w:bidi="ar"/>
              </w:rPr>
              <w:t>P26-30</w:t>
            </w:r>
            <w:r>
              <w:rPr>
                <w:rFonts w:hint="eastAsia" w:ascii="宋体" w:hAnsi="宋体" w:eastAsia="宋体" w:cs="宋体"/>
                <w:kern w:val="2"/>
                <w:sz w:val="21"/>
                <w:szCs w:val="21"/>
                <w:lang w:val="en-US" w:eastAsia="zh-CN" w:bidi="ar"/>
              </w:rPr>
              <w:t>；已补充项目生活污水排放去向，补充废水排放路径</w:t>
            </w:r>
            <w:r>
              <w:rPr>
                <w:rFonts w:hint="default" w:ascii="Times New Roman" w:hAnsi="Times New Roman" w:eastAsia="宋体" w:cs="Times New Roman"/>
                <w:kern w:val="2"/>
                <w:sz w:val="21"/>
                <w:szCs w:val="21"/>
                <w:lang w:val="en-US" w:eastAsia="zh-CN" w:bidi="ar"/>
              </w:rPr>
              <w:t>P31-32</w:t>
            </w:r>
            <w:r>
              <w:rPr>
                <w:rFonts w:hint="eastAsia" w:ascii="宋体" w:hAnsi="宋体" w:eastAsia="宋体" w:cs="宋体"/>
                <w:kern w:val="2"/>
                <w:sz w:val="21"/>
                <w:szCs w:val="21"/>
                <w:lang w:val="en-US" w:eastAsia="zh-CN" w:bidi="ar"/>
              </w:rPr>
              <w:t>。</w:t>
            </w:r>
          </w:p>
        </w:tc>
      </w:tr>
      <w:tr w14:paraId="21BF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239A70D3">
            <w:pPr>
              <w:keepNext w:val="0"/>
              <w:keepLines w:val="0"/>
              <w:widowControl w:val="0"/>
              <w:suppressLineNumbers w:val="0"/>
              <w:autoSpaceDE w:val="0"/>
              <w:autoSpaceDN/>
              <w:adjustRightInd w:val="0"/>
              <w:snapToGrid w:val="0"/>
              <w:spacing w:before="0" w:beforeAutospacing="0" w:after="0" w:afterAutospacing="0" w:line="288"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5</w:t>
            </w:r>
            <w:r>
              <w:rPr>
                <w:rFonts w:hint="eastAsia" w:ascii="宋体" w:hAnsi="宋体" w:eastAsia="宋体" w:cs="宋体"/>
                <w:kern w:val="2"/>
                <w:sz w:val="21"/>
                <w:szCs w:val="21"/>
                <w:lang w:val="en-US" w:eastAsia="zh-CN" w:bidi="ar"/>
              </w:rPr>
              <w:t>、核实固废种类、产生量及属性，明确其暂存间、处理处置措施及去向。</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6545A910">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0" w:firstLineChars="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已核实</w:t>
            </w:r>
            <w:r>
              <w:rPr>
                <w:rFonts w:hint="default" w:ascii="Times New Roman" w:hAnsi="Times New Roman" w:eastAsia="宋体" w:cs="Times New Roman"/>
                <w:kern w:val="2"/>
                <w:sz w:val="21"/>
                <w:szCs w:val="21"/>
                <w:lang w:val="en-US" w:eastAsia="zh-CN" w:bidi="ar"/>
              </w:rPr>
              <w:t>P35-39</w:t>
            </w:r>
          </w:p>
        </w:tc>
      </w:tr>
      <w:tr w14:paraId="1B58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53B1D785">
            <w:pPr>
              <w:keepNext w:val="0"/>
              <w:keepLines w:val="0"/>
              <w:widowControl w:val="0"/>
              <w:suppressLineNumbers w:val="0"/>
              <w:autoSpaceDE w:val="0"/>
              <w:autoSpaceDN/>
              <w:adjustRightInd w:val="0"/>
              <w:snapToGrid w:val="0"/>
              <w:spacing w:before="0" w:beforeAutospacing="0" w:after="0" w:afterAutospacing="0" w:line="288" w:lineRule="auto"/>
              <w:ind w:left="0" w:leftChars="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、强化环境风险分析，核实环境风险物质及其贮存量</w:t>
            </w:r>
            <w:r>
              <w:rPr>
                <w:rFonts w:hint="default" w:ascii="Times New Roman" w:hAnsi="Times New Roman" w:eastAsia="宋体" w:cs="Times New Roman"/>
                <w:kern w:val="2"/>
                <w:sz w:val="21"/>
                <w:szCs w:val="21"/>
                <w:lang w:val="en-US" w:eastAsia="zh-CN" w:bidi="ar"/>
              </w:rPr>
              <w:t>(MDI</w:t>
            </w:r>
            <w:r>
              <w:rPr>
                <w:rFonts w:hint="eastAsia" w:ascii="宋体" w:hAnsi="宋体" w:eastAsia="宋体" w:cs="宋体"/>
                <w:kern w:val="2"/>
                <w:sz w:val="21"/>
                <w:szCs w:val="21"/>
                <w:lang w:val="en-US" w:eastAsia="zh-CN" w:bidi="ar"/>
              </w:rPr>
              <w:t>、丁二醇都应该属于风险物质），据此核实风险评价强 度。补充废气处理设施失效情况下的风险分析，完善风险防范措施和应急预案。</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3F72D6E5">
            <w:pPr>
              <w:pStyle w:val="14"/>
              <w:keepNext w:val="0"/>
              <w:keepLines w:val="0"/>
              <w:widowControl w:val="0"/>
              <w:suppressLineNumbers w:val="0"/>
              <w:autoSpaceDE w:val="0"/>
              <w:autoSpaceDN/>
              <w:adjustRightInd w:val="0"/>
              <w:snapToGrid w:val="0"/>
              <w:spacing w:before="0" w:beforeAutospacing="1" w:after="0" w:afterAutospacing="0" w:line="288" w:lineRule="auto"/>
              <w:ind w:left="0" w:leftChars="0" w:right="0" w:rightChars="0" w:firstLine="0" w:firstLineChars="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已强化环境风险分析</w:t>
            </w:r>
            <w:r>
              <w:rPr>
                <w:rFonts w:hint="default" w:ascii="Times New Roman" w:hAnsi="Times New Roman" w:eastAsia="宋体" w:cs="Times New Roman"/>
                <w:kern w:val="2"/>
                <w:sz w:val="21"/>
                <w:szCs w:val="21"/>
                <w:lang w:val="en-US" w:eastAsia="zh-CN" w:bidi="ar"/>
              </w:rPr>
              <w:t>,P41-47;</w:t>
            </w:r>
            <w:r>
              <w:rPr>
                <w:rFonts w:hint="eastAsia" w:ascii="宋体" w:hAnsi="宋体" w:eastAsia="宋体" w:cs="宋体"/>
                <w:kern w:val="2"/>
                <w:sz w:val="21"/>
                <w:szCs w:val="21"/>
                <w:lang w:val="en-US" w:eastAsia="zh-CN" w:bidi="ar"/>
              </w:rPr>
              <w:t>完善风险防范措施和应急预案</w:t>
            </w:r>
            <w:r>
              <w:rPr>
                <w:rFonts w:hint="default" w:ascii="Times New Roman" w:hAnsi="Times New Roman" w:eastAsia="宋体" w:cs="Times New Roman"/>
                <w:kern w:val="2"/>
                <w:sz w:val="21"/>
                <w:szCs w:val="21"/>
                <w:lang w:val="en-US" w:eastAsia="zh-CN" w:bidi="ar"/>
              </w:rPr>
              <w:t>P44-49</w:t>
            </w:r>
          </w:p>
        </w:tc>
      </w:tr>
      <w:tr w14:paraId="6F37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7" w:type="pct"/>
            <w:tcBorders>
              <w:top w:val="single" w:color="auto" w:sz="4" w:space="0"/>
              <w:left w:val="single" w:color="auto" w:sz="4" w:space="0"/>
              <w:bottom w:val="single" w:color="auto" w:sz="4" w:space="0"/>
              <w:right w:val="single" w:color="auto" w:sz="4" w:space="0"/>
            </w:tcBorders>
            <w:shd w:val="clear" w:color="auto" w:fill="auto"/>
            <w:vAlign w:val="center"/>
          </w:tcPr>
          <w:p w14:paraId="33BEA762">
            <w:pPr>
              <w:keepNext w:val="0"/>
              <w:keepLines w:val="0"/>
              <w:widowControl w:val="0"/>
              <w:suppressLineNumbers w:val="0"/>
              <w:autoSpaceDE w:val="0"/>
              <w:autoSpaceDN/>
              <w:adjustRightInd w:val="0"/>
              <w:snapToGrid w:val="0"/>
              <w:spacing w:before="0" w:beforeAutospacing="0" w:after="0" w:afterAutospacing="0" w:line="288" w:lineRule="auto"/>
              <w:ind w:left="0" w:right="0" w:firstLine="420" w:firstLineChars="20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7</w:t>
            </w:r>
            <w:r>
              <w:rPr>
                <w:rFonts w:hint="eastAsia" w:ascii="宋体" w:hAnsi="宋体" w:eastAsia="宋体" w:cs="宋体"/>
                <w:kern w:val="2"/>
                <w:sz w:val="21"/>
                <w:szCs w:val="21"/>
                <w:lang w:val="en-US" w:eastAsia="zh-CN" w:bidi="ar"/>
              </w:rPr>
              <w:t>、核实环保投资估算，完善监测计划和三同时验收内容完善附图附件；补充营运期对厂区环境管理提出具体要求。</w:t>
            </w:r>
          </w:p>
        </w:tc>
        <w:tc>
          <w:tcPr>
            <w:tcW w:w="1602" w:type="pct"/>
            <w:tcBorders>
              <w:top w:val="single" w:color="auto" w:sz="4" w:space="0"/>
              <w:left w:val="single" w:color="auto" w:sz="4" w:space="0"/>
              <w:bottom w:val="single" w:color="auto" w:sz="4" w:space="0"/>
              <w:right w:val="single" w:color="auto" w:sz="4" w:space="0"/>
            </w:tcBorders>
            <w:shd w:val="clear" w:color="auto" w:fill="auto"/>
            <w:vAlign w:val="center"/>
          </w:tcPr>
          <w:p w14:paraId="460E5895">
            <w:pPr>
              <w:pStyle w:val="14"/>
              <w:keepNext w:val="0"/>
              <w:keepLines w:val="0"/>
              <w:widowControl w:val="0"/>
              <w:suppressLineNumbers w:val="0"/>
              <w:autoSpaceDE w:val="0"/>
              <w:autoSpaceDN/>
              <w:adjustRightInd w:val="0"/>
              <w:snapToGrid w:val="0"/>
              <w:spacing w:before="0" w:beforeAutospacing="1" w:after="0" w:afterAutospacing="0" w:line="288" w:lineRule="auto"/>
              <w:ind w:left="0" w:leftChars="0" w:right="0" w:firstLine="0" w:firstLineChars="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已补充，</w:t>
            </w:r>
            <w:r>
              <w:rPr>
                <w:rFonts w:hint="default" w:ascii="Times New Roman" w:hAnsi="Times New Roman" w:eastAsia="宋体" w:cs="Times New Roman"/>
                <w:kern w:val="2"/>
                <w:sz w:val="21"/>
                <w:szCs w:val="21"/>
                <w:lang w:val="en-US" w:eastAsia="zh-CN" w:bidi="ar"/>
              </w:rPr>
              <w:t>P60-61</w:t>
            </w:r>
            <w:r>
              <w:rPr>
                <w:rFonts w:hint="eastAsia" w:ascii="宋体" w:hAnsi="宋体"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P72-75</w:t>
            </w:r>
          </w:p>
        </w:tc>
      </w:tr>
    </w:tbl>
    <w:p w14:paraId="0EB688CA">
      <w:pPr>
        <w:spacing w:line="240" w:lineRule="auto"/>
        <w:ind w:firstLine="0" w:firstLineChars="0"/>
        <w:jc w:val="center"/>
        <w:rPr>
          <w:rFonts w:ascii="宋体" w:hAnsi="宋体"/>
          <w:color w:val="0D0D0D" w:themeColor="text1" w:themeTint="F2"/>
          <w:sz w:val="21"/>
          <w14:textFill>
            <w14:solidFill>
              <w14:schemeClr w14:val="tx1">
                <w14:lumMod w14:val="95000"/>
                <w14:lumOff w14:val="5000"/>
              </w14:schemeClr>
            </w14:solidFill>
          </w14:textFill>
        </w:rPr>
        <w:sectPr>
          <w:pgSz w:w="11906" w:h="16838"/>
          <w:pgMar w:top="1701" w:right="1531" w:bottom="1701" w:left="1531" w:header="851" w:footer="851" w:gutter="0"/>
          <w:pgNumType w:start="1"/>
          <w:cols w:space="720" w:num="1"/>
          <w:docGrid w:linePitch="312" w:charSpace="0"/>
        </w:sectPr>
      </w:pPr>
    </w:p>
    <w:p w14:paraId="4DEE9666">
      <w:pPr>
        <w:ind w:firstLine="0" w:firstLineChars="0"/>
        <w:jc w:val="center"/>
        <w:outlineLvl w:val="0"/>
        <w:rPr>
          <w:rFonts w:ascii="黑体" w:hAnsi="黑体" w:eastAsia="黑体"/>
          <w:snapToGrid w:val="0"/>
          <w:color w:val="0D0D0D" w:themeColor="text1" w:themeTint="F2"/>
          <w:sz w:val="30"/>
          <w:szCs w:val="30"/>
          <w14:textFill>
            <w14:solidFill>
              <w14:schemeClr w14:val="tx1">
                <w14:lumMod w14:val="95000"/>
                <w14:lumOff w14:val="5000"/>
              </w14:schemeClr>
            </w14:solidFill>
          </w14:textFill>
        </w:rPr>
      </w:pPr>
      <w:r>
        <w:rPr>
          <w:rFonts w:hint="eastAsia" w:ascii="黑体" w:hAnsi="黑体" w:eastAsia="黑体"/>
          <w:snapToGrid w:val="0"/>
          <w:color w:val="0D0D0D" w:themeColor="text1" w:themeTint="F2"/>
          <w:sz w:val="30"/>
          <w:szCs w:val="30"/>
          <w14:textFill>
            <w14:solidFill>
              <w14:schemeClr w14:val="tx1">
                <w14:lumMod w14:val="95000"/>
                <w14:lumOff w14:val="5000"/>
              </w14:schemeClr>
            </w14:solidFill>
          </w14:textFill>
        </w:rPr>
        <w:t>一、建设项目基本情况</w:t>
      </w:r>
      <w:bookmarkEnd w:id="4"/>
      <w:bookmarkEnd w:id="5"/>
    </w:p>
    <w:tbl>
      <w:tblPr>
        <w:tblStyle w:val="16"/>
        <w:tblW w:w="902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02"/>
        <w:gridCol w:w="2727"/>
        <w:gridCol w:w="2162"/>
        <w:gridCol w:w="2929"/>
      </w:tblGrid>
      <w:tr w14:paraId="6F37D2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1202" w:type="dxa"/>
            <w:tcMar>
              <w:top w:w="16" w:type="dxa"/>
              <w:left w:w="16" w:type="dxa"/>
              <w:right w:w="16" w:type="dxa"/>
            </w:tcMar>
            <w:vAlign w:val="center"/>
          </w:tcPr>
          <w:p w14:paraId="550CAA1C">
            <w:pPr>
              <w:keepNext w:val="0"/>
              <w:keepLines w:val="0"/>
              <w:suppressLineNumbers w:val="0"/>
              <w:adjustRightInd w:val="0"/>
              <w:snapToGrid w:val="0"/>
              <w:spacing w:before="0" w:beforeAutospacing="0" w:after="0" w:afterAutospacing="0" w:line="240" w:lineRule="auto"/>
              <w:ind w:left="0" w:right="0" w:firstLine="0" w:firstLineChars="0"/>
              <w:jc w:val="center"/>
              <w:outlineLvl w:val="0"/>
              <w:rPr>
                <w:rFonts w:hint="default" w:ascii="宋体" w:hAnsi="宋体" w:cs="宋体"/>
                <w:b/>
                <w:bCs/>
                <w:color w:val="0D0D0D" w:themeColor="text1" w:themeTint="F2"/>
                <w14:textFill>
                  <w14:solidFill>
                    <w14:schemeClr w14:val="tx1">
                      <w14:lumMod w14:val="95000"/>
                      <w14:lumOff w14:val="5000"/>
                    </w14:schemeClr>
                  </w14:solidFill>
                </w14:textFill>
              </w:rPr>
            </w:pPr>
            <w:bookmarkStart w:id="7" w:name="_Toc26456"/>
            <w:bookmarkStart w:id="8" w:name="_Toc22808"/>
            <w:r>
              <w:rPr>
                <w:rFonts w:hint="eastAsia" w:ascii="宋体" w:hAnsi="宋体" w:cs="宋体"/>
                <w:b/>
                <w:bCs/>
                <w:color w:val="0D0D0D" w:themeColor="text1" w:themeTint="F2"/>
                <w14:textFill>
                  <w14:solidFill>
                    <w14:schemeClr w14:val="tx1">
                      <w14:lumMod w14:val="95000"/>
                      <w14:lumOff w14:val="5000"/>
                    </w14:schemeClr>
                  </w14:solidFill>
                </w14:textFill>
              </w:rPr>
              <w:t>建设项目名称</w:t>
            </w:r>
            <w:bookmarkEnd w:id="7"/>
            <w:bookmarkEnd w:id="8"/>
          </w:p>
        </w:tc>
        <w:tc>
          <w:tcPr>
            <w:tcW w:w="7818" w:type="dxa"/>
            <w:gridSpan w:val="3"/>
            <w:vAlign w:val="center"/>
          </w:tcPr>
          <w:p w14:paraId="61E6D2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年产2000吨热塑性聚氨酯弹性体（TPU）项目</w:t>
            </w:r>
          </w:p>
        </w:tc>
      </w:tr>
      <w:tr w14:paraId="2A001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9" w:hRule="atLeast"/>
          <w:jc w:val="center"/>
        </w:trPr>
        <w:tc>
          <w:tcPr>
            <w:tcW w:w="1202" w:type="dxa"/>
            <w:tcMar>
              <w:top w:w="16" w:type="dxa"/>
              <w:left w:w="16" w:type="dxa"/>
              <w:right w:w="16" w:type="dxa"/>
            </w:tcMar>
            <w:vAlign w:val="center"/>
          </w:tcPr>
          <w:p w14:paraId="4B88D10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项目代码</w:t>
            </w:r>
          </w:p>
        </w:tc>
        <w:tc>
          <w:tcPr>
            <w:tcW w:w="7818" w:type="dxa"/>
            <w:gridSpan w:val="3"/>
            <w:vAlign w:val="center"/>
          </w:tcPr>
          <w:p w14:paraId="5AC7471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2205-431102-04-01-411932</w:t>
            </w:r>
          </w:p>
        </w:tc>
      </w:tr>
      <w:tr w14:paraId="47460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202" w:type="dxa"/>
            <w:tcMar>
              <w:top w:w="16" w:type="dxa"/>
              <w:left w:w="16" w:type="dxa"/>
              <w:right w:w="16" w:type="dxa"/>
            </w:tcMar>
            <w:vAlign w:val="center"/>
          </w:tcPr>
          <w:p w14:paraId="61008B7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建设单位联系人</w:t>
            </w:r>
          </w:p>
        </w:tc>
        <w:tc>
          <w:tcPr>
            <w:tcW w:w="2727" w:type="dxa"/>
            <w:vAlign w:val="center"/>
          </w:tcPr>
          <w:p w14:paraId="6CF470E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李光耀</w:t>
            </w:r>
          </w:p>
        </w:tc>
        <w:tc>
          <w:tcPr>
            <w:tcW w:w="2162" w:type="dxa"/>
            <w:vAlign w:val="center"/>
          </w:tcPr>
          <w:p w14:paraId="789D6CF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联系方式</w:t>
            </w:r>
          </w:p>
        </w:tc>
        <w:tc>
          <w:tcPr>
            <w:tcW w:w="2929" w:type="dxa"/>
            <w:vAlign w:val="center"/>
          </w:tcPr>
          <w:p w14:paraId="4A695DF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15211663788</w:t>
            </w:r>
          </w:p>
        </w:tc>
      </w:tr>
      <w:tr w14:paraId="6A8EA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202" w:type="dxa"/>
            <w:tcMar>
              <w:top w:w="16" w:type="dxa"/>
              <w:left w:w="16" w:type="dxa"/>
              <w:right w:w="16" w:type="dxa"/>
            </w:tcMar>
            <w:vAlign w:val="center"/>
          </w:tcPr>
          <w:p w14:paraId="65388C2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建设地点</w:t>
            </w:r>
          </w:p>
        </w:tc>
        <w:tc>
          <w:tcPr>
            <w:tcW w:w="7818" w:type="dxa"/>
            <w:gridSpan w:val="3"/>
            <w:vAlign w:val="center"/>
          </w:tcPr>
          <w:p w14:paraId="4565B99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湖南省永州市零陵区湖南零陵工业园河西工业区瑞翔大道与西爽亭路交汇处东南角</w:t>
            </w:r>
          </w:p>
        </w:tc>
      </w:tr>
      <w:tr w14:paraId="2749A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202" w:type="dxa"/>
            <w:tcMar>
              <w:top w:w="16" w:type="dxa"/>
              <w:left w:w="16" w:type="dxa"/>
              <w:right w:w="16" w:type="dxa"/>
            </w:tcMar>
            <w:vAlign w:val="center"/>
          </w:tcPr>
          <w:p w14:paraId="7DFB42C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地理坐标</w:t>
            </w:r>
          </w:p>
        </w:tc>
        <w:tc>
          <w:tcPr>
            <w:tcW w:w="7818" w:type="dxa"/>
            <w:gridSpan w:val="3"/>
            <w:vAlign w:val="center"/>
          </w:tcPr>
          <w:p w14:paraId="2B3EE7A7">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中心经度：111°34′09.2104"中心纬度：26°11′58.2234"</w:t>
            </w:r>
          </w:p>
        </w:tc>
      </w:tr>
      <w:tr w14:paraId="011B55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1" w:hRule="atLeast"/>
          <w:jc w:val="center"/>
        </w:trPr>
        <w:tc>
          <w:tcPr>
            <w:tcW w:w="1202" w:type="dxa"/>
            <w:tcMar>
              <w:top w:w="16" w:type="dxa"/>
              <w:left w:w="16" w:type="dxa"/>
              <w:right w:w="16" w:type="dxa"/>
            </w:tcMar>
            <w:vAlign w:val="center"/>
          </w:tcPr>
          <w:p w14:paraId="5087C02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国民经济行业类别</w:t>
            </w:r>
          </w:p>
        </w:tc>
        <w:tc>
          <w:tcPr>
            <w:tcW w:w="2727" w:type="dxa"/>
            <w:vAlign w:val="center"/>
          </w:tcPr>
          <w:p w14:paraId="02E3341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C2929塑料零件及其他塑料制品制造</w:t>
            </w:r>
          </w:p>
        </w:tc>
        <w:tc>
          <w:tcPr>
            <w:tcW w:w="2162" w:type="dxa"/>
            <w:vAlign w:val="center"/>
          </w:tcPr>
          <w:p w14:paraId="6153333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bookmarkStart w:id="9" w:name="_Hlk49843745"/>
            <w:r>
              <w:rPr>
                <w:rFonts w:hint="eastAsia" w:ascii="宋体" w:hAnsi="宋体" w:cs="宋体"/>
                <w:color w:val="0D0D0D" w:themeColor="text1" w:themeTint="F2"/>
                <w14:textFill>
                  <w14:solidFill>
                    <w14:schemeClr w14:val="tx1">
                      <w14:lumMod w14:val="95000"/>
                      <w14:lumOff w14:val="5000"/>
                    </w14:schemeClr>
                  </w14:solidFill>
                </w14:textFill>
              </w:rPr>
              <w:t>建设项目行业类别</w:t>
            </w:r>
            <w:bookmarkEnd w:id="9"/>
          </w:p>
        </w:tc>
        <w:tc>
          <w:tcPr>
            <w:tcW w:w="2929" w:type="dxa"/>
            <w:vAlign w:val="center"/>
          </w:tcPr>
          <w:p w14:paraId="4FE0E0C2">
            <w:pPr>
              <w:keepNext w:val="0"/>
              <w:keepLines w:val="0"/>
              <w:suppressLineNumbers w:val="0"/>
              <w:adjustRightInd w:val="0"/>
              <w:snapToGrid w:val="0"/>
              <w:spacing w:before="0" w:beforeAutospacing="0" w:after="0" w:afterAutospacing="0" w:line="240" w:lineRule="auto"/>
              <w:ind w:left="0" w:right="0" w:firstLine="0" w:firstLineChars="0"/>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二十六、橡胶和塑料制品业 29-53、塑料制品业 292；</w:t>
            </w:r>
          </w:p>
        </w:tc>
      </w:tr>
      <w:tr w14:paraId="54F0BD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202" w:type="dxa"/>
            <w:tcMar>
              <w:top w:w="16" w:type="dxa"/>
              <w:left w:w="16" w:type="dxa"/>
              <w:right w:w="16" w:type="dxa"/>
            </w:tcMar>
            <w:vAlign w:val="center"/>
          </w:tcPr>
          <w:p w14:paraId="109EC1D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建设性质</w:t>
            </w:r>
          </w:p>
        </w:tc>
        <w:tc>
          <w:tcPr>
            <w:tcW w:w="2727" w:type="dxa"/>
            <w:vAlign w:val="center"/>
          </w:tcPr>
          <w:p w14:paraId="357F1492">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☑新建（迁建）</w:t>
            </w:r>
          </w:p>
          <w:p w14:paraId="6745049C">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□改建</w:t>
            </w:r>
          </w:p>
          <w:p w14:paraId="5DCEB57A">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□扩建</w:t>
            </w:r>
          </w:p>
          <w:p w14:paraId="5E14FD3C">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□技术改造</w:t>
            </w:r>
          </w:p>
        </w:tc>
        <w:tc>
          <w:tcPr>
            <w:tcW w:w="2162" w:type="dxa"/>
            <w:vAlign w:val="center"/>
          </w:tcPr>
          <w:p w14:paraId="6643C08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建设项目申报情形</w:t>
            </w:r>
          </w:p>
        </w:tc>
        <w:tc>
          <w:tcPr>
            <w:tcW w:w="2929" w:type="dxa"/>
            <w:vAlign w:val="center"/>
          </w:tcPr>
          <w:p w14:paraId="503F1F04">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sym w:font="Wingdings 2" w:char="0052"/>
            </w:r>
            <w:r>
              <w:rPr>
                <w:rFonts w:hint="eastAsia" w:ascii="宋体" w:hAnsi="宋体" w:cs="宋体"/>
                <w:color w:val="0D0D0D" w:themeColor="text1" w:themeTint="F2"/>
                <w14:textFill>
                  <w14:solidFill>
                    <w14:schemeClr w14:val="tx1">
                      <w14:lumMod w14:val="95000"/>
                      <w14:lumOff w14:val="5000"/>
                    </w14:schemeClr>
                  </w14:solidFill>
                </w14:textFill>
              </w:rPr>
              <w:t>首次申报项目</w:t>
            </w:r>
          </w:p>
          <w:p w14:paraId="2095B9F7">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□不予批准后再次申报项目</w:t>
            </w:r>
          </w:p>
          <w:p w14:paraId="2B0C0695">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sym w:font="Wingdings 2" w:char="00A3"/>
            </w:r>
            <w:r>
              <w:rPr>
                <w:rFonts w:hint="eastAsia" w:ascii="宋体" w:hAnsi="宋体" w:cs="宋体"/>
                <w:color w:val="0D0D0D" w:themeColor="text1" w:themeTint="F2"/>
                <w14:textFill>
                  <w14:solidFill>
                    <w14:schemeClr w14:val="tx1">
                      <w14:lumMod w14:val="95000"/>
                      <w14:lumOff w14:val="5000"/>
                    </w14:schemeClr>
                  </w14:solidFill>
                </w14:textFill>
              </w:rPr>
              <w:t>超五年重新审核项目</w:t>
            </w:r>
          </w:p>
          <w:p w14:paraId="07655168">
            <w:pPr>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□重大变动重新报批项目</w:t>
            </w:r>
          </w:p>
        </w:tc>
      </w:tr>
      <w:tr w14:paraId="5CDCAD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304" w:hRule="atLeast"/>
          <w:jc w:val="center"/>
        </w:trPr>
        <w:tc>
          <w:tcPr>
            <w:tcW w:w="1202" w:type="dxa"/>
            <w:tcMar>
              <w:top w:w="16" w:type="dxa"/>
              <w:left w:w="16" w:type="dxa"/>
              <w:right w:w="16" w:type="dxa"/>
            </w:tcMar>
            <w:vAlign w:val="center"/>
          </w:tcPr>
          <w:p w14:paraId="328F880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项目审批（核准</w:t>
            </w:r>
            <w:r>
              <w:rPr>
                <w:rFonts w:hint="default" w:ascii="宋体" w:hAnsi="宋体" w:cs="宋体"/>
                <w:b/>
                <w:bCs/>
                <w:color w:val="0D0D0D" w:themeColor="text1" w:themeTint="F2"/>
                <w14:textFill>
                  <w14:solidFill>
                    <w14:schemeClr w14:val="tx1">
                      <w14:lumMod w14:val="95000"/>
                      <w14:lumOff w14:val="5000"/>
                    </w14:schemeClr>
                  </w14:solidFill>
                </w14:textFill>
              </w:rPr>
              <w:t>/</w:t>
            </w:r>
            <w:r>
              <w:rPr>
                <w:rFonts w:hint="eastAsia" w:ascii="宋体" w:hAnsi="宋体" w:cs="宋体"/>
                <w:b/>
                <w:bCs/>
                <w:color w:val="0D0D0D" w:themeColor="text1" w:themeTint="F2"/>
                <w14:textFill>
                  <w14:solidFill>
                    <w14:schemeClr w14:val="tx1">
                      <w14:lumMod w14:val="95000"/>
                      <w14:lumOff w14:val="5000"/>
                    </w14:schemeClr>
                  </w14:solidFill>
                </w14:textFill>
              </w:rPr>
              <w:t>备案）部门（选填）</w:t>
            </w:r>
          </w:p>
        </w:tc>
        <w:tc>
          <w:tcPr>
            <w:tcW w:w="2727" w:type="dxa"/>
            <w:vAlign w:val="center"/>
          </w:tcPr>
          <w:p w14:paraId="47619AD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零陵区发展和改革局</w:t>
            </w:r>
          </w:p>
        </w:tc>
        <w:tc>
          <w:tcPr>
            <w:tcW w:w="2162" w:type="dxa"/>
            <w:vAlign w:val="center"/>
          </w:tcPr>
          <w:p w14:paraId="067E8D2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项目审批（核准</w:t>
            </w:r>
            <w:r>
              <w:rPr>
                <w:rFonts w:hint="default" w:ascii="宋体" w:hAnsi="宋体" w:cs="宋体"/>
                <w:color w:val="0D0D0D" w:themeColor="text1" w:themeTint="F2"/>
                <w14:textFill>
                  <w14:solidFill>
                    <w14:schemeClr w14:val="tx1">
                      <w14:lumMod w14:val="95000"/>
                      <w14:lumOff w14:val="5000"/>
                    </w14:schemeClr>
                  </w14:solidFill>
                </w14:textFill>
              </w:rPr>
              <w:t>/</w:t>
            </w:r>
            <w:r>
              <w:rPr>
                <w:rFonts w:hint="eastAsia" w:ascii="宋体" w:hAnsi="宋体" w:cs="宋体"/>
                <w:color w:val="0D0D0D" w:themeColor="text1" w:themeTint="F2"/>
                <w14:textFill>
                  <w14:solidFill>
                    <w14:schemeClr w14:val="tx1">
                      <w14:lumMod w14:val="95000"/>
                      <w14:lumOff w14:val="5000"/>
                    </w14:schemeClr>
                  </w14:solidFill>
                </w14:textFill>
              </w:rPr>
              <w:t>备案）文号（选填）</w:t>
            </w:r>
          </w:p>
        </w:tc>
        <w:tc>
          <w:tcPr>
            <w:tcW w:w="2929" w:type="dxa"/>
            <w:vAlign w:val="center"/>
          </w:tcPr>
          <w:p w14:paraId="3FF95FC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零发改投[2022]211号</w:t>
            </w:r>
          </w:p>
        </w:tc>
      </w:tr>
      <w:tr w14:paraId="5D9BFC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202" w:type="dxa"/>
            <w:tcMar>
              <w:top w:w="16" w:type="dxa"/>
              <w:left w:w="16" w:type="dxa"/>
              <w:right w:w="16" w:type="dxa"/>
            </w:tcMar>
            <w:vAlign w:val="center"/>
          </w:tcPr>
          <w:p w14:paraId="1900029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总投资（万元）</w:t>
            </w:r>
          </w:p>
        </w:tc>
        <w:tc>
          <w:tcPr>
            <w:tcW w:w="2727" w:type="dxa"/>
            <w:vAlign w:val="center"/>
          </w:tcPr>
          <w:p w14:paraId="307049E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2600</w:t>
            </w:r>
          </w:p>
        </w:tc>
        <w:tc>
          <w:tcPr>
            <w:tcW w:w="2162" w:type="dxa"/>
            <w:tcMar>
              <w:top w:w="16" w:type="dxa"/>
              <w:left w:w="16" w:type="dxa"/>
              <w:right w:w="16" w:type="dxa"/>
            </w:tcMar>
            <w:vAlign w:val="center"/>
          </w:tcPr>
          <w:p w14:paraId="5ECFDDB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环保投资（万元）</w:t>
            </w:r>
          </w:p>
        </w:tc>
        <w:tc>
          <w:tcPr>
            <w:tcW w:w="2929" w:type="dxa"/>
            <w:vAlign w:val="center"/>
          </w:tcPr>
          <w:p w14:paraId="677A65B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50</w:t>
            </w:r>
          </w:p>
        </w:tc>
      </w:tr>
      <w:tr w14:paraId="5FA6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202" w:type="dxa"/>
            <w:tcMar>
              <w:top w:w="16" w:type="dxa"/>
              <w:left w:w="16" w:type="dxa"/>
              <w:right w:w="16" w:type="dxa"/>
            </w:tcMar>
            <w:vAlign w:val="center"/>
          </w:tcPr>
          <w:p w14:paraId="4431077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环保投资占比（</w:t>
            </w:r>
            <w:r>
              <w:rPr>
                <w:rFonts w:hint="default" w:ascii="宋体" w:hAnsi="宋体" w:cs="宋体"/>
                <w:b/>
                <w:bCs/>
                <w:color w:val="0D0D0D" w:themeColor="text1" w:themeTint="F2"/>
                <w14:textFill>
                  <w14:solidFill>
                    <w14:schemeClr w14:val="tx1">
                      <w14:lumMod w14:val="95000"/>
                      <w14:lumOff w14:val="5000"/>
                    </w14:schemeClr>
                  </w14:solidFill>
                </w14:textFill>
              </w:rPr>
              <w:t>%</w:t>
            </w:r>
            <w:r>
              <w:rPr>
                <w:rFonts w:hint="eastAsia" w:ascii="宋体" w:hAnsi="宋体" w:cs="宋体"/>
                <w:b/>
                <w:bCs/>
                <w:color w:val="0D0D0D" w:themeColor="text1" w:themeTint="F2"/>
                <w14:textFill>
                  <w14:solidFill>
                    <w14:schemeClr w14:val="tx1">
                      <w14:lumMod w14:val="95000"/>
                      <w14:lumOff w14:val="5000"/>
                    </w14:schemeClr>
                  </w14:solidFill>
                </w14:textFill>
              </w:rPr>
              <w:t>）</w:t>
            </w:r>
          </w:p>
        </w:tc>
        <w:tc>
          <w:tcPr>
            <w:tcW w:w="2727" w:type="dxa"/>
            <w:vAlign w:val="center"/>
          </w:tcPr>
          <w:p w14:paraId="27F76C5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1.9</w:t>
            </w:r>
          </w:p>
        </w:tc>
        <w:tc>
          <w:tcPr>
            <w:tcW w:w="2162" w:type="dxa"/>
            <w:tcMar>
              <w:top w:w="16" w:type="dxa"/>
              <w:left w:w="16" w:type="dxa"/>
              <w:right w:w="16" w:type="dxa"/>
            </w:tcMar>
            <w:vAlign w:val="center"/>
          </w:tcPr>
          <w:p w14:paraId="5A03395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施工工期</w:t>
            </w:r>
          </w:p>
        </w:tc>
        <w:tc>
          <w:tcPr>
            <w:tcW w:w="2929" w:type="dxa"/>
            <w:vAlign w:val="center"/>
          </w:tcPr>
          <w:p w14:paraId="48BB973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1个月</w:t>
            </w:r>
          </w:p>
        </w:tc>
      </w:tr>
      <w:tr w14:paraId="3DD50A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1202" w:type="dxa"/>
            <w:tcMar>
              <w:top w:w="16" w:type="dxa"/>
              <w:left w:w="16" w:type="dxa"/>
              <w:right w:w="16" w:type="dxa"/>
            </w:tcMar>
            <w:vAlign w:val="center"/>
          </w:tcPr>
          <w:p w14:paraId="0352CA2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是否开工建设</w:t>
            </w:r>
          </w:p>
        </w:tc>
        <w:tc>
          <w:tcPr>
            <w:tcW w:w="2727" w:type="dxa"/>
            <w:vAlign w:val="center"/>
          </w:tcPr>
          <w:p w14:paraId="1A214296">
            <w:pPr>
              <w:keepNext w:val="0"/>
              <w:keepLines w:val="0"/>
              <w:suppressLineNumbers w:val="0"/>
              <w:adjustRightInd w:val="0"/>
              <w:snapToGrid w:val="0"/>
              <w:spacing w:before="0" w:beforeAutospacing="0" w:after="0" w:afterAutospacing="0" w:line="240" w:lineRule="auto"/>
              <w:ind w:left="0" w:right="0" w:firstLine="0" w:firstLineChars="0"/>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sym w:font="Wingdings 2" w:char="0052"/>
            </w:r>
            <w:r>
              <w:rPr>
                <w:rFonts w:hint="eastAsia" w:ascii="宋体" w:hAnsi="宋体" w:cs="宋体"/>
                <w:color w:val="0D0D0D" w:themeColor="text1" w:themeTint="F2"/>
                <w14:textFill>
                  <w14:solidFill>
                    <w14:schemeClr w14:val="tx1">
                      <w14:lumMod w14:val="95000"/>
                      <w14:lumOff w14:val="5000"/>
                    </w14:schemeClr>
                  </w14:solidFill>
                </w14:textFill>
              </w:rPr>
              <w:t>否</w:t>
            </w:r>
          </w:p>
          <w:p w14:paraId="09042BDF">
            <w:pPr>
              <w:keepNext w:val="0"/>
              <w:keepLines w:val="0"/>
              <w:suppressLineNumbers w:val="0"/>
              <w:adjustRightInd w:val="0"/>
              <w:snapToGrid w:val="0"/>
              <w:spacing w:before="0" w:beforeAutospacing="0" w:after="0" w:afterAutospacing="0" w:line="240" w:lineRule="auto"/>
              <w:ind w:left="0" w:right="0" w:firstLine="0" w:firstLineChars="0"/>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sym w:font="Wingdings 2" w:char="00A3"/>
            </w:r>
            <w:r>
              <w:rPr>
                <w:rFonts w:hint="eastAsia" w:ascii="宋体" w:hAnsi="宋体" w:cs="宋体"/>
                <w:color w:val="0D0D0D" w:themeColor="text1" w:themeTint="F2"/>
                <w14:textFill>
                  <w14:solidFill>
                    <w14:schemeClr w14:val="tx1">
                      <w14:lumMod w14:val="95000"/>
                      <w14:lumOff w14:val="5000"/>
                    </w14:schemeClr>
                  </w14:solidFill>
                </w14:textFill>
              </w:rPr>
              <w:t>是：</w:t>
            </w:r>
          </w:p>
        </w:tc>
        <w:tc>
          <w:tcPr>
            <w:tcW w:w="2162" w:type="dxa"/>
            <w:tcMar>
              <w:top w:w="16" w:type="dxa"/>
              <w:left w:w="16" w:type="dxa"/>
              <w:right w:w="16" w:type="dxa"/>
            </w:tcMar>
            <w:vAlign w:val="center"/>
          </w:tcPr>
          <w:p w14:paraId="0013B70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spacing w:val="-6"/>
                <w14:textFill>
                  <w14:solidFill>
                    <w14:schemeClr w14:val="tx1">
                      <w14:lumMod w14:val="95000"/>
                      <w14:lumOff w14:val="5000"/>
                    </w14:schemeClr>
                  </w14:solidFill>
                </w14:textFill>
              </w:rPr>
              <w:t>用地（用海）面积（㎡）</w:t>
            </w:r>
          </w:p>
        </w:tc>
        <w:tc>
          <w:tcPr>
            <w:tcW w:w="2929" w:type="dxa"/>
            <w:vAlign w:val="center"/>
          </w:tcPr>
          <w:p w14:paraId="0F62013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14:textFill>
                  <w14:solidFill>
                    <w14:schemeClr w14:val="tx1">
                      <w14:lumMod w14:val="95000"/>
                      <w14:lumOff w14:val="5000"/>
                    </w14:schemeClr>
                  </w14:solidFill>
                </w14:textFill>
              </w:rPr>
              <w:t>13333.4</w:t>
            </w:r>
          </w:p>
        </w:tc>
      </w:tr>
      <w:tr w14:paraId="2605D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02" w:type="dxa"/>
            <w:vAlign w:val="center"/>
          </w:tcPr>
          <w:p w14:paraId="30FDB34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kern w:val="0"/>
                <w14:textFill>
                  <w14:solidFill>
                    <w14:schemeClr w14:val="tx1">
                      <w14:lumMod w14:val="95000"/>
                      <w14:lumOff w14:val="5000"/>
                    </w14:schemeClr>
                  </w14:solidFill>
                </w14:textFill>
              </w:rPr>
              <w:t>专项评价设置情况</w:t>
            </w:r>
          </w:p>
        </w:tc>
        <w:tc>
          <w:tcPr>
            <w:tcW w:w="7818" w:type="dxa"/>
            <w:gridSpan w:val="3"/>
            <w:vAlign w:val="center"/>
          </w:tcPr>
          <w:p w14:paraId="0FD2D36E">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无</w:t>
            </w:r>
          </w:p>
        </w:tc>
      </w:tr>
      <w:tr w14:paraId="48F89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202" w:type="dxa"/>
            <w:vAlign w:val="center"/>
          </w:tcPr>
          <w:p w14:paraId="4A310AA7">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cs="宋体"/>
                <w:b/>
                <w:bCs/>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规划情况</w:t>
            </w:r>
          </w:p>
        </w:tc>
        <w:tc>
          <w:tcPr>
            <w:tcW w:w="7818" w:type="dxa"/>
            <w:gridSpan w:val="3"/>
            <w:vAlign w:val="center"/>
          </w:tcPr>
          <w:p w14:paraId="56727338">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规划名称：《零陵工业园调扩区控制性详细规划（2012-2020）》；</w:t>
            </w:r>
          </w:p>
          <w:p w14:paraId="7FBB2147">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审批机关：湖南省人民政府</w:t>
            </w:r>
          </w:p>
        </w:tc>
      </w:tr>
      <w:tr w14:paraId="65C36C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vAlign w:val="center"/>
          </w:tcPr>
          <w:p w14:paraId="04B56ED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14:textFill>
                  <w14:solidFill>
                    <w14:schemeClr w14:val="tx1">
                      <w14:lumMod w14:val="95000"/>
                      <w14:lumOff w14:val="5000"/>
                    </w14:schemeClr>
                  </w14:solidFill>
                </w14:textFill>
              </w:rPr>
              <w:t>规划环境影响评价情况</w:t>
            </w:r>
          </w:p>
        </w:tc>
        <w:tc>
          <w:tcPr>
            <w:tcW w:w="7818" w:type="dxa"/>
            <w:gridSpan w:val="3"/>
            <w:vAlign w:val="center"/>
          </w:tcPr>
          <w:p w14:paraId="3F6A696D">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规划环境影响评价文件名称：《零陵工业园调区扩区环境影响报告书》</w:t>
            </w:r>
          </w:p>
          <w:p w14:paraId="705B5855">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召集审查机关：原湖南省环境保护厅</w:t>
            </w:r>
          </w:p>
          <w:p w14:paraId="7B5897A2">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color w:val="0D0D0D" w:themeColor="text1" w:themeTint="F2"/>
                <w:kern w:val="0"/>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审查文件及文号：《湖南省环境保护厅关于零陵工业园调区扩区环境影响报告书的批复》(湘环评[2013]192号)</w:t>
            </w:r>
          </w:p>
          <w:p w14:paraId="10BE0B47">
            <w:pPr>
              <w:keepNext w:val="0"/>
              <w:keepLines w:val="0"/>
              <w:suppressLineNumbers w:val="0"/>
              <w:adjustRightInd w:val="0"/>
              <w:snapToGrid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14:textFill>
                  <w14:solidFill>
                    <w14:schemeClr w14:val="tx1">
                      <w14:lumMod w14:val="95000"/>
                      <w14:lumOff w14:val="5000"/>
                    </w14:schemeClr>
                  </w14:solidFill>
                </w14:textFill>
              </w:rPr>
              <w:t>根据国家环保部办公厅2017年11月7日发布的《关于开展长江经济带产业园区环境影响跟踪评价工作的通知》（环办环评函[2017]1673号）以及《湖南省环境保护厅关于开展产业园区环境影响跟踪评价工作的通知》（湘环函[2018]33号），零陵工业园区开展环境影响跟踪评价工作，获得湖南省生态环境厅批复（湘环评函【2020】26号），</w:t>
            </w:r>
          </w:p>
        </w:tc>
      </w:tr>
      <w:tr w14:paraId="5A026A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86" w:hRule="atLeast"/>
          <w:jc w:val="center"/>
        </w:trPr>
        <w:tc>
          <w:tcPr>
            <w:tcW w:w="1202" w:type="dxa"/>
            <w:vAlign w:val="center"/>
          </w:tcPr>
          <w:p w14:paraId="1518C0F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kern w:val="0"/>
                <w14:textFill>
                  <w14:solidFill>
                    <w14:schemeClr w14:val="tx1">
                      <w14:lumMod w14:val="95000"/>
                      <w14:lumOff w14:val="5000"/>
                    </w14:schemeClr>
                  </w14:solidFill>
                </w14:textFill>
              </w:rPr>
              <w:t>规划及规划环境影响评价符合性分析</w:t>
            </w:r>
          </w:p>
        </w:tc>
        <w:tc>
          <w:tcPr>
            <w:tcW w:w="7818" w:type="dxa"/>
            <w:gridSpan w:val="3"/>
          </w:tcPr>
          <w:p w14:paraId="71B0021F">
            <w:pPr>
              <w:keepNext w:val="0"/>
              <w:keepLines w:val="0"/>
              <w:suppressLineNumbers w:val="0"/>
              <w:spacing w:before="0" w:beforeAutospacing="0" w:after="0" w:afterAutospacing="0"/>
              <w:ind w:left="0" w:right="0" w:firstLine="480"/>
              <w:rPr>
                <w:rFonts w:hint="default"/>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1）零陵工业园企业准入条件与本项目入驻园区的相符性分析本项目位于零陵工业园区河西片区苏宁松桥电器（富润）智造产业园内，对照零陵工业园扩调区对入住企业的入园准入条件，本项目情况如下：①本项目符合国家产业政策；②生产方法、生产工艺及设施装备符合国家技术政策要求；③根据零陵工业园产业定位主要以生物制药、药业机械制造、电子、新材料为主的低污染型工业为主体。本项目属于塑料热塑性弹性体颗粒制造，为低污染型工业企业，符合零陵工业园规划要求。④本项目不属于电镀、铅、锌、铬等重污染冶炼行业、“十八小”、“新五小”等污染企业。综上所述，本项目产品为塑料热塑性弹性体颗粒，属于塑料制品制造，为低污染企业，本项目符合国家产业政策要求，因此，项目与零陵工业园企业准入条件相符。</w:t>
            </w:r>
          </w:p>
          <w:p w14:paraId="084E4E29">
            <w:pPr>
              <w:keepNext w:val="0"/>
              <w:keepLines w:val="0"/>
              <w:suppressLineNumbers w:val="0"/>
              <w:spacing w:before="0" w:beforeAutospacing="0" w:after="0" w:afterAutospacing="0"/>
              <w:ind w:left="0" w:right="0" w:firstLine="480"/>
              <w:rPr>
                <w:rFonts w:hint="default"/>
                <w:color w:val="0D0D0D" w:themeColor="text1" w:themeTint="F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2）规划环评符合性分析本项目位于零陵工业园区，2013年零陵工业园区取得了《湖南省环境保护厅关于零陵工业园调区扩区环境影响报告书的批复》(湘环评[2013]192号)；2022年零陵工业园区开展环境影响跟踪评价工作，获得湖南省生态环境厅批复（湘环评函【2020】26号），本项目与规划环评的审查意见相符性分析见下：</w:t>
            </w:r>
          </w:p>
          <w:p w14:paraId="3F1927C7">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表1-1 项目与规划和规划环评批复符合性分析一览表</w:t>
            </w:r>
          </w:p>
          <w:tbl>
            <w:tblPr>
              <w:tblStyle w:val="16"/>
              <w:tblW w:w="76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3" w:type="dxa"/>
                <w:bottom w:w="0" w:type="dxa"/>
                <w:right w:w="23" w:type="dxa"/>
              </w:tblCellMar>
            </w:tblPr>
            <w:tblGrid>
              <w:gridCol w:w="380"/>
              <w:gridCol w:w="5280"/>
              <w:gridCol w:w="1410"/>
              <w:gridCol w:w="608"/>
            </w:tblGrid>
            <w:tr w14:paraId="0624A7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52" w:hRule="atLeast"/>
                <w:jc w:val="center"/>
              </w:trPr>
              <w:tc>
                <w:tcPr>
                  <w:tcW w:w="380" w:type="dxa"/>
                  <w:tcBorders>
                    <w:tl2br w:val="nil"/>
                    <w:tr2bl w:val="nil"/>
                  </w:tcBorders>
                  <w:tcMar>
                    <w:top w:w="0" w:type="dxa"/>
                    <w:left w:w="51" w:type="dxa"/>
                    <w:bottom w:w="0" w:type="dxa"/>
                    <w:right w:w="51" w:type="dxa"/>
                  </w:tcMar>
                  <w:vAlign w:val="center"/>
                </w:tcPr>
                <w:p w14:paraId="4317CF9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序号</w:t>
                  </w:r>
                </w:p>
              </w:tc>
              <w:tc>
                <w:tcPr>
                  <w:tcW w:w="5280" w:type="dxa"/>
                  <w:tcBorders>
                    <w:tl2br w:val="nil"/>
                    <w:tr2bl w:val="nil"/>
                  </w:tcBorders>
                  <w:tcMar>
                    <w:top w:w="0" w:type="dxa"/>
                    <w:left w:w="51" w:type="dxa"/>
                    <w:bottom w:w="0" w:type="dxa"/>
                    <w:right w:w="51" w:type="dxa"/>
                  </w:tcMar>
                  <w:vAlign w:val="center"/>
                </w:tcPr>
                <w:p w14:paraId="0382B21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规划和规划环评批复要求</w:t>
                  </w:r>
                </w:p>
              </w:tc>
              <w:tc>
                <w:tcPr>
                  <w:tcW w:w="1410" w:type="dxa"/>
                  <w:tcBorders>
                    <w:tl2br w:val="nil"/>
                    <w:tr2bl w:val="nil"/>
                  </w:tcBorders>
                  <w:tcMar>
                    <w:top w:w="0" w:type="dxa"/>
                    <w:left w:w="51" w:type="dxa"/>
                    <w:bottom w:w="0" w:type="dxa"/>
                    <w:right w:w="51" w:type="dxa"/>
                  </w:tcMar>
                  <w:vAlign w:val="center"/>
                </w:tcPr>
                <w:p w14:paraId="47F6C99D">
                  <w:pPr>
                    <w:keepNext w:val="0"/>
                    <w:keepLines w:val="0"/>
                    <w:suppressLineNumbers w:val="0"/>
                    <w:topLinePunct/>
                    <w:autoSpaceDE/>
                    <w:autoSpaceDN/>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本项目具体情况</w:t>
                  </w:r>
                </w:p>
              </w:tc>
              <w:tc>
                <w:tcPr>
                  <w:tcW w:w="608" w:type="dxa"/>
                  <w:tcBorders>
                    <w:tl2br w:val="nil"/>
                    <w:tr2bl w:val="nil"/>
                  </w:tcBorders>
                  <w:tcMar>
                    <w:top w:w="0" w:type="dxa"/>
                    <w:left w:w="51" w:type="dxa"/>
                    <w:bottom w:w="0" w:type="dxa"/>
                    <w:right w:w="51" w:type="dxa"/>
                  </w:tcMar>
                  <w:vAlign w:val="center"/>
                </w:tcPr>
                <w:p w14:paraId="61A15AC8">
                  <w:pPr>
                    <w:keepNext w:val="0"/>
                    <w:keepLines w:val="0"/>
                    <w:suppressLineNumbers w:val="0"/>
                    <w:spacing w:before="0" w:beforeAutospacing="0" w:after="0" w:afterAutospacing="0" w:line="240" w:lineRule="auto"/>
                    <w:ind w:left="0" w:right="0" w:firstLine="0" w:firstLineChars="0"/>
                    <w:jc w:val="left"/>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符合与否</w:t>
                  </w:r>
                </w:p>
              </w:tc>
            </w:tr>
            <w:tr w14:paraId="1CBCE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jc w:val="center"/>
              </w:trPr>
              <w:tc>
                <w:tcPr>
                  <w:tcW w:w="380" w:type="dxa"/>
                  <w:tcBorders>
                    <w:tl2br w:val="nil"/>
                    <w:tr2bl w:val="nil"/>
                  </w:tcBorders>
                  <w:tcMar>
                    <w:top w:w="0" w:type="dxa"/>
                    <w:left w:w="51" w:type="dxa"/>
                    <w:bottom w:w="0" w:type="dxa"/>
                    <w:right w:w="51" w:type="dxa"/>
                  </w:tcMar>
                  <w:vAlign w:val="center"/>
                </w:tcPr>
                <w:p w14:paraId="472EB1E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1</w:t>
                  </w:r>
                </w:p>
              </w:tc>
              <w:tc>
                <w:tcPr>
                  <w:tcW w:w="5280" w:type="dxa"/>
                  <w:tcBorders>
                    <w:tl2br w:val="nil"/>
                    <w:tr2bl w:val="nil"/>
                  </w:tcBorders>
                  <w:tcMar>
                    <w:top w:w="0" w:type="dxa"/>
                    <w:left w:w="51" w:type="dxa"/>
                    <w:bottom w:w="0" w:type="dxa"/>
                    <w:right w:w="51" w:type="dxa"/>
                  </w:tcMar>
                  <w:vAlign w:val="center"/>
                </w:tcPr>
                <w:p w14:paraId="656CDAF7">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进一步优化零陵工业园调区扩区的规划布局，严格按照功能区规划进行有序开发建设，处理好园区内部各功能组团及园区与周边农业、居住生活服务等各功能区块之间的关系，充分利用自然地形和绿化隔离带使各功能区隔离，确保功能区划明确、产业相对集中、生态环境优良。按环评建议要求，河西片区不布置三类工业用地，限制在邻近石山脚乡居住区的工业用地内引进气型污染企业；将处于珠山片区锰常规产品加工区周边</w:t>
                  </w:r>
                  <w:r>
                    <w:rPr>
                      <w:rFonts w:hint="default"/>
                      <w:color w:val="0D0D0D" w:themeColor="text1" w:themeTint="F2"/>
                      <w:sz w:val="21"/>
                      <w:szCs w:val="21"/>
                      <w14:textFill>
                        <w14:solidFill>
                          <w14:schemeClr w14:val="tx1">
                            <w14:lumMod w14:val="95000"/>
                            <w14:lumOff w14:val="5000"/>
                          </w14:schemeClr>
                        </w14:solidFill>
                      </w14:textFill>
                    </w:rPr>
                    <w:t>1km</w:t>
                  </w:r>
                  <w:r>
                    <w:rPr>
                      <w:rFonts w:hint="eastAsia"/>
                      <w:color w:val="0D0D0D" w:themeColor="text1" w:themeTint="F2"/>
                      <w:sz w:val="21"/>
                      <w:szCs w:val="21"/>
                      <w14:textFill>
                        <w14:solidFill>
                          <w14:schemeClr w14:val="tx1">
                            <w14:lumMod w14:val="95000"/>
                            <w14:lumOff w14:val="5000"/>
                          </w14:schemeClr>
                        </w14:solidFill>
                      </w14:textFill>
                    </w:rPr>
                    <w:t>范围内下风向的岔江塘村、东西坊村以及侧风向灶背村纳入园区拆迁范畴，将其安置在珠山镇；优化锰初级产品布局，尽量将电解锰、锰铁合金等企业布置于常规产品加工区的中心地块；保留珠山镇城市总体规划中西侧的山体绿地，并对邻珠山片区</w:t>
                  </w:r>
                  <w:r>
                    <w:rPr>
                      <w:rFonts w:hint="default"/>
                      <w:color w:val="0D0D0D" w:themeColor="text1" w:themeTint="F2"/>
                      <w:sz w:val="21"/>
                      <w:szCs w:val="21"/>
                      <w14:textFill>
                        <w14:solidFill>
                          <w14:schemeClr w14:val="tx1">
                            <w14:lumMod w14:val="95000"/>
                            <w14:lumOff w14:val="5000"/>
                          </w14:schemeClr>
                        </w14:solidFill>
                      </w14:textFill>
                    </w:rPr>
                    <w:t>1km</w:t>
                  </w:r>
                  <w:r>
                    <w:rPr>
                      <w:rFonts w:hint="eastAsia"/>
                      <w:color w:val="0D0D0D" w:themeColor="text1" w:themeTint="F2"/>
                      <w:sz w:val="21"/>
                      <w:szCs w:val="21"/>
                      <w14:textFill>
                        <w14:solidFill>
                          <w14:schemeClr w14:val="tx1">
                            <w14:lumMod w14:val="95000"/>
                            <w14:lumOff w14:val="5000"/>
                          </w14:schemeClr>
                        </w14:solidFill>
                      </w14:textFill>
                    </w:rPr>
                    <w:t>内的发展备用地块严格控规，不再规划居民集中区、疗养地等敏感目标。</w:t>
                  </w:r>
                </w:p>
              </w:tc>
              <w:tc>
                <w:tcPr>
                  <w:tcW w:w="1410" w:type="dxa"/>
                  <w:tcBorders>
                    <w:tl2br w:val="nil"/>
                    <w:tr2bl w:val="nil"/>
                  </w:tcBorders>
                  <w:tcMar>
                    <w:top w:w="0" w:type="dxa"/>
                    <w:left w:w="51" w:type="dxa"/>
                    <w:bottom w:w="0" w:type="dxa"/>
                    <w:right w:w="51" w:type="dxa"/>
                  </w:tcMar>
                  <w:vAlign w:val="center"/>
                </w:tcPr>
                <w:p w14:paraId="1C1917F7">
                  <w:pPr>
                    <w:keepNext w:val="0"/>
                    <w:keepLines w:val="0"/>
                    <w:suppressLineNumbers w:val="0"/>
                    <w:topLinePunct/>
                    <w:autoSpaceDE/>
                    <w:autoSpaceDN/>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本项目位于工业园区内，</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为工业用地</w:t>
                  </w:r>
                  <w:r>
                    <w:rPr>
                      <w:rFonts w:hint="eastAsia"/>
                      <w:color w:val="0D0D0D" w:themeColor="text1" w:themeTint="F2"/>
                      <w:sz w:val="21"/>
                      <w:szCs w:val="21"/>
                      <w:u w:val="single"/>
                      <w14:textFill>
                        <w14:solidFill>
                          <w14:schemeClr w14:val="tx1">
                            <w14:lumMod w14:val="95000"/>
                            <w14:lumOff w14:val="5000"/>
                          </w14:schemeClr>
                        </w14:solidFill>
                      </w14:textFill>
                    </w:rPr>
                    <w:t>，根据《零陵工业园控制性详细规划》，符合用地性质。</w:t>
                  </w:r>
                </w:p>
              </w:tc>
              <w:tc>
                <w:tcPr>
                  <w:tcW w:w="608" w:type="dxa"/>
                  <w:tcBorders>
                    <w:tl2br w:val="nil"/>
                    <w:tr2bl w:val="nil"/>
                  </w:tcBorders>
                  <w:tcMar>
                    <w:top w:w="0" w:type="dxa"/>
                    <w:left w:w="51" w:type="dxa"/>
                    <w:bottom w:w="0" w:type="dxa"/>
                    <w:right w:w="51" w:type="dxa"/>
                  </w:tcMar>
                  <w:vAlign w:val="center"/>
                </w:tcPr>
                <w:p w14:paraId="09B9173B">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符合</w:t>
                  </w:r>
                </w:p>
              </w:tc>
            </w:tr>
            <w:tr w14:paraId="65ADE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7084" w:hRule="atLeast"/>
                <w:jc w:val="center"/>
              </w:trPr>
              <w:tc>
                <w:tcPr>
                  <w:tcW w:w="380" w:type="dxa"/>
                  <w:tcBorders>
                    <w:tl2br w:val="nil"/>
                    <w:tr2bl w:val="nil"/>
                  </w:tcBorders>
                  <w:tcMar>
                    <w:top w:w="0" w:type="dxa"/>
                    <w:left w:w="51" w:type="dxa"/>
                    <w:bottom w:w="0" w:type="dxa"/>
                    <w:right w:w="51" w:type="dxa"/>
                  </w:tcMar>
                  <w:vAlign w:val="center"/>
                </w:tcPr>
                <w:p w14:paraId="158DB02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2</w:t>
                  </w:r>
                </w:p>
              </w:tc>
              <w:tc>
                <w:tcPr>
                  <w:tcW w:w="5280" w:type="dxa"/>
                  <w:tcBorders>
                    <w:tl2br w:val="nil"/>
                    <w:tr2bl w:val="nil"/>
                  </w:tcBorders>
                  <w:tcMar>
                    <w:top w:w="0" w:type="dxa"/>
                    <w:left w:w="51" w:type="dxa"/>
                    <w:bottom w:w="0" w:type="dxa"/>
                    <w:right w:w="51" w:type="dxa"/>
                  </w:tcMar>
                  <w:vAlign w:val="center"/>
                </w:tcPr>
                <w:p w14:paraId="77ABFC38">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严格执行工业园入园企业准入制度，入园项目选址必须符合园区总体发展规划、用地规划、环保规划及主导产业定位要求，不得引进国家明令淘汰和禁止发展的能耗物耗高、环境污染严重、不符合产业政策及园区产业定位的建设项目。河西片区禁止涉重金属企业、气型污染企业入驻，严格限制水型污染项目进入，其中：食品工业禁止引入饮料、发酵等用水量大的企业，机械制造禁止涉及磷化、酸化、电镀等的企业进入，生物制药产业禁止进行原料药生产。管委会和地方环保行政主管部门必须按照报告书提出的</w:t>
                  </w:r>
                  <w:r>
                    <w:rPr>
                      <w:rFonts w:hint="default"/>
                      <w:color w:val="0D0D0D" w:themeColor="text1" w:themeTint="F2"/>
                      <w:sz w:val="21"/>
                      <w:szCs w:val="21"/>
                      <w14:textFill>
                        <w14:solidFill>
                          <w14:schemeClr w14:val="tx1">
                            <w14:lumMod w14:val="95000"/>
                            <w14:lumOff w14:val="5000"/>
                          </w14:schemeClr>
                        </w14:solidFill>
                      </w14:textFill>
                    </w:rPr>
                    <w:t>“</w:t>
                  </w:r>
                  <w:r>
                    <w:rPr>
                      <w:rFonts w:hint="eastAsia"/>
                      <w:color w:val="0D0D0D" w:themeColor="text1" w:themeTint="F2"/>
                      <w:sz w:val="21"/>
                      <w:szCs w:val="21"/>
                      <w14:textFill>
                        <w14:solidFill>
                          <w14:schemeClr w14:val="tx1">
                            <w14:lumMod w14:val="95000"/>
                            <w14:lumOff w14:val="5000"/>
                          </w14:schemeClr>
                        </w14:solidFill>
                      </w14:textFill>
                    </w:rPr>
                    <w:t>调扩区准入行业、条件一览表</w:t>
                  </w:r>
                  <w:r>
                    <w:rPr>
                      <w:rFonts w:hint="default"/>
                      <w:color w:val="0D0D0D" w:themeColor="text1" w:themeTint="F2"/>
                      <w:sz w:val="21"/>
                      <w:szCs w:val="21"/>
                      <w14:textFill>
                        <w14:solidFill>
                          <w14:schemeClr w14:val="tx1">
                            <w14:lumMod w14:val="95000"/>
                            <w14:lumOff w14:val="5000"/>
                          </w14:schemeClr>
                        </w14:solidFill>
                      </w14:textFill>
                    </w:rPr>
                    <w:t>”</w:t>
                  </w:r>
                  <w:r>
                    <w:rPr>
                      <w:rFonts w:hint="eastAsia"/>
                      <w:color w:val="0D0D0D" w:themeColor="text1" w:themeTint="F2"/>
                      <w:sz w:val="21"/>
                      <w:szCs w:val="21"/>
                      <w14:textFill>
                        <w14:solidFill>
                          <w14:schemeClr w14:val="tx1">
                            <w14:lumMod w14:val="95000"/>
                            <w14:lumOff w14:val="5000"/>
                          </w14:schemeClr>
                        </w14:solidFill>
                      </w14:textFill>
                    </w:rPr>
                    <w:t>做好项目的招商把关，在入园项目前期和建设期，必须严格执行建设项目环境影响评价和</w:t>
                  </w:r>
                  <w:r>
                    <w:rPr>
                      <w:rFonts w:hint="default"/>
                      <w:color w:val="0D0D0D" w:themeColor="text1" w:themeTint="F2"/>
                      <w:sz w:val="21"/>
                      <w:szCs w:val="21"/>
                      <w14:textFill>
                        <w14:solidFill>
                          <w14:schemeClr w14:val="tx1">
                            <w14:lumMod w14:val="95000"/>
                            <w14:lumOff w14:val="5000"/>
                          </w14:schemeClr>
                        </w14:solidFill>
                      </w14:textFill>
                    </w:rPr>
                    <w:t>“</w:t>
                  </w:r>
                  <w:r>
                    <w:rPr>
                      <w:rFonts w:hint="eastAsia"/>
                      <w:color w:val="0D0D0D" w:themeColor="text1" w:themeTint="F2"/>
                      <w:sz w:val="21"/>
                      <w:szCs w:val="21"/>
                      <w14:textFill>
                        <w14:solidFill>
                          <w14:schemeClr w14:val="tx1">
                            <w14:lumMod w14:val="95000"/>
                            <w14:lumOff w14:val="5000"/>
                          </w14:schemeClr>
                        </w14:solidFill>
                      </w14:textFill>
                    </w:rPr>
                    <w:t>三同时</w:t>
                  </w:r>
                  <w:r>
                    <w:rPr>
                      <w:rFonts w:hint="default"/>
                      <w:color w:val="0D0D0D" w:themeColor="text1" w:themeTint="F2"/>
                      <w:sz w:val="21"/>
                      <w:szCs w:val="21"/>
                      <w14:textFill>
                        <w14:solidFill>
                          <w14:schemeClr w14:val="tx1">
                            <w14:lumMod w14:val="95000"/>
                            <w14:lumOff w14:val="5000"/>
                          </w14:schemeClr>
                        </w14:solidFill>
                      </w14:textFill>
                    </w:rPr>
                    <w:t>”</w:t>
                  </w:r>
                  <w:r>
                    <w:rPr>
                      <w:rFonts w:hint="eastAsia"/>
                      <w:color w:val="0D0D0D" w:themeColor="text1" w:themeTint="F2"/>
                      <w:sz w:val="21"/>
                      <w:szCs w:val="21"/>
                      <w14:textFill>
                        <w14:solidFill>
                          <w14:schemeClr w14:val="tx1">
                            <w14:lumMod w14:val="95000"/>
                            <w14:lumOff w14:val="5000"/>
                          </w14:schemeClr>
                        </w14:solidFill>
                      </w14:textFill>
                    </w:rPr>
                    <w:t>制度，推行清洁生产工艺，其排污浓度、总量必须满足达标排放和总量控制要求；加强对规划区内企业的环境监管，按报告书要求对已建项目进行清理，对园区内现有与产业政策导向不符的企业逐步清理退出；对与园区用地布局规划不符的现有规模以上且符合产业政策、相关环保手续健全的企业，按照调扩区后功能分区逐步迁转至相应产业功能区；强化入园企业各项污防措施建设运营管理，确保工业园区内建设项目总体满足地方环保管理要求。根据珠山镇目前锰产业企业布局分散的局面，地方政府应采取措施加快区域锰产业的整合集中；按照环保相关政策要求，编制区域锰产业整合规划并开展规划环评论证，合理优化产业发展规模、总体布局等要求，在专项产业规划环评未完成前，珠山镇及本园区内不得新增和电解锰、富锰渣等产能规模。</w:t>
                  </w:r>
                </w:p>
              </w:tc>
              <w:tc>
                <w:tcPr>
                  <w:tcW w:w="1410" w:type="dxa"/>
                  <w:tcBorders>
                    <w:tl2br w:val="nil"/>
                    <w:tr2bl w:val="nil"/>
                  </w:tcBorders>
                  <w:tcMar>
                    <w:top w:w="0" w:type="dxa"/>
                    <w:left w:w="51" w:type="dxa"/>
                    <w:bottom w:w="0" w:type="dxa"/>
                    <w:right w:w="51" w:type="dxa"/>
                  </w:tcMar>
                  <w:vAlign w:val="center"/>
                </w:tcPr>
                <w:p w14:paraId="1BF7DCB1">
                  <w:pPr>
                    <w:keepNext w:val="0"/>
                    <w:keepLines w:val="0"/>
                    <w:suppressLineNumbers w:val="0"/>
                    <w:topLinePunct/>
                    <w:autoSpaceDE/>
                    <w:autoSpaceDN/>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本项目为热塑性弹性体颗粒</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生产</w:t>
                  </w:r>
                  <w:r>
                    <w:rPr>
                      <w:rFonts w:hint="eastAsia"/>
                      <w:color w:val="0D0D0D" w:themeColor="text1" w:themeTint="F2"/>
                      <w:sz w:val="21"/>
                      <w:szCs w:val="21"/>
                      <w:u w:val="single"/>
                      <w14:textFill>
                        <w14:solidFill>
                          <w14:schemeClr w14:val="tx1">
                            <w14:lumMod w14:val="95000"/>
                            <w14:lumOff w14:val="5000"/>
                          </w14:schemeClr>
                        </w14:solidFill>
                      </w14:textFill>
                    </w:rPr>
                    <w:t>，属于《国民经济行业分类与代码》（</w:t>
                  </w:r>
                  <w:r>
                    <w:rPr>
                      <w:rFonts w:hint="default"/>
                      <w:color w:val="0D0D0D" w:themeColor="text1" w:themeTint="F2"/>
                      <w:sz w:val="21"/>
                      <w:szCs w:val="21"/>
                      <w:u w:val="single"/>
                      <w14:textFill>
                        <w14:solidFill>
                          <w14:schemeClr w14:val="tx1">
                            <w14:lumMod w14:val="95000"/>
                            <w14:lumOff w14:val="5000"/>
                          </w14:schemeClr>
                        </w14:solidFill>
                      </w14:textFill>
                    </w:rPr>
                    <w:t>GBT4754-20</w:t>
                  </w:r>
                  <w:r>
                    <w:rPr>
                      <w:rFonts w:hint="eastAsia"/>
                      <w:color w:val="0D0D0D" w:themeColor="text1" w:themeTint="F2"/>
                      <w:sz w:val="21"/>
                      <w:szCs w:val="21"/>
                      <w:u w:val="single"/>
                      <w14:textFill>
                        <w14:solidFill>
                          <w14:schemeClr w14:val="tx1">
                            <w14:lumMod w14:val="95000"/>
                            <w14:lumOff w14:val="5000"/>
                          </w14:schemeClr>
                        </w14:solidFill>
                      </w14:textFill>
                    </w:rPr>
                    <w:t>23），中C2929 塑料零件及其他塑料制品制造制造，不属于饮料、发酵等用水量大的企业，符合园区河西片区产业定位。</w:t>
                  </w:r>
                </w:p>
              </w:tc>
              <w:tc>
                <w:tcPr>
                  <w:tcW w:w="608" w:type="dxa"/>
                  <w:tcBorders>
                    <w:tl2br w:val="nil"/>
                    <w:tr2bl w:val="nil"/>
                  </w:tcBorders>
                  <w:tcMar>
                    <w:top w:w="0" w:type="dxa"/>
                    <w:left w:w="51" w:type="dxa"/>
                    <w:bottom w:w="0" w:type="dxa"/>
                    <w:right w:w="51" w:type="dxa"/>
                  </w:tcMar>
                  <w:vAlign w:val="center"/>
                </w:tcPr>
                <w:p w14:paraId="0EDA3EF5">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符合</w:t>
                  </w:r>
                </w:p>
              </w:tc>
            </w:tr>
            <w:tr w14:paraId="1D719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jc w:val="center"/>
              </w:trPr>
              <w:tc>
                <w:tcPr>
                  <w:tcW w:w="380" w:type="dxa"/>
                  <w:tcBorders>
                    <w:tl2br w:val="nil"/>
                    <w:tr2bl w:val="nil"/>
                  </w:tcBorders>
                  <w:tcMar>
                    <w:top w:w="0" w:type="dxa"/>
                    <w:left w:w="51" w:type="dxa"/>
                    <w:bottom w:w="0" w:type="dxa"/>
                    <w:right w:w="51" w:type="dxa"/>
                  </w:tcMar>
                  <w:vAlign w:val="center"/>
                </w:tcPr>
                <w:p w14:paraId="5BE41C6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3</w:t>
                  </w:r>
                </w:p>
              </w:tc>
              <w:tc>
                <w:tcPr>
                  <w:tcW w:w="5280" w:type="dxa"/>
                  <w:tcBorders>
                    <w:tl2br w:val="nil"/>
                    <w:tr2bl w:val="nil"/>
                  </w:tcBorders>
                  <w:tcMar>
                    <w:top w:w="0" w:type="dxa"/>
                    <w:left w:w="51" w:type="dxa"/>
                    <w:bottom w:w="0" w:type="dxa"/>
                    <w:right w:w="51" w:type="dxa"/>
                  </w:tcMar>
                  <w:vAlign w:val="center"/>
                </w:tcPr>
                <w:p w14:paraId="5921B49D">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工业园排水实施</w:t>
                  </w:r>
                  <w:r>
                    <w:rPr>
                      <w:rFonts w:hint="default"/>
                      <w:color w:val="0D0D0D" w:themeColor="text1" w:themeTint="F2"/>
                      <w:sz w:val="21"/>
                      <w:szCs w:val="21"/>
                      <w:u w:val="single"/>
                      <w14:textFill>
                        <w14:solidFill>
                          <w14:schemeClr w14:val="tx1">
                            <w14:lumMod w14:val="95000"/>
                            <w14:lumOff w14:val="5000"/>
                          </w14:schemeClr>
                        </w14:solidFill>
                      </w14:textFill>
                    </w:rPr>
                    <w:t>“</w:t>
                  </w:r>
                  <w:r>
                    <w:rPr>
                      <w:rFonts w:hint="eastAsia"/>
                      <w:color w:val="0D0D0D" w:themeColor="text1" w:themeTint="F2"/>
                      <w:sz w:val="21"/>
                      <w:szCs w:val="21"/>
                      <w:u w:val="single"/>
                      <w14:textFill>
                        <w14:solidFill>
                          <w14:schemeClr w14:val="tx1">
                            <w14:lumMod w14:val="95000"/>
                            <w14:lumOff w14:val="5000"/>
                          </w14:schemeClr>
                        </w14:solidFill>
                      </w14:textFill>
                    </w:rPr>
                    <w:t>雨污分流</w:t>
                  </w:r>
                  <w:r>
                    <w:rPr>
                      <w:rFonts w:hint="default"/>
                      <w:color w:val="0D0D0D" w:themeColor="text1" w:themeTint="F2"/>
                      <w:sz w:val="21"/>
                      <w:szCs w:val="21"/>
                      <w:u w:val="single"/>
                      <w14:textFill>
                        <w14:solidFill>
                          <w14:schemeClr w14:val="tx1">
                            <w14:lumMod w14:val="95000"/>
                            <w14:lumOff w14:val="5000"/>
                          </w14:schemeClr>
                        </w14:solidFill>
                      </w14:textFill>
                    </w:rPr>
                    <w:t>”</w:t>
                  </w:r>
                  <w:r>
                    <w:rPr>
                      <w:rFonts w:hint="eastAsia"/>
                      <w:color w:val="0D0D0D" w:themeColor="text1" w:themeTint="F2"/>
                      <w:sz w:val="21"/>
                      <w:szCs w:val="21"/>
                      <w:u w:val="single"/>
                      <w14:textFill>
                        <w14:solidFill>
                          <w14:schemeClr w14:val="tx1">
                            <w14:lumMod w14:val="95000"/>
                            <w14:lumOff w14:val="5000"/>
                          </w14:schemeClr>
                        </w14:solidFill>
                      </w14:textFill>
                    </w:rPr>
                    <w:t>排水，按排水规划，河西片区污水处理依托永州向家亭污水处理厂进行处理后达《城镇污水处理厂污染物排放标准》</w:t>
                  </w:r>
                  <w:r>
                    <w:rPr>
                      <w:rFonts w:hint="default"/>
                      <w:color w:val="0D0D0D" w:themeColor="text1" w:themeTint="F2"/>
                      <w:sz w:val="21"/>
                      <w:szCs w:val="21"/>
                      <w:u w:val="single"/>
                      <w14:textFill>
                        <w14:solidFill>
                          <w14:schemeClr w14:val="tx1">
                            <w14:lumMod w14:val="95000"/>
                            <w14:lumOff w14:val="5000"/>
                          </w14:schemeClr>
                        </w14:solidFill>
                      </w14:textFill>
                    </w:rPr>
                    <w:t>(GB18918-2002)</w:t>
                  </w:r>
                  <w:r>
                    <w:rPr>
                      <w:rFonts w:hint="eastAsia"/>
                      <w:color w:val="0D0D0D" w:themeColor="text1" w:themeTint="F2"/>
                      <w:sz w:val="21"/>
                      <w:szCs w:val="21"/>
                      <w:u w:val="single"/>
                      <w14:textFill>
                        <w14:solidFill>
                          <w14:schemeClr w14:val="tx1">
                            <w14:lumMod w14:val="95000"/>
                            <w14:lumOff w14:val="5000"/>
                          </w14:schemeClr>
                        </w14:solidFill>
                      </w14:textFill>
                    </w:rPr>
                    <w:t>一级</w:t>
                  </w:r>
                  <w:r>
                    <w:rPr>
                      <w:rFonts w:hint="default"/>
                      <w:color w:val="0D0D0D" w:themeColor="text1" w:themeTint="F2"/>
                      <w:sz w:val="21"/>
                      <w:szCs w:val="21"/>
                      <w:u w:val="single"/>
                      <w14:textFill>
                        <w14:solidFill>
                          <w14:schemeClr w14:val="tx1">
                            <w14:lumMod w14:val="95000"/>
                            <w14:lumOff w14:val="5000"/>
                          </w14:schemeClr>
                        </w14:solidFill>
                      </w14:textFill>
                    </w:rPr>
                    <w:t>A</w:t>
                  </w:r>
                  <w:r>
                    <w:rPr>
                      <w:rFonts w:hint="eastAsia"/>
                      <w:color w:val="0D0D0D" w:themeColor="text1" w:themeTint="F2"/>
                      <w:sz w:val="21"/>
                      <w:szCs w:val="21"/>
                      <w:u w:val="single"/>
                      <w14:textFill>
                        <w14:solidFill>
                          <w14:schemeClr w14:val="tx1">
                            <w14:lumMod w14:val="95000"/>
                            <w14:lumOff w14:val="5000"/>
                          </w14:schemeClr>
                        </w14:solidFill>
                      </w14:textFill>
                    </w:rPr>
                    <w:t>标准排入潇水；珠山片区污水经收集后，统一进入位于珠山镇坝上村沙丘拟建的污水处理厂处理达《城镇污水处理厂污染物排放标准》</w:t>
                  </w:r>
                  <w:r>
                    <w:rPr>
                      <w:rFonts w:hint="default"/>
                      <w:color w:val="0D0D0D" w:themeColor="text1" w:themeTint="F2"/>
                      <w:sz w:val="21"/>
                      <w:szCs w:val="21"/>
                      <w:u w:val="single"/>
                      <w14:textFill>
                        <w14:solidFill>
                          <w14:schemeClr w14:val="tx1">
                            <w14:lumMod w14:val="95000"/>
                            <w14:lumOff w14:val="5000"/>
                          </w14:schemeClr>
                        </w14:solidFill>
                      </w14:textFill>
                    </w:rPr>
                    <w:t>(GB18918-2002)</w:t>
                  </w:r>
                  <w:r>
                    <w:rPr>
                      <w:rFonts w:hint="eastAsia"/>
                      <w:color w:val="0D0D0D" w:themeColor="text1" w:themeTint="F2"/>
                      <w:sz w:val="21"/>
                      <w:szCs w:val="21"/>
                      <w:u w:val="single"/>
                      <w14:textFill>
                        <w14:solidFill>
                          <w14:schemeClr w14:val="tx1">
                            <w14:lumMod w14:val="95000"/>
                            <w14:lumOff w14:val="5000"/>
                          </w14:schemeClr>
                        </w14:solidFill>
                      </w14:textFill>
                    </w:rPr>
                    <w:t>一级</w:t>
                  </w:r>
                  <w:r>
                    <w:rPr>
                      <w:rFonts w:hint="default"/>
                      <w:color w:val="0D0D0D" w:themeColor="text1" w:themeTint="F2"/>
                      <w:sz w:val="21"/>
                      <w:szCs w:val="21"/>
                      <w:u w:val="single"/>
                      <w14:textFill>
                        <w14:solidFill>
                          <w14:schemeClr w14:val="tx1">
                            <w14:lumMod w14:val="95000"/>
                            <w14:lumOff w14:val="5000"/>
                          </w14:schemeClr>
                        </w14:solidFill>
                      </w14:textFill>
                    </w:rPr>
                    <w:t>A</w:t>
                  </w:r>
                  <w:r>
                    <w:rPr>
                      <w:rFonts w:hint="eastAsia"/>
                      <w:color w:val="0D0D0D" w:themeColor="text1" w:themeTint="F2"/>
                      <w:sz w:val="21"/>
                      <w:szCs w:val="21"/>
                      <w:u w:val="single"/>
                      <w14:textFill>
                        <w14:solidFill>
                          <w14:schemeClr w14:val="tx1">
                            <w14:lumMod w14:val="95000"/>
                            <w14:lumOff w14:val="5000"/>
                          </w14:schemeClr>
                        </w14:solidFill>
                      </w14:textFill>
                    </w:rPr>
                    <w:t>标准排入石期河，污水处理厂应兼顾珠山镇排水处理，其具体选址、工艺、规模另行环评论证。加快园区相应污水处理厂及配套管网工程建设，在园区污水可纳入集中污水处理厂处理前，园区禁止引入水型污染企业，已入园企业工业污水、生活污水排放必须按照《污水综合排放标准》</w:t>
                  </w:r>
                  <w:r>
                    <w:rPr>
                      <w:rFonts w:hint="default"/>
                      <w:color w:val="0D0D0D" w:themeColor="text1" w:themeTint="F2"/>
                      <w:sz w:val="21"/>
                      <w:szCs w:val="21"/>
                      <w:u w:val="single"/>
                      <w14:textFill>
                        <w14:solidFill>
                          <w14:schemeClr w14:val="tx1">
                            <w14:lumMod w14:val="95000"/>
                            <w14:lumOff w14:val="5000"/>
                          </w14:schemeClr>
                        </w14:solidFill>
                      </w14:textFill>
                    </w:rPr>
                    <w:t>(GB8978-1996)</w:t>
                  </w:r>
                  <w:r>
                    <w:rPr>
                      <w:rFonts w:hint="eastAsia"/>
                      <w:color w:val="0D0D0D" w:themeColor="text1" w:themeTint="F2"/>
                      <w:sz w:val="21"/>
                      <w:szCs w:val="21"/>
                      <w:u w:val="single"/>
                      <w14:textFill>
                        <w14:solidFill>
                          <w14:schemeClr w14:val="tx1">
                            <w14:lumMod w14:val="95000"/>
                            <w14:lumOff w14:val="5000"/>
                          </w14:schemeClr>
                        </w14:solidFill>
                      </w14:textFill>
                    </w:rPr>
                    <w:t>一级排放标准控制，其中第一类污染物车间口排放必须满足《污水综合排放标准》</w:t>
                  </w:r>
                  <w:r>
                    <w:rPr>
                      <w:rFonts w:hint="default"/>
                      <w:color w:val="0D0D0D" w:themeColor="text1" w:themeTint="F2"/>
                      <w:sz w:val="21"/>
                      <w:szCs w:val="21"/>
                      <w:u w:val="single"/>
                      <w14:textFill>
                        <w14:solidFill>
                          <w14:schemeClr w14:val="tx1">
                            <w14:lumMod w14:val="95000"/>
                            <w14:lumOff w14:val="5000"/>
                          </w14:schemeClr>
                        </w14:solidFill>
                      </w14:textFill>
                    </w:rPr>
                    <w:t>(GB8978-1996)</w:t>
                  </w:r>
                  <w:r>
                    <w:rPr>
                      <w:rFonts w:hint="eastAsia"/>
                      <w:color w:val="0D0D0D" w:themeColor="text1" w:themeTint="F2"/>
                      <w:sz w:val="21"/>
                      <w:szCs w:val="21"/>
                      <w:u w:val="single"/>
                      <w14:textFill>
                        <w14:solidFill>
                          <w14:schemeClr w14:val="tx1">
                            <w14:lumMod w14:val="95000"/>
                            <w14:lumOff w14:val="5000"/>
                          </w14:schemeClr>
                        </w14:solidFill>
                      </w14:textFill>
                    </w:rPr>
                    <w:t>表</w:t>
                  </w:r>
                  <w:r>
                    <w:rPr>
                      <w:rFonts w:hint="default"/>
                      <w:color w:val="0D0D0D" w:themeColor="text1" w:themeTint="F2"/>
                      <w:sz w:val="21"/>
                      <w:szCs w:val="21"/>
                      <w:u w:val="single"/>
                      <w14:textFill>
                        <w14:solidFill>
                          <w14:schemeClr w14:val="tx1">
                            <w14:lumMod w14:val="95000"/>
                            <w14:lumOff w14:val="5000"/>
                          </w14:schemeClr>
                        </w14:solidFill>
                      </w14:textFill>
                    </w:rPr>
                    <w:t>1</w:t>
                  </w:r>
                  <w:r>
                    <w:rPr>
                      <w:rFonts w:hint="eastAsia"/>
                      <w:color w:val="0D0D0D" w:themeColor="text1" w:themeTint="F2"/>
                      <w:sz w:val="21"/>
                      <w:szCs w:val="21"/>
                      <w:u w:val="single"/>
                      <w14:textFill>
                        <w14:solidFill>
                          <w14:schemeClr w14:val="tx1">
                            <w14:lumMod w14:val="95000"/>
                            <w14:lumOff w14:val="5000"/>
                          </w14:schemeClr>
                        </w14:solidFill>
                      </w14:textFill>
                    </w:rPr>
                    <w:t>规定的最高允许排放浓度限值要求。</w:t>
                  </w:r>
                </w:p>
              </w:tc>
              <w:tc>
                <w:tcPr>
                  <w:tcW w:w="1410" w:type="dxa"/>
                  <w:tcBorders>
                    <w:tl2br w:val="nil"/>
                    <w:tr2bl w:val="nil"/>
                  </w:tcBorders>
                  <w:tcMar>
                    <w:top w:w="0" w:type="dxa"/>
                    <w:left w:w="51" w:type="dxa"/>
                    <w:bottom w:w="0" w:type="dxa"/>
                    <w:right w:w="51" w:type="dxa"/>
                  </w:tcMar>
                  <w:vAlign w:val="center"/>
                </w:tcPr>
                <w:p w14:paraId="7D1AE324">
                  <w:pPr>
                    <w:keepNext w:val="0"/>
                    <w:keepLines w:val="0"/>
                    <w:suppressLineNumbers w:val="0"/>
                    <w:topLinePunct/>
                    <w:autoSpaceDE/>
                    <w:autoSpaceDN/>
                    <w:spacing w:before="0" w:beforeAutospacing="0" w:after="0" w:afterAutospacing="0" w:line="240" w:lineRule="auto"/>
                    <w:ind w:left="0" w:right="0" w:firstLine="0" w:firstLineChars="0"/>
                    <w:jc w:val="left"/>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本项目生活污水经化粪池处理后排入市政污水管网最终进入零陵区鹿坪污水处理厂进行深处理。</w:t>
                  </w:r>
                </w:p>
              </w:tc>
              <w:tc>
                <w:tcPr>
                  <w:tcW w:w="608" w:type="dxa"/>
                  <w:tcBorders>
                    <w:tl2br w:val="nil"/>
                    <w:tr2bl w:val="nil"/>
                  </w:tcBorders>
                  <w:tcMar>
                    <w:top w:w="0" w:type="dxa"/>
                    <w:left w:w="51" w:type="dxa"/>
                    <w:bottom w:w="0" w:type="dxa"/>
                    <w:right w:w="51" w:type="dxa"/>
                  </w:tcMar>
                  <w:vAlign w:val="center"/>
                </w:tcPr>
                <w:p w14:paraId="0B88E2CD">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符合</w:t>
                  </w:r>
                </w:p>
              </w:tc>
            </w:tr>
            <w:tr w14:paraId="356CD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827" w:hRule="atLeast"/>
                <w:jc w:val="center"/>
              </w:trPr>
              <w:tc>
                <w:tcPr>
                  <w:tcW w:w="380" w:type="dxa"/>
                  <w:tcBorders>
                    <w:tl2br w:val="nil"/>
                    <w:tr2bl w:val="nil"/>
                  </w:tcBorders>
                  <w:tcMar>
                    <w:top w:w="0" w:type="dxa"/>
                    <w:left w:w="51" w:type="dxa"/>
                    <w:bottom w:w="0" w:type="dxa"/>
                    <w:right w:w="51" w:type="dxa"/>
                  </w:tcMar>
                  <w:vAlign w:val="center"/>
                </w:tcPr>
                <w:p w14:paraId="2A9665A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4</w:t>
                  </w:r>
                </w:p>
              </w:tc>
              <w:tc>
                <w:tcPr>
                  <w:tcW w:w="5280" w:type="dxa"/>
                  <w:tcBorders>
                    <w:tl2br w:val="nil"/>
                    <w:tr2bl w:val="nil"/>
                  </w:tcBorders>
                  <w:tcMar>
                    <w:top w:w="0" w:type="dxa"/>
                    <w:left w:w="51" w:type="dxa"/>
                    <w:bottom w:w="0" w:type="dxa"/>
                    <w:right w:w="51" w:type="dxa"/>
                  </w:tcMar>
                  <w:vAlign w:val="center"/>
                </w:tcPr>
                <w:p w14:paraId="66C5DE6D">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按报告书要求做好工业园大气污染控制措施。园区管理机构应积极推广清洁能源，按照规划及报告书要求，加快园区的天然气管网建设，河西片区近期内严格控制</w:t>
                  </w:r>
                  <w:r>
                    <w:rPr>
                      <w:rFonts w:hint="default"/>
                      <w:color w:val="0D0D0D" w:themeColor="text1" w:themeTint="F2"/>
                      <w:sz w:val="21"/>
                      <w:szCs w:val="21"/>
                      <w14:textFill>
                        <w14:solidFill>
                          <w14:schemeClr w14:val="tx1">
                            <w14:lumMod w14:val="95000"/>
                            <w14:lumOff w14:val="5000"/>
                          </w14:schemeClr>
                        </w14:solidFill>
                      </w14:textFill>
                    </w:rPr>
                    <w:t>4t/h</w:t>
                  </w:r>
                  <w:r>
                    <w:rPr>
                      <w:rFonts w:hint="eastAsia"/>
                      <w:color w:val="0D0D0D" w:themeColor="text1" w:themeTint="F2"/>
                      <w:sz w:val="21"/>
                      <w:szCs w:val="21"/>
                      <w14:textFill>
                        <w14:solidFill>
                          <w14:schemeClr w14:val="tx1">
                            <w14:lumMod w14:val="95000"/>
                            <w14:lumOff w14:val="5000"/>
                          </w14:schemeClr>
                        </w14:solidFill>
                      </w14:textFill>
                    </w:rPr>
                    <w:t>以下燃煤锅炉建设，远期全部使用燃气锅炉；珠山片区以电能作为主要能源，禁止使用燃煤锅炉，减少燃料结构型二氧化硫污染；加强企业管理，建立园区清洁生产考核机制，对各企业工艺废气产出的生产节点，应配置废气收集与处理净化装置，确保达标排放；加强生产工艺研究与技术改进，采取有效措施，减少入园企业工艺废气的无组织排放；入园企业各生产装置排放的废气须经处理达到相应的行业排放标准及《大气污染物综合排放标准》中二级标准要求。对具体项目按照项目环评要求，设置大气环境防护距离；合理优化工业布局，在业企业之间设置合理的间隔距离，避免不利影响。</w:t>
                  </w:r>
                </w:p>
              </w:tc>
              <w:tc>
                <w:tcPr>
                  <w:tcW w:w="1410" w:type="dxa"/>
                  <w:tcBorders>
                    <w:tl2br w:val="nil"/>
                    <w:tr2bl w:val="nil"/>
                  </w:tcBorders>
                  <w:tcMar>
                    <w:top w:w="0" w:type="dxa"/>
                    <w:left w:w="51" w:type="dxa"/>
                    <w:bottom w:w="0" w:type="dxa"/>
                    <w:right w:w="51" w:type="dxa"/>
                  </w:tcMar>
                  <w:vAlign w:val="center"/>
                </w:tcPr>
                <w:p w14:paraId="4FF2EEFD">
                  <w:pPr>
                    <w:keepNext w:val="0"/>
                    <w:keepLines w:val="0"/>
                    <w:suppressLineNumbers w:val="0"/>
                    <w:topLinePunct/>
                    <w:autoSpaceDE/>
                    <w:autoSpaceDN/>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本项目仅利用电能，无锅炉使用。</w:t>
                  </w:r>
                </w:p>
              </w:tc>
              <w:tc>
                <w:tcPr>
                  <w:tcW w:w="608" w:type="dxa"/>
                  <w:tcBorders>
                    <w:tl2br w:val="nil"/>
                    <w:tr2bl w:val="nil"/>
                  </w:tcBorders>
                  <w:tcMar>
                    <w:top w:w="0" w:type="dxa"/>
                    <w:left w:w="51" w:type="dxa"/>
                    <w:bottom w:w="0" w:type="dxa"/>
                    <w:right w:w="51" w:type="dxa"/>
                  </w:tcMar>
                  <w:vAlign w:val="center"/>
                </w:tcPr>
                <w:p w14:paraId="35C72F43">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符合</w:t>
                  </w:r>
                </w:p>
              </w:tc>
            </w:tr>
            <w:tr w14:paraId="7C9A9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3" w:type="dxa"/>
                  <w:bottom w:w="0" w:type="dxa"/>
                  <w:right w:w="23" w:type="dxa"/>
                </w:tblCellMar>
              </w:tblPrEx>
              <w:trPr>
                <w:trHeight w:val="2489" w:hRule="atLeast"/>
                <w:jc w:val="center"/>
              </w:trPr>
              <w:tc>
                <w:tcPr>
                  <w:tcW w:w="380" w:type="dxa"/>
                  <w:tcBorders>
                    <w:tl2br w:val="nil"/>
                    <w:tr2bl w:val="nil"/>
                  </w:tcBorders>
                  <w:tcMar>
                    <w:top w:w="0" w:type="dxa"/>
                    <w:left w:w="51" w:type="dxa"/>
                    <w:bottom w:w="0" w:type="dxa"/>
                    <w:right w:w="51" w:type="dxa"/>
                  </w:tcMar>
                  <w:vAlign w:val="center"/>
                </w:tcPr>
                <w:p w14:paraId="2CA1BBE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5</w:t>
                  </w:r>
                </w:p>
              </w:tc>
              <w:tc>
                <w:tcPr>
                  <w:tcW w:w="5280" w:type="dxa"/>
                  <w:tcBorders>
                    <w:tl2br w:val="nil"/>
                    <w:tr2bl w:val="nil"/>
                  </w:tcBorders>
                  <w:tcMar>
                    <w:top w:w="0" w:type="dxa"/>
                    <w:left w:w="51" w:type="dxa"/>
                    <w:bottom w:w="0" w:type="dxa"/>
                    <w:right w:w="51" w:type="dxa"/>
                  </w:tcMar>
                  <w:vAlign w:val="center"/>
                </w:tcPr>
                <w:p w14:paraId="53B37FF6">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做好工业固体废物和生活垃圾的分类收集、转运、综合利用和无害化处理，建立统一的固废收集、贮存、运输、综合利用和安全处置的运营管理体系。按报告书建议工业园配套二类工业固废填埋场的建设，优先选择已经采掘的锰矿产区，尽快开展地勘、环评等前期工作。推行清洁生产，减少固体废物产生量；加强固体废物的资源化进程，提高综合利用率；规范固体废物处理措施，对工业企业产生固体废物特别是危险废物应按国家有关规定综合利用或妥善处置，严防二次污染。</w:t>
                  </w:r>
                </w:p>
              </w:tc>
              <w:tc>
                <w:tcPr>
                  <w:tcW w:w="1410" w:type="dxa"/>
                  <w:tcBorders>
                    <w:tl2br w:val="nil"/>
                    <w:tr2bl w:val="nil"/>
                  </w:tcBorders>
                  <w:tcMar>
                    <w:top w:w="0" w:type="dxa"/>
                    <w:left w:w="51" w:type="dxa"/>
                    <w:bottom w:w="0" w:type="dxa"/>
                    <w:right w:w="51" w:type="dxa"/>
                  </w:tcMar>
                  <w:vAlign w:val="center"/>
                </w:tcPr>
                <w:p w14:paraId="2840ECCA">
                  <w:pPr>
                    <w:keepNext w:val="0"/>
                    <w:keepLines w:val="0"/>
                    <w:suppressLineNumbers w:val="0"/>
                    <w:topLinePunct/>
                    <w:autoSpaceDE/>
                    <w:autoSpaceDN/>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本项目工业固体废物和生活垃圾的分类收集、转运、综合利用和无害化处理，危险废物交由有资质单位处置。</w:t>
                  </w:r>
                </w:p>
              </w:tc>
              <w:tc>
                <w:tcPr>
                  <w:tcW w:w="608" w:type="dxa"/>
                  <w:tcBorders>
                    <w:tl2br w:val="nil"/>
                    <w:tr2bl w:val="nil"/>
                  </w:tcBorders>
                  <w:tcMar>
                    <w:top w:w="0" w:type="dxa"/>
                    <w:left w:w="51" w:type="dxa"/>
                    <w:bottom w:w="0" w:type="dxa"/>
                    <w:right w:w="51" w:type="dxa"/>
                  </w:tcMar>
                  <w:vAlign w:val="center"/>
                </w:tcPr>
                <w:p w14:paraId="5DC8D4DA">
                  <w:pPr>
                    <w:keepNext w:val="0"/>
                    <w:keepLines w:val="0"/>
                    <w:suppressLineNumbers w:val="0"/>
                    <w:spacing w:before="0" w:beforeAutospacing="0" w:after="0" w:afterAutospacing="0" w:line="240" w:lineRule="auto"/>
                    <w:ind w:left="0" w:right="0" w:firstLine="0" w:firstLineChars="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符合</w:t>
                  </w:r>
                </w:p>
              </w:tc>
            </w:tr>
          </w:tbl>
          <w:p w14:paraId="518798EC">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cs="宋体"/>
                <w:color w:val="0D0D0D" w:themeColor="text1" w:themeTint="F2"/>
                <w:kern w:val="0"/>
                <w:szCs w:val="21"/>
                <w14:textFill>
                  <w14:solidFill>
                    <w14:schemeClr w14:val="tx1">
                      <w14:lumMod w14:val="95000"/>
                      <w14:lumOff w14:val="5000"/>
                    </w14:schemeClr>
                  </w14:solidFill>
                </w14:textFill>
              </w:rPr>
            </w:pPr>
          </w:p>
        </w:tc>
      </w:tr>
      <w:tr w14:paraId="7BDB53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202" w:type="dxa"/>
            <w:vAlign w:val="center"/>
          </w:tcPr>
          <w:p w14:paraId="29BBB4DF">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cs="宋体"/>
                <w:b/>
                <w:bCs/>
                <w:color w:val="0D0D0D" w:themeColor="text1" w:themeTint="F2"/>
                <w:kern w:val="0"/>
                <w14:textFill>
                  <w14:solidFill>
                    <w14:schemeClr w14:val="tx1">
                      <w14:lumMod w14:val="95000"/>
                      <w14:lumOff w14:val="5000"/>
                    </w14:schemeClr>
                  </w14:solidFill>
                </w14:textFill>
              </w:rPr>
            </w:pPr>
            <w:r>
              <w:rPr>
                <w:rFonts w:hint="eastAsia" w:ascii="宋体" w:hAnsi="宋体" w:cs="宋体"/>
                <w:b/>
                <w:bCs/>
                <w:color w:val="0D0D0D" w:themeColor="text1" w:themeTint="F2"/>
                <w:kern w:val="0"/>
                <w14:textFill>
                  <w14:solidFill>
                    <w14:schemeClr w14:val="tx1">
                      <w14:lumMod w14:val="95000"/>
                      <w14:lumOff w14:val="5000"/>
                    </w14:schemeClr>
                  </w14:solidFill>
                </w14:textFill>
              </w:rPr>
              <w:t>其他符合性分析</w:t>
            </w:r>
          </w:p>
        </w:tc>
        <w:tc>
          <w:tcPr>
            <w:tcW w:w="7818" w:type="dxa"/>
            <w:gridSpan w:val="3"/>
            <w:vAlign w:val="center"/>
          </w:tcPr>
          <w:p w14:paraId="21168DBB">
            <w:pPr>
              <w:keepNext w:val="0"/>
              <w:keepLines w:val="0"/>
              <w:suppressLineNumbers w:val="0"/>
              <w:spacing w:before="0" w:beforeAutospacing="0" w:after="0" w:afterAutospacing="0"/>
              <w:ind w:left="0" w:right="0" w:firstLine="0" w:firstLineChars="0"/>
              <w:rPr>
                <w:rFonts w:hint="default" w:ascii="宋体" w:hAnsi="宋体" w:cs="宋体"/>
                <w:b/>
                <w:bCs/>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1"/>
                <w14:textFill>
                  <w14:solidFill>
                    <w14:schemeClr w14:val="tx1">
                      <w14:lumMod w14:val="95000"/>
                      <w14:lumOff w14:val="5000"/>
                    </w14:schemeClr>
                  </w14:solidFill>
                </w14:textFill>
              </w:rPr>
              <w:t>1、国家产业政策符合性分析</w:t>
            </w:r>
          </w:p>
          <w:p w14:paraId="7947F3AE">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14:textFill>
                  <w14:solidFill>
                    <w14:schemeClr w14:val="tx1">
                      <w14:lumMod w14:val="95000"/>
                      <w14:lumOff w14:val="5000"/>
                    </w14:schemeClr>
                  </w14:solidFill>
                </w14:textFill>
              </w:rPr>
              <w:t>根据中华人民共和国国家发展和改革委员会令第29号《产业结构调整指导目录（2024年本）》，本项目不属于该目录中的限制类、淘汰类、鼓励类，因此本项目的建设符合国家产业政策要求。</w:t>
            </w:r>
          </w:p>
          <w:p w14:paraId="585C559E">
            <w:pPr>
              <w:keepNext w:val="0"/>
              <w:keepLines w:val="0"/>
              <w:suppressLineNumbers w:val="0"/>
              <w:spacing w:before="0" w:beforeAutospacing="0" w:after="0" w:afterAutospacing="0"/>
              <w:ind w:left="0" w:right="0" w:firstLine="0" w:firstLineChars="0"/>
              <w:rPr>
                <w:rFonts w:hint="default" w:ascii="宋体" w:hAnsi="宋体" w:cs="宋体"/>
                <w:b/>
                <w:bCs/>
                <w:color w:val="0D0D0D" w:themeColor="text1" w:themeTint="F2"/>
                <w:kern w:val="0"/>
                <w:szCs w:val="21"/>
                <w:u w:val="single"/>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1"/>
                <w:u w:val="single"/>
                <w14:textFill>
                  <w14:solidFill>
                    <w14:schemeClr w14:val="tx1">
                      <w14:lumMod w14:val="95000"/>
                      <w14:lumOff w14:val="5000"/>
                    </w14:schemeClr>
                  </w14:solidFill>
                </w14:textFill>
              </w:rPr>
              <w:t>2、项目建设与“三区三线”及《永州市国土空间总体规划(2021-2035年)》的相符性分析</w:t>
            </w:r>
          </w:p>
          <w:p w14:paraId="694D6E87">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u w:val="single"/>
                <w14:textFill>
                  <w14:solidFill>
                    <w14:schemeClr w14:val="tx1">
                      <w14:lumMod w14:val="95000"/>
                      <w14:lumOff w14:val="5000"/>
                    </w14:schemeClr>
                  </w14:solidFill>
                </w14:textFill>
              </w:rPr>
              <w:t>根据《永州市国土空间总体规划(2021-2035年)》，本项目位于永州市零陵区，零陵区全域均属于规划的市辖区。本项目选址位于永州市零陵区零陵工业园苏宁松桥电器（富润）智造产业园，不涉及永久基本农田、不位于生态保护红线范围内，不属于城镇开发边界范围外。</w:t>
            </w:r>
          </w:p>
          <w:p w14:paraId="5A9632F8">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u w:val="single"/>
                <w14:textFill>
                  <w14:solidFill>
                    <w14:schemeClr w14:val="tx1">
                      <w14:lumMod w14:val="95000"/>
                      <w14:lumOff w14:val="5000"/>
                    </w14:schemeClr>
                  </w14:solidFill>
                </w14:textFill>
              </w:rPr>
              <w:t>项目建设与“三区三线”和国土空间规划相关要求相符。</w:t>
            </w:r>
          </w:p>
          <w:p w14:paraId="4F2E2C95">
            <w:pPr>
              <w:keepNext w:val="0"/>
              <w:keepLines w:val="0"/>
              <w:suppressLineNumbers w:val="0"/>
              <w:spacing w:before="0" w:beforeAutospacing="0" w:after="0" w:afterAutospacing="0"/>
              <w:ind w:left="0" w:right="0" w:firstLine="0" w:firstLineChars="0"/>
              <w:rPr>
                <w:rFonts w:hint="default" w:ascii="宋体" w:hAnsi="宋体" w:cs="宋体"/>
                <w:b/>
                <w:bCs/>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1"/>
                <w14:textFill>
                  <w14:solidFill>
                    <w14:schemeClr w14:val="tx1">
                      <w14:lumMod w14:val="95000"/>
                      <w14:lumOff w14:val="5000"/>
                    </w14:schemeClr>
                  </w14:solidFill>
                </w14:textFill>
              </w:rPr>
              <w:t>3、项目与“三线一单”符合性分析</w:t>
            </w:r>
          </w:p>
          <w:p w14:paraId="39713DD3">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14:textFill>
                  <w14:solidFill>
                    <w14:schemeClr w14:val="tx1">
                      <w14:lumMod w14:val="95000"/>
                      <w14:lumOff w14:val="5000"/>
                    </w14:schemeClr>
                  </w14:solidFill>
                </w14:textFill>
              </w:rPr>
              <w:t>①生态保护红线项目选址位于永州市零陵区零陵工业园苏宁松桥电器（富润）智造产业园。不在国家级和省级禁止开发区域内（国家公园、自然保护区、森林公园的生态保育区和核心景观区、风景名胜区的核心景区、地质公园的地质遗迹保护区、世界自然遗产的核心区和缓冲区、湿地公园的湿地保育区和恢复重建区、饮用水水源地的一级保护区、水产种质资源保护区的核心区等）。对照《关于划定并严守生态保护红线的若干意见》和零陵区生态红线范围，本项目不在零陵区生态红线保护区内，符合零陵区生态保护红线要求。</w:t>
            </w:r>
          </w:p>
          <w:p w14:paraId="485D9E7E">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14:textFill>
                  <w14:solidFill>
                    <w14:schemeClr w14:val="tx1">
                      <w14:lumMod w14:val="95000"/>
                      <w14:lumOff w14:val="5000"/>
                    </w14:schemeClr>
                  </w14:solidFill>
                </w14:textFill>
              </w:rPr>
              <w:t>②环境质量底线根据本项目所在地环境现状调查和污染物排放影响预测，本项目运营后对区域环境影响不大，环境质量基本可以保持现有水平；</w:t>
            </w:r>
          </w:p>
          <w:p w14:paraId="4A96359E">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14:textFill>
                  <w14:solidFill>
                    <w14:schemeClr w14:val="tx1">
                      <w14:lumMod w14:val="95000"/>
                      <w14:lumOff w14:val="5000"/>
                    </w14:schemeClr>
                  </w14:solidFill>
                </w14:textFill>
              </w:rPr>
              <w:t>③资源利用上线本项目运营过程中消耗一定量的电源、水资源等资源消耗，项目资源消耗量相对区域资源利用总量较少；</w:t>
            </w:r>
          </w:p>
          <w:p w14:paraId="7F93D32C">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14:textFill>
                  <w14:solidFill>
                    <w14:schemeClr w14:val="tx1">
                      <w14:lumMod w14:val="95000"/>
                      <w14:lumOff w14:val="5000"/>
                    </w14:schemeClr>
                  </w14:solidFill>
                </w14:textFill>
              </w:rPr>
              <w:t>④生态环境准入清单本项目位于永州市零陵区零陵工业园苏宁松桥电器（富润）智造产业园，经过与《湖南省“三线一单”生态环境总体管控要求暨省级以上产业园区生态环境准入清单》进行对照，本项目不在生态保护红线、水环境一般管控区、大气环境一般管控区等范围内，项目符合永州市“三线一单”生态环境分区管控要求。未超出环境质量底线及资源利用上线。项目符合生态环境准入要求。</w:t>
            </w:r>
          </w:p>
          <w:p w14:paraId="65194AF3">
            <w:pPr>
              <w:keepNext w:val="0"/>
              <w:keepLines w:val="0"/>
              <w:suppressLineNumbers w:val="0"/>
              <w:spacing w:before="0" w:beforeAutospacing="0" w:after="0" w:afterAutospacing="0"/>
              <w:ind w:left="0" w:right="0" w:firstLine="0" w:firstLineChars="0"/>
              <w:rPr>
                <w:rFonts w:hint="default" w:ascii="宋体" w:hAnsi="宋体" w:cs="宋体"/>
                <w:b/>
                <w:bCs/>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Cs w:val="21"/>
                <w14:textFill>
                  <w14:solidFill>
                    <w14:schemeClr w14:val="tx1">
                      <w14:lumMod w14:val="95000"/>
                      <w14:lumOff w14:val="5000"/>
                    </w14:schemeClr>
                  </w14:solidFill>
                </w14:textFill>
              </w:rPr>
              <w:t>4、《湖南省“三线一单”生态环境总体管控要求暨省级以上产业园区生态环境准入清单》符合性分析</w:t>
            </w:r>
          </w:p>
          <w:p w14:paraId="165D31CF">
            <w:pPr>
              <w:keepNext w:val="0"/>
              <w:keepLines w:val="0"/>
              <w:suppressLineNumbers w:val="0"/>
              <w:spacing w:before="0" w:beforeAutospacing="0" w:after="0" w:afterAutospacing="0"/>
              <w:ind w:left="0" w:right="0" w:firstLine="480"/>
              <w:rPr>
                <w:rFonts w:hint="default" w:ascii="宋体" w:hAnsi="宋体" w:cs="宋体"/>
                <w:color w:val="0D0D0D" w:themeColor="text1" w:themeTint="F2"/>
                <w:kern w:val="0"/>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Cs w:val="21"/>
                <w14:textFill>
                  <w14:solidFill>
                    <w14:schemeClr w14:val="tx1">
                      <w14:lumMod w14:val="95000"/>
                      <w14:lumOff w14:val="5000"/>
                    </w14:schemeClr>
                  </w14:solidFill>
                </w14:textFill>
              </w:rPr>
              <w:t>根据《关于以改善环境质量为核心加强环境影响评价管理的通知》(环评[2016]150号)：“为适应以改善环境质量为核心的环境管理要求”，切实加强环境影响评价(以下简称环评)管理，落实“生态保护红线、环境质量底线、资源利用上线和环境准入负面清单”(以下简称三线一单)的约束”。并且结合根据永州市人民政府出台的《关于“三线一单”生态环境分区管控的实施意见》(永政发【2020】11号)：“(一)划分环境管控单元：根据省级“三线一单”编制成果，全市共划定环境管控单元82个，分别为优先保护单元、重点管控单元和一般管控单元。(二)制定生态环境准入清单：以环境管控单元为基础，结合“三线”划定情况，从空间布局约束、污染物排放管控、环境风险防控和资源利用效率等方面明确准入、限制和禁止的要求。(三)分区环境管控要求：优先保护单元以生态保护为导向，依法禁止或限制大规模、高强度的开发建设活动，确保生态环境功能不降低。重点管控单元以产业高质量发展和环境保护协调为主，优化空间布局，促进产业转型升级改造，加强污染物排放监管、污染治理和环境风险防控，进一步提升资源利用效率。一般管控单元以经济社会可持续发展为导向，开发建设应落实现行生态环境保护基本要求”。综上所述，本项目与《湖南省“三线一单”生态环境总体管控要求暨省级以上产业园区生态环境准入清单》，湖南零陵工业园属省级重点开发区域，管控单元编码ZH43110220002。</w:t>
            </w:r>
          </w:p>
          <w:p w14:paraId="104C8A66">
            <w:pPr>
              <w:keepNext w:val="0"/>
              <w:keepLines w:val="0"/>
              <w:suppressLineNumbers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14:textFill>
                  <w14:solidFill>
                    <w14:schemeClr w14:val="tx1">
                      <w14:lumMod w14:val="95000"/>
                      <w14:lumOff w14:val="5000"/>
                    </w14:schemeClr>
                  </w14:solidFill>
                </w14:textFill>
              </w:rPr>
              <w:t>表1-2 《湖南省“三线一单”生态环境总体管控要求暨省级以上产业园区</w:t>
            </w:r>
          </w:p>
          <w:p w14:paraId="6366275F">
            <w:pPr>
              <w:keepNext w:val="0"/>
              <w:keepLines w:val="0"/>
              <w:suppressLineNumbers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14:textFill>
                  <w14:solidFill>
                    <w14:schemeClr w14:val="tx1">
                      <w14:lumMod w14:val="95000"/>
                      <w14:lumOff w14:val="5000"/>
                    </w14:schemeClr>
                  </w14:solidFill>
                </w14:textFill>
              </w:rPr>
              <w:t>生态环境准入清单》符合性分析一览表</w:t>
            </w:r>
          </w:p>
          <w:tbl>
            <w:tblPr>
              <w:tblStyle w:val="24"/>
              <w:tblW w:w="769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8" w:type="dxa"/>
                <w:left w:w="54" w:type="dxa"/>
                <w:bottom w:w="13" w:type="dxa"/>
                <w:right w:w="60" w:type="dxa"/>
              </w:tblCellMar>
            </w:tblPr>
            <w:tblGrid>
              <w:gridCol w:w="735"/>
              <w:gridCol w:w="1288"/>
              <w:gridCol w:w="2928"/>
              <w:gridCol w:w="2082"/>
              <w:gridCol w:w="666"/>
            </w:tblGrid>
            <w:tr w14:paraId="1E4B0C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610149D1">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环境管控单元编码</w:t>
                  </w:r>
                </w:p>
              </w:tc>
              <w:tc>
                <w:tcPr>
                  <w:tcW w:w="5676" w:type="dxa"/>
                  <w:gridSpan w:val="3"/>
                  <w:tcBorders>
                    <w:tl2br w:val="nil"/>
                    <w:tr2bl w:val="nil"/>
                  </w:tcBorders>
                  <w:tcMar>
                    <w:left w:w="57" w:type="dxa"/>
                    <w:right w:w="57" w:type="dxa"/>
                  </w:tcMar>
                  <w:vAlign w:val="center"/>
                </w:tcPr>
                <w:p w14:paraId="0979BCC2">
                  <w:pPr>
                    <w:widowControl/>
                    <w:adjustRightInd w:val="0"/>
                    <w:snapToGrid w:val="0"/>
                    <w:spacing w:line="240" w:lineRule="auto"/>
                    <w:ind w:firstLine="210"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ZH43110220002</w:t>
                  </w:r>
                </w:p>
              </w:tc>
            </w:tr>
            <w:tr w14:paraId="51D315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401F3945">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单元名称</w:t>
                  </w:r>
                </w:p>
              </w:tc>
              <w:tc>
                <w:tcPr>
                  <w:tcW w:w="5676" w:type="dxa"/>
                  <w:gridSpan w:val="3"/>
                  <w:tcBorders>
                    <w:tl2br w:val="nil"/>
                    <w:tr2bl w:val="nil"/>
                  </w:tcBorders>
                  <w:tcMar>
                    <w:left w:w="57" w:type="dxa"/>
                    <w:right w:w="57" w:type="dxa"/>
                  </w:tcMar>
                  <w:vAlign w:val="center"/>
                </w:tcPr>
                <w:p w14:paraId="08E4EFE0">
                  <w:pPr>
                    <w:widowControl/>
                    <w:adjustRightInd w:val="0"/>
                    <w:snapToGrid w:val="0"/>
                    <w:spacing w:line="240" w:lineRule="auto"/>
                    <w:ind w:firstLine="210"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湖南零陵工业园</w:t>
                  </w:r>
                </w:p>
              </w:tc>
            </w:tr>
            <w:tr w14:paraId="5E443D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29F65B7D">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行政区划</w:t>
                  </w:r>
                </w:p>
              </w:tc>
              <w:tc>
                <w:tcPr>
                  <w:tcW w:w="5676" w:type="dxa"/>
                  <w:gridSpan w:val="3"/>
                  <w:tcBorders>
                    <w:tl2br w:val="nil"/>
                    <w:tr2bl w:val="nil"/>
                  </w:tcBorders>
                  <w:tcMar>
                    <w:left w:w="57" w:type="dxa"/>
                    <w:right w:w="57" w:type="dxa"/>
                  </w:tcMar>
                  <w:vAlign w:val="center"/>
                </w:tcPr>
                <w:p w14:paraId="6B20A419">
                  <w:pPr>
                    <w:widowControl/>
                    <w:adjustRightInd w:val="0"/>
                    <w:snapToGrid w:val="0"/>
                    <w:spacing w:line="240" w:lineRule="auto"/>
                    <w:ind w:firstLine="210"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湖南省永州市零陵区</w:t>
                  </w:r>
                </w:p>
              </w:tc>
            </w:tr>
            <w:tr w14:paraId="52CE78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7AEBEF57">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单元分类</w:t>
                  </w:r>
                </w:p>
              </w:tc>
              <w:tc>
                <w:tcPr>
                  <w:tcW w:w="5676" w:type="dxa"/>
                  <w:gridSpan w:val="3"/>
                  <w:tcBorders>
                    <w:tl2br w:val="nil"/>
                    <w:tr2bl w:val="nil"/>
                  </w:tcBorders>
                  <w:tcMar>
                    <w:left w:w="57" w:type="dxa"/>
                    <w:right w:w="57" w:type="dxa"/>
                  </w:tcMar>
                  <w:vAlign w:val="center"/>
                </w:tcPr>
                <w:p w14:paraId="4849D072">
                  <w:pPr>
                    <w:widowControl/>
                    <w:adjustRightInd w:val="0"/>
                    <w:snapToGrid w:val="0"/>
                    <w:spacing w:line="240" w:lineRule="auto"/>
                    <w:ind w:firstLine="210"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重点管控单元</w:t>
                  </w:r>
                </w:p>
              </w:tc>
            </w:tr>
            <w:tr w14:paraId="06C6AD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55EC3E2F">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单元面积(k㎡)</w:t>
                  </w:r>
                </w:p>
              </w:tc>
              <w:tc>
                <w:tcPr>
                  <w:tcW w:w="5676" w:type="dxa"/>
                  <w:gridSpan w:val="3"/>
                  <w:tcBorders>
                    <w:tl2br w:val="nil"/>
                    <w:tr2bl w:val="nil"/>
                  </w:tcBorders>
                  <w:tcMar>
                    <w:left w:w="57" w:type="dxa"/>
                    <w:right w:w="57" w:type="dxa"/>
                  </w:tcMar>
                  <w:vAlign w:val="center"/>
                </w:tcPr>
                <w:p w14:paraId="631A65F7">
                  <w:pPr>
                    <w:widowControl/>
                    <w:adjustRightInd w:val="0"/>
                    <w:snapToGrid w:val="0"/>
                    <w:spacing w:line="240" w:lineRule="auto"/>
                    <w:ind w:firstLine="210"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核准范围：4.6938</w:t>
                  </w:r>
                </w:p>
              </w:tc>
            </w:tr>
            <w:tr w14:paraId="36B237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0EEFF3D2">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涉及乡镇（街道）</w:t>
                  </w:r>
                </w:p>
              </w:tc>
              <w:tc>
                <w:tcPr>
                  <w:tcW w:w="5676" w:type="dxa"/>
                  <w:gridSpan w:val="3"/>
                  <w:tcBorders>
                    <w:tl2br w:val="nil"/>
                    <w:tr2bl w:val="nil"/>
                  </w:tcBorders>
                  <w:tcMar>
                    <w:left w:w="57" w:type="dxa"/>
                    <w:right w:w="57" w:type="dxa"/>
                  </w:tcMar>
                  <w:vAlign w:val="center"/>
                </w:tcPr>
                <w:p w14:paraId="266974CA">
                  <w:pPr>
                    <w:widowControl/>
                    <w:adjustRightInd w:val="0"/>
                    <w:snapToGrid w:val="0"/>
                    <w:spacing w:line="240" w:lineRule="auto"/>
                    <w:ind w:firstLine="210" w:firstLineChars="100"/>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核准范围（一园两区）：河西片区涉及朝阳街道、石山脚街道，珠山片区涉及珠山镇</w:t>
                  </w:r>
                </w:p>
              </w:tc>
            </w:tr>
            <w:tr w14:paraId="370E93C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2023" w:type="dxa"/>
                  <w:gridSpan w:val="2"/>
                  <w:tcBorders>
                    <w:tl2br w:val="nil"/>
                    <w:tr2bl w:val="nil"/>
                  </w:tcBorders>
                  <w:tcMar>
                    <w:left w:w="57" w:type="dxa"/>
                    <w:right w:w="57" w:type="dxa"/>
                  </w:tcMar>
                  <w:vAlign w:val="center"/>
                </w:tcPr>
                <w:p w14:paraId="6E0387CF">
                  <w:pPr>
                    <w:widowControl/>
                    <w:adjustRightInd w:val="0"/>
                    <w:snapToGrid w:val="0"/>
                    <w:spacing w:line="240" w:lineRule="auto"/>
                    <w:ind w:firstLine="211" w:firstLineChars="100"/>
                    <w:jc w:val="center"/>
                    <w:rPr>
                      <w:b/>
                      <w:bCs/>
                      <w:color w:val="0D0D0D" w:themeColor="text1" w:themeTint="F2"/>
                      <w:kern w:val="0"/>
                      <w:sz w:val="21"/>
                      <w:szCs w:val="21"/>
                      <w14:textFill>
                        <w14:solidFill>
                          <w14:schemeClr w14:val="tx1">
                            <w14:lumMod w14:val="95000"/>
                            <w14:lumOff w14:val="5000"/>
                          </w14:schemeClr>
                        </w14:solidFill>
                      </w14:textFill>
                    </w:rPr>
                  </w:pPr>
                  <w:r>
                    <w:rPr>
                      <w:b/>
                      <w:bCs/>
                      <w:color w:val="0D0D0D" w:themeColor="text1" w:themeTint="F2"/>
                      <w:kern w:val="0"/>
                      <w:sz w:val="21"/>
                      <w:szCs w:val="21"/>
                      <w14:textFill>
                        <w14:solidFill>
                          <w14:schemeClr w14:val="tx1">
                            <w14:lumMod w14:val="95000"/>
                            <w14:lumOff w14:val="5000"/>
                          </w14:schemeClr>
                        </w14:solidFill>
                      </w14:textFill>
                    </w:rPr>
                    <w:t>主导产业</w:t>
                  </w:r>
                </w:p>
              </w:tc>
              <w:tc>
                <w:tcPr>
                  <w:tcW w:w="5676" w:type="dxa"/>
                  <w:gridSpan w:val="3"/>
                  <w:tcBorders>
                    <w:tl2br w:val="nil"/>
                    <w:tr2bl w:val="nil"/>
                  </w:tcBorders>
                  <w:tcMar>
                    <w:left w:w="57" w:type="dxa"/>
                    <w:right w:w="57" w:type="dxa"/>
                  </w:tcMar>
                  <w:vAlign w:val="center"/>
                </w:tcPr>
                <w:p w14:paraId="187E0EE8">
                  <w:pPr>
                    <w:spacing w:line="240" w:lineRule="auto"/>
                    <w:ind w:firstLine="210" w:firstLineChars="100"/>
                    <w:rPr>
                      <w:b/>
                      <w:bCs/>
                      <w:color w:val="0D0D0D" w:themeColor="text1" w:themeTint="F2"/>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湘环评[2013]192号：河西片区：重点发展高新技术产业(锰产业高新技术研发、新材料等)、食品加工、生物制药、机械制造行业。珠山片区：重点发展锰常规产品加工、锰系新能源新材料加工等产业；湘发改函[2015]60号：新扩区域主要布局发展锰产品加工、农副食品加工等产业；六部委公告2018年第4号：生物医学、电子、锰冶炼加工。</w:t>
                  </w:r>
                </w:p>
              </w:tc>
            </w:tr>
            <w:tr w14:paraId="41C092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tcBorders>
                    <w:tl2br w:val="nil"/>
                    <w:tr2bl w:val="nil"/>
                  </w:tcBorders>
                  <w:tcMar>
                    <w:left w:w="57" w:type="dxa"/>
                    <w:right w:w="57" w:type="dxa"/>
                  </w:tcMar>
                  <w:vAlign w:val="center"/>
                </w:tcPr>
                <w:p w14:paraId="454712CD">
                  <w:pPr>
                    <w:widowControl/>
                    <w:spacing w:line="240" w:lineRule="auto"/>
                    <w:ind w:firstLine="0" w:firstLineChars="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管控维度</w:t>
                  </w:r>
                </w:p>
              </w:tc>
              <w:tc>
                <w:tcPr>
                  <w:tcW w:w="4216" w:type="dxa"/>
                  <w:gridSpan w:val="2"/>
                  <w:tcBorders>
                    <w:tl2br w:val="nil"/>
                    <w:tr2bl w:val="nil"/>
                  </w:tcBorders>
                  <w:tcMar>
                    <w:left w:w="57" w:type="dxa"/>
                    <w:right w:w="57" w:type="dxa"/>
                  </w:tcMar>
                  <w:vAlign w:val="center"/>
                </w:tcPr>
                <w:p w14:paraId="52A92B72">
                  <w:pPr>
                    <w:widowControl/>
                    <w:spacing w:line="240" w:lineRule="auto"/>
                    <w:ind w:firstLine="211" w:firstLineChars="10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清单中管控要求</w:t>
                  </w:r>
                </w:p>
              </w:tc>
              <w:tc>
                <w:tcPr>
                  <w:tcW w:w="2082" w:type="dxa"/>
                  <w:tcBorders>
                    <w:tl2br w:val="nil"/>
                    <w:tr2bl w:val="nil"/>
                  </w:tcBorders>
                  <w:tcMar>
                    <w:left w:w="57" w:type="dxa"/>
                    <w:right w:w="57" w:type="dxa"/>
                  </w:tcMar>
                  <w:vAlign w:val="center"/>
                </w:tcPr>
                <w:p w14:paraId="3EF4A09C">
                  <w:pPr>
                    <w:widowControl/>
                    <w:spacing w:line="240" w:lineRule="auto"/>
                    <w:ind w:firstLine="0" w:firstLineChars="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本项目建设情况</w:t>
                  </w:r>
                </w:p>
              </w:tc>
              <w:tc>
                <w:tcPr>
                  <w:tcW w:w="666" w:type="dxa"/>
                  <w:tcBorders>
                    <w:tl2br w:val="nil"/>
                    <w:tr2bl w:val="nil"/>
                  </w:tcBorders>
                  <w:tcMar>
                    <w:left w:w="57" w:type="dxa"/>
                    <w:right w:w="57" w:type="dxa"/>
                  </w:tcMar>
                  <w:vAlign w:val="center"/>
                </w:tcPr>
                <w:p w14:paraId="49C2659A">
                  <w:pPr>
                    <w:widowControl/>
                    <w:spacing w:line="240" w:lineRule="auto"/>
                    <w:ind w:firstLine="0" w:firstLineChars="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符合性分析</w:t>
                  </w:r>
                </w:p>
              </w:tc>
            </w:tr>
            <w:tr w14:paraId="5B666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tcBorders>
                    <w:tl2br w:val="nil"/>
                    <w:tr2bl w:val="nil"/>
                  </w:tcBorders>
                  <w:tcMar>
                    <w:left w:w="57" w:type="dxa"/>
                    <w:right w:w="57" w:type="dxa"/>
                  </w:tcMar>
                  <w:vAlign w:val="center"/>
                </w:tcPr>
                <w:p w14:paraId="13B28C8D">
                  <w:pPr>
                    <w:widowControl/>
                    <w:spacing w:line="240" w:lineRule="auto"/>
                    <w:ind w:firstLine="0" w:firstLineChars="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主导产业</w:t>
                  </w:r>
                </w:p>
              </w:tc>
              <w:tc>
                <w:tcPr>
                  <w:tcW w:w="4216" w:type="dxa"/>
                  <w:gridSpan w:val="2"/>
                  <w:tcBorders>
                    <w:tl2br w:val="nil"/>
                    <w:tr2bl w:val="nil"/>
                  </w:tcBorders>
                  <w:tcMar>
                    <w:left w:w="57" w:type="dxa"/>
                    <w:right w:w="57" w:type="dxa"/>
                  </w:tcMar>
                  <w:vAlign w:val="center"/>
                </w:tcPr>
                <w:p w14:paraId="43C6B62B">
                  <w:pPr>
                    <w:spacing w:line="240" w:lineRule="auto"/>
                    <w:ind w:firstLine="210" w:firstLineChars="100"/>
                    <w:rPr>
                      <w:b/>
                      <w:bCs/>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湘环评[2013]192号：河西片区：重点发展高新技术产业(锰产业高新技术研发、新材料等)、食品加工、生物制药、机械制造行业。珠山片区：重点发展锰常规产品加工、锰系新能源新材料加工等产业</w:t>
                  </w:r>
                </w:p>
              </w:tc>
              <w:tc>
                <w:tcPr>
                  <w:tcW w:w="2082" w:type="dxa"/>
                  <w:tcBorders>
                    <w:tl2br w:val="nil"/>
                    <w:tr2bl w:val="nil"/>
                  </w:tcBorders>
                  <w:tcMar>
                    <w:left w:w="57" w:type="dxa"/>
                    <w:right w:w="57" w:type="dxa"/>
                  </w:tcMar>
                  <w:vAlign w:val="center"/>
                </w:tcPr>
                <w:p w14:paraId="39476B42">
                  <w:pPr>
                    <w:widowControl/>
                    <w:adjustRightInd w:val="0"/>
                    <w:snapToGrid w:val="0"/>
                    <w:spacing w:line="240" w:lineRule="auto"/>
                    <w:ind w:firstLine="0" w:firstLineChars="0"/>
                    <w:jc w:val="left"/>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本项目位于河西片区，为塑料制品制造，与河西片区主导产业不冲突，</w:t>
                  </w:r>
                </w:p>
              </w:tc>
              <w:tc>
                <w:tcPr>
                  <w:tcW w:w="666" w:type="dxa"/>
                  <w:tcBorders>
                    <w:tl2br w:val="nil"/>
                    <w:tr2bl w:val="nil"/>
                  </w:tcBorders>
                  <w:tcMar>
                    <w:left w:w="57" w:type="dxa"/>
                    <w:right w:w="57" w:type="dxa"/>
                  </w:tcMar>
                  <w:vAlign w:val="center"/>
                </w:tcPr>
                <w:p w14:paraId="03EAA270">
                  <w:pPr>
                    <w:widowControl/>
                    <w:adjustRightInd w:val="0"/>
                    <w:snapToGrid w:val="0"/>
                    <w:spacing w:line="240" w:lineRule="auto"/>
                    <w:ind w:firstLine="0" w:firstLineChars="0"/>
                    <w:jc w:val="center"/>
                    <w:rPr>
                      <w:b/>
                      <w:bCs/>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符合</w:t>
                  </w:r>
                </w:p>
              </w:tc>
            </w:tr>
            <w:tr w14:paraId="6E57F2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tcBorders>
                    <w:tl2br w:val="nil"/>
                    <w:tr2bl w:val="nil"/>
                  </w:tcBorders>
                  <w:tcMar>
                    <w:left w:w="57" w:type="dxa"/>
                    <w:right w:w="57" w:type="dxa"/>
                  </w:tcMar>
                  <w:vAlign w:val="center"/>
                </w:tcPr>
                <w:p w14:paraId="025FFFC6">
                  <w:pPr>
                    <w:widowControl/>
                    <w:spacing w:line="240" w:lineRule="auto"/>
                    <w:ind w:firstLine="0" w:firstLineChars="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空间布局约束</w:t>
                  </w:r>
                </w:p>
              </w:tc>
              <w:tc>
                <w:tcPr>
                  <w:tcW w:w="4216" w:type="dxa"/>
                  <w:gridSpan w:val="2"/>
                  <w:tcBorders>
                    <w:tl2br w:val="nil"/>
                    <w:tr2bl w:val="nil"/>
                  </w:tcBorders>
                  <w:tcMar>
                    <w:left w:w="57" w:type="dxa"/>
                    <w:right w:w="57" w:type="dxa"/>
                  </w:tcMar>
                </w:tcPr>
                <w:p w14:paraId="37E412E4">
                  <w:pPr>
                    <w:widowControl/>
                    <w:numPr>
                      <w:ilvl w:val="1"/>
                      <w:numId w:val="0"/>
                    </w:numPr>
                    <w:spacing w:line="240" w:lineRule="auto"/>
                    <w:jc w:val="left"/>
                    <w:rPr>
                      <w:color w:val="0D0D0D" w:themeColor="text1" w:themeTint="F2"/>
                      <w:kern w:val="0"/>
                      <w:sz w:val="21"/>
                      <w:szCs w:val="21"/>
                      <w:lang w:bidi="ar"/>
                      <w14:textFill>
                        <w14:solidFill>
                          <w14:schemeClr w14:val="tx1">
                            <w14:lumMod w14:val="95000"/>
                            <w14:lumOff w14:val="5000"/>
                          </w14:schemeClr>
                        </w14:solidFill>
                      </w14:textFill>
                    </w:rPr>
                  </w:pPr>
                  <w:r>
                    <w:rPr>
                      <w:color w:val="0D0D0D" w:themeColor="text1" w:themeTint="F2"/>
                      <w:kern w:val="0"/>
                      <w:sz w:val="21"/>
                      <w:szCs w:val="21"/>
                      <w:lang w:bidi="ar"/>
                      <w14:textFill>
                        <w14:solidFill>
                          <w14:schemeClr w14:val="tx1">
                            <w14:lumMod w14:val="95000"/>
                            <w14:lumOff w14:val="5000"/>
                          </w14:schemeClr>
                        </w14:solidFill>
                      </w14:textFill>
                    </w:rPr>
                    <w:t>(1.1)园区应尽快开展全面的规划优化调整，并重新进行规划环评论证，规划正式调整之前，与现有规划布局不符的已入驻的二、三类工业不得在原址扩大生产规模。</w:t>
                  </w:r>
                </w:p>
                <w:p w14:paraId="43B58501">
                  <w:pPr>
                    <w:widowControl/>
                    <w:numPr>
                      <w:ilvl w:val="1"/>
                      <w:numId w:val="0"/>
                    </w:numPr>
                    <w:spacing w:line="240" w:lineRule="auto"/>
                    <w:jc w:val="left"/>
                    <w:rPr>
                      <w:color w:val="0D0D0D" w:themeColor="text1" w:themeTint="F2"/>
                      <w:kern w:val="0"/>
                      <w:sz w:val="21"/>
                      <w:szCs w:val="21"/>
                      <w:lang w:bidi="ar"/>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(1.2)</w:t>
                  </w:r>
                  <w:r>
                    <w:rPr>
                      <w:color w:val="0D0D0D" w:themeColor="text1" w:themeTint="F2"/>
                      <w:kern w:val="0"/>
                      <w:sz w:val="21"/>
                      <w:szCs w:val="21"/>
                      <w:lang w:bidi="ar"/>
                      <w14:textFill>
                        <w14:solidFill>
                          <w14:schemeClr w14:val="tx1">
                            <w14:lumMod w14:val="95000"/>
                            <w14:lumOff w14:val="5000"/>
                          </w14:schemeClr>
                        </w14:solidFill>
                      </w14:textFill>
                    </w:rPr>
                    <w:t>严格做好控规，园区内不得新增医院、学校、居民区(安置区)等环境敏感点，在邻近已有敏感目标上风向的区域应避免布局气型污染企业及噪声污染企业，对已有企业要加强监管，按要求在环境敏感目标与气型污染企业之间设置隔离带。</w:t>
                  </w:r>
                </w:p>
                <w:p w14:paraId="25BC4F7B">
                  <w:pPr>
                    <w:widowControl/>
                    <w:numPr>
                      <w:ilvl w:val="1"/>
                      <w:numId w:val="0"/>
                    </w:numPr>
                    <w:spacing w:line="240" w:lineRule="auto"/>
                    <w:jc w:val="left"/>
                    <w:rPr>
                      <w:color w:val="0D0D0D" w:themeColor="text1" w:themeTint="F2"/>
                      <w:kern w:val="0"/>
                      <w:sz w:val="21"/>
                      <w:szCs w:val="21"/>
                      <w:lang w:bidi="ar"/>
                      <w14:textFill>
                        <w14:solidFill>
                          <w14:schemeClr w14:val="tx1">
                            <w14:lumMod w14:val="95000"/>
                            <w14:lumOff w14:val="5000"/>
                          </w14:schemeClr>
                        </w14:solidFill>
                      </w14:textFill>
                    </w:rPr>
                  </w:pPr>
                  <w:r>
                    <w:rPr>
                      <w:color w:val="0D0D0D" w:themeColor="text1" w:themeTint="F2"/>
                      <w:kern w:val="0"/>
                      <w:sz w:val="21"/>
                      <w:szCs w:val="21"/>
                      <w:lang w:bidi="ar"/>
                      <w14:textFill>
                        <w14:solidFill>
                          <w14:schemeClr w14:val="tx1">
                            <w14:lumMod w14:val="95000"/>
                            <w14:lumOff w14:val="5000"/>
                          </w14:schemeClr>
                        </w14:solidFill>
                      </w14:textFill>
                    </w:rPr>
                    <w:t>河西片区：</w:t>
                  </w:r>
                </w:p>
                <w:p w14:paraId="4441EC89">
                  <w:pPr>
                    <w:widowControl/>
                    <w:numPr>
                      <w:ilvl w:val="1"/>
                      <w:numId w:val="0"/>
                    </w:numPr>
                    <w:spacing w:line="240" w:lineRule="auto"/>
                    <w:jc w:val="left"/>
                    <w:rPr>
                      <w:color w:val="0D0D0D" w:themeColor="text1" w:themeTint="F2"/>
                      <w:kern w:val="0"/>
                      <w:sz w:val="21"/>
                      <w:szCs w:val="21"/>
                      <w:lang w:bidi="ar"/>
                      <w14:textFill>
                        <w14:solidFill>
                          <w14:schemeClr w14:val="tx1">
                            <w14:lumMod w14:val="95000"/>
                            <w14:lumOff w14:val="5000"/>
                          </w14:schemeClr>
                        </w14:solidFill>
                      </w14:textFill>
                    </w:rPr>
                  </w:pPr>
                  <w:r>
                    <w:rPr>
                      <w:color w:val="0D0D0D" w:themeColor="text1" w:themeTint="F2"/>
                      <w:kern w:val="0"/>
                      <w:sz w:val="21"/>
                      <w:szCs w:val="21"/>
                      <w:lang w:bidi="ar"/>
                      <w14:textFill>
                        <w14:solidFill>
                          <w14:schemeClr w14:val="tx1">
                            <w14:lumMod w14:val="95000"/>
                            <w14:lumOff w14:val="5000"/>
                          </w14:schemeClr>
                        </w14:solidFill>
                      </w14:textFill>
                    </w:rPr>
                    <w:t>(1.3)禁止涉重金属企业、气型污染企业入驻，严格限制水型污染项目进入，其中：食品工业禁止引入饮料、发酵等用水量大的企业，机械制造禁止涉及磷化、酸化、电镀等的企业进入，生物制药产业禁止进行原料药生产。</w:t>
                  </w:r>
                </w:p>
                <w:p w14:paraId="301C2F38">
                  <w:pPr>
                    <w:widowControl/>
                    <w:numPr>
                      <w:ilvl w:val="1"/>
                      <w:numId w:val="0"/>
                    </w:numPr>
                    <w:spacing w:line="240" w:lineRule="auto"/>
                    <w:jc w:val="left"/>
                    <w:rPr>
                      <w:color w:val="0D0D0D" w:themeColor="text1" w:themeTint="F2"/>
                      <w:kern w:val="0"/>
                      <w:sz w:val="21"/>
                      <w:szCs w:val="21"/>
                      <w:lang w:bidi="ar"/>
                      <w14:textFill>
                        <w14:solidFill>
                          <w14:schemeClr w14:val="tx1">
                            <w14:lumMod w14:val="95000"/>
                            <w14:lumOff w14:val="5000"/>
                          </w14:schemeClr>
                        </w14:solidFill>
                      </w14:textFill>
                    </w:rPr>
                  </w:pPr>
                  <w:r>
                    <w:rPr>
                      <w:color w:val="0D0D0D" w:themeColor="text1" w:themeTint="F2"/>
                      <w:kern w:val="0"/>
                      <w:sz w:val="21"/>
                      <w:szCs w:val="21"/>
                      <w:lang w:bidi="ar"/>
                      <w14:textFill>
                        <w14:solidFill>
                          <w14:schemeClr w14:val="tx1">
                            <w14:lumMod w14:val="95000"/>
                            <w14:lumOff w14:val="5000"/>
                          </w14:schemeClr>
                        </w14:solidFill>
                      </w14:textFill>
                    </w:rPr>
                    <w:t>(1.4)河西片区不布置三类工业用地，限制在邻近石山脚乡居住区的工业用地内引进</w:t>
                  </w:r>
                  <w:r>
                    <w:rPr>
                      <w:rFonts w:hint="eastAsia"/>
                      <w:color w:val="0D0D0D" w:themeColor="text1" w:themeTint="F2"/>
                      <w:kern w:val="0"/>
                      <w:sz w:val="21"/>
                      <w:szCs w:val="21"/>
                      <w:lang w:val="en-US" w:eastAsia="zh-CN" w:bidi="ar"/>
                      <w14:textFill>
                        <w14:solidFill>
                          <w14:schemeClr w14:val="tx1">
                            <w14:lumMod w14:val="95000"/>
                            <w14:lumOff w14:val="5000"/>
                          </w14:schemeClr>
                        </w14:solidFill>
                      </w14:textFill>
                    </w:rPr>
                    <w:t>废</w:t>
                  </w:r>
                  <w:r>
                    <w:rPr>
                      <w:color w:val="0D0D0D" w:themeColor="text1" w:themeTint="F2"/>
                      <w:kern w:val="0"/>
                      <w:sz w:val="21"/>
                      <w:szCs w:val="21"/>
                      <w:lang w:bidi="ar"/>
                      <w14:textFill>
                        <w14:solidFill>
                          <w14:schemeClr w14:val="tx1">
                            <w14:lumMod w14:val="95000"/>
                            <w14:lumOff w14:val="5000"/>
                          </w14:schemeClr>
                        </w14:solidFill>
                      </w14:textFill>
                    </w:rPr>
                    <w:t>气型污染企业。</w:t>
                  </w:r>
                </w:p>
                <w:p w14:paraId="444C3CF4">
                  <w:pPr>
                    <w:widowControl/>
                    <w:numPr>
                      <w:ilvl w:val="1"/>
                      <w:numId w:val="0"/>
                    </w:numPr>
                    <w:spacing w:line="240" w:lineRule="auto"/>
                    <w:jc w:val="left"/>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lang w:bidi="ar"/>
                      <w14:textFill>
                        <w14:solidFill>
                          <w14:schemeClr w14:val="tx1">
                            <w14:lumMod w14:val="95000"/>
                            <w14:lumOff w14:val="5000"/>
                          </w14:schemeClr>
                        </w14:solidFill>
                      </w14:textFill>
                    </w:rPr>
                    <w:t>(1.5)对于不符合园区规划要求的企业(包括部分已停产的企业)要予以整改、搬迁或退出。</w:t>
                  </w:r>
                </w:p>
              </w:tc>
              <w:tc>
                <w:tcPr>
                  <w:tcW w:w="2082" w:type="dxa"/>
                  <w:tcBorders>
                    <w:tl2br w:val="nil"/>
                    <w:tr2bl w:val="nil"/>
                  </w:tcBorders>
                  <w:tcMar>
                    <w:left w:w="57" w:type="dxa"/>
                    <w:right w:w="57" w:type="dxa"/>
                  </w:tcMar>
                  <w:vAlign w:val="center"/>
                </w:tcPr>
                <w:p w14:paraId="3BCB2CAA">
                  <w:pPr>
                    <w:widowControl/>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本项目为塑料制品制造，不属于清单中禁止类、限制类企业。根据建设单位提供的资料，本项目原辅材料均不涉及重金属。</w:t>
                  </w:r>
                </w:p>
              </w:tc>
              <w:tc>
                <w:tcPr>
                  <w:tcW w:w="666" w:type="dxa"/>
                  <w:tcBorders>
                    <w:tl2br w:val="nil"/>
                    <w:tr2bl w:val="nil"/>
                  </w:tcBorders>
                  <w:tcMar>
                    <w:left w:w="57" w:type="dxa"/>
                    <w:right w:w="57" w:type="dxa"/>
                  </w:tcMar>
                  <w:vAlign w:val="center"/>
                </w:tcPr>
                <w:p w14:paraId="7C7D4F4B">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符合</w:t>
                  </w:r>
                </w:p>
              </w:tc>
            </w:tr>
            <w:tr w14:paraId="04501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restart"/>
                  <w:tcBorders>
                    <w:tl2br w:val="nil"/>
                    <w:tr2bl w:val="nil"/>
                  </w:tcBorders>
                  <w:tcMar>
                    <w:left w:w="57" w:type="dxa"/>
                    <w:right w:w="57" w:type="dxa"/>
                  </w:tcMar>
                  <w:vAlign w:val="center"/>
                </w:tcPr>
                <w:p w14:paraId="3F095997">
                  <w:pPr>
                    <w:widowControl/>
                    <w:spacing w:line="240" w:lineRule="auto"/>
                    <w:ind w:firstLine="0" w:firstLineChars="0"/>
                    <w:jc w:val="center"/>
                    <w:rPr>
                      <w:b/>
                      <w:bCs/>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污染物排放管控</w:t>
                  </w:r>
                </w:p>
              </w:tc>
              <w:tc>
                <w:tcPr>
                  <w:tcW w:w="4216" w:type="dxa"/>
                  <w:gridSpan w:val="2"/>
                  <w:tcBorders>
                    <w:tl2br w:val="nil"/>
                    <w:tr2bl w:val="nil"/>
                  </w:tcBorders>
                  <w:tcMar>
                    <w:left w:w="57" w:type="dxa"/>
                    <w:right w:w="57" w:type="dxa"/>
                  </w:tcMar>
                </w:tcPr>
                <w:p w14:paraId="64BED097">
                  <w:pPr>
                    <w:tabs>
                      <w:tab w:val="left" w:pos="1021"/>
                    </w:tabs>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1、废水：</w:t>
                  </w:r>
                </w:p>
                <w:p w14:paraId="07552FCA">
                  <w:pPr>
                    <w:tabs>
                      <w:tab w:val="left" w:pos="1021"/>
                    </w:tabs>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工业园排水实施雨污分流。化工、电池等工业企业水污染物按规定执行特别排放限值。</w:t>
                  </w:r>
                </w:p>
                <w:p w14:paraId="6A170051">
                  <w:pPr>
                    <w:tabs>
                      <w:tab w:val="left" w:pos="1021"/>
                    </w:tabs>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河西片区：加快园区配套污水处理厂建设进度，废水经处理达标后排入潇水。完善园区雨污分流系统、污水收集管网和泵站等污水输送配套设施建设，确保园区废水应收尽收，全部送至配套的集中污水处理厂处理。各企业自行处理初期雨水，处理后汇入片区雨水管网系统，排入愚溪河。</w:t>
                  </w:r>
                </w:p>
              </w:tc>
              <w:tc>
                <w:tcPr>
                  <w:tcW w:w="2082" w:type="dxa"/>
                  <w:tcBorders>
                    <w:tl2br w:val="nil"/>
                    <w:tr2bl w:val="nil"/>
                  </w:tcBorders>
                  <w:tcMar>
                    <w:left w:w="57" w:type="dxa"/>
                    <w:right w:w="57" w:type="dxa"/>
                  </w:tcMar>
                  <w:vAlign w:val="center"/>
                </w:tcPr>
                <w:p w14:paraId="0F741C83">
                  <w:pPr>
                    <w:widowControl/>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本项目厂区雨污分流。项目营运期不产生废水。本项目生活污水经化粪池处理最终</w:t>
                  </w:r>
                  <w:r>
                    <w:rPr>
                      <w:rFonts w:hint="eastAsia"/>
                      <w:color w:val="0D0D0D" w:themeColor="text1" w:themeTint="F2"/>
                      <w:sz w:val="21"/>
                      <w:szCs w:val="21"/>
                      <w14:textFill>
                        <w14:solidFill>
                          <w14:schemeClr w14:val="tx1">
                            <w14:lumMod w14:val="95000"/>
                            <w14:lumOff w14:val="5000"/>
                          </w14:schemeClr>
                        </w14:solidFill>
                      </w14:textFill>
                    </w:rPr>
                    <w:t>进入</w:t>
                  </w:r>
                  <w:r>
                    <w:rPr>
                      <w:color w:val="0D0D0D" w:themeColor="text1" w:themeTint="F2"/>
                      <w:sz w:val="21"/>
                      <w:szCs w:val="21"/>
                      <w14:textFill>
                        <w14:solidFill>
                          <w14:schemeClr w14:val="tx1">
                            <w14:lumMod w14:val="95000"/>
                            <w14:lumOff w14:val="5000"/>
                          </w14:schemeClr>
                        </w14:solidFill>
                      </w14:textFill>
                    </w:rPr>
                    <w:t>零陵区鹿坪污水处理厂处理</w:t>
                  </w:r>
                  <w:r>
                    <w:rPr>
                      <w:rFonts w:hint="eastAsia"/>
                      <w:color w:val="0D0D0D" w:themeColor="text1" w:themeTint="F2"/>
                      <w:sz w:val="21"/>
                      <w:szCs w:val="21"/>
                      <w14:textFill>
                        <w14:solidFill>
                          <w14:schemeClr w14:val="tx1">
                            <w14:lumMod w14:val="95000"/>
                            <w14:lumOff w14:val="5000"/>
                          </w14:schemeClr>
                        </w14:solidFill>
                      </w14:textFill>
                    </w:rPr>
                    <w:t>后排 放</w:t>
                  </w:r>
                  <w:r>
                    <w:rPr>
                      <w:color w:val="0D0D0D" w:themeColor="text1" w:themeTint="F2"/>
                      <w:sz w:val="21"/>
                      <w:szCs w:val="21"/>
                      <w14:textFill>
                        <w14:solidFill>
                          <w14:schemeClr w14:val="tx1">
                            <w14:lumMod w14:val="95000"/>
                            <w14:lumOff w14:val="5000"/>
                          </w14:schemeClr>
                        </w14:solidFill>
                      </w14:textFill>
                    </w:rPr>
                    <w:t>。</w:t>
                  </w:r>
                </w:p>
              </w:tc>
              <w:tc>
                <w:tcPr>
                  <w:tcW w:w="666" w:type="dxa"/>
                  <w:tcBorders>
                    <w:tl2br w:val="nil"/>
                    <w:tr2bl w:val="nil"/>
                  </w:tcBorders>
                  <w:tcMar>
                    <w:left w:w="57" w:type="dxa"/>
                    <w:right w:w="57" w:type="dxa"/>
                  </w:tcMar>
                  <w:vAlign w:val="center"/>
                </w:tcPr>
                <w:p w14:paraId="74769571">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符合</w:t>
                  </w:r>
                </w:p>
              </w:tc>
            </w:tr>
            <w:tr w14:paraId="39C10D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continue"/>
                  <w:tcBorders>
                    <w:tl2br w:val="nil"/>
                    <w:tr2bl w:val="nil"/>
                  </w:tcBorders>
                  <w:tcMar>
                    <w:left w:w="57" w:type="dxa"/>
                    <w:right w:w="57" w:type="dxa"/>
                  </w:tcMar>
                  <w:vAlign w:val="center"/>
                </w:tcPr>
                <w:p w14:paraId="0FA8F2A3">
                  <w:pPr>
                    <w:widowControl/>
                    <w:spacing w:line="240" w:lineRule="auto"/>
                    <w:ind w:firstLine="210" w:firstLineChars="100"/>
                    <w:rPr>
                      <w:color w:val="0D0D0D" w:themeColor="text1" w:themeTint="F2"/>
                      <w:sz w:val="21"/>
                      <w:szCs w:val="21"/>
                      <w14:textFill>
                        <w14:solidFill>
                          <w14:schemeClr w14:val="tx1">
                            <w14:lumMod w14:val="95000"/>
                            <w14:lumOff w14:val="5000"/>
                          </w14:schemeClr>
                        </w14:solidFill>
                      </w14:textFill>
                    </w:rPr>
                  </w:pPr>
                </w:p>
              </w:tc>
              <w:tc>
                <w:tcPr>
                  <w:tcW w:w="4216" w:type="dxa"/>
                  <w:gridSpan w:val="2"/>
                  <w:tcBorders>
                    <w:tl2br w:val="nil"/>
                    <w:tr2bl w:val="nil"/>
                  </w:tcBorders>
                  <w:tcMar>
                    <w:left w:w="57" w:type="dxa"/>
                    <w:right w:w="57" w:type="dxa"/>
                  </w:tcMar>
                </w:tcPr>
                <w:p w14:paraId="5F70FFD3">
                  <w:pPr>
                    <w:widowControl/>
                    <w:snapToGrid w:val="0"/>
                    <w:spacing w:line="240" w:lineRule="auto"/>
                    <w:ind w:firstLine="0" w:firstLineChars="0"/>
                    <w:rPr>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14:textFill>
                        <w14:solidFill>
                          <w14:schemeClr w14:val="tx1">
                            <w14:lumMod w14:val="95000"/>
                            <w14:lumOff w14:val="5000"/>
                          </w14:schemeClr>
                        </w14:solidFill>
                      </w14:textFill>
                    </w:rPr>
                    <w:t>2、</w:t>
                  </w:r>
                  <w:r>
                    <w:rPr>
                      <w:color w:val="0D0D0D" w:themeColor="text1" w:themeTint="F2"/>
                      <w:kern w:val="0"/>
                      <w:sz w:val="21"/>
                      <w:szCs w:val="21"/>
                      <w14:textFill>
                        <w14:solidFill>
                          <w14:schemeClr w14:val="tx1">
                            <w14:lumMod w14:val="95000"/>
                            <w14:lumOff w14:val="5000"/>
                          </w14:schemeClr>
                        </w14:solidFill>
                      </w14:textFill>
                    </w:rPr>
                    <w:t>废气：</w:t>
                  </w:r>
                </w:p>
                <w:p w14:paraId="0D132CBA">
                  <w:pPr>
                    <w:widowControl/>
                    <w:snapToGrid w:val="0"/>
                    <w:spacing w:line="240" w:lineRule="auto"/>
                    <w:ind w:firstLine="0" w:firstLineChars="0"/>
                    <w:rPr>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（1）加强企业管理，对各企业工艺废气产出的生产节点，应配置废气收集与处理净化装置，确保达标排放；加强生产工艺研究与技术改进，采取有效措施，减少入园企业工艺废气的无组织排放。</w:t>
                  </w:r>
                </w:p>
                <w:p w14:paraId="33A7A4B4">
                  <w:pPr>
                    <w:widowControl/>
                    <w:snapToGrid w:val="0"/>
                    <w:spacing w:line="240" w:lineRule="auto"/>
                    <w:ind w:firstLine="0" w:firstLineChars="0"/>
                    <w:rPr>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（2）按要求完成工业涂装、家具制造等重点行业VOCs污染治理。</w:t>
                  </w:r>
                </w:p>
                <w:p w14:paraId="41664BA8">
                  <w:pPr>
                    <w:widowControl/>
                    <w:snapToGrid w:val="0"/>
                    <w:spacing w:line="240" w:lineRule="auto"/>
                    <w:ind w:firstLine="0" w:firstLineChars="0"/>
                    <w:rPr>
                      <w:color w:val="0D0D0D" w:themeColor="text1" w:themeTint="F2"/>
                      <w:kern w:val="0"/>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（3）园区内水泥制品、化工等行业及涉锅炉大气污染物排放应满足《湖南省生态环境厅关于执行污染物特别排放限值（第一批）的公告》中的要求。督促水泥制品企业、砖瓦行业落实特护期错峰生产要求。</w:t>
                  </w:r>
                </w:p>
              </w:tc>
              <w:tc>
                <w:tcPr>
                  <w:tcW w:w="2082" w:type="dxa"/>
                  <w:tcBorders>
                    <w:tl2br w:val="nil"/>
                    <w:tr2bl w:val="nil"/>
                  </w:tcBorders>
                  <w:tcMar>
                    <w:top w:w="18" w:type="dxa"/>
                    <w:left w:w="57" w:type="dxa"/>
                    <w:bottom w:w="13" w:type="dxa"/>
                    <w:right w:w="57" w:type="dxa"/>
                  </w:tcMar>
                  <w:vAlign w:val="center"/>
                </w:tcPr>
                <w:p w14:paraId="0C7143B3">
                  <w:pPr>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本项目运营有少量有机废气产生，采用</w:t>
                  </w:r>
                  <w:r>
                    <w:rPr>
                      <w:rFonts w:hint="eastAsia"/>
                      <w:color w:val="0D0D0D" w:themeColor="text1" w:themeTint="F2"/>
                      <w:sz w:val="21"/>
                      <w:szCs w:val="21"/>
                      <w:lang w:eastAsia="zh-CN"/>
                      <w14:textFill>
                        <w14:solidFill>
                          <w14:schemeClr w14:val="tx1">
                            <w14:lumMod w14:val="95000"/>
                            <w14:lumOff w14:val="5000"/>
                          </w14:schemeClr>
                        </w14:solidFill>
                      </w14:textFill>
                    </w:rPr>
                    <w:t>二级活性炭</w:t>
                  </w:r>
                  <w:r>
                    <w:rPr>
                      <w:color w:val="0D0D0D" w:themeColor="text1" w:themeTint="F2"/>
                      <w:sz w:val="21"/>
                      <w:szCs w:val="21"/>
                      <w14:textFill>
                        <w14:solidFill>
                          <w14:schemeClr w14:val="tx1">
                            <w14:lumMod w14:val="95000"/>
                            <w14:lumOff w14:val="5000"/>
                          </w14:schemeClr>
                        </w14:solidFill>
                      </w14:textFill>
                    </w:rPr>
                    <w:t>吸附后通过15m高排气筒外排。排放浓度能满足《大气污染物综合排放标准》（GB16297-1996）表2标准限值。项目挥发性有机物采取治理措施后，排放量较少，可达标排放</w:t>
                  </w:r>
                </w:p>
              </w:tc>
              <w:tc>
                <w:tcPr>
                  <w:tcW w:w="666" w:type="dxa"/>
                  <w:tcBorders>
                    <w:tl2br w:val="nil"/>
                    <w:tr2bl w:val="nil"/>
                  </w:tcBorders>
                  <w:tcMar>
                    <w:left w:w="57" w:type="dxa"/>
                    <w:right w:w="57" w:type="dxa"/>
                  </w:tcMar>
                  <w:vAlign w:val="center"/>
                </w:tcPr>
                <w:p w14:paraId="703EF16E">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符合</w:t>
                  </w:r>
                </w:p>
              </w:tc>
            </w:tr>
            <w:tr w14:paraId="798422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continue"/>
                  <w:tcBorders>
                    <w:tl2br w:val="nil"/>
                    <w:tr2bl w:val="nil"/>
                  </w:tcBorders>
                  <w:tcMar>
                    <w:left w:w="57" w:type="dxa"/>
                    <w:right w:w="57" w:type="dxa"/>
                  </w:tcMar>
                  <w:vAlign w:val="center"/>
                </w:tcPr>
                <w:p w14:paraId="3E21BB13">
                  <w:pPr>
                    <w:widowControl/>
                    <w:spacing w:line="240" w:lineRule="auto"/>
                    <w:ind w:firstLine="210" w:firstLineChars="100"/>
                    <w:rPr>
                      <w:color w:val="0D0D0D" w:themeColor="text1" w:themeTint="F2"/>
                      <w:sz w:val="21"/>
                      <w:szCs w:val="21"/>
                      <w14:textFill>
                        <w14:solidFill>
                          <w14:schemeClr w14:val="tx1">
                            <w14:lumMod w14:val="95000"/>
                            <w14:lumOff w14:val="5000"/>
                          </w14:schemeClr>
                        </w14:solidFill>
                      </w14:textFill>
                    </w:rPr>
                  </w:pPr>
                </w:p>
              </w:tc>
              <w:tc>
                <w:tcPr>
                  <w:tcW w:w="4216" w:type="dxa"/>
                  <w:gridSpan w:val="2"/>
                  <w:tcBorders>
                    <w:tl2br w:val="nil"/>
                    <w:tr2bl w:val="nil"/>
                  </w:tcBorders>
                  <w:tcMar>
                    <w:left w:w="57" w:type="dxa"/>
                    <w:right w:w="57" w:type="dxa"/>
                  </w:tcMar>
                  <w:vAlign w:val="center"/>
                </w:tcPr>
                <w:p w14:paraId="2F12AD0F">
                  <w:pPr>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3、固废：做好工业固体废物和生活垃圾的分类收集、转运、综合利用和无害化处理，建立完善的固废管理体系。一般工业固废、含重金属的除尘灰、废电极等危险废物尽量回收利用，铬渣等送至长沙市危险废物填埋场进行处置；规范珠山片区锰渣库的建设和管理，配套建设一般工业固体废物填埋场。严格预防和控制锰矿选矿、阳极泥利用、锰渣堆放、铬渣堆放以及资源化利用过程中产生二次污染。</w:t>
                  </w:r>
                </w:p>
              </w:tc>
              <w:tc>
                <w:tcPr>
                  <w:tcW w:w="2082" w:type="dxa"/>
                  <w:tcBorders>
                    <w:tl2br w:val="nil"/>
                    <w:tr2bl w:val="nil"/>
                  </w:tcBorders>
                  <w:tcMar>
                    <w:top w:w="18" w:type="dxa"/>
                    <w:left w:w="57" w:type="dxa"/>
                    <w:bottom w:w="13" w:type="dxa"/>
                    <w:right w:w="57" w:type="dxa"/>
                  </w:tcMar>
                  <w:vAlign w:val="center"/>
                </w:tcPr>
                <w:p w14:paraId="7A85D42A">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本项目运营过程中产生的固体废物主要为；废旧个体防护装备、废拖把、废抹布等危险废物与本项目收集的危险废物一并贮存并转运，委托有资质单位进行处置；生活垃圾由园区统一收集处置</w:t>
                  </w:r>
                </w:p>
              </w:tc>
              <w:tc>
                <w:tcPr>
                  <w:tcW w:w="666" w:type="dxa"/>
                  <w:tcBorders>
                    <w:tl2br w:val="nil"/>
                    <w:tr2bl w:val="nil"/>
                  </w:tcBorders>
                  <w:tcMar>
                    <w:left w:w="57" w:type="dxa"/>
                    <w:right w:w="57" w:type="dxa"/>
                  </w:tcMar>
                  <w:vAlign w:val="center"/>
                </w:tcPr>
                <w:p w14:paraId="7B29468A">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符合</w:t>
                  </w:r>
                </w:p>
              </w:tc>
            </w:tr>
            <w:tr w14:paraId="670196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restart"/>
                  <w:tcBorders>
                    <w:tl2br w:val="nil"/>
                    <w:tr2bl w:val="nil"/>
                  </w:tcBorders>
                  <w:tcMar>
                    <w:left w:w="57" w:type="dxa"/>
                    <w:right w:w="57" w:type="dxa"/>
                  </w:tcMar>
                  <w:vAlign w:val="center"/>
                </w:tcPr>
                <w:p w14:paraId="5D3CD59B">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b/>
                      <w:bCs/>
                      <w:color w:val="0D0D0D" w:themeColor="text1" w:themeTint="F2"/>
                      <w:sz w:val="21"/>
                      <w:szCs w:val="21"/>
                      <w14:textFill>
                        <w14:solidFill>
                          <w14:schemeClr w14:val="tx1">
                            <w14:lumMod w14:val="95000"/>
                            <w14:lumOff w14:val="5000"/>
                          </w14:schemeClr>
                        </w14:solidFill>
                      </w14:textFill>
                    </w:rPr>
                    <w:t>环境风险防控</w:t>
                  </w:r>
                </w:p>
              </w:tc>
              <w:tc>
                <w:tcPr>
                  <w:tcW w:w="4216" w:type="dxa"/>
                  <w:gridSpan w:val="2"/>
                  <w:tcBorders>
                    <w:tl2br w:val="nil"/>
                    <w:tr2bl w:val="nil"/>
                  </w:tcBorders>
                  <w:tcMar>
                    <w:left w:w="57" w:type="dxa"/>
                    <w:right w:w="57" w:type="dxa"/>
                  </w:tcMar>
                  <w:vAlign w:val="center"/>
                </w:tcPr>
                <w:p w14:paraId="01DB90BA">
                  <w:pPr>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1、健全园区环境风险防控体系，组织严格落实《湖南零陵工业园区突发环境事件应急预案》的相关要求，加强区内重要风险源管控。加强园区危险化学品储运的环境风险管理，严格落实应急响应联动机制，确保区域环境安全。重点加强对盛业有机科技等企业的环境风险监管。</w:t>
                  </w:r>
                </w:p>
              </w:tc>
              <w:tc>
                <w:tcPr>
                  <w:tcW w:w="2082" w:type="dxa"/>
                  <w:tcBorders>
                    <w:tl2br w:val="nil"/>
                    <w:tr2bl w:val="nil"/>
                  </w:tcBorders>
                  <w:tcMar>
                    <w:top w:w="18" w:type="dxa"/>
                    <w:left w:w="57" w:type="dxa"/>
                    <w:bottom w:w="13" w:type="dxa"/>
                    <w:right w:w="57" w:type="dxa"/>
                  </w:tcMar>
                  <w:vAlign w:val="center"/>
                </w:tcPr>
                <w:p w14:paraId="5F4BD4E2">
                  <w:pPr>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本项目严格落实相应的环境风险防范及应急措施</w:t>
                  </w:r>
                </w:p>
              </w:tc>
              <w:tc>
                <w:tcPr>
                  <w:tcW w:w="666" w:type="dxa"/>
                  <w:tcBorders>
                    <w:tl2br w:val="nil"/>
                    <w:tr2bl w:val="nil"/>
                  </w:tcBorders>
                  <w:tcMar>
                    <w:left w:w="57" w:type="dxa"/>
                    <w:right w:w="57" w:type="dxa"/>
                  </w:tcMar>
                  <w:vAlign w:val="center"/>
                </w:tcPr>
                <w:p w14:paraId="7B32CD79">
                  <w:pPr>
                    <w:widowControl/>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符合</w:t>
                  </w:r>
                </w:p>
              </w:tc>
            </w:tr>
            <w:tr w14:paraId="76EAEA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continue"/>
                  <w:tcBorders>
                    <w:tl2br w:val="nil"/>
                    <w:tr2bl w:val="nil"/>
                  </w:tcBorders>
                  <w:tcMar>
                    <w:left w:w="57" w:type="dxa"/>
                    <w:right w:w="57" w:type="dxa"/>
                  </w:tcMar>
                  <w:vAlign w:val="center"/>
                </w:tcPr>
                <w:p w14:paraId="43094CE2">
                  <w:pPr>
                    <w:spacing w:line="240" w:lineRule="auto"/>
                    <w:ind w:firstLine="210" w:firstLineChars="100"/>
                    <w:jc w:val="left"/>
                    <w:rPr>
                      <w:color w:val="0D0D0D" w:themeColor="text1" w:themeTint="F2"/>
                      <w:sz w:val="21"/>
                      <w:szCs w:val="21"/>
                      <w14:textFill>
                        <w14:solidFill>
                          <w14:schemeClr w14:val="tx1">
                            <w14:lumMod w14:val="95000"/>
                            <w14:lumOff w14:val="5000"/>
                          </w14:schemeClr>
                        </w14:solidFill>
                      </w14:textFill>
                    </w:rPr>
                  </w:pPr>
                </w:p>
              </w:tc>
              <w:tc>
                <w:tcPr>
                  <w:tcW w:w="4216" w:type="dxa"/>
                  <w:gridSpan w:val="2"/>
                  <w:tcBorders>
                    <w:tl2br w:val="nil"/>
                    <w:tr2bl w:val="nil"/>
                  </w:tcBorders>
                  <w:tcMar>
                    <w:left w:w="57" w:type="dxa"/>
                    <w:right w:w="57" w:type="dxa"/>
                  </w:tcMar>
                  <w:vAlign w:val="center"/>
                </w:tcPr>
                <w:p w14:paraId="56D75B0F">
                  <w:pPr>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2、园区可能发生突发环境事件的污染物排放企业，生产、储存、运输、使用危险化学品的企业，产生、收集、贮存、运输危险废物的企业，应当编制和实施环境应急预案；鼓励其他企业制定单独的环境应急预案，或在突发事件应急预案中制定环境应急预案专章，并备案。</w:t>
                  </w:r>
                </w:p>
              </w:tc>
              <w:tc>
                <w:tcPr>
                  <w:tcW w:w="2082" w:type="dxa"/>
                  <w:tcBorders>
                    <w:tl2br w:val="nil"/>
                    <w:tr2bl w:val="nil"/>
                  </w:tcBorders>
                  <w:tcMar>
                    <w:top w:w="18" w:type="dxa"/>
                    <w:left w:w="57" w:type="dxa"/>
                    <w:bottom w:w="13" w:type="dxa"/>
                    <w:right w:w="57" w:type="dxa"/>
                  </w:tcMar>
                  <w:vAlign w:val="center"/>
                </w:tcPr>
                <w:p w14:paraId="1ECD29F0">
                  <w:pPr>
                    <w:adjustRightInd w:val="0"/>
                    <w:snapToGrid w:val="0"/>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本项目严格落实相应的环境风险防范及应急措施</w:t>
                  </w:r>
                </w:p>
              </w:tc>
              <w:tc>
                <w:tcPr>
                  <w:tcW w:w="666" w:type="dxa"/>
                  <w:tcBorders>
                    <w:tl2br w:val="nil"/>
                    <w:tr2bl w:val="nil"/>
                  </w:tcBorders>
                  <w:tcMar>
                    <w:left w:w="57" w:type="dxa"/>
                    <w:right w:w="57" w:type="dxa"/>
                  </w:tcMar>
                  <w:vAlign w:val="center"/>
                </w:tcPr>
                <w:p w14:paraId="3FCEADB6">
                  <w:pPr>
                    <w:adjustRightInd w:val="0"/>
                    <w:snapToGrid w:val="0"/>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符合</w:t>
                  </w:r>
                </w:p>
              </w:tc>
            </w:tr>
            <w:tr w14:paraId="2924D9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continue"/>
                  <w:tcBorders>
                    <w:tl2br w:val="nil"/>
                    <w:tr2bl w:val="nil"/>
                  </w:tcBorders>
                  <w:tcMar>
                    <w:left w:w="57" w:type="dxa"/>
                    <w:right w:w="57" w:type="dxa"/>
                  </w:tcMar>
                  <w:vAlign w:val="center"/>
                </w:tcPr>
                <w:p w14:paraId="2D35B982">
                  <w:pPr>
                    <w:spacing w:line="240" w:lineRule="auto"/>
                    <w:ind w:firstLine="210" w:firstLineChars="100"/>
                    <w:jc w:val="left"/>
                    <w:rPr>
                      <w:color w:val="0D0D0D" w:themeColor="text1" w:themeTint="F2"/>
                      <w:sz w:val="21"/>
                      <w:szCs w:val="21"/>
                      <w14:textFill>
                        <w14:solidFill>
                          <w14:schemeClr w14:val="tx1">
                            <w14:lumMod w14:val="95000"/>
                            <w14:lumOff w14:val="5000"/>
                          </w14:schemeClr>
                        </w14:solidFill>
                      </w14:textFill>
                    </w:rPr>
                  </w:pPr>
                </w:p>
              </w:tc>
              <w:tc>
                <w:tcPr>
                  <w:tcW w:w="4216" w:type="dxa"/>
                  <w:gridSpan w:val="2"/>
                  <w:tcBorders>
                    <w:tl2br w:val="nil"/>
                    <w:tr2bl w:val="nil"/>
                  </w:tcBorders>
                  <w:tcMar>
                    <w:left w:w="57" w:type="dxa"/>
                    <w:right w:w="57" w:type="dxa"/>
                  </w:tcMar>
                  <w:vAlign w:val="center"/>
                </w:tcPr>
                <w:p w14:paraId="011A7B62">
                  <w:pPr>
                    <w:spacing w:line="240" w:lineRule="auto"/>
                    <w:ind w:firstLine="0" w:firstLineChars="0"/>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3、加大涉重企业治污与清洁生产改造力度，强化园区集中治污，严厉打击超标排放与偷排漏排，规范企业无组织排放与物料、固体废物堆场堆存，稳步推进重金属减排工作。建立涉重行业企业清单，将重金属减排目标任务分解落实到有关涉重金属企业，明确相应的减排措施和工程。</w:t>
                  </w:r>
                </w:p>
              </w:tc>
              <w:tc>
                <w:tcPr>
                  <w:tcW w:w="2082" w:type="dxa"/>
                  <w:tcBorders>
                    <w:tl2br w:val="nil"/>
                    <w:tr2bl w:val="nil"/>
                  </w:tcBorders>
                  <w:tcMar>
                    <w:top w:w="18" w:type="dxa"/>
                    <w:left w:w="57" w:type="dxa"/>
                    <w:bottom w:w="13" w:type="dxa"/>
                    <w:right w:w="57" w:type="dxa"/>
                  </w:tcMar>
                  <w:vAlign w:val="center"/>
                </w:tcPr>
                <w:p w14:paraId="6FFC1931">
                  <w:pPr>
                    <w:adjustRightInd w:val="0"/>
                    <w:snapToGrid w:val="0"/>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本项目各污染物均达标排放</w:t>
                  </w:r>
                </w:p>
              </w:tc>
              <w:tc>
                <w:tcPr>
                  <w:tcW w:w="666" w:type="dxa"/>
                  <w:tcBorders>
                    <w:tl2br w:val="nil"/>
                    <w:tr2bl w:val="nil"/>
                  </w:tcBorders>
                  <w:tcMar>
                    <w:left w:w="57" w:type="dxa"/>
                    <w:right w:w="57" w:type="dxa"/>
                  </w:tcMar>
                  <w:vAlign w:val="center"/>
                </w:tcPr>
                <w:p w14:paraId="355F6EA7">
                  <w:pPr>
                    <w:adjustRightInd w:val="0"/>
                    <w:snapToGrid w:val="0"/>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符合</w:t>
                  </w:r>
                </w:p>
              </w:tc>
            </w:tr>
            <w:tr w14:paraId="41ED83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8" w:type="dxa"/>
                  <w:left w:w="54" w:type="dxa"/>
                  <w:bottom w:w="13" w:type="dxa"/>
                  <w:right w:w="60" w:type="dxa"/>
                </w:tblCellMar>
              </w:tblPrEx>
              <w:trPr>
                <w:jc w:val="center"/>
              </w:trPr>
              <w:tc>
                <w:tcPr>
                  <w:tcW w:w="735" w:type="dxa"/>
                  <w:vMerge w:val="continue"/>
                  <w:tcBorders>
                    <w:tl2br w:val="nil"/>
                    <w:tr2bl w:val="nil"/>
                  </w:tcBorders>
                  <w:tcMar>
                    <w:left w:w="57" w:type="dxa"/>
                    <w:right w:w="57" w:type="dxa"/>
                  </w:tcMar>
                  <w:vAlign w:val="center"/>
                </w:tcPr>
                <w:p w14:paraId="05C48536">
                  <w:pPr>
                    <w:spacing w:line="240" w:lineRule="auto"/>
                    <w:ind w:firstLine="210" w:firstLineChars="100"/>
                    <w:jc w:val="left"/>
                    <w:rPr>
                      <w:color w:val="0D0D0D" w:themeColor="text1" w:themeTint="F2"/>
                      <w:sz w:val="21"/>
                      <w:szCs w:val="21"/>
                      <w14:textFill>
                        <w14:solidFill>
                          <w14:schemeClr w14:val="tx1">
                            <w14:lumMod w14:val="95000"/>
                            <w14:lumOff w14:val="5000"/>
                          </w14:schemeClr>
                        </w14:solidFill>
                      </w14:textFill>
                    </w:rPr>
                  </w:pPr>
                </w:p>
              </w:tc>
              <w:tc>
                <w:tcPr>
                  <w:tcW w:w="4216" w:type="dxa"/>
                  <w:gridSpan w:val="2"/>
                  <w:tcBorders>
                    <w:tl2br w:val="nil"/>
                    <w:tr2bl w:val="nil"/>
                  </w:tcBorders>
                  <w:tcMar>
                    <w:left w:w="57" w:type="dxa"/>
                    <w:right w:w="57" w:type="dxa"/>
                  </w:tcMar>
                  <w:vAlign w:val="center"/>
                </w:tcPr>
                <w:p w14:paraId="5F372622">
                  <w:pPr>
                    <w:spacing w:line="240" w:lineRule="auto"/>
                    <w:ind w:firstLine="0" w:firstLineChars="0"/>
                    <w:jc w:val="left"/>
                    <w:rPr>
                      <w:color w:val="0D0D0D" w:themeColor="text1" w:themeTint="F2"/>
                      <w:sz w:val="21"/>
                      <w:szCs w:val="21"/>
                      <w14:textFill>
                        <w14:solidFill>
                          <w14:schemeClr w14:val="tx1">
                            <w14:lumMod w14:val="95000"/>
                            <w14:lumOff w14:val="5000"/>
                          </w14:schemeClr>
                        </w14:solidFill>
                      </w14:textFill>
                    </w:rPr>
                  </w:pPr>
                  <w:r>
                    <w:rPr>
                      <w:color w:val="0D0D0D" w:themeColor="text1" w:themeTint="F2"/>
                      <w:sz w:val="21"/>
                      <w:szCs w:val="21"/>
                      <w14:textFill>
                        <w14:solidFill>
                          <w14:schemeClr w14:val="tx1">
                            <w14:lumMod w14:val="95000"/>
                            <w14:lumOff w14:val="5000"/>
                          </w14:schemeClr>
                        </w14:solidFill>
                      </w14:textFill>
                    </w:rPr>
                    <w:t>4、禁止在优先保护类耕地集中区域新建电解锰等行业企业，已建成的相关企业应当按照有关标准、规定采取措施，防止对耕地造成污染。禁止工矿企业排放废水直接用于农业灌溉，防止污染物随灌溉水进入耕地。</w:t>
                  </w:r>
                </w:p>
              </w:tc>
              <w:tc>
                <w:tcPr>
                  <w:tcW w:w="2082" w:type="dxa"/>
                  <w:tcBorders>
                    <w:tl2br w:val="nil"/>
                    <w:tr2bl w:val="nil"/>
                  </w:tcBorders>
                  <w:tcMar>
                    <w:top w:w="18" w:type="dxa"/>
                    <w:left w:w="57" w:type="dxa"/>
                    <w:bottom w:w="13" w:type="dxa"/>
                    <w:right w:w="57" w:type="dxa"/>
                  </w:tcMar>
                  <w:vAlign w:val="center"/>
                </w:tcPr>
                <w:p w14:paraId="61BEC50F">
                  <w:pPr>
                    <w:adjustRightInd w:val="0"/>
                    <w:snapToGrid w:val="0"/>
                    <w:spacing w:line="240" w:lineRule="auto"/>
                    <w:ind w:firstLine="210" w:firstLineChars="10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本项目不属于电解锰等行业</w:t>
                  </w:r>
                </w:p>
              </w:tc>
              <w:tc>
                <w:tcPr>
                  <w:tcW w:w="666" w:type="dxa"/>
                  <w:tcBorders>
                    <w:tl2br w:val="nil"/>
                    <w:tr2bl w:val="nil"/>
                  </w:tcBorders>
                  <w:tcMar>
                    <w:left w:w="57" w:type="dxa"/>
                    <w:right w:w="57" w:type="dxa"/>
                  </w:tcMar>
                  <w:vAlign w:val="center"/>
                </w:tcPr>
                <w:p w14:paraId="6E9AC110">
                  <w:pPr>
                    <w:adjustRightInd w:val="0"/>
                    <w:snapToGrid w:val="0"/>
                    <w:spacing w:line="240" w:lineRule="auto"/>
                    <w:ind w:firstLine="0" w:firstLineChars="0"/>
                    <w:jc w:val="center"/>
                    <w:rPr>
                      <w:color w:val="0D0D0D" w:themeColor="text1" w:themeTint="F2"/>
                      <w:sz w:val="21"/>
                      <w:szCs w:val="21"/>
                      <w14:textFill>
                        <w14:solidFill>
                          <w14:schemeClr w14:val="tx1">
                            <w14:lumMod w14:val="95000"/>
                            <w14:lumOff w14:val="5000"/>
                          </w14:schemeClr>
                        </w14:solidFill>
                      </w14:textFill>
                    </w:rPr>
                  </w:pPr>
                  <w:r>
                    <w:rPr>
                      <w:color w:val="0D0D0D" w:themeColor="text1" w:themeTint="F2"/>
                      <w:kern w:val="0"/>
                      <w:sz w:val="21"/>
                      <w:szCs w:val="21"/>
                      <w14:textFill>
                        <w14:solidFill>
                          <w14:schemeClr w14:val="tx1">
                            <w14:lumMod w14:val="95000"/>
                            <w14:lumOff w14:val="5000"/>
                          </w14:schemeClr>
                        </w14:solidFill>
                      </w14:textFill>
                    </w:rPr>
                    <w:t>符合</w:t>
                  </w:r>
                </w:p>
              </w:tc>
            </w:tr>
          </w:tbl>
          <w:p w14:paraId="4FD0A1E3">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根据《湖南省</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三线一单</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生态环境总体管控要求暨省级以上产业园区生态环境准入清单》</w:t>
            </w:r>
            <w:r>
              <w:rPr>
                <w:rFonts w:hint="default"/>
                <w:color w:val="0D0D0D" w:themeColor="text1" w:themeTint="F2"/>
                <w:kern w:val="0"/>
                <w:lang w:bidi="ar"/>
                <w14:textFill>
                  <w14:solidFill>
                    <w14:schemeClr w14:val="tx1">
                      <w14:lumMod w14:val="95000"/>
                      <w14:lumOff w14:val="5000"/>
                    </w14:schemeClr>
                  </w14:solidFill>
                </w14:textFill>
              </w:rPr>
              <w:t>(2020</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年</w:t>
            </w:r>
            <w:r>
              <w:rPr>
                <w:rFonts w:hint="default"/>
                <w:color w:val="0D0D0D" w:themeColor="text1" w:themeTint="F2"/>
                <w:kern w:val="0"/>
                <w:lang w:bidi="ar"/>
                <w14:textFill>
                  <w14:solidFill>
                    <w14:schemeClr w14:val="tx1">
                      <w14:lumMod w14:val="95000"/>
                      <w14:lumOff w14:val="5000"/>
                    </w14:schemeClr>
                  </w14:solidFill>
                </w14:textFill>
              </w:rPr>
              <w:t>11</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月发布</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中湖南省</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三线一单</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生态环境总体管控要求，本项目所在区域为重点管控单元，区域无明显环境问题，故本项目满足单元管控要求。</w:t>
            </w:r>
          </w:p>
          <w:p w14:paraId="11DF5C6E">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5</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、与关于印发《重点行业挥发性有机物综合治理方案》的通知（环大气</w:t>
            </w:r>
            <w:r>
              <w:rPr>
                <w:rFonts w:hint="default"/>
                <w:b/>
                <w:bCs/>
                <w:color w:val="0D0D0D" w:themeColor="text1" w:themeTint="F2"/>
                <w:kern w:val="0"/>
                <w:lang w:bidi="ar"/>
                <w14:textFill>
                  <w14:solidFill>
                    <w14:schemeClr w14:val="tx1">
                      <w14:lumMod w14:val="95000"/>
                      <w14:lumOff w14:val="5000"/>
                    </w14:schemeClr>
                  </w14:solidFill>
                </w14:textFill>
              </w:rPr>
              <w:t>[2019]53</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号）的相符性分析</w:t>
            </w:r>
          </w:p>
          <w:p w14:paraId="40E9AF11">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本项目与《重点行业挥发性有机物综合治理方案》的通知（环大气</w:t>
            </w:r>
            <w:r>
              <w:rPr>
                <w:rFonts w:hint="default"/>
                <w:color w:val="0D0D0D" w:themeColor="text1" w:themeTint="F2"/>
                <w:kern w:val="0"/>
                <w:lang w:bidi="ar"/>
                <w14:textFill>
                  <w14:solidFill>
                    <w14:schemeClr w14:val="tx1">
                      <w14:lumMod w14:val="95000"/>
                      <w14:lumOff w14:val="5000"/>
                    </w14:schemeClr>
                  </w14:solidFill>
                </w14:textFill>
              </w:rPr>
              <w:t>[2019]53</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号）有关要求进行相符性分析，具体见下表。</w:t>
            </w:r>
          </w:p>
          <w:p w14:paraId="5FEE0779">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表</w:t>
            </w:r>
            <w:r>
              <w:rPr>
                <w:rFonts w:hint="default"/>
                <w:b/>
                <w:bCs/>
                <w:color w:val="0D0D0D" w:themeColor="text1" w:themeTint="F2"/>
                <w:kern w:val="0"/>
                <w:sz w:val="21"/>
                <w:szCs w:val="21"/>
                <w:lang w:bidi="ar"/>
                <w14:textFill>
                  <w14:solidFill>
                    <w14:schemeClr w14:val="tx1">
                      <w14:lumMod w14:val="95000"/>
                      <w14:lumOff w14:val="5000"/>
                    </w14:schemeClr>
                  </w14:solidFill>
                </w14:textFill>
              </w:rPr>
              <w:t>1-3</w:t>
            </w:r>
            <w:r>
              <w:rPr>
                <w:rFonts w:hint="eastAsia"/>
                <w:b/>
                <w:bCs/>
                <w:color w:val="0D0D0D" w:themeColor="text1" w:themeTint="F2"/>
                <w:kern w:val="0"/>
                <w:sz w:val="21"/>
                <w:szCs w:val="21"/>
                <w:lang w:bidi="ar"/>
                <w14:textFill>
                  <w14:solidFill>
                    <w14:schemeClr w14:val="tx1">
                      <w14:lumMod w14:val="95000"/>
                      <w14:lumOff w14:val="5000"/>
                    </w14:schemeClr>
                  </w14:solidFill>
                </w14:textFill>
              </w:rPr>
              <w:t xml:space="preserve"> </w:t>
            </w: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与《重点行业挥发性有机物综合治理方案》的通知</w:t>
            </w:r>
          </w:p>
          <w:p w14:paraId="49A1A72A">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（环大气</w:t>
            </w:r>
            <w:r>
              <w:rPr>
                <w:rFonts w:hint="default"/>
                <w:b/>
                <w:bCs/>
                <w:color w:val="0D0D0D" w:themeColor="text1" w:themeTint="F2"/>
                <w:kern w:val="0"/>
                <w:sz w:val="21"/>
                <w:szCs w:val="21"/>
                <w:lang w:bidi="ar"/>
                <w14:textFill>
                  <w14:solidFill>
                    <w14:schemeClr w14:val="tx1">
                      <w14:lumMod w14:val="95000"/>
                      <w14:lumOff w14:val="5000"/>
                    </w14:schemeClr>
                  </w14:solidFill>
                </w14:textFill>
              </w:rPr>
              <w:t>[2019]53</w:t>
            </w: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号）相符性分析</w:t>
            </w:r>
          </w:p>
          <w:tbl>
            <w:tblPr>
              <w:tblStyle w:val="17"/>
              <w:tblW w:w="76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2"/>
              <w:gridCol w:w="3945"/>
              <w:gridCol w:w="2631"/>
              <w:gridCol w:w="680"/>
            </w:tblGrid>
            <w:tr w14:paraId="3E1C7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42" w:type="dxa"/>
                  <w:tcBorders>
                    <w:tl2br w:val="nil"/>
                    <w:tr2bl w:val="nil"/>
                  </w:tcBorders>
                  <w:vAlign w:val="center"/>
                </w:tcPr>
                <w:p w14:paraId="5996D9E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序号</w:t>
                  </w:r>
                </w:p>
              </w:tc>
              <w:tc>
                <w:tcPr>
                  <w:tcW w:w="3945" w:type="dxa"/>
                  <w:tcBorders>
                    <w:tl2br w:val="nil"/>
                    <w:tr2bl w:val="nil"/>
                  </w:tcBorders>
                  <w:vAlign w:val="center"/>
                </w:tcPr>
                <w:p w14:paraId="0B32AFD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相关要求</w:t>
                  </w:r>
                </w:p>
              </w:tc>
              <w:tc>
                <w:tcPr>
                  <w:tcW w:w="2631" w:type="dxa"/>
                  <w:tcBorders>
                    <w:tl2br w:val="nil"/>
                    <w:tr2bl w:val="nil"/>
                  </w:tcBorders>
                  <w:vAlign w:val="center"/>
                </w:tcPr>
                <w:p w14:paraId="328F952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本项目情况</w:t>
                  </w:r>
                </w:p>
              </w:tc>
              <w:tc>
                <w:tcPr>
                  <w:tcW w:w="680" w:type="dxa"/>
                  <w:tcBorders>
                    <w:tl2br w:val="nil"/>
                    <w:tr2bl w:val="nil"/>
                  </w:tcBorders>
                  <w:vAlign w:val="center"/>
                </w:tcPr>
                <w:p w14:paraId="495ADEA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是否符合</w:t>
                  </w:r>
                </w:p>
              </w:tc>
            </w:tr>
            <w:tr w14:paraId="66A04B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42" w:type="dxa"/>
                  <w:tcBorders>
                    <w:tl2br w:val="nil"/>
                    <w:tr2bl w:val="nil"/>
                  </w:tcBorders>
                  <w:vAlign w:val="center"/>
                </w:tcPr>
                <w:p w14:paraId="651F34E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1</w:t>
                  </w:r>
                </w:p>
              </w:tc>
              <w:tc>
                <w:tcPr>
                  <w:tcW w:w="3945" w:type="dxa"/>
                  <w:tcBorders>
                    <w:tl2br w:val="nil"/>
                    <w:tr2bl w:val="nil"/>
                  </w:tcBorders>
                  <w:vAlign w:val="center"/>
                </w:tcPr>
                <w:p w14:paraId="793CFEE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提高废气收集率。遵循</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应收尽收、分质收集</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的原则，科学设计废气收集系统，将无组织排放转变为有组织排放进行控制。采用全密闭集气罩或密闭空间的，除行业有特殊要求外，应保持微负压状态，并根据相关规范合理设置通风量。</w:t>
                  </w:r>
                </w:p>
              </w:tc>
              <w:tc>
                <w:tcPr>
                  <w:tcW w:w="2631" w:type="dxa"/>
                  <w:tcBorders>
                    <w:tl2br w:val="nil"/>
                    <w:tr2bl w:val="nil"/>
                  </w:tcBorders>
                  <w:vAlign w:val="center"/>
                </w:tcPr>
                <w:p w14:paraId="340C736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项目生产过程中会产生少量有机废气，产生部位采用集气罩收集</w:t>
                  </w:r>
                </w:p>
              </w:tc>
              <w:tc>
                <w:tcPr>
                  <w:tcW w:w="680" w:type="dxa"/>
                  <w:tcBorders>
                    <w:tl2br w:val="nil"/>
                    <w:tr2bl w:val="nil"/>
                  </w:tcBorders>
                  <w:vAlign w:val="center"/>
                </w:tcPr>
                <w:p w14:paraId="5CB353B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符合</w:t>
                  </w:r>
                </w:p>
              </w:tc>
            </w:tr>
            <w:tr w14:paraId="68F7BA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42" w:type="dxa"/>
                  <w:tcBorders>
                    <w:tl2br w:val="nil"/>
                    <w:tr2bl w:val="nil"/>
                  </w:tcBorders>
                  <w:vAlign w:val="center"/>
                </w:tcPr>
                <w:p w14:paraId="2E6B55C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2</w:t>
                  </w:r>
                </w:p>
              </w:tc>
              <w:tc>
                <w:tcPr>
                  <w:tcW w:w="3945" w:type="dxa"/>
                  <w:tcBorders>
                    <w:tl2br w:val="nil"/>
                    <w:tr2bl w:val="nil"/>
                  </w:tcBorders>
                  <w:vAlign w:val="center"/>
                </w:tcPr>
                <w:p w14:paraId="66C6DEB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低浓度、大风量废气，宜采用沸石转轮吸附、二级活性炭吸附、减风增浓等浓缩技术，提高</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浓度后净化处理。</w:t>
                  </w:r>
                </w:p>
              </w:tc>
              <w:tc>
                <w:tcPr>
                  <w:tcW w:w="2631" w:type="dxa"/>
                  <w:tcBorders>
                    <w:tl2br w:val="nil"/>
                    <w:tr2bl w:val="nil"/>
                  </w:tcBorders>
                  <w:vAlign w:val="center"/>
                </w:tcPr>
                <w:p w14:paraId="765B762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本项目采用</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吸附的方式进行净化处理。</w:t>
                  </w:r>
                </w:p>
              </w:tc>
              <w:tc>
                <w:tcPr>
                  <w:tcW w:w="680" w:type="dxa"/>
                  <w:tcBorders>
                    <w:tl2br w:val="nil"/>
                    <w:tr2bl w:val="nil"/>
                  </w:tcBorders>
                  <w:vAlign w:val="center"/>
                </w:tcPr>
                <w:p w14:paraId="2DD1E98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符合</w:t>
                  </w:r>
                </w:p>
              </w:tc>
            </w:tr>
            <w:tr w14:paraId="7E3CB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442" w:type="dxa"/>
                  <w:tcBorders>
                    <w:tl2br w:val="nil"/>
                    <w:tr2bl w:val="nil"/>
                  </w:tcBorders>
                  <w:vAlign w:val="center"/>
                </w:tcPr>
                <w:p w14:paraId="02B01E0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3</w:t>
                  </w:r>
                </w:p>
              </w:tc>
              <w:tc>
                <w:tcPr>
                  <w:tcW w:w="3945" w:type="dxa"/>
                  <w:tcBorders>
                    <w:tl2br w:val="nil"/>
                    <w:tr2bl w:val="nil"/>
                  </w:tcBorders>
                  <w:vAlign w:val="center"/>
                </w:tcPr>
                <w:p w14:paraId="397D066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实行重点排放源排放浓度与去除效率双重控制。车间或生产设施收集排放的废气，</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初始排放速率大于等于</w:t>
                  </w:r>
                  <w:r>
                    <w:rPr>
                      <w:rFonts w:hint="default"/>
                      <w:color w:val="0D0D0D" w:themeColor="text1" w:themeTint="F2"/>
                      <w:kern w:val="0"/>
                      <w:sz w:val="21"/>
                      <w:szCs w:val="21"/>
                      <w:lang w:bidi="ar"/>
                      <w14:textFill>
                        <w14:solidFill>
                          <w14:schemeClr w14:val="tx1">
                            <w14:lumMod w14:val="95000"/>
                            <w14:lumOff w14:val="5000"/>
                          </w14:schemeClr>
                        </w14:solidFill>
                      </w14:textFill>
                    </w:rPr>
                    <w:t>3</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千克</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小时、重点区域大于等于</w:t>
                  </w:r>
                  <w:r>
                    <w:rPr>
                      <w:rFonts w:hint="default"/>
                      <w:color w:val="0D0D0D" w:themeColor="text1" w:themeTint="F2"/>
                      <w:kern w:val="0"/>
                      <w:sz w:val="21"/>
                      <w:szCs w:val="21"/>
                      <w:lang w:bidi="ar"/>
                      <w14:textFill>
                        <w14:solidFill>
                          <w14:schemeClr w14:val="tx1">
                            <w14:lumMod w14:val="95000"/>
                            <w14:lumOff w14:val="5000"/>
                          </w14:schemeClr>
                        </w14:solidFill>
                      </w14:textFill>
                    </w:rPr>
                    <w:t>2</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千克</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小时的，应加大控制力度，除确保排放浓度稳定达标外，还应实行去除效率控制，去除效率不低于</w:t>
                  </w:r>
                  <w:r>
                    <w:rPr>
                      <w:rFonts w:hint="default"/>
                      <w:color w:val="0D0D0D" w:themeColor="text1" w:themeTint="F2"/>
                      <w:kern w:val="0"/>
                      <w:sz w:val="21"/>
                      <w:szCs w:val="21"/>
                      <w:lang w:bidi="ar"/>
                      <w14:textFill>
                        <w14:solidFill>
                          <w14:schemeClr w14:val="tx1">
                            <w14:lumMod w14:val="95000"/>
                            <w14:lumOff w14:val="5000"/>
                          </w14:schemeClr>
                        </w14:solidFill>
                      </w14:textFill>
                    </w:rPr>
                    <w:t>80%</w:t>
                  </w:r>
                </w:p>
              </w:tc>
              <w:tc>
                <w:tcPr>
                  <w:tcW w:w="2631" w:type="dxa"/>
                  <w:tcBorders>
                    <w:tl2br w:val="nil"/>
                    <w:tr2bl w:val="nil"/>
                  </w:tcBorders>
                  <w:vAlign w:val="center"/>
                </w:tcPr>
                <w:p w14:paraId="0C6A792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本项目污染物产生速率小于</w:t>
                  </w:r>
                  <w:r>
                    <w:rPr>
                      <w:rFonts w:hint="default"/>
                      <w:color w:val="0D0D0D" w:themeColor="text1" w:themeTint="F2"/>
                      <w:kern w:val="0"/>
                      <w:sz w:val="21"/>
                      <w:szCs w:val="21"/>
                      <w:lang w:bidi="ar"/>
                      <w14:textFill>
                        <w14:solidFill>
                          <w14:schemeClr w14:val="tx1">
                            <w14:lumMod w14:val="95000"/>
                            <w14:lumOff w14:val="5000"/>
                          </w14:schemeClr>
                        </w14:solidFill>
                      </w14:textFill>
                    </w:rPr>
                    <w:t>2kg/</w:t>
                  </w:r>
                  <w:r>
                    <w:rPr>
                      <w:rFonts w:hint="eastAsia"/>
                      <w:color w:val="0D0D0D" w:themeColor="text1" w:themeTint="F2"/>
                      <w:kern w:val="0"/>
                      <w:sz w:val="21"/>
                      <w:szCs w:val="21"/>
                      <w:lang w:bidi="ar"/>
                      <w14:textFill>
                        <w14:solidFill>
                          <w14:schemeClr w14:val="tx1">
                            <w14:lumMod w14:val="95000"/>
                            <w14:lumOff w14:val="5000"/>
                          </w14:schemeClr>
                        </w14:solidFill>
                      </w14:textFill>
                    </w:rPr>
                    <w:t>h，项目有机废气</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收集后经</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废吸附装置处理后排放，去除率为</w:t>
                  </w:r>
                  <w:r>
                    <w:rPr>
                      <w:rFonts w:hint="eastAsia" w:ascii="宋体" w:hAnsi="宋体" w:cs="宋体"/>
                      <w:color w:val="0D0D0D" w:themeColor="text1" w:themeTint="F2"/>
                      <w:kern w:val="0"/>
                      <w:sz w:val="21"/>
                      <w:szCs w:val="21"/>
                      <w:lang w:val="en-US" w:eastAsia="zh-CN" w:bidi="ar"/>
                      <w14:textFill>
                        <w14:solidFill>
                          <w14:schemeClr w14:val="tx1">
                            <w14:lumMod w14:val="95000"/>
                            <w14:lumOff w14:val="5000"/>
                          </w14:schemeClr>
                        </w14:solidFill>
                      </w14:textFill>
                    </w:rPr>
                    <w:t>9</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0</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val="en-US" w:eastAsia="zh-CN" w:bidi="ar"/>
                      <w14:textFill>
                        <w14:solidFill>
                          <w14:schemeClr w14:val="tx1">
                            <w14:lumMod w14:val="95000"/>
                            <w14:lumOff w14:val="5000"/>
                          </w14:schemeClr>
                        </w14:solidFill>
                      </w14:textFill>
                    </w:rPr>
                    <w:t>满足去除效率要求</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p>
              </w:tc>
              <w:tc>
                <w:tcPr>
                  <w:tcW w:w="680" w:type="dxa"/>
                  <w:tcBorders>
                    <w:tl2br w:val="nil"/>
                    <w:tr2bl w:val="nil"/>
                  </w:tcBorders>
                  <w:vAlign w:val="center"/>
                </w:tcPr>
                <w:p w14:paraId="6BB79E3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符合</w:t>
                  </w:r>
                </w:p>
              </w:tc>
            </w:tr>
            <w:tr w14:paraId="0900C6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42" w:type="dxa"/>
                  <w:tcBorders>
                    <w:tl2br w:val="nil"/>
                    <w:tr2bl w:val="nil"/>
                  </w:tcBorders>
                  <w:vAlign w:val="center"/>
                </w:tcPr>
                <w:p w14:paraId="7B6EBCD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4</w:t>
                  </w:r>
                </w:p>
              </w:tc>
              <w:tc>
                <w:tcPr>
                  <w:tcW w:w="3945" w:type="dxa"/>
                  <w:tcBorders>
                    <w:tl2br w:val="nil"/>
                    <w:tr2bl w:val="nil"/>
                  </w:tcBorders>
                  <w:vAlign w:val="center"/>
                </w:tcPr>
                <w:p w14:paraId="624E7B8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采用一次性二级活性炭吸附技术的，应定期更换活性炭，废旧活性炭应再生或处理处置</w:t>
                  </w:r>
                </w:p>
              </w:tc>
              <w:tc>
                <w:tcPr>
                  <w:tcW w:w="2631" w:type="dxa"/>
                  <w:tcBorders>
                    <w:tl2br w:val="nil"/>
                    <w:tr2bl w:val="nil"/>
                  </w:tcBorders>
                  <w:vAlign w:val="center"/>
                </w:tcPr>
                <w:p w14:paraId="77E5257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项目活性炭定期更换，收集后作为危废交有资质单位处置。</w:t>
                  </w:r>
                </w:p>
              </w:tc>
              <w:tc>
                <w:tcPr>
                  <w:tcW w:w="680" w:type="dxa"/>
                  <w:tcBorders>
                    <w:tl2br w:val="nil"/>
                    <w:tr2bl w:val="nil"/>
                  </w:tcBorders>
                  <w:vAlign w:val="center"/>
                </w:tcPr>
                <w:p w14:paraId="2CDBD82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符合</w:t>
                  </w:r>
                </w:p>
              </w:tc>
            </w:tr>
            <w:tr w14:paraId="7E8E5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442" w:type="dxa"/>
                  <w:tcBorders>
                    <w:tl2br w:val="nil"/>
                    <w:tr2bl w:val="nil"/>
                  </w:tcBorders>
                  <w:vAlign w:val="center"/>
                </w:tcPr>
                <w:p w14:paraId="7DCA525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5</w:t>
                  </w:r>
                </w:p>
                <w:p w14:paraId="55C6AE2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p>
              </w:tc>
              <w:tc>
                <w:tcPr>
                  <w:tcW w:w="3945" w:type="dxa"/>
                  <w:tcBorders>
                    <w:tl2br w:val="nil"/>
                    <w:tr2bl w:val="nil"/>
                  </w:tcBorders>
                  <w:vAlign w:val="center"/>
                </w:tcPr>
                <w:p w14:paraId="4213C51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建立管理台账，记录企业生产和治污设施运行的关键参数，在线监控数要确保能够实时调取，相关台账记录至少保存三年</w:t>
                  </w:r>
                </w:p>
              </w:tc>
              <w:tc>
                <w:tcPr>
                  <w:tcW w:w="2631" w:type="dxa"/>
                  <w:tcBorders>
                    <w:tl2br w:val="nil"/>
                    <w:tr2bl w:val="nil"/>
                  </w:tcBorders>
                  <w:vAlign w:val="center"/>
                </w:tcPr>
                <w:p w14:paraId="0B7CE2A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环评要求项目建立管理台账，记录企业生产和治污设运行的关键参数，相关台账记录保存</w:t>
                  </w:r>
                  <w:r>
                    <w:rPr>
                      <w:rFonts w:hint="eastAsia" w:ascii="宋体" w:hAnsi="宋体" w:cs="宋体"/>
                      <w:color w:val="0D0D0D" w:themeColor="text1" w:themeTint="F2"/>
                      <w:kern w:val="0"/>
                      <w:sz w:val="21"/>
                      <w:szCs w:val="21"/>
                      <w:lang w:val="en-US" w:eastAsia="zh-CN" w:bidi="ar"/>
                      <w14:textFill>
                        <w14:solidFill>
                          <w14:schemeClr w14:val="tx1">
                            <w14:lumMod w14:val="95000"/>
                            <w14:lumOff w14:val="5000"/>
                          </w14:schemeClr>
                        </w14:solidFill>
                      </w14:textFill>
                    </w:rPr>
                    <w:t>五</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年</w:t>
                  </w:r>
                </w:p>
              </w:tc>
              <w:tc>
                <w:tcPr>
                  <w:tcW w:w="680" w:type="dxa"/>
                  <w:tcBorders>
                    <w:tl2br w:val="nil"/>
                    <w:tr2bl w:val="nil"/>
                  </w:tcBorders>
                  <w:vAlign w:val="center"/>
                </w:tcPr>
                <w:p w14:paraId="51106F6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符合</w:t>
                  </w:r>
                </w:p>
              </w:tc>
            </w:tr>
          </w:tbl>
          <w:p w14:paraId="35657C61">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6</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、与《</w:t>
            </w:r>
            <w:r>
              <w:rPr>
                <w:rFonts w:hint="default"/>
                <w:b/>
                <w:bCs/>
                <w:color w:val="0D0D0D" w:themeColor="text1" w:themeTint="F2"/>
                <w:kern w:val="0"/>
                <w:lang w:bidi="ar"/>
                <w14:textFill>
                  <w14:solidFill>
                    <w14:schemeClr w14:val="tx1">
                      <w14:lumMod w14:val="95000"/>
                      <w14:lumOff w14:val="5000"/>
                    </w14:schemeClr>
                  </w14:solidFill>
                </w14:textFill>
              </w:rPr>
              <w:t>2020</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年挥发性有机物治理攻坚方案》的相符性</w:t>
            </w:r>
          </w:p>
          <w:p w14:paraId="11616C88">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本项目与《</w:t>
            </w:r>
            <w:r>
              <w:rPr>
                <w:rFonts w:hint="default"/>
                <w:color w:val="0D0D0D" w:themeColor="text1" w:themeTint="F2"/>
                <w:kern w:val="0"/>
                <w:lang w:bidi="ar"/>
                <w14:textFill>
                  <w14:solidFill>
                    <w14:schemeClr w14:val="tx1">
                      <w14:lumMod w14:val="95000"/>
                      <w14:lumOff w14:val="5000"/>
                    </w14:schemeClr>
                  </w14:solidFill>
                </w14:textFill>
              </w:rPr>
              <w:t>2020</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年挥发性有机物治理攻坚方案》（环大气〔</w:t>
            </w:r>
            <w:r>
              <w:rPr>
                <w:rFonts w:hint="default"/>
                <w:color w:val="0D0D0D" w:themeColor="text1" w:themeTint="F2"/>
                <w:kern w:val="0"/>
                <w:lang w:bidi="ar"/>
                <w14:textFill>
                  <w14:solidFill>
                    <w14:schemeClr w14:val="tx1">
                      <w14:lumMod w14:val="95000"/>
                      <w14:lumOff w14:val="5000"/>
                    </w14:schemeClr>
                  </w14:solidFill>
                </w14:textFill>
              </w:rPr>
              <w:t>2020</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w:t>
            </w:r>
            <w:r>
              <w:rPr>
                <w:rFonts w:hint="default"/>
                <w:color w:val="0D0D0D" w:themeColor="text1" w:themeTint="F2"/>
                <w:kern w:val="0"/>
                <w:lang w:bidi="ar"/>
                <w14:textFill>
                  <w14:solidFill>
                    <w14:schemeClr w14:val="tx1">
                      <w14:lumMod w14:val="95000"/>
                      <w14:lumOff w14:val="5000"/>
                    </w14:schemeClr>
                  </w14:solidFill>
                </w14:textFill>
              </w:rPr>
              <w:t>33</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号）有关要求进行相符性分析，具体见下表。</w:t>
            </w:r>
          </w:p>
          <w:p w14:paraId="618D6855">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0D0D0D" w:themeColor="text1" w:themeTint="F2"/>
                <w:kern w:val="0"/>
                <w:sz w:val="22"/>
                <w:szCs w:val="22"/>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2"/>
                <w:szCs w:val="22"/>
                <w:lang w:bidi="ar"/>
                <w14:textFill>
                  <w14:solidFill>
                    <w14:schemeClr w14:val="tx1">
                      <w14:lumMod w14:val="95000"/>
                      <w14:lumOff w14:val="5000"/>
                    </w14:schemeClr>
                  </w14:solidFill>
                </w14:textFill>
              </w:rPr>
              <w:t>表</w:t>
            </w:r>
            <w:r>
              <w:rPr>
                <w:rFonts w:hint="default"/>
                <w:b/>
                <w:bCs/>
                <w:color w:val="0D0D0D" w:themeColor="text1" w:themeTint="F2"/>
                <w:kern w:val="0"/>
                <w:sz w:val="22"/>
                <w:szCs w:val="22"/>
                <w:lang w:bidi="ar"/>
                <w14:textFill>
                  <w14:solidFill>
                    <w14:schemeClr w14:val="tx1">
                      <w14:lumMod w14:val="95000"/>
                      <w14:lumOff w14:val="5000"/>
                    </w14:schemeClr>
                  </w14:solidFill>
                </w14:textFill>
              </w:rPr>
              <w:t>1-4</w:t>
            </w:r>
            <w:r>
              <w:rPr>
                <w:rFonts w:hint="eastAsia"/>
                <w:b/>
                <w:bCs/>
                <w:color w:val="0D0D0D" w:themeColor="text1" w:themeTint="F2"/>
                <w:kern w:val="0"/>
                <w:sz w:val="22"/>
                <w:szCs w:val="22"/>
                <w:lang w:bidi="ar"/>
                <w14:textFill>
                  <w14:solidFill>
                    <w14:schemeClr w14:val="tx1">
                      <w14:lumMod w14:val="95000"/>
                      <w14:lumOff w14:val="5000"/>
                    </w14:schemeClr>
                  </w14:solidFill>
                </w14:textFill>
              </w:rPr>
              <w:t xml:space="preserve"> </w:t>
            </w:r>
            <w:r>
              <w:rPr>
                <w:rFonts w:hint="eastAsia" w:ascii="宋体" w:hAnsi="宋体" w:cs="宋体"/>
                <w:b/>
                <w:bCs/>
                <w:color w:val="0D0D0D" w:themeColor="text1" w:themeTint="F2"/>
                <w:kern w:val="0"/>
                <w:sz w:val="22"/>
                <w:szCs w:val="22"/>
                <w:lang w:bidi="ar"/>
                <w14:textFill>
                  <w14:solidFill>
                    <w14:schemeClr w14:val="tx1">
                      <w14:lumMod w14:val="95000"/>
                      <w14:lumOff w14:val="5000"/>
                    </w14:schemeClr>
                  </w14:solidFill>
                </w14:textFill>
              </w:rPr>
              <w:t>与《</w:t>
            </w:r>
            <w:r>
              <w:rPr>
                <w:rFonts w:hint="default"/>
                <w:b/>
                <w:bCs/>
                <w:color w:val="0D0D0D" w:themeColor="text1" w:themeTint="F2"/>
                <w:kern w:val="0"/>
                <w:sz w:val="22"/>
                <w:szCs w:val="22"/>
                <w:lang w:bidi="ar"/>
                <w14:textFill>
                  <w14:solidFill>
                    <w14:schemeClr w14:val="tx1">
                      <w14:lumMod w14:val="95000"/>
                      <w14:lumOff w14:val="5000"/>
                    </w14:schemeClr>
                  </w14:solidFill>
                </w14:textFill>
              </w:rPr>
              <w:t>2020</w:t>
            </w:r>
            <w:r>
              <w:rPr>
                <w:rFonts w:hint="eastAsia" w:ascii="宋体" w:hAnsi="宋体" w:cs="宋体"/>
                <w:b/>
                <w:bCs/>
                <w:color w:val="0D0D0D" w:themeColor="text1" w:themeTint="F2"/>
                <w:kern w:val="0"/>
                <w:sz w:val="22"/>
                <w:szCs w:val="22"/>
                <w:lang w:bidi="ar"/>
                <w14:textFill>
                  <w14:solidFill>
                    <w14:schemeClr w14:val="tx1">
                      <w14:lumMod w14:val="95000"/>
                      <w14:lumOff w14:val="5000"/>
                    </w14:schemeClr>
                  </w14:solidFill>
                </w14:textFill>
              </w:rPr>
              <w:t>年挥发性有机物治理攻坚方案》相符性分析</w:t>
            </w:r>
          </w:p>
          <w:tbl>
            <w:tblPr>
              <w:tblStyle w:val="17"/>
              <w:tblW w:w="7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3219"/>
              <w:gridCol w:w="2754"/>
              <w:gridCol w:w="596"/>
            </w:tblGrid>
            <w:tr w14:paraId="1E207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130" w:type="dxa"/>
                  <w:tcBorders>
                    <w:tl2br w:val="nil"/>
                    <w:tr2bl w:val="nil"/>
                  </w:tcBorders>
                  <w:vAlign w:val="center"/>
                </w:tcPr>
                <w:p w14:paraId="08E8774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文件内容</w:t>
                  </w:r>
                </w:p>
              </w:tc>
              <w:tc>
                <w:tcPr>
                  <w:tcW w:w="3219" w:type="dxa"/>
                  <w:tcBorders>
                    <w:tl2br w:val="nil"/>
                    <w:tr2bl w:val="nil"/>
                  </w:tcBorders>
                  <w:vAlign w:val="center"/>
                </w:tcPr>
                <w:p w14:paraId="5935601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具体要求</w:t>
                  </w:r>
                </w:p>
              </w:tc>
              <w:tc>
                <w:tcPr>
                  <w:tcW w:w="2754" w:type="dxa"/>
                  <w:tcBorders>
                    <w:tl2br w:val="nil"/>
                    <w:tr2bl w:val="nil"/>
                  </w:tcBorders>
                  <w:vAlign w:val="center"/>
                </w:tcPr>
                <w:p w14:paraId="6FB46F7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相符性分析</w:t>
                  </w:r>
                </w:p>
              </w:tc>
              <w:tc>
                <w:tcPr>
                  <w:tcW w:w="596" w:type="dxa"/>
                  <w:tcBorders>
                    <w:tl2br w:val="nil"/>
                    <w:tr2bl w:val="nil"/>
                  </w:tcBorders>
                  <w:tcMar>
                    <w:top w:w="0" w:type="dxa"/>
                    <w:left w:w="51" w:type="dxa"/>
                    <w:bottom w:w="0" w:type="dxa"/>
                    <w:right w:w="51" w:type="dxa"/>
                  </w:tcMar>
                  <w:vAlign w:val="center"/>
                </w:tcPr>
                <w:p w14:paraId="782597B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是否</w:t>
                  </w:r>
                </w:p>
                <w:p w14:paraId="55399BF2">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符合</w:t>
                  </w:r>
                </w:p>
              </w:tc>
            </w:tr>
            <w:tr w14:paraId="5D4B1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1130" w:type="dxa"/>
                  <w:vMerge w:val="restart"/>
                  <w:tcBorders>
                    <w:tl2br w:val="nil"/>
                    <w:tr2bl w:val="nil"/>
                  </w:tcBorders>
                  <w:vAlign w:val="center"/>
                </w:tcPr>
                <w:p w14:paraId="5FAADAB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大力推进低（无）</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含量原辅材料替代。</w:t>
                  </w:r>
                </w:p>
              </w:tc>
              <w:tc>
                <w:tcPr>
                  <w:tcW w:w="3219" w:type="dxa"/>
                  <w:tcBorders>
                    <w:tl2br w:val="nil"/>
                    <w:tr2bl w:val="nil"/>
                  </w:tcBorders>
                  <w:vAlign w:val="center"/>
                </w:tcPr>
                <w:p w14:paraId="3896B32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企业应建立原辅材料台账，记录</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原辅材料名称、成分、</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含量、采购量、使用量、库存量、回收方式、回收量等信息，并保存相关证明材料。</w:t>
                  </w:r>
                </w:p>
              </w:tc>
              <w:tc>
                <w:tcPr>
                  <w:tcW w:w="2754" w:type="dxa"/>
                  <w:tcBorders>
                    <w:tl2br w:val="nil"/>
                    <w:tr2bl w:val="nil"/>
                  </w:tcBorders>
                  <w:vAlign w:val="center"/>
                </w:tcPr>
                <w:p w14:paraId="0864540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本项目拟建立台账，记录</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原辅材料名称、成分、</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含量、采购量、使用量、库存量、回收方式、回收量等信息，并保存相关证明材料</w:t>
                  </w:r>
                </w:p>
              </w:tc>
              <w:tc>
                <w:tcPr>
                  <w:tcW w:w="596" w:type="dxa"/>
                  <w:tcBorders>
                    <w:tl2br w:val="nil"/>
                    <w:tr2bl w:val="nil"/>
                  </w:tcBorders>
                  <w:vAlign w:val="center"/>
                </w:tcPr>
                <w:p w14:paraId="0BF8A7D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是</w:t>
                  </w:r>
                </w:p>
              </w:tc>
            </w:tr>
            <w:tr w14:paraId="3DA174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1130" w:type="dxa"/>
                  <w:vMerge w:val="continue"/>
                  <w:tcBorders>
                    <w:tl2br w:val="nil"/>
                    <w:tr2bl w:val="nil"/>
                  </w:tcBorders>
                  <w:vAlign w:val="center"/>
                </w:tcPr>
                <w:p w14:paraId="25139C2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c>
                <w:tcPr>
                  <w:tcW w:w="3219" w:type="dxa"/>
                  <w:tcBorders>
                    <w:tl2br w:val="nil"/>
                    <w:tr2bl w:val="nil"/>
                  </w:tcBorders>
                  <w:vAlign w:val="center"/>
                </w:tcPr>
                <w:p w14:paraId="7C5AC5C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采用符合国家有关低</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含量产品规定的涂料、油墨、胶粘剂等，排放浓度稳定达标且排放速率满足相关规定的，相应生产工序可不要求建设末端治理设施。使用的原辅材料</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含量（质量比）均低于</w:t>
                  </w:r>
                  <w:r>
                    <w:rPr>
                      <w:rFonts w:hint="default"/>
                      <w:color w:val="0D0D0D" w:themeColor="text1" w:themeTint="F2"/>
                      <w:kern w:val="0"/>
                      <w:sz w:val="21"/>
                      <w:szCs w:val="21"/>
                      <w:lang w:bidi="ar"/>
                      <w14:textFill>
                        <w14:solidFill>
                          <w14:schemeClr w14:val="tx1">
                            <w14:lumMod w14:val="95000"/>
                            <w14:lumOff w14:val="5000"/>
                          </w14:schemeClr>
                        </w14:solidFill>
                      </w14:textFill>
                    </w:rPr>
                    <w:t>10%</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的工序，可不要求采取无组织排放收集和处理措施。</w:t>
                  </w:r>
                </w:p>
              </w:tc>
              <w:tc>
                <w:tcPr>
                  <w:tcW w:w="2754" w:type="dxa"/>
                  <w:tcBorders>
                    <w:tl2br w:val="nil"/>
                    <w:tr2bl w:val="nil"/>
                  </w:tcBorders>
                  <w:vAlign w:val="center"/>
                </w:tcPr>
                <w:p w14:paraId="4162714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本项目采用符合国家有关低</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含量原料，</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产生工序采取集气罩收集后经</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吸附装置处理措施，可确保稳定达标排放</w:t>
                  </w:r>
                </w:p>
                <w:p w14:paraId="78A0B91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c>
                <w:tcPr>
                  <w:tcW w:w="596" w:type="dxa"/>
                  <w:tcBorders>
                    <w:tl2br w:val="nil"/>
                    <w:tr2bl w:val="nil"/>
                  </w:tcBorders>
                  <w:vAlign w:val="center"/>
                </w:tcPr>
                <w:p w14:paraId="48E96A5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是</w:t>
                  </w:r>
                </w:p>
              </w:tc>
            </w:tr>
            <w:tr w14:paraId="5FA7E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30" w:type="dxa"/>
                  <w:tcBorders>
                    <w:tl2br w:val="nil"/>
                    <w:tr2bl w:val="nil"/>
                  </w:tcBorders>
                  <w:vAlign w:val="center"/>
                </w:tcPr>
                <w:p w14:paraId="75FC7E3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加强含</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物料全方位、全链条、全环节密闭管理</w:t>
                  </w:r>
                </w:p>
              </w:tc>
              <w:tc>
                <w:tcPr>
                  <w:tcW w:w="3219" w:type="dxa"/>
                  <w:tcBorders>
                    <w:tl2br w:val="nil"/>
                    <w:tr2bl w:val="nil"/>
                  </w:tcBorders>
                  <w:vAlign w:val="center"/>
                </w:tcPr>
                <w:p w14:paraId="7283178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生产和使用环节应采用密闭设备，或在密闭空间中操作并有效集收；集非废取气用，状或态进时行容局器部应气密体闭收。处置环节应将盛装过</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物料的包装容器、含</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废料（渣、液）、废吸附剂等通过加盖、封装等方式密闭，妥善存放</w:t>
                  </w:r>
                </w:p>
              </w:tc>
              <w:tc>
                <w:tcPr>
                  <w:tcW w:w="2754" w:type="dxa"/>
                  <w:tcBorders>
                    <w:tl2br w:val="nil"/>
                    <w:tr2bl w:val="nil"/>
                  </w:tcBorders>
                  <w:vAlign w:val="center"/>
                </w:tcPr>
                <w:p w14:paraId="2A29EF7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在密闭空间中操作并有效收集废气；盛装过</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物料的容器、废吸附剂密闭妥善存放</w:t>
                  </w:r>
                </w:p>
                <w:p w14:paraId="25D42084">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c>
                <w:tcPr>
                  <w:tcW w:w="596" w:type="dxa"/>
                  <w:tcBorders>
                    <w:tl2br w:val="nil"/>
                    <w:tr2bl w:val="nil"/>
                  </w:tcBorders>
                  <w:vAlign w:val="center"/>
                </w:tcPr>
                <w:p w14:paraId="55F0269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是</w:t>
                  </w:r>
                </w:p>
                <w:p w14:paraId="7905695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r>
            <w:tr w14:paraId="117AB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130" w:type="dxa"/>
                  <w:tcBorders>
                    <w:tl2br w:val="nil"/>
                    <w:tr2bl w:val="nil"/>
                  </w:tcBorders>
                  <w:vAlign w:val="center"/>
                </w:tcPr>
                <w:p w14:paraId="4860631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按照</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应收尽收</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的原则提升废气收集率。</w:t>
                  </w:r>
                </w:p>
              </w:tc>
              <w:tc>
                <w:tcPr>
                  <w:tcW w:w="3219" w:type="dxa"/>
                  <w:tcBorders>
                    <w:tl2br w:val="nil"/>
                    <w:tr2bl w:val="nil"/>
                  </w:tcBorders>
                  <w:vAlign w:val="center"/>
                </w:tcPr>
                <w:p w14:paraId="34C70F3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将无组织排放转变为有组织排放进行控制，优先采用密闭设备、在密闭空间中操作或采用全密闭集气罩收集方式；对于采用局部集气罩的，应根据废气排放特点合理选择收集点位，距集气罩开口面最远处的</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无组织排放位置，控制风速不低于</w:t>
                  </w:r>
                  <w:r>
                    <w:rPr>
                      <w:rFonts w:hint="default"/>
                      <w:color w:val="0D0D0D" w:themeColor="text1" w:themeTint="F2"/>
                      <w:kern w:val="0"/>
                      <w:sz w:val="21"/>
                      <w:szCs w:val="21"/>
                      <w:lang w:bidi="ar"/>
                      <w14:textFill>
                        <w14:solidFill>
                          <w14:schemeClr w14:val="tx1">
                            <w14:lumMod w14:val="95000"/>
                            <w14:lumOff w14:val="5000"/>
                          </w14:schemeClr>
                        </w14:solidFill>
                      </w14:textFill>
                    </w:rPr>
                    <w:t>0.3</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米</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秒，达不到要求的通过更换大功率风机、增设烟道风机、增加垂帘等方式及时改造。</w:t>
                  </w:r>
                </w:p>
              </w:tc>
              <w:tc>
                <w:tcPr>
                  <w:tcW w:w="2754" w:type="dxa"/>
                  <w:tcBorders>
                    <w:tl2br w:val="nil"/>
                    <w:tr2bl w:val="nil"/>
                  </w:tcBorders>
                  <w:vAlign w:val="center"/>
                </w:tcPr>
                <w:p w14:paraId="539FE6A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项目生产过程中会产生有机废气，采用集气罩收集，收集效率约</w:t>
                  </w:r>
                  <w:r>
                    <w:rPr>
                      <w:rFonts w:hint="eastAsia"/>
                      <w:color w:val="0D0D0D" w:themeColor="text1" w:themeTint="F2"/>
                      <w:kern w:val="0"/>
                      <w:sz w:val="21"/>
                      <w:szCs w:val="21"/>
                      <w:lang w:val="en-US" w:eastAsia="zh-CN" w:bidi="ar"/>
                      <w14:textFill>
                        <w14:solidFill>
                          <w14:schemeClr w14:val="tx1">
                            <w14:lumMod w14:val="95000"/>
                            <w14:lumOff w14:val="5000"/>
                          </w14:schemeClr>
                        </w14:solidFill>
                      </w14:textFill>
                    </w:rPr>
                    <w:t>9</w:t>
                  </w:r>
                  <w:r>
                    <w:rPr>
                      <w:rFonts w:hint="default"/>
                      <w:color w:val="0D0D0D" w:themeColor="text1" w:themeTint="F2"/>
                      <w:kern w:val="0"/>
                      <w:sz w:val="21"/>
                      <w:szCs w:val="21"/>
                      <w:lang w:bidi="ar"/>
                      <w14:textFill>
                        <w14:solidFill>
                          <w14:schemeClr w14:val="tx1">
                            <w14:lumMod w14:val="95000"/>
                            <w14:lumOff w14:val="5000"/>
                          </w14:schemeClr>
                        </w14:solidFill>
                      </w14:textFill>
                    </w:rPr>
                    <w:t>0%</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，可确保控制风速不低于</w:t>
                  </w:r>
                  <w:r>
                    <w:rPr>
                      <w:rFonts w:hint="default"/>
                      <w:color w:val="0D0D0D" w:themeColor="text1" w:themeTint="F2"/>
                      <w:kern w:val="0"/>
                      <w:sz w:val="21"/>
                      <w:szCs w:val="21"/>
                      <w:lang w:bidi="ar"/>
                      <w14:textFill>
                        <w14:solidFill>
                          <w14:schemeClr w14:val="tx1">
                            <w14:lumMod w14:val="95000"/>
                            <w14:lumOff w14:val="5000"/>
                          </w14:schemeClr>
                        </w14:solidFill>
                      </w14:textFill>
                    </w:rPr>
                    <w:t>0.3</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米</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秒</w:t>
                  </w:r>
                </w:p>
              </w:tc>
              <w:tc>
                <w:tcPr>
                  <w:tcW w:w="596" w:type="dxa"/>
                  <w:tcBorders>
                    <w:tl2br w:val="nil"/>
                    <w:tr2bl w:val="nil"/>
                  </w:tcBorders>
                  <w:vAlign w:val="center"/>
                </w:tcPr>
                <w:p w14:paraId="38618D6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是</w:t>
                  </w:r>
                </w:p>
              </w:tc>
            </w:tr>
            <w:tr w14:paraId="75EF8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3" w:hRule="atLeast"/>
                <w:jc w:val="center"/>
              </w:trPr>
              <w:tc>
                <w:tcPr>
                  <w:tcW w:w="1130" w:type="dxa"/>
                  <w:tcBorders>
                    <w:tl2br w:val="nil"/>
                    <w:tr2bl w:val="nil"/>
                  </w:tcBorders>
                  <w:vAlign w:val="center"/>
                </w:tcPr>
                <w:p w14:paraId="2B4D1A4B">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按照</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适宜高效</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的原则提高治理设施去除率</w:t>
                  </w:r>
                </w:p>
              </w:tc>
              <w:tc>
                <w:tcPr>
                  <w:tcW w:w="3219" w:type="dxa"/>
                  <w:tcBorders>
                    <w:tl2br w:val="nil"/>
                    <w:tr2bl w:val="nil"/>
                  </w:tcBorders>
                  <w:vAlign w:val="center"/>
                </w:tcPr>
                <w:p w14:paraId="47F68C88">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企业新建治污设施或对现有治污设施实施改造，应依据排放废气特征、VOCs组分及浓度、生产工况等，合理选择治理技术，对治理难度大、单一治理工艺难以稳定达标的，要采用多种技术的组合工艺。采用二级活性炭吸附技术的，应选择碘值不低于800毫克/克的活性炭，并按设计要求足量添加、及时更换。</w:t>
                  </w:r>
                </w:p>
              </w:tc>
              <w:tc>
                <w:tcPr>
                  <w:tcW w:w="2754" w:type="dxa"/>
                  <w:tcBorders>
                    <w:tl2br w:val="nil"/>
                    <w:tr2bl w:val="nil"/>
                  </w:tcBorders>
                  <w:vAlign w:val="center"/>
                </w:tcPr>
                <w:p w14:paraId="587A1CB7">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废气采用</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吸附装置处理后，通过不低于</w:t>
                  </w:r>
                  <w:r>
                    <w:rPr>
                      <w:rFonts w:hint="default"/>
                      <w:color w:val="0D0D0D" w:themeColor="text1" w:themeTint="F2"/>
                      <w:kern w:val="0"/>
                      <w:sz w:val="21"/>
                      <w:szCs w:val="21"/>
                      <w:lang w:bidi="ar"/>
                      <w14:textFill>
                        <w14:solidFill>
                          <w14:schemeClr w14:val="tx1">
                            <w14:lumMod w14:val="95000"/>
                            <w14:lumOff w14:val="5000"/>
                          </w14:schemeClr>
                        </w14:solidFill>
                      </w14:textFill>
                    </w:rPr>
                    <w:t>15m</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高排气筒排放；项目采用的活性炭碘值不低于</w:t>
                  </w:r>
                  <w:r>
                    <w:rPr>
                      <w:rFonts w:hint="default"/>
                      <w:color w:val="0D0D0D" w:themeColor="text1" w:themeTint="F2"/>
                      <w:kern w:val="0"/>
                      <w:sz w:val="21"/>
                      <w:szCs w:val="21"/>
                      <w:lang w:bidi="ar"/>
                      <w14:textFill>
                        <w14:solidFill>
                          <w14:schemeClr w14:val="tx1">
                            <w14:lumMod w14:val="95000"/>
                            <w14:lumOff w14:val="5000"/>
                          </w14:schemeClr>
                        </w14:solidFill>
                      </w14:textFill>
                    </w:rPr>
                    <w:t>800</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毫克</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克，活性炭足量添加、及时更换</w:t>
                  </w:r>
                </w:p>
              </w:tc>
              <w:tc>
                <w:tcPr>
                  <w:tcW w:w="596" w:type="dxa"/>
                  <w:tcBorders>
                    <w:tl2br w:val="nil"/>
                    <w:tr2bl w:val="nil"/>
                  </w:tcBorders>
                  <w:vAlign w:val="center"/>
                </w:tcPr>
                <w:p w14:paraId="5FAC741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是</w:t>
                  </w:r>
                </w:p>
              </w:tc>
            </w:tr>
          </w:tbl>
          <w:p w14:paraId="0068C6A3">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7</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、与《挥发性有机物</w:t>
            </w:r>
            <w:r>
              <w:rPr>
                <w:rFonts w:hint="default"/>
                <w:b/>
                <w:bCs/>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污染防治技术政策》（公告</w:t>
            </w:r>
            <w:r>
              <w:rPr>
                <w:rFonts w:hint="default"/>
                <w:b/>
                <w:bCs/>
                <w:color w:val="0D0D0D" w:themeColor="text1" w:themeTint="F2"/>
                <w:kern w:val="0"/>
                <w:lang w:bidi="ar"/>
                <w14:textFill>
                  <w14:solidFill>
                    <w14:schemeClr w14:val="tx1">
                      <w14:lumMod w14:val="95000"/>
                      <w14:lumOff w14:val="5000"/>
                    </w14:schemeClr>
                  </w14:solidFill>
                </w14:textFill>
              </w:rPr>
              <w:t>2013</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年第</w:t>
            </w:r>
            <w:r>
              <w:rPr>
                <w:rFonts w:hint="default"/>
                <w:b/>
                <w:bCs/>
                <w:color w:val="0D0D0D" w:themeColor="text1" w:themeTint="F2"/>
                <w:kern w:val="0"/>
                <w:lang w:bidi="ar"/>
                <w14:textFill>
                  <w14:solidFill>
                    <w14:schemeClr w14:val="tx1">
                      <w14:lumMod w14:val="95000"/>
                      <w14:lumOff w14:val="5000"/>
                    </w14:schemeClr>
                  </w14:solidFill>
                </w14:textFill>
              </w:rPr>
              <w:t>31</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号）的相符性分析</w:t>
            </w:r>
          </w:p>
          <w:p w14:paraId="4E990C24">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本项目采取的挥发性有机物污染防治措施与《挥发性有机物</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污染防治技术政策》（公告</w:t>
            </w:r>
            <w:r>
              <w:rPr>
                <w:rFonts w:hint="default"/>
                <w:color w:val="0D0D0D" w:themeColor="text1" w:themeTint="F2"/>
                <w:kern w:val="0"/>
                <w:lang w:bidi="ar"/>
                <w14:textFill>
                  <w14:solidFill>
                    <w14:schemeClr w14:val="tx1">
                      <w14:lumMod w14:val="95000"/>
                      <w14:lumOff w14:val="5000"/>
                    </w14:schemeClr>
                  </w14:solidFill>
                </w14:textFill>
              </w:rPr>
              <w:t>2013</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年第</w:t>
            </w:r>
            <w:r>
              <w:rPr>
                <w:rFonts w:hint="default"/>
                <w:color w:val="0D0D0D" w:themeColor="text1" w:themeTint="F2"/>
                <w:kern w:val="0"/>
                <w:lang w:bidi="ar"/>
                <w14:textFill>
                  <w14:solidFill>
                    <w14:schemeClr w14:val="tx1">
                      <w14:lumMod w14:val="95000"/>
                      <w14:lumOff w14:val="5000"/>
                    </w14:schemeClr>
                  </w14:solidFill>
                </w14:textFill>
              </w:rPr>
              <w:t>31</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号）的相符性分析见下表。</w:t>
            </w:r>
          </w:p>
          <w:p w14:paraId="6073B25F">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表1-5  VOCs防治技术与相关政策相符性分析</w:t>
            </w:r>
          </w:p>
          <w:tbl>
            <w:tblPr>
              <w:tblStyle w:val="17"/>
              <w:tblW w:w="76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4332"/>
              <w:gridCol w:w="2661"/>
            </w:tblGrid>
            <w:tr w14:paraId="50CDC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666" w:type="dxa"/>
                  <w:tcBorders>
                    <w:tl2br w:val="nil"/>
                    <w:tr2bl w:val="nil"/>
                  </w:tcBorders>
                  <w:vAlign w:val="center"/>
                </w:tcPr>
                <w:p w14:paraId="518EC0F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内容</w:t>
                  </w:r>
                </w:p>
              </w:tc>
              <w:tc>
                <w:tcPr>
                  <w:tcW w:w="4332" w:type="dxa"/>
                  <w:tcBorders>
                    <w:tl2br w:val="nil"/>
                    <w:tr2bl w:val="nil"/>
                  </w:tcBorders>
                  <w:vAlign w:val="center"/>
                </w:tcPr>
                <w:p w14:paraId="6C8D0D55">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具体要求</w:t>
                  </w:r>
                </w:p>
              </w:tc>
              <w:tc>
                <w:tcPr>
                  <w:tcW w:w="2661" w:type="dxa"/>
                  <w:tcBorders>
                    <w:tl2br w:val="nil"/>
                    <w:tr2bl w:val="nil"/>
                  </w:tcBorders>
                  <w:vAlign w:val="center"/>
                </w:tcPr>
                <w:p w14:paraId="7A4554A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本工程情况</w:t>
                  </w:r>
                </w:p>
              </w:tc>
            </w:tr>
            <w:tr w14:paraId="116C60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6" w:type="dxa"/>
                  <w:vMerge w:val="restart"/>
                  <w:tcBorders>
                    <w:tl2br w:val="nil"/>
                    <w:tr2bl w:val="nil"/>
                  </w:tcBorders>
                  <w:vAlign w:val="center"/>
                </w:tcPr>
                <w:p w14:paraId="028D2913">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挥发性有机物</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污染防治技术政策</w:t>
                  </w:r>
                </w:p>
              </w:tc>
              <w:tc>
                <w:tcPr>
                  <w:tcW w:w="4332" w:type="dxa"/>
                  <w:tcBorders>
                    <w:tl2br w:val="nil"/>
                    <w:tr2bl w:val="nil"/>
                  </w:tcBorders>
                  <w:vAlign w:val="center"/>
                </w:tcPr>
                <w:p w14:paraId="7C6D8156">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二、源头和过程控制</w:t>
                  </w:r>
                  <w:r>
                    <w:rPr>
                      <w:rFonts w:hint="eastAsia"/>
                      <w:color w:val="0D0D0D" w:themeColor="text1" w:themeTint="F2"/>
                      <w:kern w:val="0"/>
                      <w:sz w:val="21"/>
                      <w:szCs w:val="21"/>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（九</w:t>
                  </w:r>
                  <w:r>
                    <w:rPr>
                      <w:rFonts w:hint="eastAsia"/>
                      <w:color w:val="0D0D0D" w:themeColor="text1" w:themeTint="F2"/>
                      <w:kern w:val="0"/>
                      <w:sz w:val="21"/>
                      <w:szCs w:val="21"/>
                      <w:lang w:eastAsia="zh-CN"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1</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、鼓励符合环境标志产品技术要求的水基型、无有机溶剂型、低有机溶剂型的涂料、油墨和胶粘剂等的生产和销售；</w:t>
                  </w:r>
                  <w:r>
                    <w:rPr>
                      <w:rFonts w:hint="default"/>
                      <w:color w:val="0D0D0D" w:themeColor="text1" w:themeTint="F2"/>
                      <w:kern w:val="0"/>
                      <w:sz w:val="21"/>
                      <w:szCs w:val="21"/>
                      <w:lang w:bidi="ar"/>
                      <w14:textFill>
                        <w14:solidFill>
                          <w14:schemeClr w14:val="tx1">
                            <w14:lumMod w14:val="95000"/>
                            <w14:lumOff w14:val="5000"/>
                          </w14:schemeClr>
                        </w14:solidFill>
                      </w14:textFill>
                    </w:rPr>
                    <w:t>2</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、鼓励采用密闭一体化生产技术，并对生产过程中产生的废气分类收集后处理</w:t>
                  </w:r>
                </w:p>
              </w:tc>
              <w:tc>
                <w:tcPr>
                  <w:tcW w:w="2661" w:type="dxa"/>
                  <w:tcBorders>
                    <w:tl2br w:val="nil"/>
                    <w:tr2bl w:val="nil"/>
                  </w:tcBorders>
                  <w:tcMar>
                    <w:top w:w="0" w:type="dxa"/>
                    <w:left w:w="51" w:type="dxa"/>
                    <w:bottom w:w="0" w:type="dxa"/>
                    <w:right w:w="51" w:type="dxa"/>
                  </w:tcMar>
                  <w:vAlign w:val="center"/>
                </w:tcPr>
                <w:p w14:paraId="1007AC5F">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本项目不使用涂料，本项目生产过程中采用集气罩收集废气。</w:t>
                  </w:r>
                </w:p>
              </w:tc>
            </w:tr>
            <w:tr w14:paraId="4D2D12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6" w:type="dxa"/>
                  <w:vMerge w:val="continue"/>
                  <w:tcBorders>
                    <w:tl2br w:val="nil"/>
                    <w:tr2bl w:val="nil"/>
                  </w:tcBorders>
                  <w:vAlign w:val="center"/>
                </w:tcPr>
                <w:p w14:paraId="05C86DF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c>
                <w:tcPr>
                  <w:tcW w:w="4332" w:type="dxa"/>
                  <w:tcBorders>
                    <w:tl2br w:val="nil"/>
                    <w:tr2bl w:val="nil"/>
                  </w:tcBorders>
                  <w:vAlign w:val="center"/>
                </w:tcPr>
                <w:p w14:paraId="753013EA">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三、末端治理与综合利用</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十五）：对于含低浓度VOCs的废气，有回收价值时可采用吸附技术、吸收技术对有机溶剂回收后达标排放；不宜回收时，可采用吸附浓缩燃烧技术、生物技术、吸收技术、等离子体技术、紫外光高级氧化技术等净化后达标排放</w:t>
                  </w:r>
                </w:p>
              </w:tc>
              <w:tc>
                <w:tcPr>
                  <w:tcW w:w="2661" w:type="dxa"/>
                  <w:tcBorders>
                    <w:tl2br w:val="nil"/>
                    <w:tr2bl w:val="nil"/>
                  </w:tcBorders>
                  <w:tcMar>
                    <w:top w:w="0" w:type="dxa"/>
                    <w:left w:w="51" w:type="dxa"/>
                    <w:bottom w:w="0" w:type="dxa"/>
                    <w:right w:w="51" w:type="dxa"/>
                  </w:tcMar>
                  <w:vAlign w:val="center"/>
                </w:tcPr>
                <w:p w14:paraId="5079012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本项目采用</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吸附净化</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，末端治理技术符合要求，能够实现达标排放。</w:t>
                  </w:r>
                </w:p>
              </w:tc>
            </w:tr>
            <w:tr w14:paraId="53202F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66" w:type="dxa"/>
                  <w:vMerge w:val="continue"/>
                  <w:tcBorders>
                    <w:tl2br w:val="nil"/>
                    <w:tr2bl w:val="nil"/>
                  </w:tcBorders>
                  <w:vAlign w:val="center"/>
                </w:tcPr>
                <w:p w14:paraId="551A460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c>
                <w:tcPr>
                  <w:tcW w:w="4332" w:type="dxa"/>
                  <w:tcBorders>
                    <w:tl2br w:val="nil"/>
                    <w:tr2bl w:val="nil"/>
                  </w:tcBorders>
                  <w:vAlign w:val="center"/>
                </w:tcPr>
                <w:p w14:paraId="6BFC6090">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四、末端治理与综合利用</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（二十）：对于不能再生的过滤材料、吸附剂及催化剂等净化材料，应按照国家固体废物管理的相关规定处理处置</w:t>
                  </w:r>
                </w:p>
              </w:tc>
              <w:tc>
                <w:tcPr>
                  <w:tcW w:w="2661" w:type="dxa"/>
                  <w:tcBorders>
                    <w:tl2br w:val="nil"/>
                    <w:tr2bl w:val="nil"/>
                  </w:tcBorders>
                  <w:tcMar>
                    <w:top w:w="0" w:type="dxa"/>
                    <w:left w:w="51" w:type="dxa"/>
                    <w:bottom w:w="0" w:type="dxa"/>
                    <w:right w:w="51" w:type="dxa"/>
                  </w:tcMar>
                  <w:vAlign w:val="center"/>
                </w:tcPr>
                <w:p w14:paraId="4C116A19">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本项目采用</w:t>
                  </w:r>
                  <w:r>
                    <w:rPr>
                      <w:rFonts w:hint="eastAsia" w:ascii="宋体" w:hAnsi="宋体" w:cs="宋体"/>
                      <w:color w:val="0D0D0D" w:themeColor="text1" w:themeTint="F2"/>
                      <w:kern w:val="0"/>
                      <w:sz w:val="21"/>
                      <w:szCs w:val="21"/>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吸附净化</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。废气净化系统更换下来的废活性炭属于危险废物，按照危险废物进行管理，本项目产生的废活性炭经暂存后交由有资质的单位进行处理处置。</w:t>
                  </w:r>
                </w:p>
              </w:tc>
            </w:tr>
            <w:tr w14:paraId="01476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6" w:type="dxa"/>
                  <w:vMerge w:val="continue"/>
                  <w:tcBorders>
                    <w:tl2br w:val="nil"/>
                    <w:tr2bl w:val="nil"/>
                  </w:tcBorders>
                  <w:vAlign w:val="center"/>
                </w:tcPr>
                <w:p w14:paraId="14CEFDB7">
                  <w:pPr>
                    <w:keepNext w:val="0"/>
                    <w:keepLines w:val="0"/>
                    <w:widowControl/>
                    <w:suppressLineNumbers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p>
              </w:tc>
              <w:tc>
                <w:tcPr>
                  <w:tcW w:w="4332" w:type="dxa"/>
                  <w:tcBorders>
                    <w:tl2br w:val="nil"/>
                    <w:tr2bl w:val="nil"/>
                  </w:tcBorders>
                  <w:vAlign w:val="center"/>
                </w:tcPr>
                <w:p w14:paraId="63E815FE">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五、运行与监测</w:t>
                  </w:r>
                  <w:r>
                    <w:rPr>
                      <w:rFonts w:hint="eastAsia"/>
                      <w:color w:val="0D0D0D" w:themeColor="text1" w:themeTint="F2"/>
                      <w:kern w:val="0"/>
                      <w:sz w:val="21"/>
                      <w:szCs w:val="21"/>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（二十五）：鼓励企业自行开展</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监测，并及时主动向当地环保行政主管部门报送监测结果</w:t>
                  </w:r>
                </w:p>
              </w:tc>
              <w:tc>
                <w:tcPr>
                  <w:tcW w:w="2661" w:type="dxa"/>
                  <w:tcBorders>
                    <w:tl2br w:val="nil"/>
                    <w:tr2bl w:val="nil"/>
                  </w:tcBorders>
                  <w:tcMar>
                    <w:top w:w="0" w:type="dxa"/>
                    <w:left w:w="51" w:type="dxa"/>
                    <w:bottom w:w="0" w:type="dxa"/>
                    <w:right w:w="51" w:type="dxa"/>
                  </w:tcMar>
                  <w:vAlign w:val="center"/>
                </w:tcPr>
                <w:p w14:paraId="59A09A2C">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cs="宋体"/>
                      <w:b/>
                      <w:bCs/>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本环评要求企业在后续投产运行后，紧跟当前环境管理要求，将</w:t>
                  </w:r>
                  <w:r>
                    <w:rPr>
                      <w:rFonts w:hint="default"/>
                      <w:color w:val="0D0D0D" w:themeColor="text1" w:themeTint="F2"/>
                      <w:kern w:val="0"/>
                      <w:sz w:val="21"/>
                      <w:szCs w:val="21"/>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纳入环境监测技术，并定期主动报送监测结果。</w:t>
                  </w:r>
                </w:p>
              </w:tc>
            </w:tr>
          </w:tbl>
          <w:p w14:paraId="2C8253AB">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由上表可知：本项目采取的挥发性有机物污染防治措施符合《挥发性有机物</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污染防治技术政策》的要求。</w:t>
            </w:r>
          </w:p>
          <w:p w14:paraId="1ED093ED">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8</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、与《关于印发湖南省挥发性有机物污染防治三年实施方案的通知》（湘环发</w:t>
            </w:r>
            <w:r>
              <w:rPr>
                <w:rFonts w:hint="default"/>
                <w:b/>
                <w:bCs/>
                <w:color w:val="0D0D0D" w:themeColor="text1" w:themeTint="F2"/>
                <w:kern w:val="0"/>
                <w:lang w:bidi="ar"/>
                <w14:textFill>
                  <w14:solidFill>
                    <w14:schemeClr w14:val="tx1">
                      <w14:lumMod w14:val="95000"/>
                      <w14:lumOff w14:val="5000"/>
                    </w14:schemeClr>
                  </w14:solidFill>
                </w14:textFill>
              </w:rPr>
              <w:t>[2018]11</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号）符合性分析</w:t>
            </w:r>
          </w:p>
          <w:p w14:paraId="42C7B10B">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该实施方案中明确</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通过源头削减（</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原材料替代）、过程控制（防止</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跑、冒、滴、漏</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、工艺优化等）及末端治理（新建去除设施）等措施，强化环境管理手段（排污收费、经济激励、环境执法等）减少</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排放量</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严格建设项目环境准入。</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新、改、扩建涉</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排放项目，应从源头加强控制，使用低（无）</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含量的原辅材料，加强废气收集，安装高效治理设施</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加快推进化工行业</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综合治理</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w:t>
            </w:r>
          </w:p>
          <w:p w14:paraId="01DFCF33">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总体来说，本项目属于采用低</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含量的原辅材料，从源头控制挥发性有机废气产生，本项目不属于高</w:t>
            </w:r>
            <w:r>
              <w:rPr>
                <w:rFonts w:hint="default"/>
                <w:color w:val="0D0D0D" w:themeColor="text1" w:themeTint="F2"/>
                <w:kern w:val="0"/>
                <w:lang w:bidi="ar"/>
                <w14:textFill>
                  <w14:solidFill>
                    <w14:schemeClr w14:val="tx1">
                      <w14:lumMod w14:val="95000"/>
                      <w14:lumOff w14:val="5000"/>
                    </w14:schemeClr>
                  </w14:solidFill>
                </w14:textFill>
              </w:rPr>
              <w:t>VOCs</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排放项目。项目生产过程产生的挥发性有机废气收集后经</w:t>
            </w:r>
            <w:r>
              <w:rPr>
                <w:rFonts w:hint="eastAsia" w:ascii="宋体" w:hAnsi="宋体" w:cs="宋体"/>
                <w:color w:val="0D0D0D" w:themeColor="text1" w:themeTint="F2"/>
                <w:kern w:val="0"/>
                <w:lang w:eastAsia="zh-CN" w:bidi="ar"/>
                <w14:textFill>
                  <w14:solidFill>
                    <w14:schemeClr w14:val="tx1">
                      <w14:lumMod w14:val="95000"/>
                      <w14:lumOff w14:val="5000"/>
                    </w14:schemeClr>
                  </w14:solidFill>
                </w14:textFill>
              </w:rPr>
              <w:t>二级活性炭</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吸附装置处理后通过不低于</w:t>
            </w:r>
            <w:r>
              <w:rPr>
                <w:rFonts w:hint="default"/>
                <w:color w:val="0D0D0D" w:themeColor="text1" w:themeTint="F2"/>
                <w:kern w:val="0"/>
                <w:lang w:bidi="ar"/>
                <w14:textFill>
                  <w14:solidFill>
                    <w14:schemeClr w14:val="tx1">
                      <w14:lumMod w14:val="95000"/>
                      <w14:lumOff w14:val="5000"/>
                    </w14:schemeClr>
                  </w14:solidFill>
                </w14:textFill>
              </w:rPr>
              <w:t>15</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米高排气筒外排，经过处理后，确保有机废气的达标排放，项目建设符合《关于印发湖南省挥发性有机物污染防治三年实施方案的通知》（湘环发</w:t>
            </w:r>
            <w:r>
              <w:rPr>
                <w:rFonts w:hint="default"/>
                <w:color w:val="0D0D0D" w:themeColor="text1" w:themeTint="F2"/>
                <w:kern w:val="0"/>
                <w:lang w:bidi="ar"/>
                <w14:textFill>
                  <w14:solidFill>
                    <w14:schemeClr w14:val="tx1">
                      <w14:lumMod w14:val="95000"/>
                      <w14:lumOff w14:val="5000"/>
                    </w14:schemeClr>
                  </w14:solidFill>
                </w14:textFill>
              </w:rPr>
              <w:t>[2018]11</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号）中相关要求。</w:t>
            </w:r>
          </w:p>
          <w:p w14:paraId="021C8B62">
            <w:pPr>
              <w:keepNext w:val="0"/>
              <w:keepLines w:val="0"/>
              <w:widowControl/>
              <w:suppressLineNumbers w:val="0"/>
              <w:spacing w:before="0" w:beforeAutospacing="0" w:after="0" w:afterAutospacing="0"/>
              <w:ind w:left="0" w:right="0" w:firstLine="482"/>
              <w:jc w:val="left"/>
              <w:rPr>
                <w:rFonts w:hint="default"/>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9</w:t>
            </w:r>
            <w:r>
              <w:rPr>
                <w:rFonts w:hint="eastAsia" w:ascii="宋体" w:hAnsi="宋体" w:cs="宋体"/>
                <w:b/>
                <w:bCs/>
                <w:color w:val="0D0D0D" w:themeColor="text1" w:themeTint="F2"/>
                <w:kern w:val="0"/>
                <w:u w:val="single"/>
                <w:lang w:bidi="ar"/>
                <w14:textFill>
                  <w14:solidFill>
                    <w14:schemeClr w14:val="tx1">
                      <w14:lumMod w14:val="95000"/>
                      <w14:lumOff w14:val="5000"/>
                    </w14:schemeClr>
                  </w14:solidFill>
                </w14:textFill>
              </w:rPr>
              <w:t>、选址合理性分析</w:t>
            </w:r>
          </w:p>
          <w:p w14:paraId="1C1BD665">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综合考虑区域发展规划、环境功能、运输条件、水、电供应等情况，本项目选址可行性分析如下：</w:t>
            </w:r>
          </w:p>
          <w:p w14:paraId="72FC961C">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1</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本项目位于永州市湖南零陵工业园河西工业区瑞翔大道与西爽亭路交汇处东南角苏宁松桥电器（富润）智造产业园标准厂房，项目用地不占用基本农田、公益林地。选址不属于自然保护区、风景名胜区、森林公园、重要湖泊周边、文物古迹所在地、地质遗迹保护区、基本农田保护区等区域。项目周边不存在制约本项目发展的因素，项目厂址外环境关系较为简单，无特殊环境敏感点，无明显环境制约因子，项目</w:t>
            </w:r>
            <w:r>
              <w:rPr>
                <w:rFonts w:hint="eastAsia" w:ascii="宋体" w:hAnsi="宋体" w:cs="宋体"/>
                <w:color w:val="0D0D0D" w:themeColor="text1" w:themeTint="F2"/>
                <w:kern w:val="0"/>
                <w:u w:val="single"/>
                <w:lang w:val="en-US" w:eastAsia="zh-CN" w:bidi="ar"/>
                <w14:textFill>
                  <w14:solidFill>
                    <w14:schemeClr w14:val="tx1">
                      <w14:lumMod w14:val="95000"/>
                      <w14:lumOff w14:val="5000"/>
                    </w14:schemeClr>
                  </w14:solidFill>
                </w14:textFill>
              </w:rPr>
              <w:t>产权</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详见附件（见附件）。</w:t>
            </w:r>
          </w:p>
          <w:p w14:paraId="5F1795EC">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2</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）根据现状调查资料显示，项目所在地空气环境质量与地表水环境质量均较好，具有一定的环境容量，项目的建设符合当地环境功能区划要求。</w:t>
            </w:r>
          </w:p>
          <w:p w14:paraId="26DF725A">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3</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）项目地址位于工业园，交通条件十分便利，区位优势明显。</w:t>
            </w:r>
          </w:p>
          <w:p w14:paraId="6532A496">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4</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）厂址所在地水、电、原料供应均有保证，满足生产及生活需求。</w:t>
            </w:r>
          </w:p>
          <w:p w14:paraId="62E0E9AE">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5</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）项目生产过程中产生的噪声，通过隔声、减震等措施后，厂界均达标，周边</w:t>
            </w:r>
            <w:r>
              <w:rPr>
                <w:rFonts w:hint="default"/>
                <w:color w:val="0D0D0D" w:themeColor="text1" w:themeTint="F2"/>
                <w:kern w:val="0"/>
                <w:u w:val="single"/>
                <w:lang w:bidi="ar"/>
                <w14:textFill>
                  <w14:solidFill>
                    <w14:schemeClr w14:val="tx1">
                      <w14:lumMod w14:val="95000"/>
                      <w14:lumOff w14:val="5000"/>
                    </w14:schemeClr>
                  </w14:solidFill>
                </w14:textFill>
              </w:rPr>
              <w:t>50</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米范围内无常住居民，不会对临近居民生活要求的声环境产生明显影响。</w:t>
            </w:r>
          </w:p>
          <w:p w14:paraId="69719438">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6</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）项目产生的</w:t>
            </w:r>
            <w:r>
              <w:rPr>
                <w:rFonts w:hint="default"/>
                <w:color w:val="0D0D0D" w:themeColor="text1" w:themeTint="F2"/>
                <w:kern w:val="0"/>
                <w:u w:val="single"/>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三废</w:t>
            </w:r>
            <w:r>
              <w:rPr>
                <w:rFonts w:hint="default"/>
                <w:color w:val="0D0D0D" w:themeColor="text1" w:themeTint="F2"/>
                <w:kern w:val="0"/>
                <w:u w:val="single"/>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经处理后均达标排放或循环利用，不改变区域环境功能级别，不会对临近敏感点造成不利影响。</w:t>
            </w:r>
          </w:p>
          <w:p w14:paraId="45502AA5">
            <w:pPr>
              <w:keepNext w:val="0"/>
              <w:keepLines w:val="0"/>
              <w:widowControl/>
              <w:suppressLineNumbers w:val="0"/>
              <w:spacing w:before="0" w:beforeAutospacing="0" w:after="0" w:afterAutospacing="0"/>
              <w:ind w:left="0" w:right="0" w:firstLine="480"/>
              <w:jc w:val="left"/>
              <w:rPr>
                <w:rFonts w:hint="default" w:ascii="宋体" w:hAnsi="宋体" w:cs="宋体"/>
                <w:color w:val="0D0D0D" w:themeColor="text1" w:themeTint="F2"/>
                <w:kern w:val="0"/>
                <w:u w:val="single"/>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7</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）项目符合零陵工业园企业准入条件，符合工业园土地规划。</w:t>
            </w:r>
          </w:p>
          <w:p w14:paraId="2F80D0E9">
            <w:pPr>
              <w:keepNext w:val="0"/>
              <w:keepLines w:val="0"/>
              <w:widowControl/>
              <w:suppressLineNumbers w:val="0"/>
              <w:spacing w:before="0" w:beforeAutospacing="0" w:after="0" w:afterAutospacing="0"/>
              <w:ind w:left="0" w:right="0" w:firstLine="480"/>
              <w:jc w:val="left"/>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综上所述，从环保角度分析，项目的厂址选择是可行的。</w:t>
            </w:r>
          </w:p>
        </w:tc>
      </w:tr>
    </w:tbl>
    <w:p w14:paraId="24A99D41">
      <w:pPr>
        <w:ind w:firstLine="1434" w:firstLineChars="478"/>
        <w:rPr>
          <w:rFonts w:eastAsia="黑体"/>
          <w:color w:val="0D0D0D" w:themeColor="text1" w:themeTint="F2"/>
          <w:sz w:val="30"/>
          <w14:textFill>
            <w14:solidFill>
              <w14:schemeClr w14:val="tx1">
                <w14:lumMod w14:val="95000"/>
                <w14:lumOff w14:val="5000"/>
              </w14:schemeClr>
            </w14:solidFill>
          </w14:textFill>
        </w:rPr>
        <w:sectPr>
          <w:footerReference r:id="rId5" w:type="default"/>
          <w:pgSz w:w="11906" w:h="16838"/>
          <w:pgMar w:top="1701" w:right="1531" w:bottom="1701" w:left="1531" w:header="851" w:footer="851" w:gutter="0"/>
          <w:pgNumType w:start="1"/>
          <w:cols w:space="720" w:num="1"/>
          <w:docGrid w:linePitch="312" w:charSpace="0"/>
        </w:sectPr>
      </w:pPr>
    </w:p>
    <w:p w14:paraId="282D4B54">
      <w:pPr>
        <w:ind w:firstLine="0" w:firstLineChars="0"/>
        <w:jc w:val="center"/>
        <w:outlineLvl w:val="0"/>
        <w:rPr>
          <w:rFonts w:ascii="黑体" w:hAnsi="黑体" w:eastAsia="黑体"/>
          <w:snapToGrid w:val="0"/>
          <w:color w:val="0D0D0D" w:themeColor="text1" w:themeTint="F2"/>
          <w:sz w:val="30"/>
          <w:szCs w:val="30"/>
          <w14:textFill>
            <w14:solidFill>
              <w14:schemeClr w14:val="tx1">
                <w14:lumMod w14:val="95000"/>
                <w14:lumOff w14:val="5000"/>
              </w14:schemeClr>
            </w14:solidFill>
          </w14:textFill>
        </w:rPr>
      </w:pPr>
      <w:bookmarkStart w:id="10" w:name="_Toc28653"/>
      <w:bookmarkStart w:id="11" w:name="_Toc6811"/>
      <w:r>
        <w:rPr>
          <w:rFonts w:hint="eastAsia" w:ascii="黑体" w:hAnsi="黑体" w:eastAsia="黑体"/>
          <w:snapToGrid w:val="0"/>
          <w:color w:val="0D0D0D" w:themeColor="text1" w:themeTint="F2"/>
          <w:sz w:val="30"/>
          <w:szCs w:val="30"/>
          <w14:textFill>
            <w14:solidFill>
              <w14:schemeClr w14:val="tx1">
                <w14:lumMod w14:val="95000"/>
                <w14:lumOff w14:val="5000"/>
              </w14:schemeClr>
            </w14:solidFill>
          </w14:textFill>
        </w:rPr>
        <w:t>二、建设项目工程分析</w:t>
      </w:r>
      <w:bookmarkEnd w:id="10"/>
      <w:bookmarkEnd w:id="11"/>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8271"/>
      </w:tblGrid>
      <w:tr w14:paraId="1549E3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713" w:type="dxa"/>
            <w:vAlign w:val="center"/>
          </w:tcPr>
          <w:p w14:paraId="6CAF9FFE">
            <w:pPr>
              <w:keepNext w:val="0"/>
              <w:keepLines w:val="0"/>
              <w:suppressLineNumbers w:val="0"/>
              <w:spacing w:before="0" w:beforeAutospacing="0" w:after="0" w:afterAutospacing="0"/>
              <w:ind w:left="0" w:right="0" w:firstLine="0" w:firstLineChars="0"/>
              <w:jc w:val="center"/>
              <w:outlineLvl w:val="0"/>
              <w:rPr>
                <w:rFonts w:hint="default" w:cs="宋体"/>
                <w:b/>
                <w:bCs/>
                <w:color w:val="0D0D0D" w:themeColor="text1" w:themeTint="F2"/>
                <w:sz w:val="21"/>
                <w:szCs w:val="21"/>
                <w14:textFill>
                  <w14:solidFill>
                    <w14:schemeClr w14:val="tx1">
                      <w14:lumMod w14:val="95000"/>
                      <w14:lumOff w14:val="5000"/>
                    </w14:schemeClr>
                  </w14:solidFill>
                </w14:textFill>
              </w:rPr>
            </w:pPr>
            <w:bookmarkStart w:id="12" w:name="_Toc16558"/>
            <w:bookmarkStart w:id="13" w:name="_Toc25598"/>
            <w:r>
              <w:rPr>
                <w:rFonts w:hint="eastAsia" w:cs="宋体"/>
                <w:b/>
                <w:bCs/>
                <w:color w:val="0D0D0D" w:themeColor="text1" w:themeTint="F2"/>
                <w:sz w:val="21"/>
                <w:szCs w:val="21"/>
                <w14:textFill>
                  <w14:solidFill>
                    <w14:schemeClr w14:val="tx1">
                      <w14:lumMod w14:val="95000"/>
                      <w14:lumOff w14:val="5000"/>
                    </w14:schemeClr>
                  </w14:solidFill>
                </w14:textFill>
              </w:rPr>
              <w:t>建设内容</w:t>
            </w:r>
            <w:bookmarkEnd w:id="12"/>
            <w:bookmarkEnd w:id="13"/>
          </w:p>
        </w:tc>
        <w:tc>
          <w:tcPr>
            <w:tcW w:w="8271" w:type="dxa"/>
          </w:tcPr>
          <w:p w14:paraId="2899C23E">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1</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、项目由来及建设项目基本情况</w:t>
            </w:r>
          </w:p>
          <w:p w14:paraId="2DBD9ED0">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w:t>
            </w:r>
            <w:r>
              <w:rPr>
                <w:rFonts w:hint="default"/>
                <w:color w:val="0D0D0D" w:themeColor="text1" w:themeTint="F2"/>
                <w:kern w:val="0"/>
                <w:lang w:bidi="ar"/>
                <w14:textFill>
                  <w14:solidFill>
                    <w14:schemeClr w14:val="tx1">
                      <w14:lumMod w14:val="95000"/>
                      <w14:lumOff w14:val="5000"/>
                    </w14:schemeClr>
                  </w14:solidFill>
                </w14:textFill>
              </w:rPr>
              <w:t>1</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）项目由来</w:t>
            </w:r>
          </w:p>
          <w:p w14:paraId="330BBA82">
            <w:pPr>
              <w:keepNext w:val="0"/>
              <w:keepLines w:val="0"/>
              <w:widowControl/>
              <w:suppressLineNumbers w:val="0"/>
              <w:spacing w:before="0" w:beforeAutospacing="0" w:after="0" w:afterAutospacing="0"/>
              <w:ind w:left="0" w:right="0" w:firstLine="480"/>
              <w:jc w:val="left"/>
              <w:rPr>
                <w:rFonts w:hint="default" w:ascii="宋体" w:hAnsi="宋体" w:eastAsia="宋体" w:cs="宋体"/>
                <w:color w:val="0D0D0D" w:themeColor="text1" w:themeTint="F2"/>
                <w:kern w:val="0"/>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永州市零陵晨光树脂有限责任公司</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为一家专业</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合成树脂制造及销售</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企业</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。现因发展规划、市场需求，企业拟投资2600万元</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在</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永州市零陵区湖南零陵工业园河西工业区瑞翔大道与西爽亭路交汇处东南角</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建设</w:t>
            </w:r>
            <w:r>
              <w:rPr>
                <w:rFonts w:hint="eastAsia" w:ascii="宋体" w:hAnsi="宋体" w:cs="宋体"/>
                <w:color w:val="0D0D0D" w:themeColor="text1" w:themeTint="F2"/>
                <w14:textFill>
                  <w14:solidFill>
                    <w14:schemeClr w14:val="tx1">
                      <w14:lumMod w14:val="95000"/>
                      <w14:lumOff w14:val="5000"/>
                    </w14:schemeClr>
                  </w14:solidFill>
                </w14:textFill>
              </w:rPr>
              <w:t>年产2000吨热塑性聚氨酯弹性体（TPU）项目</w:t>
            </w:r>
            <w:r>
              <w:rPr>
                <w:rFonts w:hint="eastAsia" w:ascii="宋体" w:hAnsi="宋体" w:cs="宋体"/>
                <w:color w:val="0D0D0D" w:themeColor="text1" w:themeTint="F2"/>
                <w:lang w:eastAsia="zh-CN"/>
                <w14:textFill>
                  <w14:solidFill>
                    <w14:schemeClr w14:val="tx1">
                      <w14:lumMod w14:val="95000"/>
                      <w14:lumOff w14:val="5000"/>
                    </w14:schemeClr>
                  </w14:solidFill>
                </w14:textFill>
              </w:rPr>
              <w:t>。</w:t>
            </w:r>
            <w:r>
              <w:rPr>
                <w:rFonts w:hint="eastAsia" w:ascii="宋体" w:hAnsi="宋体" w:cs="宋体"/>
                <w:color w:val="0D0D0D" w:themeColor="text1" w:themeTint="F2"/>
                <w:lang w:val="en-US" w:eastAsia="zh-CN"/>
                <w14:textFill>
                  <w14:solidFill>
                    <w14:schemeClr w14:val="tx1">
                      <w14:lumMod w14:val="95000"/>
                      <w14:lumOff w14:val="5000"/>
                    </w14:schemeClr>
                  </w14:solidFill>
                </w14:textFill>
              </w:rPr>
              <w:t>项目购置零陵工业园内位于</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河西工业区瑞翔大道与西爽亭路交汇处东南角</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共13333.4m</w:t>
            </w:r>
            <w:r>
              <w:rPr>
                <w:rFonts w:hint="eastAsia" w:ascii="宋体" w:hAnsi="宋体" w:cs="宋体"/>
                <w:color w:val="0D0D0D" w:themeColor="text1" w:themeTint="F2"/>
                <w:kern w:val="0"/>
                <w:vertAlign w:val="superscript"/>
                <w:lang w:val="en-US" w:eastAsia="zh-CN" w:bidi="ar"/>
                <w14:textFill>
                  <w14:solidFill>
                    <w14:schemeClr w14:val="tx1">
                      <w14:lumMod w14:val="95000"/>
                      <w14:lumOff w14:val="5000"/>
                    </w14:schemeClr>
                  </w14:solidFill>
                </w14:textFill>
              </w:rPr>
              <w:t>2</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的工业用地，主要建设2栋生产厂房，并购置相应设备组成两条</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热塑性聚氨酯弹性体</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生产线，建成后达到年产2000吨</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热塑性聚氨酯弹性体（TPU）</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的生产能力。</w:t>
            </w:r>
          </w:p>
          <w:p w14:paraId="550ADCA2">
            <w:pPr>
              <w:keepNext w:val="0"/>
              <w:keepLines w:val="0"/>
              <w:widowControl/>
              <w:suppressLineNumbers w:val="0"/>
              <w:spacing w:before="0" w:beforeAutospacing="0" w:after="0" w:afterAutospacing="0"/>
              <w:ind w:left="0" w:right="0" w:firstLine="480"/>
              <w:jc w:val="left"/>
              <w:rPr>
                <w:rFonts w:hint="default" w:ascii="宋体" w:hAnsi="宋体" w:cs="宋体"/>
                <w:color w:val="0D0D0D" w:themeColor="text1" w:themeTint="F2"/>
                <w:kern w:val="0"/>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根据《国民经济行业分类》（GB/T4754-2023），</w:t>
            </w:r>
            <w:r>
              <w:rPr>
                <w:rFonts w:hint="eastAsia" w:ascii="宋体" w:hAnsi="宋体" w:cs="宋体"/>
                <w:color w:val="0D0D0D" w:themeColor="text1" w:themeTint="F2"/>
                <w:kern w:val="0"/>
                <w:lang w:val="en-US" w:eastAsia="zh-CN" w:bidi="ar"/>
                <w14:textFill>
                  <w14:solidFill>
                    <w14:schemeClr w14:val="tx1">
                      <w14:lumMod w14:val="95000"/>
                      <w14:lumOff w14:val="5000"/>
                    </w14:schemeClr>
                  </w14:solidFill>
                </w14:textFill>
              </w:rPr>
              <w:t>并结合2024年8月11日湖南省生态环境厅领导信箱关于项目环评类别的咨询回复。项目</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产品为塑料制品制造材料，生产过程中不涉及发泡工艺，不属于泡沫塑料生产，属于“C2929塑料零件及其他塑料制品制造”。根据《建设项目环境影响评价分类管理名录（2021版）》，本项目属于“二十六、橡胶和塑料制品业 29-53、塑料制品业 292”，其他（年用非溶剂型低 VOCs 含量涂料 10 吨以下的除外），应编制环境影响报告表。因此，建设单位于2024年08月委托本技术单位编制该项目的环境影响报告表（见附件1）。本技术单位接受委托后，派技术人员踏勘现场和收集有关资料，并依照相关规定编写报告表，供建设单位报生态环境主管部门审批。项目应编制环境影响报告表。</w:t>
            </w:r>
          </w:p>
          <w:p w14:paraId="1CBF0FD7">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w:t>
            </w:r>
            <w:r>
              <w:rPr>
                <w:rFonts w:hint="default"/>
                <w:color w:val="0D0D0D" w:themeColor="text1" w:themeTint="F2"/>
                <w:kern w:val="0"/>
                <w:lang w:bidi="ar"/>
                <w14:textFill>
                  <w14:solidFill>
                    <w14:schemeClr w14:val="tx1">
                      <w14:lumMod w14:val="95000"/>
                      <w14:lumOff w14:val="5000"/>
                    </w14:schemeClr>
                  </w14:solidFill>
                </w14:textFill>
              </w:rPr>
              <w:t>2</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）建设项目基本情况</w:t>
            </w:r>
          </w:p>
          <w:p w14:paraId="68CF6E8A">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项目名称：</w:t>
            </w:r>
            <w:r>
              <w:rPr>
                <w:rFonts w:hint="eastAsia" w:ascii="宋体" w:hAnsi="宋体" w:cs="宋体"/>
                <w:color w:val="0D0D0D" w:themeColor="text1" w:themeTint="F2"/>
                <w:u w:val="single"/>
                <w14:textFill>
                  <w14:solidFill>
                    <w14:schemeClr w14:val="tx1">
                      <w14:lumMod w14:val="95000"/>
                      <w14:lumOff w14:val="5000"/>
                    </w14:schemeClr>
                  </w14:solidFill>
                </w14:textFill>
              </w:rPr>
              <w:t>年产2000吨热塑性聚氨酯弹性体（TPU）项目</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p>
          <w:p w14:paraId="78D09040">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建设性质：新建；</w:t>
            </w:r>
          </w:p>
          <w:p w14:paraId="743AEB92">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建设单位：永州市零陵晨光树脂有限责任公司；</w:t>
            </w:r>
          </w:p>
          <w:p w14:paraId="136C37DA">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建设地点：湖南零陵工业园河西工业区瑞翔大道与西爽亭路交汇处东南角（中心经度：111°34′09.2104"中心纬度：26°11′58.2234"）；</w:t>
            </w:r>
          </w:p>
          <w:p w14:paraId="39A76AC1">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占地面积：</w:t>
            </w:r>
            <w:r>
              <w:rPr>
                <w:rFonts w:hint="eastAsia" w:ascii="宋体" w:hAnsi="宋体" w:cs="宋体"/>
                <w:color w:val="0D0D0D" w:themeColor="text1" w:themeTint="F2"/>
                <w:kern w:val="0"/>
                <w:u w:val="single"/>
                <w:lang w:val="en-US" w:eastAsia="zh-CN" w:bidi="ar"/>
                <w14:textFill>
                  <w14:solidFill>
                    <w14:schemeClr w14:val="tx1">
                      <w14:lumMod w14:val="95000"/>
                      <w14:lumOff w14:val="5000"/>
                    </w14:schemeClr>
                  </w14:solidFill>
                </w14:textFill>
              </w:rPr>
              <w:t>购置工业土地</w:t>
            </w:r>
            <w:r>
              <w:rPr>
                <w:rFonts w:hint="eastAsia"/>
                <w:color w:val="0D0D0D" w:themeColor="text1" w:themeTint="F2"/>
                <w:kern w:val="0"/>
                <w:u w:val="single"/>
                <w:lang w:bidi="ar"/>
                <w14:textFill>
                  <w14:solidFill>
                    <w14:schemeClr w14:val="tx1">
                      <w14:lumMod w14:val="95000"/>
                      <w14:lumOff w14:val="5000"/>
                    </w14:schemeClr>
                  </w14:solidFill>
                </w14:textFill>
              </w:rPr>
              <w:t>13333.4㎡</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w:t>
            </w:r>
          </w:p>
          <w:p w14:paraId="66B74FAB">
            <w:pPr>
              <w:keepNext w:val="0"/>
              <w:keepLines w:val="0"/>
              <w:widowControl/>
              <w:suppressLineNumbers w:val="0"/>
              <w:spacing w:before="0" w:beforeAutospacing="0" w:after="0" w:afterAutospacing="0"/>
              <w:ind w:left="0" w:right="0" w:firstLine="480"/>
              <w:jc w:val="left"/>
              <w:rPr>
                <w:rFonts w:hint="default" w:ascii="宋体" w:hAnsi="宋体" w:eastAsia="宋体" w:cs="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投资总额：项目总投资26</w:t>
            </w:r>
            <w:r>
              <w:rPr>
                <w:rFonts w:hint="default"/>
                <w:color w:val="0D0D0D" w:themeColor="text1" w:themeTint="F2"/>
                <w:kern w:val="0"/>
                <w:u w:val="single"/>
                <w:lang w:bidi="ar"/>
                <w14:textFill>
                  <w14:solidFill>
                    <w14:schemeClr w14:val="tx1">
                      <w14:lumMod w14:val="95000"/>
                      <w14:lumOff w14:val="5000"/>
                    </w14:schemeClr>
                  </w14:solidFill>
                </w14:textFill>
              </w:rPr>
              <w:t>00</w:t>
            </w:r>
            <w:r>
              <w:rPr>
                <w:rFonts w:hint="eastAsia" w:ascii="宋体" w:hAnsi="宋体" w:cs="宋体"/>
                <w:color w:val="0D0D0D" w:themeColor="text1" w:themeTint="F2"/>
                <w:kern w:val="0"/>
                <w:u w:val="single"/>
                <w:lang w:bidi="ar"/>
                <w14:textFill>
                  <w14:solidFill>
                    <w14:schemeClr w14:val="tx1">
                      <w14:lumMod w14:val="95000"/>
                      <w14:lumOff w14:val="5000"/>
                    </w14:schemeClr>
                  </w14:solidFill>
                </w14:textFill>
              </w:rPr>
              <w:t>万元</w:t>
            </w:r>
            <w:r>
              <w:rPr>
                <w:rFonts w:hint="eastAsia" w:ascii="宋体" w:hAnsi="宋体" w:cs="宋体"/>
                <w:color w:val="0D0D0D" w:themeColor="text1" w:themeTint="F2"/>
                <w:kern w:val="0"/>
                <w:u w:val="single"/>
                <w:lang w:eastAsia="zh-CN" w:bidi="ar"/>
                <w14:textFill>
                  <w14:solidFill>
                    <w14:schemeClr w14:val="tx1">
                      <w14:lumMod w14:val="95000"/>
                      <w14:lumOff w14:val="5000"/>
                    </w14:schemeClr>
                  </w14:solidFill>
                </w14:textFill>
              </w:rPr>
              <w:t>，</w:t>
            </w:r>
            <w:r>
              <w:rPr>
                <w:rFonts w:hint="eastAsia" w:ascii="宋体" w:hAnsi="宋体" w:cs="宋体"/>
                <w:color w:val="0D0D0D" w:themeColor="text1" w:themeTint="F2"/>
                <w:kern w:val="0"/>
                <w:u w:val="single"/>
                <w:lang w:val="en-US" w:eastAsia="zh-CN" w:bidi="ar"/>
                <w14:textFill>
                  <w14:solidFill>
                    <w14:schemeClr w14:val="tx1">
                      <w14:lumMod w14:val="95000"/>
                      <w14:lumOff w14:val="5000"/>
                    </w14:schemeClr>
                  </w14:solidFill>
                </w14:textFill>
              </w:rPr>
              <w:t>其中环保投资50万元，占总投资的1.9%。</w:t>
            </w:r>
          </w:p>
          <w:p w14:paraId="1D3BCA31">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2</w:t>
            </w:r>
            <w:r>
              <w:rPr>
                <w:rFonts w:hint="eastAsia" w:ascii="宋体" w:hAnsi="宋体" w:cs="宋体"/>
                <w:b/>
                <w:bCs/>
                <w:color w:val="0D0D0D" w:themeColor="text1" w:themeTint="F2"/>
                <w:kern w:val="0"/>
                <w:lang w:bidi="ar"/>
                <w14:textFill>
                  <w14:solidFill>
                    <w14:schemeClr w14:val="tx1">
                      <w14:lumMod w14:val="95000"/>
                      <w14:lumOff w14:val="5000"/>
                    </w14:schemeClr>
                  </w14:solidFill>
                </w14:textFill>
              </w:rPr>
              <w:t>、项目建设内容及规模</w:t>
            </w:r>
          </w:p>
          <w:p w14:paraId="19C88841">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本项目主体工程、辅助工程和环保工程建设内容组成见表</w:t>
            </w:r>
            <w:r>
              <w:rPr>
                <w:rFonts w:hint="default"/>
                <w:color w:val="0D0D0D" w:themeColor="text1" w:themeTint="F2"/>
                <w:kern w:val="0"/>
                <w:lang w:bidi="ar"/>
                <w14:textFill>
                  <w14:solidFill>
                    <w14:schemeClr w14:val="tx1">
                      <w14:lumMod w14:val="95000"/>
                      <w14:lumOff w14:val="5000"/>
                    </w14:schemeClr>
                  </w14:solidFill>
                </w14:textFill>
              </w:rPr>
              <w:t>2-1</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w:t>
            </w:r>
          </w:p>
          <w:p w14:paraId="3D1FDFE8">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表</w:t>
            </w:r>
            <w:r>
              <w:rPr>
                <w:rFonts w:hint="default"/>
                <w:b/>
                <w:bCs/>
                <w:color w:val="0D0D0D" w:themeColor="text1" w:themeTint="F2"/>
                <w:kern w:val="0"/>
                <w:sz w:val="21"/>
                <w:szCs w:val="21"/>
                <w:lang w:bidi="ar"/>
                <w14:textFill>
                  <w14:solidFill>
                    <w14:schemeClr w14:val="tx1">
                      <w14:lumMod w14:val="95000"/>
                      <w14:lumOff w14:val="5000"/>
                    </w14:schemeClr>
                  </w14:solidFill>
                </w14:textFill>
              </w:rPr>
              <w:t>2-1</w:t>
            </w:r>
            <w:r>
              <w:rPr>
                <w:rFonts w:hint="eastAsia"/>
                <w:b/>
                <w:bCs/>
                <w:color w:val="0D0D0D" w:themeColor="text1" w:themeTint="F2"/>
                <w:kern w:val="0"/>
                <w:sz w:val="21"/>
                <w:szCs w:val="21"/>
                <w:lang w:bidi="ar"/>
                <w14:textFill>
                  <w14:solidFill>
                    <w14:schemeClr w14:val="tx1">
                      <w14:lumMod w14:val="95000"/>
                      <w14:lumOff w14:val="5000"/>
                    </w14:schemeClr>
                  </w14:solidFill>
                </w14:textFill>
              </w:rPr>
              <w:t xml:space="preserve">  </w:t>
            </w:r>
            <w:r>
              <w:rPr>
                <w:rFonts w:hint="eastAsia" w:ascii="宋体" w:hAnsi="宋体" w:cs="宋体"/>
                <w:b/>
                <w:bCs/>
                <w:color w:val="0D0D0D" w:themeColor="text1" w:themeTint="F2"/>
                <w:kern w:val="0"/>
                <w:sz w:val="21"/>
                <w:szCs w:val="21"/>
                <w:lang w:bidi="ar"/>
                <w14:textFill>
                  <w14:solidFill>
                    <w14:schemeClr w14:val="tx1">
                      <w14:lumMod w14:val="95000"/>
                      <w14:lumOff w14:val="5000"/>
                    </w14:schemeClr>
                  </w14:solidFill>
                </w14:textFill>
              </w:rPr>
              <w:t>主要建设内容一览表</w:t>
            </w:r>
          </w:p>
          <w:tbl>
            <w:tblPr>
              <w:tblStyle w:val="17"/>
              <w:tblW w:w="81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59"/>
              <w:gridCol w:w="1342"/>
              <w:gridCol w:w="3289"/>
              <w:gridCol w:w="740"/>
              <w:gridCol w:w="789"/>
            </w:tblGrid>
            <w:tr w14:paraId="4FEBA3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tcBorders>
                    <w:tl2br w:val="nil"/>
                    <w:tr2bl w:val="nil"/>
                  </w:tcBorders>
                  <w:vAlign w:val="center"/>
                </w:tcPr>
                <w:p w14:paraId="0ADDAD4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工程类别</w:t>
                  </w:r>
                </w:p>
              </w:tc>
              <w:tc>
                <w:tcPr>
                  <w:tcW w:w="1259" w:type="dxa"/>
                  <w:tcBorders>
                    <w:tl2br w:val="nil"/>
                    <w:tr2bl w:val="nil"/>
                  </w:tcBorders>
                  <w:vAlign w:val="center"/>
                </w:tcPr>
                <w:p w14:paraId="754C9EF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单项工程</w:t>
                  </w:r>
                </w:p>
                <w:p w14:paraId="177BF38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名称</w:t>
                  </w:r>
                </w:p>
              </w:tc>
              <w:tc>
                <w:tcPr>
                  <w:tcW w:w="5371" w:type="dxa"/>
                  <w:gridSpan w:val="3"/>
                  <w:tcBorders>
                    <w:tl2br w:val="nil"/>
                    <w:tr2bl w:val="nil"/>
                  </w:tcBorders>
                  <w:vAlign w:val="center"/>
                </w:tcPr>
                <w:p w14:paraId="09395A2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工程内容与规模</w:t>
                  </w:r>
                </w:p>
              </w:tc>
              <w:tc>
                <w:tcPr>
                  <w:tcW w:w="789" w:type="dxa"/>
                  <w:tcBorders>
                    <w:tl2br w:val="nil"/>
                    <w:tr2bl w:val="nil"/>
                  </w:tcBorders>
                  <w:vAlign w:val="center"/>
                </w:tcPr>
                <w:p w14:paraId="78437BA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备注</w:t>
                  </w:r>
                </w:p>
              </w:tc>
            </w:tr>
            <w:tr w14:paraId="2511A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restart"/>
                  <w:tcBorders>
                    <w:tl2br w:val="nil"/>
                    <w:tr2bl w:val="nil"/>
                  </w:tcBorders>
                  <w:vAlign w:val="center"/>
                </w:tcPr>
                <w:p w14:paraId="1DE9DD9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主体工程</w:t>
                  </w:r>
                </w:p>
              </w:tc>
              <w:tc>
                <w:tcPr>
                  <w:tcW w:w="1259" w:type="dxa"/>
                  <w:vMerge w:val="restart"/>
                  <w:tcBorders>
                    <w:tl2br w:val="nil"/>
                    <w:tr2bl w:val="nil"/>
                  </w:tcBorders>
                  <w:vAlign w:val="center"/>
                </w:tcPr>
                <w:p w14:paraId="2FE61AB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生产车间</w:t>
                  </w:r>
                </w:p>
              </w:tc>
              <w:tc>
                <w:tcPr>
                  <w:tcW w:w="5371" w:type="dxa"/>
                  <w:gridSpan w:val="3"/>
                  <w:tcBorders>
                    <w:tl2br w:val="nil"/>
                    <w:tr2bl w:val="nil"/>
                  </w:tcBorders>
                  <w:vAlign w:val="center"/>
                </w:tcPr>
                <w:p w14:paraId="17AED7A2">
                  <w:pPr>
                    <w:keepNext w:val="0"/>
                    <w:keepLines w:val="0"/>
                    <w:suppressLineNumbers w:val="0"/>
                    <w:spacing w:before="0" w:beforeAutospacing="0" w:after="0" w:afterAutospacing="0" w:line="240" w:lineRule="auto"/>
                    <w:ind w:left="632" w:right="0" w:hanging="632" w:hangingChars="300"/>
                    <w:rPr>
                      <w:rFonts w:hint="default"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厂房一</w:t>
                  </w:r>
                  <w:r>
                    <w:rPr>
                      <w:rFonts w:hint="eastAsia"/>
                      <w:color w:val="0D0D0D" w:themeColor="text1" w:themeTint="F2"/>
                      <w:sz w:val="21"/>
                      <w:szCs w:val="21"/>
                      <w:u w:val="single"/>
                      <w14:textFill>
                        <w14:solidFill>
                          <w14:schemeClr w14:val="tx1">
                            <w14:lumMod w14:val="95000"/>
                            <w14:lumOff w14:val="5000"/>
                          </w14:schemeClr>
                        </w14:solidFill>
                      </w14:textFill>
                    </w:rPr>
                    <w:t>：园区10#钢构厂房，建筑面积7409.28</w:t>
                  </w:r>
                  <w:r>
                    <w:rPr>
                      <w:rFonts w:hint="eastAsia" w:ascii="宋体" w:hAnsi="宋体" w:cs="宋体"/>
                      <w:color w:val="0D0D0D" w:themeColor="text1" w:themeTint="F2"/>
                      <w:sz w:val="21"/>
                      <w:szCs w:val="21"/>
                      <w:u w:val="single"/>
                      <w14:textFill>
                        <w14:solidFill>
                          <w14:schemeClr w14:val="tx1">
                            <w14:lumMod w14:val="95000"/>
                            <w14:lumOff w14:val="5000"/>
                          </w14:schemeClr>
                        </w14:solidFill>
                      </w14:textFill>
                    </w:rPr>
                    <w:t>㎡</w:t>
                  </w:r>
                  <w:r>
                    <w:rPr>
                      <w:rFonts w:hint="eastAsia"/>
                      <w:color w:val="0D0D0D" w:themeColor="text1" w:themeTint="F2"/>
                      <w:sz w:val="21"/>
                      <w:szCs w:val="21"/>
                      <w:u w:val="single"/>
                      <w14:textFill>
                        <w14:solidFill>
                          <w14:schemeClr w14:val="tx1">
                            <w14:lumMod w14:val="95000"/>
                            <w14:lumOff w14:val="5000"/>
                          </w14:schemeClr>
                        </w14:solidFill>
                      </w14:textFill>
                    </w:rPr>
                    <w:t>，</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配备设预热池、双螺杆挤出机、浇注机、切粒机等组成1条生产线；并配套相应的原辅材料暂存区</w:t>
                  </w:r>
                </w:p>
                <w:p w14:paraId="299C58F8">
                  <w:pPr>
                    <w:keepNext w:val="0"/>
                    <w:keepLines w:val="0"/>
                    <w:suppressLineNumbers w:val="0"/>
                    <w:spacing w:before="0" w:beforeAutospacing="0" w:after="0" w:afterAutospacing="0" w:line="240" w:lineRule="auto"/>
                    <w:ind w:left="632" w:right="0" w:hanging="630" w:hangingChars="300"/>
                    <w:rPr>
                      <w:rFonts w:hint="default"/>
                      <w:color w:val="0D0D0D" w:themeColor="text1" w:themeTint="F2"/>
                      <w:sz w:val="21"/>
                      <w:szCs w:val="21"/>
                      <w:u w:val="single"/>
                      <w14:textFill>
                        <w14:solidFill>
                          <w14:schemeClr w14:val="tx1">
                            <w14:lumMod w14:val="95000"/>
                            <w14:lumOff w14:val="5000"/>
                          </w14:schemeClr>
                        </w14:solidFill>
                      </w14:textFill>
                    </w:rPr>
                  </w:pPr>
                </w:p>
              </w:tc>
              <w:tc>
                <w:tcPr>
                  <w:tcW w:w="789" w:type="dxa"/>
                  <w:vMerge w:val="restart"/>
                  <w:tcBorders>
                    <w:tl2br w:val="nil"/>
                    <w:tr2bl w:val="nil"/>
                  </w:tcBorders>
                  <w:vAlign w:val="center"/>
                </w:tcPr>
                <w:p w14:paraId="6E0DDE2F">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21"/>
                      <w:szCs w:val="21"/>
                      <w:lang w:val="en-US" w:eastAsia="zh-CN"/>
                      <w14:textFill>
                        <w14:solidFill>
                          <w14:schemeClr w14:val="tx1">
                            <w14:lumMod w14:val="95000"/>
                            <w14:lumOff w14:val="5000"/>
                          </w14:schemeClr>
                        </w14:solidFill>
                      </w14:textFill>
                    </w:rPr>
                  </w:pPr>
                  <w:r>
                    <w:rPr>
                      <w:rFonts w:hint="eastAsia"/>
                      <w:color w:val="0D0D0D" w:themeColor="text1" w:themeTint="F2"/>
                      <w:sz w:val="21"/>
                      <w:szCs w:val="21"/>
                      <w:lang w:val="en-US" w:eastAsia="zh-CN"/>
                      <w14:textFill>
                        <w14:solidFill>
                          <w14:schemeClr w14:val="tx1">
                            <w14:lumMod w14:val="95000"/>
                            <w14:lumOff w14:val="5000"/>
                          </w14:schemeClr>
                        </w14:solidFill>
                      </w14:textFill>
                    </w:rPr>
                    <w:t>已建</w:t>
                  </w:r>
                </w:p>
              </w:tc>
            </w:tr>
            <w:tr w14:paraId="4680A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30ED980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1259" w:type="dxa"/>
                  <w:vMerge w:val="continue"/>
                  <w:tcBorders>
                    <w:tl2br w:val="nil"/>
                    <w:tr2bl w:val="nil"/>
                  </w:tcBorders>
                  <w:vAlign w:val="center"/>
                </w:tcPr>
                <w:p w14:paraId="25ED5EA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5371" w:type="dxa"/>
                  <w:gridSpan w:val="3"/>
                  <w:tcBorders>
                    <w:tl2br w:val="nil"/>
                    <w:tr2bl w:val="nil"/>
                  </w:tcBorders>
                  <w:vAlign w:val="center"/>
                </w:tcPr>
                <w:p w14:paraId="1E549238">
                  <w:pPr>
                    <w:keepNext w:val="0"/>
                    <w:keepLines w:val="0"/>
                    <w:suppressLineNumbers w:val="0"/>
                    <w:spacing w:before="0" w:beforeAutospacing="0" w:after="0" w:afterAutospacing="0" w:line="240" w:lineRule="auto"/>
                    <w:ind w:left="702" w:right="0" w:hanging="702" w:hangingChars="333"/>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厂房二</w:t>
                  </w:r>
                  <w:r>
                    <w:rPr>
                      <w:rFonts w:hint="eastAsia"/>
                      <w:color w:val="0D0D0D" w:themeColor="text1" w:themeTint="F2"/>
                      <w:sz w:val="21"/>
                      <w:szCs w:val="21"/>
                      <w:u w:val="single"/>
                      <w14:textFill>
                        <w14:solidFill>
                          <w14:schemeClr w14:val="tx1">
                            <w14:lumMod w14:val="95000"/>
                            <w14:lumOff w14:val="5000"/>
                          </w14:schemeClr>
                        </w14:solidFill>
                      </w14:textFill>
                    </w:rPr>
                    <w:t>：园区11#钢构厂房，建筑面积7886.08㎡，</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配备设预热池、双螺杆挤出机、浇注机、切粒机等组成1条生产线；厂房南端隔离1处办公及食堂</w:t>
                  </w:r>
                </w:p>
              </w:tc>
              <w:tc>
                <w:tcPr>
                  <w:tcW w:w="789" w:type="dxa"/>
                  <w:vMerge w:val="continue"/>
                  <w:tcBorders>
                    <w:tl2br w:val="nil"/>
                    <w:tr2bl w:val="nil"/>
                  </w:tcBorders>
                  <w:vAlign w:val="center"/>
                </w:tcPr>
                <w:p w14:paraId="2D7A439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p>
              </w:tc>
            </w:tr>
            <w:tr w14:paraId="17E37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restart"/>
                  <w:tcBorders>
                    <w:tl2br w:val="nil"/>
                    <w:tr2bl w:val="nil"/>
                  </w:tcBorders>
                  <w:vAlign w:val="center"/>
                </w:tcPr>
                <w:p w14:paraId="516BB17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辅助工程</w:t>
                  </w:r>
                </w:p>
              </w:tc>
              <w:tc>
                <w:tcPr>
                  <w:tcW w:w="1259" w:type="dxa"/>
                  <w:tcBorders>
                    <w:tl2br w:val="nil"/>
                    <w:tr2bl w:val="nil"/>
                  </w:tcBorders>
                  <w:vAlign w:val="center"/>
                </w:tcPr>
                <w:p w14:paraId="2B83402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供水</w:t>
                  </w:r>
                </w:p>
              </w:tc>
              <w:tc>
                <w:tcPr>
                  <w:tcW w:w="5371" w:type="dxa"/>
                  <w:gridSpan w:val="3"/>
                  <w:tcBorders>
                    <w:tl2br w:val="nil"/>
                    <w:tr2bl w:val="nil"/>
                  </w:tcBorders>
                  <w:vAlign w:val="center"/>
                </w:tcPr>
                <w:p w14:paraId="6540D48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市政自来水</w:t>
                  </w:r>
                </w:p>
              </w:tc>
              <w:tc>
                <w:tcPr>
                  <w:tcW w:w="789" w:type="dxa"/>
                  <w:tcBorders>
                    <w:tl2br w:val="nil"/>
                    <w:tr2bl w:val="nil"/>
                  </w:tcBorders>
                  <w:vAlign w:val="center"/>
                </w:tcPr>
                <w:p w14:paraId="03275B3A">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21"/>
                      <w:szCs w:val="21"/>
                      <w:lang w:eastAsia="zh-CN"/>
                      <w14:textFill>
                        <w14:solidFill>
                          <w14:schemeClr w14:val="tx1">
                            <w14:lumMod w14:val="95000"/>
                            <w14:lumOff w14:val="5000"/>
                          </w14:schemeClr>
                        </w14:solidFill>
                      </w14:textFill>
                    </w:rPr>
                  </w:pPr>
                  <w:r>
                    <w:rPr>
                      <w:rFonts w:hint="eastAsia"/>
                      <w:color w:val="0D0D0D" w:themeColor="text1" w:themeTint="F2"/>
                      <w:sz w:val="21"/>
                      <w:szCs w:val="21"/>
                      <w:lang w:val="en-US" w:eastAsia="zh-CN"/>
                      <w14:textFill>
                        <w14:solidFill>
                          <w14:schemeClr w14:val="tx1">
                            <w14:lumMod w14:val="95000"/>
                            <w14:lumOff w14:val="5000"/>
                          </w14:schemeClr>
                        </w14:solidFill>
                      </w14:textFill>
                    </w:rPr>
                    <w:t>/</w:t>
                  </w:r>
                </w:p>
              </w:tc>
            </w:tr>
            <w:tr w14:paraId="3F665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0D0265F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tc>
              <w:tc>
                <w:tcPr>
                  <w:tcW w:w="1259" w:type="dxa"/>
                  <w:tcBorders>
                    <w:tl2br w:val="nil"/>
                    <w:tr2bl w:val="nil"/>
                  </w:tcBorders>
                  <w:vAlign w:val="center"/>
                </w:tcPr>
                <w:p w14:paraId="300E275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供电</w:t>
                  </w:r>
                </w:p>
              </w:tc>
              <w:tc>
                <w:tcPr>
                  <w:tcW w:w="5371" w:type="dxa"/>
                  <w:gridSpan w:val="3"/>
                  <w:tcBorders>
                    <w:tl2br w:val="nil"/>
                    <w:tr2bl w:val="nil"/>
                  </w:tcBorders>
                  <w:vAlign w:val="center"/>
                </w:tcPr>
                <w:p w14:paraId="2A073AE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市政供电</w:t>
                  </w:r>
                </w:p>
              </w:tc>
              <w:tc>
                <w:tcPr>
                  <w:tcW w:w="789" w:type="dxa"/>
                  <w:tcBorders>
                    <w:tl2br w:val="nil"/>
                    <w:tr2bl w:val="nil"/>
                  </w:tcBorders>
                  <w:vAlign w:val="center"/>
                </w:tcPr>
                <w:p w14:paraId="726C4A2C">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21"/>
                      <w:szCs w:val="21"/>
                      <w:lang w:eastAsia="zh-CN"/>
                      <w14:textFill>
                        <w14:solidFill>
                          <w14:schemeClr w14:val="tx1">
                            <w14:lumMod w14:val="95000"/>
                            <w14:lumOff w14:val="5000"/>
                          </w14:schemeClr>
                        </w14:solidFill>
                      </w14:textFill>
                    </w:rPr>
                  </w:pPr>
                  <w:r>
                    <w:rPr>
                      <w:rFonts w:hint="eastAsia"/>
                      <w:color w:val="0D0D0D" w:themeColor="text1" w:themeTint="F2"/>
                      <w:sz w:val="21"/>
                      <w:szCs w:val="21"/>
                      <w:lang w:val="en-US" w:eastAsia="zh-CN"/>
                      <w14:textFill>
                        <w14:solidFill>
                          <w14:schemeClr w14:val="tx1">
                            <w14:lumMod w14:val="95000"/>
                            <w14:lumOff w14:val="5000"/>
                          </w14:schemeClr>
                        </w14:solidFill>
                      </w14:textFill>
                    </w:rPr>
                    <w:t>/</w:t>
                  </w:r>
                </w:p>
              </w:tc>
            </w:tr>
            <w:tr w14:paraId="17745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550C279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tc>
              <w:tc>
                <w:tcPr>
                  <w:tcW w:w="1259" w:type="dxa"/>
                  <w:tcBorders>
                    <w:tl2br w:val="nil"/>
                    <w:tr2bl w:val="nil"/>
                  </w:tcBorders>
                  <w:vAlign w:val="center"/>
                </w:tcPr>
                <w:p w14:paraId="4E56C4D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排水</w:t>
                  </w:r>
                </w:p>
              </w:tc>
              <w:tc>
                <w:tcPr>
                  <w:tcW w:w="5371" w:type="dxa"/>
                  <w:gridSpan w:val="3"/>
                  <w:tcBorders>
                    <w:tl2br w:val="nil"/>
                    <w:tr2bl w:val="nil"/>
                  </w:tcBorders>
                  <w:vAlign w:val="center"/>
                </w:tcPr>
                <w:p w14:paraId="71CA137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无生产废水</w:t>
                  </w:r>
                  <w:r>
                    <w:rPr>
                      <w:rFonts w:hint="eastAsia"/>
                      <w:color w:val="0D0D0D" w:themeColor="text1" w:themeTint="F2"/>
                      <w:sz w:val="21"/>
                      <w:szCs w:val="21"/>
                      <w:lang w:val="en-US" w:eastAsia="zh-CN"/>
                      <w14:textFill>
                        <w14:solidFill>
                          <w14:schemeClr w14:val="tx1">
                            <w14:lumMod w14:val="95000"/>
                            <w14:lumOff w14:val="5000"/>
                          </w14:schemeClr>
                        </w14:solidFill>
                      </w14:textFill>
                    </w:rPr>
                    <w:t>产生和</w:t>
                  </w:r>
                  <w:r>
                    <w:rPr>
                      <w:rFonts w:hint="eastAsia"/>
                      <w:color w:val="0D0D0D" w:themeColor="text1" w:themeTint="F2"/>
                      <w:sz w:val="21"/>
                      <w:szCs w:val="21"/>
                      <w14:textFill>
                        <w14:solidFill>
                          <w14:schemeClr w14:val="tx1">
                            <w14:lumMod w14:val="95000"/>
                            <w14:lumOff w14:val="5000"/>
                          </w14:schemeClr>
                        </w14:solidFill>
                      </w14:textFill>
                    </w:rPr>
                    <w:t>排放，生活污水经化粪池处理后排入市政污水管网进入零陵区鹿坪污水处理厂处理。</w:t>
                  </w:r>
                </w:p>
              </w:tc>
              <w:tc>
                <w:tcPr>
                  <w:tcW w:w="789" w:type="dxa"/>
                  <w:tcBorders>
                    <w:tl2br w:val="nil"/>
                    <w:tr2bl w:val="nil"/>
                  </w:tcBorders>
                  <w:vAlign w:val="center"/>
                </w:tcPr>
                <w:p w14:paraId="7058BDC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市政污水管网</w:t>
                  </w:r>
                </w:p>
              </w:tc>
            </w:tr>
            <w:tr w14:paraId="3D792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655080B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tc>
              <w:tc>
                <w:tcPr>
                  <w:tcW w:w="1259" w:type="dxa"/>
                  <w:tcBorders>
                    <w:tl2br w:val="nil"/>
                    <w:tr2bl w:val="nil"/>
                  </w:tcBorders>
                  <w:vAlign w:val="center"/>
                </w:tcPr>
                <w:p w14:paraId="5C67A06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废气治理</w:t>
                  </w:r>
                </w:p>
              </w:tc>
              <w:tc>
                <w:tcPr>
                  <w:tcW w:w="5371" w:type="dxa"/>
                  <w:gridSpan w:val="3"/>
                  <w:tcBorders>
                    <w:tl2br w:val="nil"/>
                    <w:tr2bl w:val="nil"/>
                  </w:tcBorders>
                  <w:vAlign w:val="center"/>
                </w:tcPr>
                <w:p w14:paraId="0E82B0F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lang w:val="en-US" w:eastAsia="zh-CN"/>
                      <w14:textFill>
                        <w14:solidFill>
                          <w14:schemeClr w14:val="tx1">
                            <w14:lumMod w14:val="95000"/>
                            <w14:lumOff w14:val="5000"/>
                          </w14:schemeClr>
                        </w14:solidFill>
                      </w14:textFill>
                    </w:rPr>
                    <w:t>两栋厂房各配套建设1套有机废气治理系统（共2套），即设置集气罩收集后进入有机废气处理一体机（采用</w:t>
                  </w:r>
                  <w:r>
                    <w:rPr>
                      <w:rFonts w:hint="eastAsia"/>
                      <w:color w:val="0D0D0D" w:themeColor="text1" w:themeTint="F2"/>
                      <w:sz w:val="21"/>
                      <w:szCs w:val="21"/>
                      <w:lang w:eastAsia="zh-CN"/>
                      <w14:textFill>
                        <w14:solidFill>
                          <w14:schemeClr w14:val="tx1">
                            <w14:lumMod w14:val="95000"/>
                            <w14:lumOff w14:val="5000"/>
                          </w14:schemeClr>
                        </w14:solidFill>
                      </w14:textFill>
                    </w:rPr>
                    <w:t>二级活性炭</w:t>
                  </w:r>
                  <w:r>
                    <w:rPr>
                      <w:rFonts w:hint="eastAsia"/>
                      <w:color w:val="0D0D0D" w:themeColor="text1" w:themeTint="F2"/>
                      <w:sz w:val="21"/>
                      <w:szCs w:val="21"/>
                      <w:lang w:val="en-US" w:eastAsia="zh-CN"/>
                      <w14:textFill>
                        <w14:solidFill>
                          <w14:schemeClr w14:val="tx1">
                            <w14:lumMod w14:val="95000"/>
                            <w14:lumOff w14:val="5000"/>
                          </w14:schemeClr>
                        </w14:solidFill>
                      </w14:textFill>
                    </w:rPr>
                    <w:t>工艺）处理后分别经</w:t>
                  </w:r>
                  <w:r>
                    <w:rPr>
                      <w:rFonts w:hint="eastAsia"/>
                      <w:color w:val="0D0D0D" w:themeColor="text1" w:themeTint="F2"/>
                      <w:sz w:val="21"/>
                      <w:szCs w:val="21"/>
                      <w14:textFill>
                        <w14:solidFill>
                          <w14:schemeClr w14:val="tx1">
                            <w14:lumMod w14:val="95000"/>
                            <w14:lumOff w14:val="5000"/>
                          </w14:schemeClr>
                        </w14:solidFill>
                      </w14:textFill>
                    </w:rPr>
                    <w:t>15m排气筒</w:t>
                  </w:r>
                  <w:r>
                    <w:rPr>
                      <w:rFonts w:hint="eastAsia"/>
                      <w:color w:val="0D0D0D" w:themeColor="text1" w:themeTint="F2"/>
                      <w:sz w:val="21"/>
                      <w:szCs w:val="21"/>
                      <w:lang w:val="en-US" w:eastAsia="zh-CN"/>
                      <w14:textFill>
                        <w14:solidFill>
                          <w14:schemeClr w14:val="tx1">
                            <w14:lumMod w14:val="95000"/>
                            <w14:lumOff w14:val="5000"/>
                          </w14:schemeClr>
                        </w14:solidFill>
                      </w14:textFill>
                    </w:rPr>
                    <w:t>排放</w:t>
                  </w:r>
                </w:p>
              </w:tc>
              <w:tc>
                <w:tcPr>
                  <w:tcW w:w="789" w:type="dxa"/>
                  <w:tcBorders>
                    <w:tl2br w:val="nil"/>
                    <w:tr2bl w:val="nil"/>
                  </w:tcBorders>
                  <w:vAlign w:val="center"/>
                </w:tcPr>
                <w:p w14:paraId="46CCE4F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新建</w:t>
                  </w:r>
                </w:p>
              </w:tc>
            </w:tr>
            <w:tr w14:paraId="192425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6C3830C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tc>
              <w:tc>
                <w:tcPr>
                  <w:tcW w:w="1259" w:type="dxa"/>
                  <w:tcBorders>
                    <w:tl2br w:val="nil"/>
                    <w:tr2bl w:val="nil"/>
                  </w:tcBorders>
                  <w:vAlign w:val="center"/>
                </w:tcPr>
                <w:p w14:paraId="42B4939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废水治理</w:t>
                  </w:r>
                </w:p>
              </w:tc>
              <w:tc>
                <w:tcPr>
                  <w:tcW w:w="5371" w:type="dxa"/>
                  <w:gridSpan w:val="3"/>
                  <w:tcBorders>
                    <w:tl2br w:val="nil"/>
                    <w:tr2bl w:val="nil"/>
                  </w:tcBorders>
                  <w:vAlign w:val="center"/>
                </w:tcPr>
                <w:p w14:paraId="248E07F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雨污分流系统，生活污水经化粪池处理后排入市政污水管网进入零陵区鹿坪污水处理厂处理。</w:t>
                  </w:r>
                </w:p>
              </w:tc>
              <w:tc>
                <w:tcPr>
                  <w:tcW w:w="789" w:type="dxa"/>
                  <w:tcBorders>
                    <w:tl2br w:val="nil"/>
                    <w:tr2bl w:val="nil"/>
                  </w:tcBorders>
                  <w:vAlign w:val="center"/>
                </w:tcPr>
                <w:p w14:paraId="77D3F32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p>
              </w:tc>
            </w:tr>
            <w:tr w14:paraId="43016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1ABA46E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tc>
              <w:tc>
                <w:tcPr>
                  <w:tcW w:w="1259" w:type="dxa"/>
                  <w:tcBorders>
                    <w:tl2br w:val="nil"/>
                    <w:tr2bl w:val="nil"/>
                  </w:tcBorders>
                  <w:vAlign w:val="center"/>
                </w:tcPr>
                <w:p w14:paraId="773F489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噪声治理</w:t>
                  </w:r>
                </w:p>
              </w:tc>
              <w:tc>
                <w:tcPr>
                  <w:tcW w:w="5371" w:type="dxa"/>
                  <w:gridSpan w:val="3"/>
                  <w:tcBorders>
                    <w:tl2br w:val="nil"/>
                    <w:tr2bl w:val="nil"/>
                  </w:tcBorders>
                  <w:vAlign w:val="center"/>
                </w:tcPr>
                <w:p w14:paraId="51D08A9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厂房隔声、生产设备基础减震、定期维护保养</w:t>
                  </w:r>
                </w:p>
              </w:tc>
              <w:tc>
                <w:tcPr>
                  <w:tcW w:w="789" w:type="dxa"/>
                  <w:tcBorders>
                    <w:tl2br w:val="nil"/>
                    <w:tr2bl w:val="nil"/>
                  </w:tcBorders>
                  <w:vAlign w:val="center"/>
                </w:tcPr>
                <w:p w14:paraId="4860C20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p>
              </w:tc>
            </w:tr>
            <w:tr w14:paraId="2F9FE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275B01A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tc>
              <w:tc>
                <w:tcPr>
                  <w:tcW w:w="1259" w:type="dxa"/>
                  <w:vMerge w:val="restart"/>
                  <w:tcBorders>
                    <w:tl2br w:val="nil"/>
                    <w:tr2bl w:val="nil"/>
                  </w:tcBorders>
                  <w:vAlign w:val="center"/>
                </w:tcPr>
                <w:p w14:paraId="695C2B6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固废治理</w:t>
                  </w:r>
                </w:p>
              </w:tc>
              <w:tc>
                <w:tcPr>
                  <w:tcW w:w="1342" w:type="dxa"/>
                  <w:tcBorders>
                    <w:tl2br w:val="nil"/>
                    <w:tr2bl w:val="nil"/>
                  </w:tcBorders>
                  <w:vAlign w:val="center"/>
                </w:tcPr>
                <w:p w14:paraId="0FF9FB4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生活垃圾</w:t>
                  </w:r>
                </w:p>
              </w:tc>
              <w:tc>
                <w:tcPr>
                  <w:tcW w:w="3289" w:type="dxa"/>
                  <w:tcBorders>
                    <w:tl2br w:val="nil"/>
                    <w:tr2bl w:val="nil"/>
                  </w:tcBorders>
                  <w:vAlign w:val="center"/>
                </w:tcPr>
                <w:p w14:paraId="042A1CC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交由当地环卫部门处理</w:t>
                  </w:r>
                </w:p>
              </w:tc>
              <w:tc>
                <w:tcPr>
                  <w:tcW w:w="1529" w:type="dxa"/>
                  <w:gridSpan w:val="2"/>
                  <w:tcBorders>
                    <w:tl2br w:val="nil"/>
                    <w:tr2bl w:val="nil"/>
                  </w:tcBorders>
                  <w:vAlign w:val="center"/>
                </w:tcPr>
                <w:p w14:paraId="5E9FB2E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环卫部门定时清运</w:t>
                  </w:r>
                </w:p>
              </w:tc>
            </w:tr>
            <w:tr w14:paraId="4F76CD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24A32A4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1259" w:type="dxa"/>
                  <w:vMerge w:val="continue"/>
                  <w:tcBorders>
                    <w:tl2br w:val="nil"/>
                    <w:tr2bl w:val="nil"/>
                  </w:tcBorders>
                  <w:vAlign w:val="center"/>
                </w:tcPr>
                <w:p w14:paraId="229AD45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1342" w:type="dxa"/>
                  <w:tcBorders>
                    <w:tl2br w:val="nil"/>
                    <w:tr2bl w:val="nil"/>
                  </w:tcBorders>
                  <w:vAlign w:val="center"/>
                </w:tcPr>
                <w:p w14:paraId="28D0FDE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一般固废</w:t>
                  </w:r>
                </w:p>
              </w:tc>
              <w:tc>
                <w:tcPr>
                  <w:tcW w:w="3289" w:type="dxa"/>
                  <w:tcBorders>
                    <w:tl2br w:val="nil"/>
                    <w:tr2bl w:val="nil"/>
                  </w:tcBorders>
                  <w:vAlign w:val="center"/>
                </w:tcPr>
                <w:p w14:paraId="74AA2B4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储存于一般固废暂存间（</w:t>
                  </w:r>
                  <w:r>
                    <w:rPr>
                      <w:rFonts w:hint="eastAsia"/>
                      <w:color w:val="0D0D0D" w:themeColor="text1" w:themeTint="F2"/>
                      <w:sz w:val="21"/>
                      <w:szCs w:val="21"/>
                      <w14:textFill>
                        <w14:solidFill>
                          <w14:schemeClr w14:val="tx1">
                            <w14:lumMod w14:val="95000"/>
                            <w14:lumOff w14:val="5000"/>
                          </w14:schemeClr>
                        </w14:solidFill>
                      </w14:textFill>
                    </w:rPr>
                    <w:t>10㎡</w:t>
                  </w:r>
                  <w:r>
                    <w:rPr>
                      <w:rFonts w:hint="default"/>
                      <w:color w:val="0D0D0D" w:themeColor="text1" w:themeTint="F2"/>
                      <w:sz w:val="21"/>
                      <w:szCs w:val="21"/>
                      <w14:textFill>
                        <w14:solidFill>
                          <w14:schemeClr w14:val="tx1">
                            <w14:lumMod w14:val="95000"/>
                            <w14:lumOff w14:val="5000"/>
                          </w14:schemeClr>
                        </w14:solidFill>
                      </w14:textFill>
                    </w:rPr>
                    <w:t>），设置于</w:t>
                  </w:r>
                  <w:r>
                    <w:rPr>
                      <w:rFonts w:hint="eastAsia"/>
                      <w:color w:val="0D0D0D" w:themeColor="text1" w:themeTint="F2"/>
                      <w:sz w:val="21"/>
                      <w:szCs w:val="21"/>
                      <w:lang w:val="en-US" w:eastAsia="zh-CN"/>
                      <w14:textFill>
                        <w14:solidFill>
                          <w14:schemeClr w14:val="tx1">
                            <w14:lumMod w14:val="95000"/>
                            <w14:lumOff w14:val="5000"/>
                          </w14:schemeClr>
                        </w14:solidFill>
                      </w14:textFill>
                    </w:rPr>
                    <w:t>11#</w:t>
                  </w:r>
                  <w:r>
                    <w:rPr>
                      <w:rFonts w:hint="eastAsia"/>
                      <w:color w:val="0D0D0D" w:themeColor="text1" w:themeTint="F2"/>
                      <w:sz w:val="21"/>
                      <w:szCs w:val="21"/>
                      <w14:textFill>
                        <w14:solidFill>
                          <w14:schemeClr w14:val="tx1">
                            <w14:lumMod w14:val="95000"/>
                            <w14:lumOff w14:val="5000"/>
                          </w14:schemeClr>
                        </w14:solidFill>
                      </w14:textFill>
                    </w:rPr>
                    <w:t>厂房的西北</w:t>
                  </w:r>
                  <w:r>
                    <w:rPr>
                      <w:rFonts w:hint="default"/>
                      <w:color w:val="0D0D0D" w:themeColor="text1" w:themeTint="F2"/>
                      <w:sz w:val="21"/>
                      <w:szCs w:val="21"/>
                      <w14:textFill>
                        <w14:solidFill>
                          <w14:schemeClr w14:val="tx1">
                            <w14:lumMod w14:val="95000"/>
                            <w14:lumOff w14:val="5000"/>
                          </w14:schemeClr>
                        </w14:solidFill>
                      </w14:textFill>
                    </w:rPr>
                    <w:t>角</w:t>
                  </w:r>
                </w:p>
              </w:tc>
              <w:tc>
                <w:tcPr>
                  <w:tcW w:w="1529" w:type="dxa"/>
                  <w:gridSpan w:val="2"/>
                  <w:tcBorders>
                    <w:tl2br w:val="nil"/>
                    <w:tr2bl w:val="nil"/>
                  </w:tcBorders>
                  <w:vAlign w:val="center"/>
                </w:tcPr>
                <w:p w14:paraId="3F4B869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统一收集后</w:t>
                  </w:r>
                  <w:r>
                    <w:rPr>
                      <w:rFonts w:hint="eastAsia"/>
                      <w:color w:val="0D0D0D" w:themeColor="text1" w:themeTint="F2"/>
                      <w:sz w:val="21"/>
                      <w:szCs w:val="21"/>
                      <w14:textFill>
                        <w14:solidFill>
                          <w14:schemeClr w14:val="tx1">
                            <w14:lumMod w14:val="95000"/>
                            <w14:lumOff w14:val="5000"/>
                          </w14:schemeClr>
                        </w14:solidFill>
                      </w14:textFill>
                    </w:rPr>
                    <w:t>供应商回收</w:t>
                  </w:r>
                </w:p>
              </w:tc>
            </w:tr>
            <w:tr w14:paraId="0F996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19" w:type="dxa"/>
                  <w:vMerge w:val="continue"/>
                  <w:tcBorders>
                    <w:tl2br w:val="nil"/>
                    <w:tr2bl w:val="nil"/>
                  </w:tcBorders>
                  <w:vAlign w:val="center"/>
                </w:tcPr>
                <w:p w14:paraId="1BBF635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p>
              </w:tc>
              <w:tc>
                <w:tcPr>
                  <w:tcW w:w="1259" w:type="dxa"/>
                  <w:vMerge w:val="continue"/>
                  <w:tcBorders>
                    <w:tl2br w:val="nil"/>
                    <w:tr2bl w:val="nil"/>
                  </w:tcBorders>
                  <w:vAlign w:val="center"/>
                </w:tcPr>
                <w:p w14:paraId="1852C35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p>
              </w:tc>
              <w:tc>
                <w:tcPr>
                  <w:tcW w:w="1342" w:type="dxa"/>
                  <w:tcBorders>
                    <w:tl2br w:val="nil"/>
                    <w:tr2bl w:val="nil"/>
                  </w:tcBorders>
                  <w:vAlign w:val="center"/>
                </w:tcPr>
                <w:p w14:paraId="3A1DC0E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危险废物</w:t>
                  </w:r>
                </w:p>
              </w:tc>
              <w:tc>
                <w:tcPr>
                  <w:tcW w:w="3289" w:type="dxa"/>
                  <w:tcBorders>
                    <w:tl2br w:val="nil"/>
                    <w:tr2bl w:val="nil"/>
                  </w:tcBorders>
                  <w:vAlign w:val="center"/>
                </w:tcPr>
                <w:p w14:paraId="227ED40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储存于危废暂存间（</w:t>
                  </w:r>
                  <w:r>
                    <w:rPr>
                      <w:rFonts w:hint="eastAsia"/>
                      <w:color w:val="0D0D0D" w:themeColor="text1" w:themeTint="F2"/>
                      <w:sz w:val="21"/>
                      <w:szCs w:val="21"/>
                      <w14:textFill>
                        <w14:solidFill>
                          <w14:schemeClr w14:val="tx1">
                            <w14:lumMod w14:val="95000"/>
                            <w14:lumOff w14:val="5000"/>
                          </w14:schemeClr>
                        </w14:solidFill>
                      </w14:textFill>
                    </w:rPr>
                    <w:t>1</w:t>
                  </w:r>
                  <w:r>
                    <w:rPr>
                      <w:rFonts w:hint="default"/>
                      <w:color w:val="0D0D0D" w:themeColor="text1" w:themeTint="F2"/>
                      <w:sz w:val="21"/>
                      <w:szCs w:val="21"/>
                      <w14:textFill>
                        <w14:solidFill>
                          <w14:schemeClr w14:val="tx1">
                            <w14:lumMod w14:val="95000"/>
                            <w14:lumOff w14:val="5000"/>
                          </w14:schemeClr>
                        </w14:solidFill>
                      </w14:textFill>
                    </w:rPr>
                    <w:t>0</w:t>
                  </w:r>
                  <w:r>
                    <w:rPr>
                      <w:rFonts w:hint="eastAsia"/>
                      <w:color w:val="0D0D0D" w:themeColor="text1" w:themeTint="F2"/>
                      <w:sz w:val="21"/>
                      <w:szCs w:val="21"/>
                      <w14:textFill>
                        <w14:solidFill>
                          <w14:schemeClr w14:val="tx1">
                            <w14:lumMod w14:val="95000"/>
                            <w14:lumOff w14:val="5000"/>
                          </w14:schemeClr>
                        </w14:solidFill>
                      </w14:textFill>
                    </w:rPr>
                    <w:t>㎡</w:t>
                  </w:r>
                  <w:r>
                    <w:rPr>
                      <w:rFonts w:hint="default"/>
                      <w:color w:val="0D0D0D" w:themeColor="text1" w:themeTint="F2"/>
                      <w:sz w:val="21"/>
                      <w:szCs w:val="21"/>
                      <w14:textFill>
                        <w14:solidFill>
                          <w14:schemeClr w14:val="tx1">
                            <w14:lumMod w14:val="95000"/>
                            <w14:lumOff w14:val="5000"/>
                          </w14:schemeClr>
                        </w14:solidFill>
                      </w14:textFill>
                    </w:rPr>
                    <w:t>），设置于设置于</w:t>
                  </w:r>
                  <w:r>
                    <w:rPr>
                      <w:rFonts w:hint="eastAsia"/>
                      <w:color w:val="0D0D0D" w:themeColor="text1" w:themeTint="F2"/>
                      <w:sz w:val="21"/>
                      <w:szCs w:val="21"/>
                      <w:lang w:val="en-US" w:eastAsia="zh-CN"/>
                      <w14:textFill>
                        <w14:solidFill>
                          <w14:schemeClr w14:val="tx1">
                            <w14:lumMod w14:val="95000"/>
                            <w14:lumOff w14:val="5000"/>
                          </w14:schemeClr>
                        </w14:solidFill>
                      </w14:textFill>
                    </w:rPr>
                    <w:t>11#</w:t>
                  </w:r>
                  <w:r>
                    <w:rPr>
                      <w:rFonts w:hint="default"/>
                      <w:color w:val="0D0D0D" w:themeColor="text1" w:themeTint="F2"/>
                      <w:sz w:val="21"/>
                      <w:szCs w:val="21"/>
                      <w14:textFill>
                        <w14:solidFill>
                          <w14:schemeClr w14:val="tx1">
                            <w14:lumMod w14:val="95000"/>
                            <w14:lumOff w14:val="5000"/>
                          </w14:schemeClr>
                        </w14:solidFill>
                      </w14:textFill>
                    </w:rPr>
                    <w:t>厂房的西北角</w:t>
                  </w:r>
                </w:p>
              </w:tc>
              <w:tc>
                <w:tcPr>
                  <w:tcW w:w="1529" w:type="dxa"/>
                  <w:gridSpan w:val="2"/>
                  <w:tcBorders>
                    <w:tl2br w:val="nil"/>
                    <w:tr2bl w:val="nil"/>
                  </w:tcBorders>
                  <w:vAlign w:val="center"/>
                </w:tcPr>
                <w:p w14:paraId="769A115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sz w:val="21"/>
                      <w:szCs w:val="21"/>
                      <w14:textFill>
                        <w14:solidFill>
                          <w14:schemeClr w14:val="tx1">
                            <w14:lumMod w14:val="95000"/>
                            <w14:lumOff w14:val="5000"/>
                          </w14:schemeClr>
                        </w14:solidFill>
                      </w14:textFill>
                    </w:rPr>
                    <w:t>委托有资质单位处理</w:t>
                  </w:r>
                </w:p>
              </w:tc>
            </w:tr>
          </w:tbl>
          <w:p w14:paraId="0AEF6970">
            <w:pPr>
              <w:keepNext w:val="0"/>
              <w:keepLines w:val="0"/>
              <w:suppressLineNumbers w:val="0"/>
              <w:spacing w:before="0" w:beforeAutospacing="0" w:after="0" w:afterAutospacing="0"/>
              <w:ind w:left="0" w:right="0" w:firstLine="482"/>
              <w:rPr>
                <w:rFonts w:hint="default"/>
                <w:b/>
                <w:bCs/>
                <w:color w:val="0D0D0D" w:themeColor="text1" w:themeTint="F2"/>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3、主要生产产品</w:t>
            </w:r>
          </w:p>
          <w:p w14:paraId="1DACADAE">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表2-2  主要产品一览表</w:t>
            </w:r>
          </w:p>
          <w:tbl>
            <w:tblPr>
              <w:tblStyle w:val="17"/>
              <w:tblW w:w="8157"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34"/>
              <w:gridCol w:w="2168"/>
              <w:gridCol w:w="2071"/>
              <w:gridCol w:w="1552"/>
              <w:gridCol w:w="1632"/>
            </w:tblGrid>
            <w:tr w14:paraId="51FC3F2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1" w:hRule="atLeast"/>
                <w:jc w:val="center"/>
              </w:trPr>
              <w:tc>
                <w:tcPr>
                  <w:tcW w:w="734" w:type="dxa"/>
                  <w:tcBorders>
                    <w:tl2br w:val="nil"/>
                    <w:tr2bl w:val="nil"/>
                  </w:tcBorders>
                  <w:vAlign w:val="center"/>
                </w:tcPr>
                <w:p w14:paraId="048FA45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序号</w:t>
                  </w:r>
                </w:p>
              </w:tc>
              <w:tc>
                <w:tcPr>
                  <w:tcW w:w="2168" w:type="dxa"/>
                  <w:tcBorders>
                    <w:tl2br w:val="nil"/>
                    <w:tr2bl w:val="nil"/>
                  </w:tcBorders>
                  <w:vAlign w:val="center"/>
                </w:tcPr>
                <w:p w14:paraId="15A02C9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产品名称</w:t>
                  </w:r>
                </w:p>
              </w:tc>
              <w:tc>
                <w:tcPr>
                  <w:tcW w:w="2071" w:type="dxa"/>
                  <w:tcBorders>
                    <w:tl2br w:val="nil"/>
                    <w:tr2bl w:val="nil"/>
                  </w:tcBorders>
                  <w:vAlign w:val="center"/>
                </w:tcPr>
                <w:p w14:paraId="3CDB834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产品规格</w:t>
                  </w:r>
                </w:p>
              </w:tc>
              <w:tc>
                <w:tcPr>
                  <w:tcW w:w="1552" w:type="dxa"/>
                  <w:tcBorders>
                    <w:tl2br w:val="nil"/>
                    <w:tr2bl w:val="nil"/>
                  </w:tcBorders>
                  <w:vAlign w:val="center"/>
                </w:tcPr>
                <w:p w14:paraId="4C48469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设计能力（t/a）</w:t>
                  </w:r>
                </w:p>
              </w:tc>
              <w:tc>
                <w:tcPr>
                  <w:tcW w:w="1632" w:type="dxa"/>
                  <w:tcBorders>
                    <w:tl2br w:val="nil"/>
                    <w:tr2bl w:val="nil"/>
                  </w:tcBorders>
                  <w:vAlign w:val="center"/>
                </w:tcPr>
                <w:p w14:paraId="0BC9A64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r>
                    <w:rPr>
                      <w:rFonts w:hint="eastAsia"/>
                      <w:b/>
                      <w:bCs/>
                      <w:color w:val="0D0D0D" w:themeColor="text1" w:themeTint="F2"/>
                      <w:sz w:val="21"/>
                      <w:szCs w:val="21"/>
                      <w14:textFill>
                        <w14:solidFill>
                          <w14:schemeClr w14:val="tx1">
                            <w14:lumMod w14:val="95000"/>
                            <w14:lumOff w14:val="5000"/>
                          </w14:schemeClr>
                        </w14:solidFill>
                      </w14:textFill>
                    </w:rPr>
                    <w:t>年运行时间/h</w:t>
                  </w:r>
                </w:p>
              </w:tc>
            </w:tr>
            <w:tr w14:paraId="7D25297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jc w:val="center"/>
              </w:trPr>
              <w:tc>
                <w:tcPr>
                  <w:tcW w:w="734" w:type="dxa"/>
                  <w:tcBorders>
                    <w:tl2br w:val="nil"/>
                    <w:tr2bl w:val="nil"/>
                  </w:tcBorders>
                  <w:vAlign w:val="center"/>
                </w:tcPr>
                <w:p w14:paraId="550F2A0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1</w:t>
                  </w:r>
                </w:p>
              </w:tc>
              <w:tc>
                <w:tcPr>
                  <w:tcW w:w="2168" w:type="dxa"/>
                  <w:tcBorders>
                    <w:tl2br w:val="nil"/>
                    <w:tr2bl w:val="nil"/>
                  </w:tcBorders>
                  <w:vAlign w:val="center"/>
                </w:tcPr>
                <w:p w14:paraId="41CB781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热塑性聚氨酯TPU</w:t>
                  </w:r>
                </w:p>
              </w:tc>
              <w:tc>
                <w:tcPr>
                  <w:tcW w:w="2071" w:type="dxa"/>
                  <w:tcBorders>
                    <w:tl2br w:val="nil"/>
                    <w:tr2bl w:val="nil"/>
                  </w:tcBorders>
                  <w:vAlign w:val="center"/>
                </w:tcPr>
                <w:p w14:paraId="35CA599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直径2mm圆形塑料颗粒</w:t>
                  </w:r>
                </w:p>
              </w:tc>
              <w:tc>
                <w:tcPr>
                  <w:tcW w:w="1552" w:type="dxa"/>
                  <w:tcBorders>
                    <w:tl2br w:val="nil"/>
                    <w:tr2bl w:val="nil"/>
                  </w:tcBorders>
                  <w:vAlign w:val="center"/>
                </w:tcPr>
                <w:p w14:paraId="2EDB531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2000</w:t>
                  </w:r>
                </w:p>
              </w:tc>
              <w:tc>
                <w:tcPr>
                  <w:tcW w:w="1632" w:type="dxa"/>
                  <w:tcBorders>
                    <w:tl2br w:val="nil"/>
                    <w:tr2bl w:val="nil"/>
                  </w:tcBorders>
                  <w:vAlign w:val="center"/>
                </w:tcPr>
                <w:p w14:paraId="2F0F686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color w:val="0D0D0D" w:themeColor="text1" w:themeTint="F2"/>
                      <w:sz w:val="21"/>
                      <w:szCs w:val="21"/>
                      <w14:textFill>
                        <w14:solidFill>
                          <w14:schemeClr w14:val="tx1">
                            <w14:lumMod w14:val="95000"/>
                            <w14:lumOff w14:val="5000"/>
                          </w14:schemeClr>
                        </w14:solidFill>
                      </w14:textFill>
                    </w:rPr>
                    <w:t>1920</w:t>
                  </w:r>
                </w:p>
              </w:tc>
            </w:tr>
          </w:tbl>
          <w:p w14:paraId="15B458E1">
            <w:pPr>
              <w:keepNext w:val="0"/>
              <w:keepLines w:val="0"/>
              <w:suppressLineNumbers w:val="0"/>
              <w:spacing w:before="0" w:beforeAutospacing="0" w:after="0" w:afterAutospacing="0"/>
              <w:ind w:left="0" w:right="0" w:firstLine="482"/>
              <w:rPr>
                <w:rFonts w:hint="default"/>
                <w:b/>
                <w:bCs/>
                <w:color w:val="0D0D0D" w:themeColor="text1" w:themeTint="F2"/>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4、原辅材料及能耗</w:t>
            </w:r>
          </w:p>
          <w:p w14:paraId="42C26E74">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p>
          <w:p w14:paraId="38143341">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表2-3  主要原辅材料一览表</w:t>
            </w:r>
          </w:p>
          <w:tbl>
            <w:tblPr>
              <w:tblStyle w:val="17"/>
              <w:tblW w:w="81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355"/>
              <w:gridCol w:w="767"/>
              <w:gridCol w:w="1316"/>
              <w:gridCol w:w="995"/>
              <w:gridCol w:w="1250"/>
              <w:gridCol w:w="1112"/>
              <w:gridCol w:w="677"/>
            </w:tblGrid>
            <w:tr w14:paraId="6A72D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684" w:type="dxa"/>
                  <w:tcBorders>
                    <w:tl2br w:val="nil"/>
                    <w:tr2bl w:val="nil"/>
                  </w:tcBorders>
                  <w:vAlign w:val="center"/>
                </w:tcPr>
                <w:p w14:paraId="79FF19A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序号</w:t>
                  </w:r>
                </w:p>
              </w:tc>
              <w:tc>
                <w:tcPr>
                  <w:tcW w:w="1355" w:type="dxa"/>
                  <w:tcBorders>
                    <w:tl2br w:val="nil"/>
                    <w:tr2bl w:val="nil"/>
                  </w:tcBorders>
                  <w:vAlign w:val="center"/>
                </w:tcPr>
                <w:p w14:paraId="4A88221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原料名称</w:t>
                  </w:r>
                </w:p>
              </w:tc>
              <w:tc>
                <w:tcPr>
                  <w:tcW w:w="767" w:type="dxa"/>
                  <w:tcBorders>
                    <w:tl2br w:val="nil"/>
                    <w:tr2bl w:val="nil"/>
                  </w:tcBorders>
                  <w:vAlign w:val="center"/>
                </w:tcPr>
                <w:p w14:paraId="6390A11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形态</w:t>
                  </w:r>
                </w:p>
              </w:tc>
              <w:tc>
                <w:tcPr>
                  <w:tcW w:w="1316" w:type="dxa"/>
                  <w:tcBorders>
                    <w:tl2br w:val="nil"/>
                    <w:tr2bl w:val="nil"/>
                  </w:tcBorders>
                  <w:vAlign w:val="center"/>
                </w:tcPr>
                <w:p w14:paraId="3E8126A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年用量</w:t>
                  </w:r>
                </w:p>
              </w:tc>
              <w:tc>
                <w:tcPr>
                  <w:tcW w:w="995" w:type="dxa"/>
                  <w:tcBorders>
                    <w:tl2br w:val="nil"/>
                    <w:tr2bl w:val="nil"/>
                  </w:tcBorders>
                  <w:vAlign w:val="center"/>
                </w:tcPr>
                <w:p w14:paraId="7BB3D39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最大储存量</w:t>
                  </w:r>
                </w:p>
              </w:tc>
              <w:tc>
                <w:tcPr>
                  <w:tcW w:w="1250" w:type="dxa"/>
                  <w:tcBorders>
                    <w:tl2br w:val="nil"/>
                    <w:tr2bl w:val="nil"/>
                  </w:tcBorders>
                  <w:vAlign w:val="center"/>
                </w:tcPr>
                <w:p w14:paraId="3CC83CC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包装方式</w:t>
                  </w:r>
                </w:p>
              </w:tc>
              <w:tc>
                <w:tcPr>
                  <w:tcW w:w="1112" w:type="dxa"/>
                  <w:tcBorders>
                    <w:tl2br w:val="nil"/>
                    <w:tr2bl w:val="nil"/>
                  </w:tcBorders>
                  <w:vAlign w:val="center"/>
                </w:tcPr>
                <w:p w14:paraId="68D0E66D">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包装规格</w:t>
                  </w:r>
                </w:p>
              </w:tc>
              <w:tc>
                <w:tcPr>
                  <w:tcW w:w="677" w:type="dxa"/>
                  <w:tcBorders>
                    <w:tl2br w:val="nil"/>
                    <w:tr2bl w:val="nil"/>
                  </w:tcBorders>
                  <w:vAlign w:val="center"/>
                </w:tcPr>
                <w:p w14:paraId="3124C3A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来源</w:t>
                  </w:r>
                </w:p>
              </w:tc>
            </w:tr>
            <w:tr w14:paraId="73E9A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84" w:type="dxa"/>
                  <w:tcBorders>
                    <w:tl2br w:val="nil"/>
                    <w:tr2bl w:val="nil"/>
                  </w:tcBorders>
                  <w:vAlign w:val="center"/>
                </w:tcPr>
                <w:p w14:paraId="52ED4EB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w:t>
                  </w:r>
                </w:p>
              </w:tc>
              <w:tc>
                <w:tcPr>
                  <w:tcW w:w="1355" w:type="dxa"/>
                  <w:tcBorders>
                    <w:tl2br w:val="nil"/>
                    <w:tr2bl w:val="nil"/>
                  </w:tcBorders>
                  <w:vAlign w:val="center"/>
                </w:tcPr>
                <w:p w14:paraId="74F26F9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聚酯多元醇</w:t>
                  </w:r>
                </w:p>
              </w:tc>
              <w:tc>
                <w:tcPr>
                  <w:tcW w:w="767" w:type="dxa"/>
                  <w:tcBorders>
                    <w:tl2br w:val="nil"/>
                    <w:tr2bl w:val="nil"/>
                  </w:tcBorders>
                  <w:vAlign w:val="center"/>
                </w:tcPr>
                <w:p w14:paraId="13B0DAC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固态</w:t>
                  </w:r>
                </w:p>
              </w:tc>
              <w:tc>
                <w:tcPr>
                  <w:tcW w:w="1316" w:type="dxa"/>
                  <w:tcBorders>
                    <w:tl2br w:val="nil"/>
                    <w:tr2bl w:val="nil"/>
                  </w:tcBorders>
                  <w:vAlign w:val="center"/>
                </w:tcPr>
                <w:p w14:paraId="02C5471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1200t/a</w:t>
                  </w:r>
                </w:p>
              </w:tc>
              <w:tc>
                <w:tcPr>
                  <w:tcW w:w="995" w:type="dxa"/>
                  <w:tcBorders>
                    <w:tl2br w:val="nil"/>
                    <w:tr2bl w:val="nil"/>
                  </w:tcBorders>
                  <w:vAlign w:val="center"/>
                </w:tcPr>
                <w:p w14:paraId="654494B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200t</w:t>
                  </w:r>
                </w:p>
              </w:tc>
              <w:tc>
                <w:tcPr>
                  <w:tcW w:w="1250" w:type="dxa"/>
                  <w:tcBorders>
                    <w:tl2br w:val="nil"/>
                    <w:tr2bl w:val="nil"/>
                  </w:tcBorders>
                  <w:vAlign w:val="center"/>
                </w:tcPr>
                <w:p w14:paraId="130B2BF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桶装</w:t>
                  </w:r>
                </w:p>
              </w:tc>
              <w:tc>
                <w:tcPr>
                  <w:tcW w:w="1112" w:type="dxa"/>
                  <w:tcBorders>
                    <w:tl2br w:val="nil"/>
                    <w:tr2bl w:val="nil"/>
                  </w:tcBorders>
                  <w:vAlign w:val="center"/>
                </w:tcPr>
                <w:p w14:paraId="2EA3A07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220KG/桶</w:t>
                  </w:r>
                </w:p>
              </w:tc>
              <w:tc>
                <w:tcPr>
                  <w:tcW w:w="677" w:type="dxa"/>
                  <w:tcBorders>
                    <w:tl2br w:val="nil"/>
                    <w:tr2bl w:val="nil"/>
                  </w:tcBorders>
                  <w:vAlign w:val="center"/>
                </w:tcPr>
                <w:p w14:paraId="5650C6D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外购</w:t>
                  </w:r>
                </w:p>
              </w:tc>
            </w:tr>
            <w:tr w14:paraId="54AB8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84" w:type="dxa"/>
                  <w:tcBorders>
                    <w:tl2br w:val="nil"/>
                    <w:tr2bl w:val="nil"/>
                  </w:tcBorders>
                  <w:vAlign w:val="center"/>
                </w:tcPr>
                <w:p w14:paraId="6666506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55" w:type="dxa"/>
                  <w:tcBorders>
                    <w:tl2br w:val="nil"/>
                    <w:tr2bl w:val="nil"/>
                  </w:tcBorders>
                  <w:vAlign w:val="center"/>
                </w:tcPr>
                <w:p w14:paraId="7E28657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丁二醇</w:t>
                  </w:r>
                </w:p>
              </w:tc>
              <w:tc>
                <w:tcPr>
                  <w:tcW w:w="767" w:type="dxa"/>
                  <w:tcBorders>
                    <w:tl2br w:val="nil"/>
                    <w:tr2bl w:val="nil"/>
                  </w:tcBorders>
                  <w:vAlign w:val="center"/>
                </w:tcPr>
                <w:p w14:paraId="6ECABBA9">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液体</w:t>
                  </w:r>
                </w:p>
              </w:tc>
              <w:tc>
                <w:tcPr>
                  <w:tcW w:w="1316" w:type="dxa"/>
                  <w:tcBorders>
                    <w:tl2br w:val="nil"/>
                    <w:tr2bl w:val="nil"/>
                  </w:tcBorders>
                  <w:vAlign w:val="center"/>
                </w:tcPr>
                <w:p w14:paraId="728E2C6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200t/a</w:t>
                  </w:r>
                </w:p>
              </w:tc>
              <w:tc>
                <w:tcPr>
                  <w:tcW w:w="995" w:type="dxa"/>
                  <w:tcBorders>
                    <w:tl2br w:val="nil"/>
                    <w:tr2bl w:val="nil"/>
                  </w:tcBorders>
                  <w:vAlign w:val="center"/>
                </w:tcPr>
                <w:p w14:paraId="534ADF9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20t</w:t>
                  </w:r>
                </w:p>
              </w:tc>
              <w:tc>
                <w:tcPr>
                  <w:tcW w:w="1250" w:type="dxa"/>
                  <w:tcBorders>
                    <w:tl2br w:val="nil"/>
                    <w:tr2bl w:val="nil"/>
                  </w:tcBorders>
                  <w:vAlign w:val="center"/>
                </w:tcPr>
                <w:p w14:paraId="7A713C4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桶装</w:t>
                  </w:r>
                </w:p>
              </w:tc>
              <w:tc>
                <w:tcPr>
                  <w:tcW w:w="1112" w:type="dxa"/>
                  <w:tcBorders>
                    <w:tl2br w:val="nil"/>
                    <w:tr2bl w:val="nil"/>
                  </w:tcBorders>
                  <w:vAlign w:val="center"/>
                </w:tcPr>
                <w:p w14:paraId="65239E5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200KG/桶</w:t>
                  </w:r>
                </w:p>
              </w:tc>
              <w:tc>
                <w:tcPr>
                  <w:tcW w:w="677" w:type="dxa"/>
                  <w:tcBorders>
                    <w:tl2br w:val="nil"/>
                    <w:tr2bl w:val="nil"/>
                  </w:tcBorders>
                  <w:vAlign w:val="center"/>
                </w:tcPr>
                <w:p w14:paraId="227DF1A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外购</w:t>
                  </w:r>
                </w:p>
              </w:tc>
            </w:tr>
            <w:tr w14:paraId="53C7C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2" w:hRule="exact"/>
                <w:jc w:val="center"/>
              </w:trPr>
              <w:tc>
                <w:tcPr>
                  <w:tcW w:w="684" w:type="dxa"/>
                  <w:tcBorders>
                    <w:tl2br w:val="nil"/>
                    <w:tr2bl w:val="nil"/>
                  </w:tcBorders>
                  <w:vAlign w:val="center"/>
                </w:tcPr>
                <w:p w14:paraId="52E6998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3</w:t>
                  </w:r>
                </w:p>
              </w:tc>
              <w:tc>
                <w:tcPr>
                  <w:tcW w:w="1355" w:type="dxa"/>
                  <w:tcBorders>
                    <w:tl2br w:val="nil"/>
                    <w:tr2bl w:val="nil"/>
                  </w:tcBorders>
                  <w:vAlign w:val="center"/>
                </w:tcPr>
                <w:p w14:paraId="739C8D2E">
                  <w:pPr>
                    <w:keepNext w:val="0"/>
                    <w:keepLines w:val="0"/>
                    <w:suppressLineNumbers w:val="0"/>
                    <w:spacing w:before="0" w:beforeAutospacing="0" w:after="0" w:afterAutospacing="0" w:line="240" w:lineRule="auto"/>
                    <w:ind w:left="0" w:right="0" w:firstLine="0" w:firstLineChars="0"/>
                    <w:jc w:val="center"/>
                    <w:rPr>
                      <w:rFonts w:hint="eastAsia"/>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多异氰酸酯</w:t>
                  </w:r>
                </w:p>
                <w:p w14:paraId="18A6ABF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(MDI)</w:t>
                  </w:r>
                </w:p>
              </w:tc>
              <w:tc>
                <w:tcPr>
                  <w:tcW w:w="767" w:type="dxa"/>
                  <w:tcBorders>
                    <w:tl2br w:val="nil"/>
                    <w:tr2bl w:val="nil"/>
                  </w:tcBorders>
                  <w:vAlign w:val="center"/>
                </w:tcPr>
                <w:p w14:paraId="57E1264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固态</w:t>
                  </w:r>
                </w:p>
              </w:tc>
              <w:tc>
                <w:tcPr>
                  <w:tcW w:w="1316" w:type="dxa"/>
                  <w:tcBorders>
                    <w:tl2br w:val="nil"/>
                    <w:tr2bl w:val="nil"/>
                  </w:tcBorders>
                  <w:vAlign w:val="center"/>
                </w:tcPr>
                <w:p w14:paraId="73875D4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600t/a</w:t>
                  </w:r>
                </w:p>
              </w:tc>
              <w:tc>
                <w:tcPr>
                  <w:tcW w:w="995" w:type="dxa"/>
                  <w:tcBorders>
                    <w:tl2br w:val="nil"/>
                    <w:tr2bl w:val="nil"/>
                  </w:tcBorders>
                  <w:vAlign w:val="center"/>
                </w:tcPr>
                <w:p w14:paraId="2B11FF3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20t</w:t>
                  </w:r>
                </w:p>
              </w:tc>
              <w:tc>
                <w:tcPr>
                  <w:tcW w:w="1250" w:type="dxa"/>
                  <w:tcBorders>
                    <w:tl2br w:val="nil"/>
                    <w:tr2bl w:val="nil"/>
                  </w:tcBorders>
                  <w:vAlign w:val="center"/>
                </w:tcPr>
                <w:p w14:paraId="6C7921E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桶装</w:t>
                  </w:r>
                </w:p>
              </w:tc>
              <w:tc>
                <w:tcPr>
                  <w:tcW w:w="1112" w:type="dxa"/>
                  <w:tcBorders>
                    <w:tl2br w:val="nil"/>
                    <w:tr2bl w:val="nil"/>
                  </w:tcBorders>
                  <w:vAlign w:val="center"/>
                </w:tcPr>
                <w:p w14:paraId="7E172A0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200KG/桶</w:t>
                  </w:r>
                </w:p>
              </w:tc>
              <w:tc>
                <w:tcPr>
                  <w:tcW w:w="677" w:type="dxa"/>
                  <w:tcBorders>
                    <w:tl2br w:val="nil"/>
                    <w:tr2bl w:val="nil"/>
                  </w:tcBorders>
                  <w:vAlign w:val="center"/>
                </w:tcPr>
                <w:p w14:paraId="59B36F7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外购</w:t>
                  </w:r>
                </w:p>
              </w:tc>
            </w:tr>
            <w:tr w14:paraId="6AE29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exact"/>
                <w:jc w:val="center"/>
              </w:trPr>
              <w:tc>
                <w:tcPr>
                  <w:tcW w:w="684" w:type="dxa"/>
                  <w:tcBorders>
                    <w:tl2br w:val="nil"/>
                    <w:tr2bl w:val="nil"/>
                  </w:tcBorders>
                  <w:vAlign w:val="center"/>
                </w:tcPr>
                <w:p w14:paraId="3264A18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4</w:t>
                  </w:r>
                </w:p>
              </w:tc>
              <w:tc>
                <w:tcPr>
                  <w:tcW w:w="1355" w:type="dxa"/>
                  <w:tcBorders>
                    <w:tl2br w:val="nil"/>
                    <w:tr2bl w:val="nil"/>
                  </w:tcBorders>
                  <w:vAlign w:val="center"/>
                </w:tcPr>
                <w:p w14:paraId="5995CAF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水</w:t>
                  </w:r>
                </w:p>
              </w:tc>
              <w:tc>
                <w:tcPr>
                  <w:tcW w:w="767" w:type="dxa"/>
                  <w:tcBorders>
                    <w:tl2br w:val="nil"/>
                    <w:tr2bl w:val="nil"/>
                  </w:tcBorders>
                  <w:vAlign w:val="center"/>
                </w:tcPr>
                <w:p w14:paraId="6298BA3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316" w:type="dxa"/>
                  <w:tcBorders>
                    <w:tl2br w:val="nil"/>
                    <w:tr2bl w:val="nil"/>
                  </w:tcBorders>
                  <w:vAlign w:val="center"/>
                </w:tcPr>
                <w:p w14:paraId="182D220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1296t/a</w:t>
                  </w:r>
                </w:p>
              </w:tc>
              <w:tc>
                <w:tcPr>
                  <w:tcW w:w="995" w:type="dxa"/>
                  <w:tcBorders>
                    <w:tl2br w:val="nil"/>
                    <w:tr2bl w:val="nil"/>
                  </w:tcBorders>
                  <w:vAlign w:val="center"/>
                </w:tcPr>
                <w:p w14:paraId="167E5F8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1250" w:type="dxa"/>
                  <w:tcBorders>
                    <w:tl2br w:val="nil"/>
                    <w:tr2bl w:val="nil"/>
                  </w:tcBorders>
                  <w:vAlign w:val="center"/>
                </w:tcPr>
                <w:p w14:paraId="0923656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1112" w:type="dxa"/>
                  <w:tcBorders>
                    <w:tl2br w:val="nil"/>
                    <w:tr2bl w:val="nil"/>
                  </w:tcBorders>
                  <w:vAlign w:val="center"/>
                </w:tcPr>
                <w:p w14:paraId="2DF521F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677" w:type="dxa"/>
                  <w:tcBorders>
                    <w:tl2br w:val="nil"/>
                    <w:tr2bl w:val="nil"/>
                  </w:tcBorders>
                  <w:vAlign w:val="center"/>
                </w:tcPr>
                <w:p w14:paraId="3023DD0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r>
            <w:tr w14:paraId="5ED97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84" w:type="dxa"/>
                  <w:tcBorders>
                    <w:tl2br w:val="nil"/>
                    <w:tr2bl w:val="nil"/>
                  </w:tcBorders>
                  <w:vAlign w:val="center"/>
                </w:tcPr>
                <w:p w14:paraId="1248358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5</w:t>
                  </w:r>
                </w:p>
              </w:tc>
              <w:tc>
                <w:tcPr>
                  <w:tcW w:w="1355" w:type="dxa"/>
                  <w:tcBorders>
                    <w:tl2br w:val="nil"/>
                    <w:tr2bl w:val="nil"/>
                  </w:tcBorders>
                  <w:vAlign w:val="center"/>
                </w:tcPr>
                <w:p w14:paraId="7739625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电</w:t>
                  </w:r>
                </w:p>
              </w:tc>
              <w:tc>
                <w:tcPr>
                  <w:tcW w:w="767" w:type="dxa"/>
                  <w:tcBorders>
                    <w:tl2br w:val="nil"/>
                    <w:tr2bl w:val="nil"/>
                  </w:tcBorders>
                  <w:vAlign w:val="center"/>
                </w:tcPr>
                <w:p w14:paraId="6F7F751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316" w:type="dxa"/>
                  <w:tcBorders>
                    <w:tl2br w:val="nil"/>
                    <w:tr2bl w:val="nil"/>
                  </w:tcBorders>
                  <w:vAlign w:val="center"/>
                </w:tcPr>
                <w:p w14:paraId="07BB84A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77.45万kw/a</w:t>
                  </w:r>
                </w:p>
              </w:tc>
              <w:tc>
                <w:tcPr>
                  <w:tcW w:w="995" w:type="dxa"/>
                  <w:tcBorders>
                    <w:tl2br w:val="nil"/>
                    <w:tr2bl w:val="nil"/>
                  </w:tcBorders>
                  <w:vAlign w:val="center"/>
                </w:tcPr>
                <w:p w14:paraId="3FDD461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1250" w:type="dxa"/>
                  <w:tcBorders>
                    <w:tl2br w:val="nil"/>
                    <w:tr2bl w:val="nil"/>
                  </w:tcBorders>
                  <w:vAlign w:val="center"/>
                </w:tcPr>
                <w:p w14:paraId="26D70CD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1112" w:type="dxa"/>
                  <w:tcBorders>
                    <w:tl2br w:val="nil"/>
                    <w:tr2bl w:val="nil"/>
                  </w:tcBorders>
                  <w:vAlign w:val="center"/>
                </w:tcPr>
                <w:p w14:paraId="2314733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677" w:type="dxa"/>
                  <w:tcBorders>
                    <w:tl2br w:val="nil"/>
                    <w:tr2bl w:val="nil"/>
                  </w:tcBorders>
                  <w:vAlign w:val="center"/>
                </w:tcPr>
                <w:p w14:paraId="6293E58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r>
          </w:tbl>
          <w:p w14:paraId="58CC5F85">
            <w:pPr>
              <w:keepNext w:val="0"/>
              <w:keepLines w:val="0"/>
              <w:suppressLineNumbers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eastAsia"/>
                <w:b/>
                <w:bCs/>
                <w:color w:val="0D0D0D" w:themeColor="text1" w:themeTint="F2"/>
                <w:u w:val="single"/>
                <w14:textFill>
                  <w14:solidFill>
                    <w14:schemeClr w14:val="tx1">
                      <w14:lumMod w14:val="95000"/>
                      <w14:lumOff w14:val="5000"/>
                    </w14:schemeClr>
                  </w14:solidFill>
                </w14:textFill>
              </w:rPr>
              <w:t>原材料理化性质</w:t>
            </w:r>
          </w:p>
          <w:p w14:paraId="33795319">
            <w:pPr>
              <w:keepNext w:val="0"/>
              <w:keepLines w:val="0"/>
              <w:suppressLineNumbers w:val="0"/>
              <w:spacing w:before="0" w:beforeAutospacing="0" w:after="0" w:afterAutospacing="0"/>
              <w:ind w:left="0" w:right="0" w:firstLine="482"/>
              <w:rPr>
                <w:rFonts w:hint="default"/>
                <w:color w:val="0D0D0D" w:themeColor="text1" w:themeTint="F2"/>
                <w:u w:val="single"/>
                <w14:textFill>
                  <w14:solidFill>
                    <w14:schemeClr w14:val="tx1">
                      <w14:lumMod w14:val="95000"/>
                      <w14:lumOff w14:val="5000"/>
                    </w14:schemeClr>
                  </w14:solidFill>
                </w14:textFill>
              </w:rPr>
            </w:pPr>
            <w:r>
              <w:rPr>
                <w:rFonts w:hint="eastAsia"/>
                <w:b/>
                <w:bCs/>
                <w:color w:val="0D0D0D" w:themeColor="text1" w:themeTint="F2"/>
                <w:u w:val="single"/>
                <w14:textFill>
                  <w14:solidFill>
                    <w14:schemeClr w14:val="tx1">
                      <w14:lumMod w14:val="95000"/>
                      <w14:lumOff w14:val="5000"/>
                    </w14:schemeClr>
                  </w14:solidFill>
                </w14:textFill>
              </w:rPr>
              <w:t>聚酯多元醇：</w:t>
            </w:r>
            <w:r>
              <w:rPr>
                <w:rFonts w:hint="eastAsia"/>
                <w:color w:val="0D0D0D" w:themeColor="text1" w:themeTint="F2"/>
                <w:u w:val="single"/>
                <w14:textFill>
                  <w14:solidFill>
                    <w14:schemeClr w14:val="tx1">
                      <w14:lumMod w14:val="95000"/>
                      <w14:lumOff w14:val="5000"/>
                    </w14:schemeClr>
                  </w14:solidFill>
                </w14:textFill>
              </w:rPr>
              <w:t>聚酯多元醇（polyester polyol）包括常规聚酯多元醇、聚己内酯多元醇和聚碳酸酯二醇，它们含酯基或碳酸酯基，通常所指的聚酯多元醇是由二元羧酸与二元醇等通过缩聚反应得到的聚酯多元醇。聚酯多元醇不属于危险运输品，聚酯多元醇一般用镀锌桶包装，桶口应用蜡密封。</w:t>
            </w:r>
          </w:p>
          <w:p w14:paraId="5075C17E">
            <w:pPr>
              <w:keepNext w:val="0"/>
              <w:keepLines w:val="0"/>
              <w:suppressLineNumbers w:val="0"/>
              <w:spacing w:before="0" w:beforeAutospacing="0" w:after="0" w:afterAutospacing="0"/>
              <w:ind w:left="0" w:right="0" w:firstLine="482"/>
              <w:rPr>
                <w:rFonts w:hint="default"/>
                <w:color w:val="0D0D0D" w:themeColor="text1" w:themeTint="F2"/>
                <w:u w:val="single"/>
                <w14:textFill>
                  <w14:solidFill>
                    <w14:schemeClr w14:val="tx1">
                      <w14:lumMod w14:val="95000"/>
                      <w14:lumOff w14:val="5000"/>
                    </w14:schemeClr>
                  </w14:solidFill>
                </w14:textFill>
              </w:rPr>
            </w:pPr>
            <w:r>
              <w:rPr>
                <w:rFonts w:hint="eastAsia"/>
                <w:b/>
                <w:bCs/>
                <w:color w:val="0D0D0D" w:themeColor="text1" w:themeTint="F2"/>
                <w:u w:val="single"/>
                <w14:textFill>
                  <w14:solidFill>
                    <w14:schemeClr w14:val="tx1">
                      <w14:lumMod w14:val="95000"/>
                      <w14:lumOff w14:val="5000"/>
                    </w14:schemeClr>
                  </w14:solidFill>
                </w14:textFill>
              </w:rPr>
              <w:t>丁二醇：</w:t>
            </w:r>
            <w:r>
              <w:rPr>
                <w:rFonts w:hint="eastAsia"/>
                <w:color w:val="0D0D0D" w:themeColor="text1" w:themeTint="F2"/>
                <w:u w:val="single"/>
                <w14:textFill>
                  <w14:solidFill>
                    <w14:schemeClr w14:val="tx1">
                      <w14:lumMod w14:val="95000"/>
                      <w14:lumOff w14:val="5000"/>
                    </w14:schemeClr>
                  </w14:solidFill>
                </w14:textFill>
              </w:rPr>
              <w:t>1,4-丁二醇（Butane-1,4-diol），是一种有机物，分子式为C</w:t>
            </w:r>
            <w:r>
              <w:rPr>
                <w:rFonts w:hint="eastAsia"/>
                <w:color w:val="0D0D0D" w:themeColor="text1" w:themeTint="F2"/>
                <w:u w:val="single"/>
                <w:vertAlign w:val="subscript"/>
                <w14:textFill>
                  <w14:solidFill>
                    <w14:schemeClr w14:val="tx1">
                      <w14:lumMod w14:val="95000"/>
                      <w14:lumOff w14:val="5000"/>
                    </w14:schemeClr>
                  </w14:solidFill>
                </w14:textFill>
              </w:rPr>
              <w:t>4</w:t>
            </w:r>
            <w:r>
              <w:rPr>
                <w:rFonts w:hint="eastAsia"/>
                <w:color w:val="0D0D0D" w:themeColor="text1" w:themeTint="F2"/>
                <w:u w:val="single"/>
                <w14:textFill>
                  <w14:solidFill>
                    <w14:schemeClr w14:val="tx1">
                      <w14:lumMod w14:val="95000"/>
                      <w14:lumOff w14:val="5000"/>
                    </w14:schemeClr>
                  </w14:solidFill>
                </w14:textFill>
              </w:rPr>
              <w:t>H</w:t>
            </w:r>
            <w:r>
              <w:rPr>
                <w:rFonts w:hint="eastAsia"/>
                <w:color w:val="0D0D0D" w:themeColor="text1" w:themeTint="F2"/>
                <w:u w:val="single"/>
                <w:vertAlign w:val="subscript"/>
                <w14:textFill>
                  <w14:solidFill>
                    <w14:schemeClr w14:val="tx1">
                      <w14:lumMod w14:val="95000"/>
                      <w14:lumOff w14:val="5000"/>
                    </w14:schemeClr>
                  </w14:solidFill>
                </w14:textFill>
              </w:rPr>
              <w:t>10</w:t>
            </w:r>
            <w:r>
              <w:rPr>
                <w:rFonts w:hint="eastAsia"/>
                <w:color w:val="0D0D0D" w:themeColor="text1" w:themeTint="F2"/>
                <w:u w:val="single"/>
                <w14:textFill>
                  <w14:solidFill>
                    <w14:schemeClr w14:val="tx1">
                      <w14:lumMod w14:val="95000"/>
                      <w14:lumOff w14:val="5000"/>
                    </w14:schemeClr>
                  </w14:solidFill>
                </w14:textFill>
              </w:rPr>
              <w:t>O</w:t>
            </w:r>
            <w:r>
              <w:rPr>
                <w:rFonts w:hint="eastAsia"/>
                <w:color w:val="0D0D0D" w:themeColor="text1" w:themeTint="F2"/>
                <w:u w:val="single"/>
                <w:vertAlign w:val="subscript"/>
                <w14:textFill>
                  <w14:solidFill>
                    <w14:schemeClr w14:val="tx1">
                      <w14:lumMod w14:val="95000"/>
                      <w14:lumOff w14:val="5000"/>
                    </w14:schemeClr>
                  </w14:solidFill>
                </w14:textFill>
              </w:rPr>
              <w:t>2</w:t>
            </w:r>
            <w:r>
              <w:rPr>
                <w:rFonts w:hint="eastAsia"/>
                <w:color w:val="0D0D0D" w:themeColor="text1" w:themeTint="F2"/>
                <w:u w:val="single"/>
                <w14:textFill>
                  <w14:solidFill>
                    <w14:schemeClr w14:val="tx1">
                      <w14:lumMod w14:val="95000"/>
                      <w14:lumOff w14:val="5000"/>
                    </w14:schemeClr>
                  </w14:solidFill>
                </w14:textFill>
              </w:rPr>
              <w:t>，分子量为90.12。外观为无色或淡黄色油状液体。可燃，凝固点20.1℃，折射率1.4461。能溶于甲醇、乙醇、丙酮，微溶于乙醚。有吸湿性，气味苦，入口则略有甜味。用作溶剂和增湿剂，也用于制增塑剂、药物、聚酯树脂、聚氨基甲酸酯树脂等。凝固点 ≤19.0℃，1，4-丁二醇的质量分数≥99.5%，溴值 ≤0.10%，折射率 1.445~1.446，水分 ≤0.10%，羟基值 ≤0.2%，色度(铂一钴色号) ≤25。采用铝、不锈钢、镀锌铁桶或塑料桶包装。</w:t>
            </w:r>
          </w:p>
          <w:p w14:paraId="508CEFB1">
            <w:pPr>
              <w:keepNext w:val="0"/>
              <w:keepLines w:val="0"/>
              <w:suppressLineNumbers w:val="0"/>
              <w:tabs>
                <w:tab w:val="left" w:pos="2246"/>
              </w:tabs>
              <w:spacing w:before="0" w:beforeAutospacing="0" w:after="0" w:afterAutospacing="0"/>
              <w:ind w:left="0" w:right="0" w:firstLine="482"/>
              <w:rPr>
                <w:rFonts w:hint="default"/>
                <w:color w:val="0D0D0D" w:themeColor="text1" w:themeTint="F2"/>
                <w:u w:val="single"/>
                <w14:textFill>
                  <w14:solidFill>
                    <w14:schemeClr w14:val="tx1">
                      <w14:lumMod w14:val="95000"/>
                      <w14:lumOff w14:val="5000"/>
                    </w14:schemeClr>
                  </w14:solidFill>
                </w14:textFill>
              </w:rPr>
            </w:pPr>
            <w:r>
              <w:rPr>
                <w:rFonts w:hint="eastAsia"/>
                <w:b/>
                <w:bCs/>
                <w:color w:val="0D0D0D" w:themeColor="text1" w:themeTint="F2"/>
                <w:u w:val="single"/>
                <w14:textFill>
                  <w14:solidFill>
                    <w14:schemeClr w14:val="tx1">
                      <w14:lumMod w14:val="95000"/>
                      <w14:lumOff w14:val="5000"/>
                    </w14:schemeClr>
                  </w14:solidFill>
                </w14:textFill>
              </w:rPr>
              <w:t>多异氰酸酯：</w:t>
            </w:r>
            <w:r>
              <w:rPr>
                <w:rFonts w:hint="eastAsia"/>
                <w:color w:val="0D0D0D" w:themeColor="text1" w:themeTint="F2"/>
                <w:u w:val="single"/>
                <w14:textFill>
                  <w14:solidFill>
                    <w14:schemeClr w14:val="tx1">
                      <w14:lumMod w14:val="95000"/>
                      <w14:lumOff w14:val="5000"/>
                    </w14:schemeClr>
                  </w14:solidFill>
                </w14:textFill>
              </w:rPr>
              <w:t>多异氰酸酯中，最常用即是TDI、MD</w:t>
            </w:r>
            <w:r>
              <w:rPr>
                <w:rFonts w:hint="eastAsia"/>
                <w:color w:val="0D0D0D" w:themeColor="text1" w:themeTint="F2"/>
                <w:u w:val="single"/>
                <w:lang w:val="en-US" w:eastAsia="zh-CN"/>
                <w14:textFill>
                  <w14:solidFill>
                    <w14:schemeClr w14:val="tx1">
                      <w14:lumMod w14:val="95000"/>
                      <w14:lumOff w14:val="5000"/>
                    </w14:schemeClr>
                  </w14:solidFill>
                </w14:textFill>
              </w:rPr>
              <w:t>I</w:t>
            </w:r>
            <w:r>
              <w:rPr>
                <w:rFonts w:hint="eastAsia"/>
                <w:color w:val="0D0D0D" w:themeColor="text1" w:themeTint="F2"/>
                <w:u w:val="single"/>
                <w14:textFill>
                  <w14:solidFill>
                    <w14:schemeClr w14:val="tx1">
                      <w14:lumMod w14:val="95000"/>
                      <w14:lumOff w14:val="5000"/>
                    </w14:schemeClr>
                  </w14:solidFill>
                </w14:textFill>
              </w:rPr>
              <w:t>和IPDI三种。项目使用MDI常温下为固体，两个异氰酸酯基的活性相同，刺激性小，以它为原料制备的臃黏剂有较高的粘接强度和冲击韧性，常用它作密封胶黏剂的</w:t>
            </w:r>
            <w:r>
              <w:rPr>
                <w:rFonts w:hint="eastAsia"/>
                <w:color w:val="0D0D0D" w:themeColor="text1" w:themeTint="F2"/>
                <w:u w:val="single"/>
                <w:lang w:val="en-US" w:eastAsia="zh-CN"/>
                <w14:textFill>
                  <w14:solidFill>
                    <w14:schemeClr w14:val="tx1">
                      <w14:lumMod w14:val="95000"/>
                      <w14:lumOff w14:val="5000"/>
                    </w14:schemeClr>
                  </w14:solidFill>
                </w14:textFill>
              </w:rPr>
              <w:t>原料，</w:t>
            </w:r>
            <w:r>
              <w:rPr>
                <w:rFonts w:hint="eastAsia"/>
                <w:color w:val="0D0D0D" w:themeColor="text1" w:themeTint="F2"/>
                <w:u w:val="single"/>
                <w14:textFill>
                  <w14:solidFill>
                    <w14:schemeClr w14:val="tx1">
                      <w14:lumMod w14:val="95000"/>
                      <w14:lumOff w14:val="5000"/>
                    </w14:schemeClr>
                  </w14:solidFill>
                </w14:textFill>
              </w:rPr>
              <w:t>可以制成交联密度较高的聚氨酯胶黏剂，常与氯丁橡胶配合，制成应用广泛的氧丁-列克纳胶黏剂。采用铝、不锈钢、镀锌铁桶或塑料桶包装</w:t>
            </w:r>
          </w:p>
          <w:p w14:paraId="49D428E0">
            <w:pPr>
              <w:keepNext w:val="0"/>
              <w:keepLines w:val="0"/>
              <w:suppressLineNumbers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eastAsia"/>
                <w:b/>
                <w:bCs/>
                <w:color w:val="0D0D0D" w:themeColor="text1" w:themeTint="F2"/>
                <w14:textFill>
                  <w14:solidFill>
                    <w14:schemeClr w14:val="tx1">
                      <w14:lumMod w14:val="95000"/>
                      <w14:lumOff w14:val="5000"/>
                    </w14:schemeClr>
                  </w14:solidFill>
                </w14:textFill>
              </w:rPr>
              <w:t>5、</w:t>
            </w:r>
            <w:r>
              <w:rPr>
                <w:rFonts w:hint="eastAsia"/>
                <w:b/>
                <w:bCs/>
                <w:color w:val="0D0D0D" w:themeColor="text1" w:themeTint="F2"/>
                <w:u w:val="single"/>
                <w14:textFill>
                  <w14:solidFill>
                    <w14:schemeClr w14:val="tx1">
                      <w14:lumMod w14:val="95000"/>
                      <w14:lumOff w14:val="5000"/>
                    </w14:schemeClr>
                  </w14:solidFill>
                </w14:textFill>
              </w:rPr>
              <w:t>主要生产设备</w:t>
            </w:r>
          </w:p>
          <w:p w14:paraId="221B6F87">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表2-4主要设备一览表</w:t>
            </w:r>
          </w:p>
          <w:tbl>
            <w:tblPr>
              <w:tblStyle w:val="17"/>
              <w:tblW w:w="81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925"/>
              <w:gridCol w:w="1567"/>
              <w:gridCol w:w="765"/>
              <w:gridCol w:w="808"/>
              <w:gridCol w:w="1381"/>
            </w:tblGrid>
            <w:tr w14:paraId="301CC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11" w:type="dxa"/>
                  <w:tcBorders>
                    <w:tl2br w:val="nil"/>
                    <w:tr2bl w:val="nil"/>
                  </w:tcBorders>
                  <w:vAlign w:val="center"/>
                </w:tcPr>
                <w:p w14:paraId="1192498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序号</w:t>
                  </w:r>
                </w:p>
              </w:tc>
              <w:tc>
                <w:tcPr>
                  <w:tcW w:w="2925" w:type="dxa"/>
                  <w:tcBorders>
                    <w:tl2br w:val="nil"/>
                    <w:tr2bl w:val="nil"/>
                  </w:tcBorders>
                  <w:vAlign w:val="center"/>
                </w:tcPr>
                <w:p w14:paraId="341BEF2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设备名称</w:t>
                  </w:r>
                </w:p>
              </w:tc>
              <w:tc>
                <w:tcPr>
                  <w:tcW w:w="1567" w:type="dxa"/>
                  <w:tcBorders>
                    <w:tl2br w:val="nil"/>
                    <w:tr2bl w:val="nil"/>
                  </w:tcBorders>
                  <w:vAlign w:val="center"/>
                </w:tcPr>
                <w:p w14:paraId="2EB2719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型号及规格</w:t>
                  </w:r>
                </w:p>
              </w:tc>
              <w:tc>
                <w:tcPr>
                  <w:tcW w:w="765" w:type="dxa"/>
                  <w:tcBorders>
                    <w:tl2br w:val="nil"/>
                    <w:tr2bl w:val="nil"/>
                  </w:tcBorders>
                  <w:vAlign w:val="center"/>
                </w:tcPr>
                <w:p w14:paraId="0EBCF0E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单位</w:t>
                  </w:r>
                </w:p>
              </w:tc>
              <w:tc>
                <w:tcPr>
                  <w:tcW w:w="808" w:type="dxa"/>
                  <w:tcBorders>
                    <w:tl2br w:val="nil"/>
                    <w:tr2bl w:val="nil"/>
                  </w:tcBorders>
                  <w:vAlign w:val="center"/>
                </w:tcPr>
                <w:p w14:paraId="017253C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数量</w:t>
                  </w:r>
                </w:p>
              </w:tc>
              <w:tc>
                <w:tcPr>
                  <w:tcW w:w="1381" w:type="dxa"/>
                  <w:tcBorders>
                    <w:tl2br w:val="nil"/>
                    <w:tr2bl w:val="nil"/>
                  </w:tcBorders>
                  <w:vAlign w:val="center"/>
                </w:tcPr>
                <w:p w14:paraId="1A04402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备注</w:t>
                  </w:r>
                </w:p>
              </w:tc>
            </w:tr>
            <w:tr w14:paraId="7A503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11" w:type="dxa"/>
                  <w:tcBorders>
                    <w:tl2br w:val="nil"/>
                    <w:tr2bl w:val="nil"/>
                  </w:tcBorders>
                  <w:vAlign w:val="center"/>
                </w:tcPr>
                <w:p w14:paraId="5C34EA9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w:t>
                  </w:r>
                </w:p>
              </w:tc>
              <w:tc>
                <w:tcPr>
                  <w:tcW w:w="2925" w:type="dxa"/>
                  <w:tcBorders>
                    <w:tl2br w:val="nil"/>
                    <w:tr2bl w:val="nil"/>
                  </w:tcBorders>
                  <w:vAlign w:val="center"/>
                </w:tcPr>
                <w:p w14:paraId="7518799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双螺杆挤出机</w:t>
                  </w:r>
                </w:p>
              </w:tc>
              <w:tc>
                <w:tcPr>
                  <w:tcW w:w="1567" w:type="dxa"/>
                  <w:tcBorders>
                    <w:tl2br w:val="nil"/>
                    <w:tr2bl w:val="nil"/>
                  </w:tcBorders>
                  <w:vAlign w:val="center"/>
                </w:tcPr>
                <w:p w14:paraId="46FD3FA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SHJ-75</w:t>
                  </w:r>
                </w:p>
              </w:tc>
              <w:tc>
                <w:tcPr>
                  <w:tcW w:w="765" w:type="dxa"/>
                  <w:tcBorders>
                    <w:tl2br w:val="nil"/>
                    <w:tr2bl w:val="nil"/>
                  </w:tcBorders>
                  <w:vAlign w:val="center"/>
                </w:tcPr>
                <w:p w14:paraId="7C80446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5FCC457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restart"/>
                  <w:tcBorders>
                    <w:tl2br w:val="nil"/>
                    <w:tr2bl w:val="nil"/>
                  </w:tcBorders>
                  <w:vAlign w:val="center"/>
                </w:tcPr>
                <w:p w14:paraId="3A917C0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拟计划10#，11#厂房各安装1套生产线</w:t>
                  </w:r>
                </w:p>
              </w:tc>
            </w:tr>
            <w:tr w14:paraId="178DC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11" w:type="dxa"/>
                  <w:tcBorders>
                    <w:tl2br w:val="nil"/>
                    <w:tr2bl w:val="nil"/>
                  </w:tcBorders>
                  <w:vAlign w:val="center"/>
                </w:tcPr>
                <w:p w14:paraId="72C0104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2925" w:type="dxa"/>
                  <w:tcBorders>
                    <w:tl2br w:val="nil"/>
                    <w:tr2bl w:val="nil"/>
                  </w:tcBorders>
                  <w:vAlign w:val="center"/>
                </w:tcPr>
                <w:p w14:paraId="4D3D93E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TPU浇注机</w:t>
                  </w:r>
                </w:p>
              </w:tc>
              <w:tc>
                <w:tcPr>
                  <w:tcW w:w="1567" w:type="dxa"/>
                  <w:tcBorders>
                    <w:tl2br w:val="nil"/>
                    <w:tr2bl w:val="nil"/>
                  </w:tcBorders>
                  <w:vAlign w:val="center"/>
                </w:tcPr>
                <w:p w14:paraId="4E60584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201</w:t>
                  </w:r>
                </w:p>
              </w:tc>
              <w:tc>
                <w:tcPr>
                  <w:tcW w:w="765" w:type="dxa"/>
                  <w:tcBorders>
                    <w:tl2br w:val="nil"/>
                    <w:tr2bl w:val="nil"/>
                  </w:tcBorders>
                  <w:vAlign w:val="center"/>
                </w:tcPr>
                <w:p w14:paraId="6127F86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557097D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continue"/>
                  <w:tcBorders>
                    <w:tl2br w:val="nil"/>
                    <w:tr2bl w:val="nil"/>
                  </w:tcBorders>
                  <w:vAlign w:val="center"/>
                </w:tcPr>
                <w:p w14:paraId="5B7E4E4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05AD04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711" w:type="dxa"/>
                  <w:tcBorders>
                    <w:tl2br w:val="nil"/>
                    <w:tr2bl w:val="nil"/>
                  </w:tcBorders>
                  <w:vAlign w:val="center"/>
                </w:tcPr>
                <w:p w14:paraId="357B90D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3</w:t>
                  </w:r>
                </w:p>
              </w:tc>
              <w:tc>
                <w:tcPr>
                  <w:tcW w:w="2925" w:type="dxa"/>
                  <w:tcBorders>
                    <w:tl2br w:val="nil"/>
                    <w:tr2bl w:val="nil"/>
                  </w:tcBorders>
                  <w:vAlign w:val="center"/>
                </w:tcPr>
                <w:p w14:paraId="6070E3B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储料罐</w:t>
                  </w:r>
                </w:p>
              </w:tc>
              <w:tc>
                <w:tcPr>
                  <w:tcW w:w="1567" w:type="dxa"/>
                  <w:tcBorders>
                    <w:tl2br w:val="nil"/>
                    <w:tr2bl w:val="nil"/>
                  </w:tcBorders>
                  <w:vAlign w:val="center"/>
                </w:tcPr>
                <w:p w14:paraId="65DCF29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765" w:type="dxa"/>
                  <w:tcBorders>
                    <w:tl2br w:val="nil"/>
                    <w:tr2bl w:val="nil"/>
                  </w:tcBorders>
                  <w:vAlign w:val="center"/>
                </w:tcPr>
                <w:p w14:paraId="6853888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个</w:t>
                  </w:r>
                </w:p>
              </w:tc>
              <w:tc>
                <w:tcPr>
                  <w:tcW w:w="808" w:type="dxa"/>
                  <w:tcBorders>
                    <w:tl2br w:val="nil"/>
                    <w:tr2bl w:val="nil"/>
                  </w:tcBorders>
                  <w:vAlign w:val="center"/>
                </w:tcPr>
                <w:p w14:paraId="67A8D48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4</w:t>
                  </w:r>
                </w:p>
              </w:tc>
              <w:tc>
                <w:tcPr>
                  <w:tcW w:w="1381" w:type="dxa"/>
                  <w:vMerge w:val="continue"/>
                  <w:tcBorders>
                    <w:tl2br w:val="nil"/>
                    <w:tr2bl w:val="nil"/>
                  </w:tcBorders>
                  <w:vAlign w:val="center"/>
                </w:tcPr>
                <w:p w14:paraId="52EDBE5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476DBB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11" w:type="dxa"/>
                  <w:tcBorders>
                    <w:tl2br w:val="nil"/>
                    <w:tr2bl w:val="nil"/>
                  </w:tcBorders>
                  <w:vAlign w:val="center"/>
                </w:tcPr>
                <w:p w14:paraId="597F446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4</w:t>
                  </w:r>
                </w:p>
              </w:tc>
              <w:tc>
                <w:tcPr>
                  <w:tcW w:w="2925" w:type="dxa"/>
                  <w:tcBorders>
                    <w:tl2br w:val="nil"/>
                    <w:tr2bl w:val="nil"/>
                  </w:tcBorders>
                  <w:vAlign w:val="center"/>
                </w:tcPr>
                <w:p w14:paraId="026FD31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切粒机</w:t>
                  </w:r>
                </w:p>
              </w:tc>
              <w:tc>
                <w:tcPr>
                  <w:tcW w:w="1567" w:type="dxa"/>
                  <w:tcBorders>
                    <w:tl2br w:val="nil"/>
                    <w:tr2bl w:val="nil"/>
                  </w:tcBorders>
                  <w:vAlign w:val="center"/>
                </w:tcPr>
                <w:p w14:paraId="1701477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765" w:type="dxa"/>
                  <w:tcBorders>
                    <w:tl2br w:val="nil"/>
                    <w:tr2bl w:val="nil"/>
                  </w:tcBorders>
                  <w:vAlign w:val="center"/>
                </w:tcPr>
                <w:p w14:paraId="271F3F4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74CA72B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continue"/>
                  <w:tcBorders>
                    <w:tl2br w:val="nil"/>
                    <w:tr2bl w:val="nil"/>
                  </w:tcBorders>
                  <w:vAlign w:val="center"/>
                </w:tcPr>
                <w:p w14:paraId="15A0732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394D6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711" w:type="dxa"/>
                  <w:tcBorders>
                    <w:tl2br w:val="nil"/>
                    <w:tr2bl w:val="nil"/>
                  </w:tcBorders>
                  <w:vAlign w:val="center"/>
                </w:tcPr>
                <w:p w14:paraId="57B6DAD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5</w:t>
                  </w:r>
                </w:p>
              </w:tc>
              <w:tc>
                <w:tcPr>
                  <w:tcW w:w="2925" w:type="dxa"/>
                  <w:tcBorders>
                    <w:tl2br w:val="nil"/>
                    <w:tr2bl w:val="nil"/>
                  </w:tcBorders>
                  <w:vAlign w:val="center"/>
                </w:tcPr>
                <w:p w14:paraId="1CF6B64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lang w:eastAsia="zh-CN"/>
                      <w14:textFill>
                        <w14:solidFill>
                          <w14:schemeClr w14:val="tx1">
                            <w14:lumMod w14:val="95000"/>
                            <w14:lumOff w14:val="5000"/>
                          </w14:schemeClr>
                        </w14:solidFill>
                      </w14:textFill>
                    </w:rPr>
                    <w:t>二级活性炭</w:t>
                  </w:r>
                  <w:r>
                    <w:rPr>
                      <w:rFonts w:hint="eastAsia"/>
                      <w:color w:val="0D0D0D" w:themeColor="text1" w:themeTint="F2"/>
                      <w:sz w:val="21"/>
                      <w:szCs w:val="21"/>
                      <w:u w:val="single"/>
                      <w14:textFill>
                        <w14:solidFill>
                          <w14:schemeClr w14:val="tx1">
                            <w14:lumMod w14:val="95000"/>
                            <w14:lumOff w14:val="5000"/>
                          </w14:schemeClr>
                        </w14:solidFill>
                      </w14:textFill>
                    </w:rPr>
                    <w:t>吸附一体机</w:t>
                  </w:r>
                </w:p>
              </w:tc>
              <w:tc>
                <w:tcPr>
                  <w:tcW w:w="1567" w:type="dxa"/>
                  <w:tcBorders>
                    <w:tl2br w:val="nil"/>
                    <w:tr2bl w:val="nil"/>
                  </w:tcBorders>
                  <w:vAlign w:val="center"/>
                </w:tcPr>
                <w:p w14:paraId="3FBBE73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765" w:type="dxa"/>
                  <w:tcBorders>
                    <w:tl2br w:val="nil"/>
                    <w:tr2bl w:val="nil"/>
                  </w:tcBorders>
                  <w:vAlign w:val="center"/>
                </w:tcPr>
                <w:p w14:paraId="26A2C50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4D6DB4B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continue"/>
                  <w:tcBorders>
                    <w:tl2br w:val="nil"/>
                    <w:tr2bl w:val="nil"/>
                  </w:tcBorders>
                  <w:vAlign w:val="center"/>
                </w:tcPr>
                <w:p w14:paraId="04BBF25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3058F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11" w:type="dxa"/>
                  <w:tcBorders>
                    <w:tl2br w:val="nil"/>
                    <w:tr2bl w:val="nil"/>
                  </w:tcBorders>
                  <w:vAlign w:val="center"/>
                </w:tcPr>
                <w:p w14:paraId="697FB69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6</w:t>
                  </w:r>
                </w:p>
              </w:tc>
              <w:tc>
                <w:tcPr>
                  <w:tcW w:w="2925" w:type="dxa"/>
                  <w:tcBorders>
                    <w:tl2br w:val="nil"/>
                    <w:tr2bl w:val="nil"/>
                  </w:tcBorders>
                  <w:vAlign w:val="center"/>
                </w:tcPr>
                <w:p w14:paraId="638C36E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空压机</w:t>
                  </w:r>
                </w:p>
              </w:tc>
              <w:tc>
                <w:tcPr>
                  <w:tcW w:w="1567" w:type="dxa"/>
                  <w:tcBorders>
                    <w:tl2br w:val="nil"/>
                    <w:tr2bl w:val="nil"/>
                  </w:tcBorders>
                  <w:vAlign w:val="center"/>
                </w:tcPr>
                <w:p w14:paraId="15237F1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奥斯曼SA-10</w:t>
                  </w:r>
                </w:p>
              </w:tc>
              <w:tc>
                <w:tcPr>
                  <w:tcW w:w="765" w:type="dxa"/>
                  <w:tcBorders>
                    <w:tl2br w:val="nil"/>
                    <w:tr2bl w:val="nil"/>
                  </w:tcBorders>
                  <w:vAlign w:val="center"/>
                </w:tcPr>
                <w:p w14:paraId="0DD00F5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01E86E7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continue"/>
                  <w:tcBorders>
                    <w:tl2br w:val="nil"/>
                    <w:tr2bl w:val="nil"/>
                  </w:tcBorders>
                  <w:vAlign w:val="center"/>
                </w:tcPr>
                <w:p w14:paraId="4CE2B57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0678C9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11" w:type="dxa"/>
                  <w:tcBorders>
                    <w:tl2br w:val="nil"/>
                    <w:tr2bl w:val="nil"/>
                  </w:tcBorders>
                  <w:vAlign w:val="center"/>
                </w:tcPr>
                <w:p w14:paraId="60511F1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7</w:t>
                  </w:r>
                </w:p>
              </w:tc>
              <w:tc>
                <w:tcPr>
                  <w:tcW w:w="2925" w:type="dxa"/>
                  <w:tcBorders>
                    <w:tl2br w:val="nil"/>
                    <w:tr2bl w:val="nil"/>
                  </w:tcBorders>
                  <w:vAlign w:val="center"/>
                </w:tcPr>
                <w:p w14:paraId="232199A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行吊2t</w:t>
                  </w:r>
                </w:p>
              </w:tc>
              <w:tc>
                <w:tcPr>
                  <w:tcW w:w="1567" w:type="dxa"/>
                  <w:tcBorders>
                    <w:tl2br w:val="nil"/>
                    <w:tr2bl w:val="nil"/>
                  </w:tcBorders>
                  <w:vAlign w:val="center"/>
                </w:tcPr>
                <w:p w14:paraId="5B108AA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765" w:type="dxa"/>
                  <w:tcBorders>
                    <w:tl2br w:val="nil"/>
                    <w:tr2bl w:val="nil"/>
                  </w:tcBorders>
                  <w:vAlign w:val="center"/>
                </w:tcPr>
                <w:p w14:paraId="24A3696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2C106F1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24</w:t>
                  </w:r>
                </w:p>
              </w:tc>
              <w:tc>
                <w:tcPr>
                  <w:tcW w:w="1381" w:type="dxa"/>
                  <w:vMerge w:val="continue"/>
                  <w:tcBorders>
                    <w:tl2br w:val="nil"/>
                    <w:tr2bl w:val="nil"/>
                  </w:tcBorders>
                  <w:vAlign w:val="center"/>
                </w:tcPr>
                <w:p w14:paraId="0D83705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26B2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11" w:type="dxa"/>
                  <w:tcBorders>
                    <w:tl2br w:val="nil"/>
                    <w:tr2bl w:val="nil"/>
                  </w:tcBorders>
                  <w:vAlign w:val="center"/>
                </w:tcPr>
                <w:p w14:paraId="62E5E9F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8</w:t>
                  </w:r>
                </w:p>
              </w:tc>
              <w:tc>
                <w:tcPr>
                  <w:tcW w:w="2925" w:type="dxa"/>
                  <w:tcBorders>
                    <w:tl2br w:val="nil"/>
                    <w:tr2bl w:val="nil"/>
                  </w:tcBorders>
                  <w:vAlign w:val="center"/>
                </w:tcPr>
                <w:p w14:paraId="294DCD8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振动筛</w:t>
                  </w:r>
                </w:p>
              </w:tc>
              <w:tc>
                <w:tcPr>
                  <w:tcW w:w="1567" w:type="dxa"/>
                  <w:tcBorders>
                    <w:tl2br w:val="nil"/>
                    <w:tr2bl w:val="nil"/>
                  </w:tcBorders>
                  <w:vAlign w:val="center"/>
                </w:tcPr>
                <w:p w14:paraId="28D16B6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w:t>
                  </w:r>
                </w:p>
              </w:tc>
              <w:tc>
                <w:tcPr>
                  <w:tcW w:w="765" w:type="dxa"/>
                  <w:tcBorders>
                    <w:tl2br w:val="nil"/>
                    <w:tr2bl w:val="nil"/>
                  </w:tcBorders>
                  <w:vAlign w:val="center"/>
                </w:tcPr>
                <w:p w14:paraId="05117E2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0B22233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continue"/>
                  <w:tcBorders>
                    <w:tl2br w:val="nil"/>
                    <w:tr2bl w:val="nil"/>
                  </w:tcBorders>
                  <w:vAlign w:val="center"/>
                </w:tcPr>
                <w:p w14:paraId="37ADEEE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29301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exact"/>
                <w:jc w:val="center"/>
              </w:trPr>
              <w:tc>
                <w:tcPr>
                  <w:tcW w:w="711" w:type="dxa"/>
                  <w:tcBorders>
                    <w:tl2br w:val="nil"/>
                    <w:tr2bl w:val="nil"/>
                  </w:tcBorders>
                  <w:vAlign w:val="center"/>
                </w:tcPr>
                <w:p w14:paraId="256402F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9</w:t>
                  </w:r>
                </w:p>
              </w:tc>
              <w:tc>
                <w:tcPr>
                  <w:tcW w:w="2925" w:type="dxa"/>
                  <w:tcBorders>
                    <w:tl2br w:val="nil"/>
                    <w:tr2bl w:val="nil"/>
                  </w:tcBorders>
                  <w:vAlign w:val="center"/>
                </w:tcPr>
                <w:p w14:paraId="08D26C7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循环水冷却塔</w:t>
                  </w:r>
                </w:p>
              </w:tc>
              <w:tc>
                <w:tcPr>
                  <w:tcW w:w="1567" w:type="dxa"/>
                  <w:tcBorders>
                    <w:tl2br w:val="nil"/>
                    <w:tr2bl w:val="nil"/>
                  </w:tcBorders>
                  <w:vAlign w:val="center"/>
                </w:tcPr>
                <w:p w14:paraId="0B98B81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循环水量：</w:t>
                  </w:r>
                  <w:r>
                    <w:rPr>
                      <w:rFonts w:hint="eastAsia"/>
                      <w:color w:val="0D0D0D" w:themeColor="text1" w:themeTint="F2"/>
                      <w:sz w:val="21"/>
                      <w:szCs w:val="21"/>
                      <w:u w:val="single"/>
                      <w14:textFill>
                        <w14:solidFill>
                          <w14:schemeClr w14:val="tx1">
                            <w14:lumMod w14:val="95000"/>
                            <w14:lumOff w14:val="5000"/>
                          </w14:schemeClr>
                        </w14:solidFill>
                      </w14:textFill>
                    </w:rPr>
                    <w:t>20</w:t>
                  </w:r>
                  <w:r>
                    <w:rPr>
                      <w:rFonts w:hint="default"/>
                      <w:color w:val="0D0D0D" w:themeColor="text1" w:themeTint="F2"/>
                      <w:sz w:val="21"/>
                      <w:szCs w:val="21"/>
                      <w:u w:val="single"/>
                      <w14:textFill>
                        <w14:solidFill>
                          <w14:schemeClr w14:val="tx1">
                            <w14:lumMod w14:val="95000"/>
                            <w14:lumOff w14:val="5000"/>
                          </w14:schemeClr>
                        </w14:solidFill>
                      </w14:textFill>
                    </w:rPr>
                    <w:t>t/h</w:t>
                  </w:r>
                </w:p>
              </w:tc>
              <w:tc>
                <w:tcPr>
                  <w:tcW w:w="765" w:type="dxa"/>
                  <w:tcBorders>
                    <w:tl2br w:val="nil"/>
                    <w:tr2bl w:val="nil"/>
                  </w:tcBorders>
                  <w:vAlign w:val="center"/>
                </w:tcPr>
                <w:p w14:paraId="7CDA815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台</w:t>
                  </w:r>
                </w:p>
              </w:tc>
              <w:tc>
                <w:tcPr>
                  <w:tcW w:w="808" w:type="dxa"/>
                  <w:tcBorders>
                    <w:tl2br w:val="nil"/>
                    <w:tr2bl w:val="nil"/>
                  </w:tcBorders>
                  <w:vAlign w:val="center"/>
                </w:tcPr>
                <w:p w14:paraId="65A21CD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81" w:type="dxa"/>
                  <w:vMerge w:val="continue"/>
                  <w:tcBorders>
                    <w:tl2br w:val="nil"/>
                    <w:tr2bl w:val="nil"/>
                  </w:tcBorders>
                  <w:vAlign w:val="center"/>
                </w:tcPr>
                <w:p w14:paraId="173A0DC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bl>
          <w:p w14:paraId="350F4695">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6、劳动定及工作制度</w:t>
            </w:r>
          </w:p>
          <w:p w14:paraId="261393CD">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u w:val="single"/>
                <w14:textFill>
                  <w14:solidFill>
                    <w14:schemeClr w14:val="tx1">
                      <w14:lumMod w14:val="95000"/>
                      <w14:lumOff w14:val="5000"/>
                    </w14:schemeClr>
                  </w14:solidFill>
                </w14:textFill>
              </w:rPr>
            </w:pP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项目职工人数为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8</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厂区无员工居住。一</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班制，每班8小时，年生产</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24</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0天</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计</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，年运营时间</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1920</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小时。</w:t>
            </w:r>
          </w:p>
          <w:p w14:paraId="5819F8DC">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r>
              <w:rPr>
                <w:rFonts w:hint="eastAsia" w:ascii="宋体" w:hAnsi="宋体" w:cs="宋体"/>
                <w:bCs/>
                <w:color w:val="0D0D0D" w:themeColor="text1" w:themeTint="F2"/>
                <w:szCs w:val="21"/>
                <w14:textFill>
                  <w14:solidFill>
                    <w14:schemeClr w14:val="tx1">
                      <w14:lumMod w14:val="95000"/>
                      <w14:lumOff w14:val="5000"/>
                    </w14:schemeClr>
                  </w14:solidFill>
                </w14:textFill>
              </w:rPr>
              <w:t>7</w:t>
            </w:r>
            <w:r>
              <w:rPr>
                <w:rFonts w:hint="default" w:ascii="宋体" w:hAnsi="宋体" w:cs="宋体"/>
                <w:bCs/>
                <w:color w:val="0D0D0D" w:themeColor="text1" w:themeTint="F2"/>
                <w:szCs w:val="21"/>
                <w14:textFill>
                  <w14:solidFill>
                    <w14:schemeClr w14:val="tx1">
                      <w14:lumMod w14:val="95000"/>
                      <w14:lumOff w14:val="5000"/>
                    </w14:schemeClr>
                  </w14:solidFill>
                </w14:textFill>
              </w:rPr>
              <w:t>、水平衡</w:t>
            </w:r>
          </w:p>
          <w:p w14:paraId="776D0482">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r>
              <w:rPr>
                <w:rFonts w:hint="default" w:ascii="宋体" w:hAnsi="宋体" w:cs="宋体"/>
                <w:bCs/>
                <w:color w:val="0D0D0D" w:themeColor="text1" w:themeTint="F2"/>
                <w:szCs w:val="21"/>
                <w14:textFill>
                  <w14:solidFill>
                    <w14:schemeClr w14:val="tx1">
                      <w14:lumMod w14:val="95000"/>
                      <w14:lumOff w14:val="5000"/>
                    </w14:schemeClr>
                  </w14:solidFill>
                </w14:textFill>
              </w:rPr>
              <w:t>本项目用水主要为职工生活用水和冷却用水。由市政供水管网提供，用水量为</w:t>
            </w:r>
            <w:r>
              <w:rPr>
                <w:rFonts w:hint="eastAsia" w:ascii="宋体" w:hAnsi="宋体" w:cs="宋体"/>
                <w:bCs/>
                <w:color w:val="0D0D0D" w:themeColor="text1" w:themeTint="F2"/>
                <w:szCs w:val="21"/>
                <w14:textFill>
                  <w14:solidFill>
                    <w14:schemeClr w14:val="tx1">
                      <w14:lumMod w14:val="95000"/>
                      <w14:lumOff w14:val="5000"/>
                    </w14:schemeClr>
                  </w14:solidFill>
                </w14:textFill>
              </w:rPr>
              <w:t>1.68m³</w:t>
            </w:r>
            <w:r>
              <w:rPr>
                <w:rFonts w:hint="default" w:ascii="宋体" w:hAnsi="宋体" w:cs="宋体"/>
                <w:bCs/>
                <w:color w:val="0D0D0D" w:themeColor="text1" w:themeTint="F2"/>
                <w:szCs w:val="21"/>
                <w14:textFill>
                  <w14:solidFill>
                    <w14:schemeClr w14:val="tx1">
                      <w14:lumMod w14:val="95000"/>
                      <w14:lumOff w14:val="5000"/>
                    </w14:schemeClr>
                  </w14:solidFill>
                </w14:textFill>
              </w:rPr>
              <w:t>/d（</w:t>
            </w:r>
            <w:r>
              <w:rPr>
                <w:rFonts w:hint="eastAsia" w:ascii="宋体" w:hAnsi="宋体" w:cs="宋体"/>
                <w:bCs/>
                <w:color w:val="0D0D0D" w:themeColor="text1" w:themeTint="F2"/>
                <w:szCs w:val="21"/>
                <w14:textFill>
                  <w14:solidFill>
                    <w14:schemeClr w14:val="tx1">
                      <w14:lumMod w14:val="95000"/>
                      <w14:lumOff w14:val="5000"/>
                    </w14:schemeClr>
                  </w14:solidFill>
                </w14:textFill>
              </w:rPr>
              <w:t>403.2m³</w:t>
            </w:r>
            <w:r>
              <w:rPr>
                <w:rFonts w:hint="default" w:ascii="宋体" w:hAnsi="宋体" w:cs="宋体"/>
                <w:bCs/>
                <w:color w:val="0D0D0D" w:themeColor="text1" w:themeTint="F2"/>
                <w:szCs w:val="21"/>
                <w14:textFill>
                  <w14:solidFill>
                    <w14:schemeClr w14:val="tx1">
                      <w14:lumMod w14:val="95000"/>
                      <w14:lumOff w14:val="5000"/>
                    </w14:schemeClr>
                  </w14:solidFill>
                </w14:textFill>
              </w:rPr>
              <w:t>/a）</w:t>
            </w:r>
          </w:p>
          <w:p w14:paraId="2C52E158">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r>
              <w:rPr>
                <w:rFonts w:hint="default" w:ascii="宋体" w:hAnsi="宋体" w:cs="宋体"/>
                <w:bCs/>
                <w:color w:val="0D0D0D" w:themeColor="text1" w:themeTint="F2"/>
                <w:szCs w:val="21"/>
                <w14:textFill>
                  <w14:solidFill>
                    <w14:schemeClr w14:val="tx1">
                      <w14:lumMod w14:val="95000"/>
                      <w14:lumOff w14:val="5000"/>
                    </w14:schemeClr>
                  </w14:solidFill>
                </w14:textFill>
              </w:rPr>
              <w:t>1）生活用水</w:t>
            </w:r>
          </w:p>
          <w:p w14:paraId="029BB906">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u w:val="single"/>
                <w14:textFill>
                  <w14:solidFill>
                    <w14:schemeClr w14:val="tx1">
                      <w14:lumMod w14:val="95000"/>
                      <w14:lumOff w14:val="5000"/>
                    </w14:schemeClr>
                  </w14:solidFill>
                </w14:textFill>
              </w:rPr>
            </w:pP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本项目员工为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8</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人，根据《湖南省用水定额》（DB43T388-2020），居民生活用水量按</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150L</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d</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计</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算，</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年工作</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240</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天</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计</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，生活用水量为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1.2m</w:t>
            </w:r>
            <w:r>
              <w:rPr>
                <w:rFonts w:hint="eastAsia" w:ascii="宋体" w:hAnsi="宋体" w:cs="宋体"/>
                <w:bCs/>
                <w:color w:val="0D0D0D" w:themeColor="text1" w:themeTint="F2"/>
                <w:szCs w:val="21"/>
                <w:u w:val="single"/>
                <w:vertAlign w:val="superscript"/>
                <w14:textFill>
                  <w14:solidFill>
                    <w14:schemeClr w14:val="tx1">
                      <w14:lumMod w14:val="95000"/>
                      <w14:lumOff w14:val="5000"/>
                    </w14:schemeClr>
                  </w14:solidFill>
                </w14:textFill>
              </w:rPr>
              <w:t>3</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/d(288m</w:t>
            </w:r>
            <w:r>
              <w:rPr>
                <w:rFonts w:hint="eastAsia" w:ascii="宋体" w:hAnsi="宋体" w:cs="宋体"/>
                <w:bCs/>
                <w:color w:val="0D0D0D" w:themeColor="text1" w:themeTint="F2"/>
                <w:szCs w:val="21"/>
                <w:u w:val="single"/>
                <w:vertAlign w:val="superscript"/>
                <w14:textFill>
                  <w14:solidFill>
                    <w14:schemeClr w14:val="tx1">
                      <w14:lumMod w14:val="95000"/>
                      <w14:lumOff w14:val="5000"/>
                    </w14:schemeClr>
                  </w14:solidFill>
                </w14:textFill>
              </w:rPr>
              <w:t>3</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/a</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，排污系数按0.8计，则生活污水产生量为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0.96m</w:t>
            </w:r>
            <w:r>
              <w:rPr>
                <w:rFonts w:hint="eastAsia" w:ascii="宋体" w:hAnsi="宋体" w:cs="宋体"/>
                <w:bCs/>
                <w:color w:val="0D0D0D" w:themeColor="text1" w:themeTint="F2"/>
                <w:szCs w:val="21"/>
                <w:u w:val="single"/>
                <w:vertAlign w:val="superscript"/>
                <w14:textFill>
                  <w14:solidFill>
                    <w14:schemeClr w14:val="tx1">
                      <w14:lumMod w14:val="95000"/>
                      <w14:lumOff w14:val="5000"/>
                    </w14:schemeClr>
                  </w14:solidFill>
                </w14:textFill>
              </w:rPr>
              <w:t>3</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/d(230.4m</w:t>
            </w:r>
            <w:r>
              <w:rPr>
                <w:rFonts w:hint="eastAsia" w:ascii="宋体" w:hAnsi="宋体" w:cs="宋体"/>
                <w:bCs/>
                <w:color w:val="0D0D0D" w:themeColor="text1" w:themeTint="F2"/>
                <w:szCs w:val="21"/>
                <w:u w:val="single"/>
                <w:vertAlign w:val="superscript"/>
                <w14:textFill>
                  <w14:solidFill>
                    <w14:schemeClr w14:val="tx1">
                      <w14:lumMod w14:val="95000"/>
                      <w14:lumOff w14:val="5000"/>
                    </w14:schemeClr>
                  </w14:solidFill>
                </w14:textFill>
              </w:rPr>
              <w:t>3</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/a</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w:t>
            </w:r>
          </w:p>
          <w:p w14:paraId="2B15DCAB">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r>
              <w:rPr>
                <w:rFonts w:hint="default" w:ascii="宋体" w:hAnsi="宋体" w:cs="宋体"/>
                <w:bCs/>
                <w:color w:val="0D0D0D" w:themeColor="text1" w:themeTint="F2"/>
                <w:szCs w:val="21"/>
                <w14:textFill>
                  <w14:solidFill>
                    <w14:schemeClr w14:val="tx1">
                      <w14:lumMod w14:val="95000"/>
                      <w14:lumOff w14:val="5000"/>
                    </w14:schemeClr>
                  </w14:solidFill>
                </w14:textFill>
              </w:rPr>
              <w:t>2）冷却用水</w:t>
            </w:r>
          </w:p>
          <w:p w14:paraId="00BF5C87">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u w:val="single"/>
                <w14:textFill>
                  <w14:solidFill>
                    <w14:schemeClr w14:val="tx1">
                      <w14:lumMod w14:val="95000"/>
                      <w14:lumOff w14:val="5000"/>
                    </w14:schemeClr>
                  </w14:solidFill>
                </w14:textFill>
              </w:rPr>
            </w:pP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本项目冷却用水需定期补充，</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单台</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冷却塔循环量为20</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m³</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/h，年运行</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1920</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小时，</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2台</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循环量为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76800</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m³/a，水量损耗主要为蒸发损耗及跑冒漏滴损耗</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冷却水的蒸发损失率为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0.15</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%，冷却用水补充量为</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0.48m³/d(</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1</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15.2</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m³/a</w:t>
            </w: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w:t>
            </w:r>
            <w:r>
              <w:rPr>
                <w:rFonts w:hint="default" w:ascii="宋体" w:hAnsi="宋体" w:cs="宋体"/>
                <w:bCs/>
                <w:color w:val="0D0D0D" w:themeColor="text1" w:themeTint="F2"/>
                <w:szCs w:val="21"/>
                <w:u w:val="single"/>
                <w14:textFill>
                  <w14:solidFill>
                    <w14:schemeClr w14:val="tx1">
                      <w14:lumMod w14:val="95000"/>
                      <w14:lumOff w14:val="5000"/>
                    </w14:schemeClr>
                  </w14:solidFill>
                </w14:textFill>
              </w:rPr>
              <w:t>。</w:t>
            </w:r>
          </w:p>
          <w:p w14:paraId="1944A317">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r>
              <w:rPr>
                <w:rFonts w:hint="default"/>
                <w:color w:val="0D0D0D" w:themeColor="text1" w:themeTint="F2"/>
                <w14:textFill>
                  <w14:solidFill>
                    <w14:schemeClr w14:val="tx1">
                      <w14:lumMod w14:val="95000"/>
                      <w14:lumOff w14:val="5000"/>
                    </w14:schemeClr>
                  </w14:solidFill>
                </w14:textFill>
              </w:rPr>
              <mc:AlternateContent>
                <mc:Choice Requires="wpg">
                  <w:drawing>
                    <wp:anchor distT="0" distB="0" distL="114300" distR="114300" simplePos="0" relativeHeight="251660288" behindDoc="0" locked="0" layoutInCell="1" allowOverlap="1">
                      <wp:simplePos x="0" y="0"/>
                      <wp:positionH relativeFrom="column">
                        <wp:posOffset>-17780</wp:posOffset>
                      </wp:positionH>
                      <wp:positionV relativeFrom="paragraph">
                        <wp:posOffset>33020</wp:posOffset>
                      </wp:positionV>
                      <wp:extent cx="5128895" cy="2154555"/>
                      <wp:effectExtent l="0" t="0" r="14605" b="4445"/>
                      <wp:wrapNone/>
                      <wp:docPr id="48" name="组合 48"/>
                      <wp:cNvGraphicFramePr/>
                      <a:graphic xmlns:a="http://schemas.openxmlformats.org/drawingml/2006/main">
                        <a:graphicData uri="http://schemas.microsoft.com/office/word/2010/wordprocessingGroup">
                          <wpg:wgp>
                            <wpg:cNvGrpSpPr/>
                            <wpg:grpSpPr>
                              <a:xfrm>
                                <a:off x="0" y="0"/>
                                <a:ext cx="5128895" cy="2154555"/>
                                <a:chOff x="6336" y="276338"/>
                                <a:chExt cx="8077" cy="3393"/>
                              </a:xfrm>
                            </wpg:grpSpPr>
                            <wps:wsp>
                              <wps:cNvPr id="22" name="文本框 22"/>
                              <wps:cNvSpPr txBox="1"/>
                              <wps:spPr>
                                <a:xfrm>
                                  <a:off x="7975" y="279278"/>
                                  <a:ext cx="1830"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9801E0D">
                                    <w:pPr>
                                      <w:ind w:firstLine="0" w:firstLineChars="0"/>
                                      <w:jc w:val="center"/>
                                      <w:rPr>
                                        <w:sz w:val="21"/>
                                        <w:szCs w:val="21"/>
                                      </w:rPr>
                                    </w:pPr>
                                    <w:r>
                                      <w:rPr>
                                        <w:rFonts w:hint="eastAsia"/>
                                        <w:sz w:val="21"/>
                                        <w:szCs w:val="21"/>
                                      </w:rPr>
                                      <w:t>循环使用76800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3"/>
                              <wps:cNvSpPr txBox="1"/>
                              <wps:spPr>
                                <a:xfrm>
                                  <a:off x="7445" y="278348"/>
                                  <a:ext cx="801"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EFE259">
                                    <w:pPr>
                                      <w:ind w:firstLine="0" w:firstLineChars="0"/>
                                      <w:jc w:val="center"/>
                                    </w:pPr>
                                    <w:r>
                                      <w:rPr>
                                        <w:rFonts w:hint="eastAsia"/>
                                        <w:sz w:val="21"/>
                                        <w:szCs w:val="21"/>
                                      </w:rPr>
                                      <w:t>115.2</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47" name="组合 47"/>
                              <wpg:cNvGrpSpPr/>
                              <wpg:grpSpPr>
                                <a:xfrm>
                                  <a:off x="6336" y="276338"/>
                                  <a:ext cx="8077" cy="3393"/>
                                  <a:chOff x="6336" y="276338"/>
                                  <a:chExt cx="8077" cy="3393"/>
                                </a:xfrm>
                              </wpg:grpSpPr>
                              <wps:wsp>
                                <wps:cNvPr id="5" name="文本框 5"/>
                                <wps:cNvSpPr txBox="1"/>
                                <wps:spPr>
                                  <a:xfrm>
                                    <a:off x="8275" y="277076"/>
                                    <a:ext cx="1260" cy="45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14DBB9F">
                                      <w:pPr>
                                        <w:spacing w:line="240" w:lineRule="auto"/>
                                        <w:ind w:firstLine="0" w:firstLineChars="0"/>
                                        <w:jc w:val="center"/>
                                      </w:pPr>
                                      <w:r>
                                        <w:rPr>
                                          <w:rFonts w:hint="eastAsia"/>
                                        </w:rPr>
                                        <w:t>生活用水</w:t>
                                      </w:r>
                                    </w:p>
                                  </w:txbxContent>
                                </wps:txbx>
                                <wps:bodyPr rot="0" spcFirstLastPara="0" vertOverflow="overflow" horzOverflow="overflow" vert="horz" wrap="square" lIns="0" tIns="0" rIns="0" bIns="0" numCol="1" spcCol="0" rtlCol="0" fromWordArt="0" anchor="t" anchorCtr="0" forceAA="0" compatLnSpc="1">
                                  <a:noAutofit/>
                                </wps:bodyPr>
                              </wps:wsp>
                              <wps:wsp>
                                <wps:cNvPr id="6" name="文本框 6"/>
                                <wps:cNvSpPr txBox="1"/>
                                <wps:spPr>
                                  <a:xfrm>
                                    <a:off x="10335" y="277076"/>
                                    <a:ext cx="1121" cy="45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52E79B">
                                      <w:pPr>
                                        <w:spacing w:line="240" w:lineRule="auto"/>
                                        <w:ind w:firstLine="0" w:firstLineChars="0"/>
                                        <w:jc w:val="center"/>
                                      </w:pPr>
                                      <w:r>
                                        <w:rPr>
                                          <w:rFonts w:hint="eastAsia"/>
                                        </w:rPr>
                                        <w:t>化粪池</w:t>
                                      </w:r>
                                    </w:p>
                                  </w:txbxContent>
                                </wps:txbx>
                                <wps:bodyPr rot="0" spcFirstLastPara="0" vertOverflow="overflow" horzOverflow="overflow" vert="horz" wrap="square" lIns="0" tIns="0" rIns="0" bIns="0" numCol="1" spcCol="0" rtlCol="0" fromWordArt="0" anchor="ctr" anchorCtr="0" forceAA="0" compatLnSpc="1">
                                  <a:noAutofit/>
                                </wps:bodyPr>
                              </wps:wsp>
                              <wps:wsp>
                                <wps:cNvPr id="7" name="文本框 7"/>
                                <wps:cNvSpPr txBox="1"/>
                                <wps:spPr>
                                  <a:xfrm>
                                    <a:off x="8244" y="278628"/>
                                    <a:ext cx="1420" cy="45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9785824">
                                      <w:pPr>
                                        <w:spacing w:line="240" w:lineRule="auto"/>
                                        <w:ind w:firstLine="0" w:firstLineChars="0"/>
                                        <w:jc w:val="center"/>
                                      </w:pPr>
                                      <w:r>
                                        <w:rPr>
                                          <w:rFonts w:hint="eastAsia"/>
                                        </w:rPr>
                                        <w:t>冷却用水</w:t>
                                      </w:r>
                                    </w:p>
                                  </w:txbxContent>
                                </wps:txbx>
                                <wps:bodyPr rot="0" spcFirstLastPara="0" vertOverflow="overflow" horzOverflow="overflow" vert="horz" wrap="square" lIns="0" tIns="0" rIns="0" bIns="0" numCol="1" spcCol="0" rtlCol="0" fromWordArt="0" anchor="ctr" anchorCtr="0" forceAA="0" compatLnSpc="1">
                                  <a:noAutofit/>
                                </wps:bodyPr>
                              </wps:wsp>
                              <wps:wsp>
                                <wps:cNvPr id="8" name="文本框 8"/>
                                <wps:cNvSpPr txBox="1"/>
                                <wps:spPr>
                                  <a:xfrm>
                                    <a:off x="12109" y="277076"/>
                                    <a:ext cx="1850" cy="45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18997B">
                                      <w:pPr>
                                        <w:spacing w:line="240" w:lineRule="auto"/>
                                        <w:ind w:firstLine="0" w:firstLineChars="0"/>
                                        <w:jc w:val="center"/>
                                      </w:pPr>
                                      <w:r>
                                        <w:rPr>
                                          <w:rFonts w:hint="eastAsia"/>
                                        </w:rPr>
                                        <w:t>市政污水管网</w:t>
                                      </w:r>
                                    </w:p>
                                  </w:txbxContent>
                                </wps:txbx>
                                <wps:bodyPr rot="0" spcFirstLastPara="0" vertOverflow="overflow" horzOverflow="overflow" vert="horz" wrap="square" lIns="0" tIns="0" rIns="0" bIns="0" numCol="1" spcCol="0" rtlCol="0" fromWordArt="0" anchor="ctr" anchorCtr="0" forceAA="0" compatLnSpc="1">
                                  <a:noAutofit/>
                                </wps:bodyPr>
                              </wps:wsp>
                              <wps:wsp>
                                <wps:cNvPr id="9" name="文本框 9"/>
                                <wps:cNvSpPr txBox="1"/>
                                <wps:spPr>
                                  <a:xfrm>
                                    <a:off x="11365" y="278134"/>
                                    <a:ext cx="3048" cy="716"/>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C6B71D">
                                      <w:pPr>
                                        <w:spacing w:line="240" w:lineRule="auto"/>
                                        <w:ind w:firstLine="0" w:firstLineChars="0"/>
                                        <w:rPr>
                                          <w:sz w:val="21"/>
                                          <w:szCs w:val="21"/>
                                        </w:rPr>
                                      </w:pPr>
                                      <w:r>
                                        <w:rPr>
                                          <w:rFonts w:hint="eastAsia"/>
                                          <w:sz w:val="21"/>
                                          <w:szCs w:val="21"/>
                                        </w:rPr>
                                        <w:t>进入零陵区鹿坪污水处理厂处理</w:t>
                                      </w:r>
                                    </w:p>
                                  </w:txbxContent>
                                </wps:txbx>
                                <wps:bodyPr rot="0" spcFirstLastPara="0" vertOverflow="overflow" horzOverflow="overflow" vert="horz" wrap="square" lIns="0" tIns="0" rIns="0" bIns="0" numCol="1" spcCol="0" rtlCol="0" fromWordArt="0" anchor="ctr" anchorCtr="0" forceAA="0" compatLnSpc="1">
                                  <a:noAutofit/>
                                </wps:bodyPr>
                              </wps:wsp>
                              <wps:wsp>
                                <wps:cNvPr id="13" name="直接箭头连接符 13"/>
                                <wps:cNvCnPr>
                                  <a:stCxn id="5" idx="3"/>
                                  <a:endCxn id="6" idx="1"/>
                                </wps:cNvCnPr>
                                <wps:spPr>
                                  <a:xfrm>
                                    <a:off x="9535" y="277302"/>
                                    <a:ext cx="800" cy="0"/>
                                  </a:xfrm>
                                  <a:prstGeom prst="straightConnector1">
                                    <a:avLst/>
                                  </a:prstGeom>
                                  <a:ln w="19050">
                                    <a:solidFill>
                                      <a:schemeClr val="tx1">
                                        <a:lumMod val="95000"/>
                                        <a:lumOff val="5000"/>
                                      </a:schemeClr>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4" name="直接箭头连接符 14"/>
                                <wps:cNvCnPr>
                                  <a:endCxn id="8" idx="1"/>
                                </wps:cNvCnPr>
                                <wps:spPr>
                                  <a:xfrm>
                                    <a:off x="11459" y="277302"/>
                                    <a:ext cx="650" cy="0"/>
                                  </a:xfrm>
                                  <a:prstGeom prst="straightConnector1">
                                    <a:avLst/>
                                  </a:prstGeom>
                                  <a:ln w="19050">
                                    <a:solidFill>
                                      <a:schemeClr val="tx1">
                                        <a:lumMod val="95000"/>
                                        <a:lumOff val="5000"/>
                                      </a:schemeClr>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5" name="直接箭头连接符 15"/>
                                <wps:cNvCnPr>
                                  <a:endCxn id="5" idx="1"/>
                                </wps:cNvCnPr>
                                <wps:spPr>
                                  <a:xfrm>
                                    <a:off x="7405" y="277302"/>
                                    <a:ext cx="870" cy="0"/>
                                  </a:xfrm>
                                  <a:prstGeom prst="straightConnector1">
                                    <a:avLst/>
                                  </a:prstGeom>
                                  <a:ln w="19050">
                                    <a:solidFill>
                                      <a:schemeClr val="tx1">
                                        <a:lumMod val="95000"/>
                                        <a:lumOff val="5000"/>
                                      </a:schemeClr>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16" name="直接箭头连接符 16"/>
                                <wps:cNvCnPr>
                                  <a:endCxn id="7" idx="1"/>
                                </wps:cNvCnPr>
                                <wps:spPr>
                                  <a:xfrm flipV="1">
                                    <a:off x="7439" y="278854"/>
                                    <a:ext cx="805" cy="11"/>
                                  </a:xfrm>
                                  <a:prstGeom prst="straightConnector1">
                                    <a:avLst/>
                                  </a:prstGeom>
                                  <a:ln w="19050">
                                    <a:solidFill>
                                      <a:schemeClr val="tx1">
                                        <a:lumMod val="95000"/>
                                        <a:lumOff val="5000"/>
                                      </a:schemeClr>
                                    </a:solidFill>
                                    <a:headEnd type="none" w="med" len="med"/>
                                    <a:tailEnd type="triangle" w="med" len="med"/>
                                  </a:ln>
                                </wps:spPr>
                                <wps:style>
                                  <a:lnRef idx="2">
                                    <a:schemeClr val="accent1"/>
                                  </a:lnRef>
                                  <a:fillRef idx="0">
                                    <a:srgbClr val="FFFFFF"/>
                                  </a:fillRef>
                                  <a:effectRef idx="0">
                                    <a:srgbClr val="FFFFFF"/>
                                  </a:effectRef>
                                  <a:fontRef idx="minor">
                                    <a:schemeClr val="tx1"/>
                                  </a:fontRef>
                                </wps:style>
                                <wps:bodyPr/>
                              </wps:wsp>
                              <wps:wsp>
                                <wps:cNvPr id="17" name="直接连接符 17"/>
                                <wps:cNvCnPr/>
                                <wps:spPr>
                                  <a:xfrm>
                                    <a:off x="7405" y="277301"/>
                                    <a:ext cx="20" cy="1577"/>
                                  </a:xfrm>
                                  <a:prstGeom prst="line">
                                    <a:avLst/>
                                  </a:prstGeom>
                                  <a:ln>
                                    <a:solidFill>
                                      <a:schemeClr val="tx1">
                                        <a:lumMod val="95000"/>
                                        <a:lumOff val="5000"/>
                                      </a:schemeClr>
                                    </a:solidFill>
                                  </a:ln>
                                </wps:spPr>
                                <wps:style>
                                  <a:lnRef idx="2">
                                    <a:schemeClr val="accent1"/>
                                  </a:lnRef>
                                  <a:fillRef idx="0">
                                    <a:srgbClr val="FFFFFF"/>
                                  </a:fillRef>
                                  <a:effectRef idx="0">
                                    <a:srgbClr val="FFFFFF"/>
                                  </a:effectRef>
                                  <a:fontRef idx="minor">
                                    <a:schemeClr val="tx1"/>
                                  </a:fontRef>
                                </wps:style>
                                <wps:bodyPr/>
                              </wps:wsp>
                              <wps:wsp>
                                <wps:cNvPr id="18" name="直接连接符 18"/>
                                <wps:cNvCnPr/>
                                <wps:spPr>
                                  <a:xfrm>
                                    <a:off x="6475" y="278038"/>
                                    <a:ext cx="930" cy="0"/>
                                  </a:xfrm>
                                  <a:prstGeom prst="line">
                                    <a:avLst/>
                                  </a:prstGeom>
                                  <a:ln w="19050">
                                    <a:solidFill>
                                      <a:schemeClr val="tx1">
                                        <a:lumMod val="95000"/>
                                        <a:lumOff val="5000"/>
                                      </a:schemeClr>
                                    </a:solidFill>
                                  </a:ln>
                                </wps:spPr>
                                <wps:style>
                                  <a:lnRef idx="2">
                                    <a:schemeClr val="accent1"/>
                                  </a:lnRef>
                                  <a:fillRef idx="0">
                                    <a:srgbClr val="FFFFFF"/>
                                  </a:fillRef>
                                  <a:effectRef idx="0">
                                    <a:srgbClr val="FFFFFF"/>
                                  </a:effectRef>
                                  <a:fontRef idx="minor">
                                    <a:schemeClr val="tx1"/>
                                  </a:fontRef>
                                </wps:style>
                                <wps:bodyPr/>
                              </wps:wsp>
                              <wps:wsp>
                                <wps:cNvPr id="19" name="直接箭头连接符 19"/>
                                <wps:cNvCnPr>
                                  <a:endCxn id="9" idx="0"/>
                                </wps:cNvCnPr>
                                <wps:spPr>
                                  <a:xfrm flipH="1">
                                    <a:off x="12889" y="277548"/>
                                    <a:ext cx="25" cy="586"/>
                                  </a:xfrm>
                                  <a:prstGeom prst="straightConnector1">
                                    <a:avLst/>
                                  </a:prstGeom>
                                  <a:ln w="19050">
                                    <a:solidFill>
                                      <a:schemeClr val="tx1">
                                        <a:lumMod val="95000"/>
                                        <a:lumOff val="5000"/>
                                      </a:schemeClr>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0" name="文本框 20"/>
                                <wps:cNvSpPr txBox="1"/>
                                <wps:spPr>
                                  <a:xfrm>
                                    <a:off x="6336" y="277548"/>
                                    <a:ext cx="899"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2A5730C">
                                      <w:pPr>
                                        <w:ind w:firstLine="0" w:firstLineChars="0"/>
                                        <w:jc w:val="center"/>
                                      </w:pPr>
                                      <w:r>
                                        <w:rPr>
                                          <w:rFonts w:hint="eastAsia"/>
                                          <w:sz w:val="21"/>
                                          <w:szCs w:val="21"/>
                                        </w:rPr>
                                        <w:t>403.2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 name="文本框 21"/>
                                <wps:cNvSpPr txBox="1"/>
                                <wps:spPr>
                                  <a:xfrm>
                                    <a:off x="7355" y="276928"/>
                                    <a:ext cx="731" cy="33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67C3C0">
                                      <w:pPr>
                                        <w:ind w:firstLine="0" w:firstLineChars="0"/>
                                        <w:jc w:val="center"/>
                                      </w:pPr>
                                      <w:r>
                                        <w:rPr>
                                          <w:rFonts w:hint="eastAsia"/>
                                          <w:sz w:val="21"/>
                                          <w:szCs w:val="21"/>
                                        </w:rPr>
                                        <w:t>288</w:t>
                                      </w:r>
                                    </w:p>
                                  </w:txbxContent>
                                </wps:txbx>
                                <wps:bodyPr rot="0" spcFirstLastPara="0" vertOverflow="overflow" horzOverflow="overflow" vert="horz" wrap="square" lIns="0" tIns="0" rIns="0" bIns="0" numCol="1" spcCol="0" rtlCol="0" fromWordArt="0" anchor="t" anchorCtr="0" forceAA="0" compatLnSpc="1">
                                  <a:noAutofit/>
                                </wps:bodyPr>
                              </wps:wsp>
                              <wps:wsp>
                                <wps:cNvPr id="23" name="文本框 23"/>
                                <wps:cNvSpPr txBox="1"/>
                                <wps:spPr>
                                  <a:xfrm>
                                    <a:off x="9496" y="276634"/>
                                    <a:ext cx="860"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E0C95E7">
                                      <w:pPr>
                                        <w:spacing w:line="240" w:lineRule="auto"/>
                                        <w:ind w:firstLine="0" w:firstLineChars="0"/>
                                        <w:jc w:val="center"/>
                                        <w:rPr>
                                          <w:sz w:val="21"/>
                                          <w:szCs w:val="21"/>
                                        </w:rPr>
                                      </w:pPr>
                                      <w:r>
                                        <w:rPr>
                                          <w:rFonts w:hint="eastAsia"/>
                                          <w:sz w:val="21"/>
                                          <w:szCs w:val="21"/>
                                        </w:rPr>
                                        <w:t>230.4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 name="文本框 24"/>
                                <wps:cNvSpPr txBox="1"/>
                                <wps:spPr>
                                  <a:xfrm>
                                    <a:off x="11325" y="276588"/>
                                    <a:ext cx="860"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424F9F4">
                                      <w:pPr>
                                        <w:spacing w:line="240" w:lineRule="auto"/>
                                        <w:ind w:firstLine="0" w:firstLineChars="0"/>
                                        <w:jc w:val="center"/>
                                        <w:rPr>
                                          <w:sz w:val="21"/>
                                          <w:szCs w:val="21"/>
                                        </w:rPr>
                                      </w:pPr>
                                      <w:r>
                                        <w:rPr>
                                          <w:rFonts w:hint="eastAsia"/>
                                          <w:sz w:val="21"/>
                                          <w:szCs w:val="21"/>
                                        </w:rPr>
                                        <w:t>230.4</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任意多边形 39"/>
                                <wps:cNvSpPr/>
                                <wps:spPr>
                                  <a:xfrm>
                                    <a:off x="8690" y="276839"/>
                                    <a:ext cx="600" cy="242"/>
                                  </a:xfrm>
                                  <a:custGeom>
                                    <a:avLst/>
                                    <a:gdLst>
                                      <a:gd name="connisteX0" fmla="*/ 0 w 381000"/>
                                      <a:gd name="connsiteY0" fmla="*/ 153498 h 153498"/>
                                      <a:gd name="connisteX1" fmla="*/ 196850 w 381000"/>
                                      <a:gd name="connsiteY1" fmla="*/ 1098 h 153498"/>
                                      <a:gd name="connisteX2" fmla="*/ 266700 w 381000"/>
                                      <a:gd name="connsiteY2" fmla="*/ 89998 h 153498"/>
                                      <a:gd name="connisteX3" fmla="*/ 381000 w 381000"/>
                                      <a:gd name="connsiteY3" fmla="*/ 1098 h 153498"/>
                                      <a:gd name="connisteX4" fmla="*/ 374650 w 381000"/>
                                      <a:gd name="connsiteY4" fmla="*/ 1098 h 153498"/>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381000" h="153499">
                                        <a:moveTo>
                                          <a:pt x="0" y="153499"/>
                                        </a:moveTo>
                                        <a:cubicBezTo>
                                          <a:pt x="38100" y="121114"/>
                                          <a:pt x="143510" y="13799"/>
                                          <a:pt x="196850" y="1099"/>
                                        </a:cubicBezTo>
                                        <a:cubicBezTo>
                                          <a:pt x="250190" y="-11601"/>
                                          <a:pt x="229870" y="89999"/>
                                          <a:pt x="266700" y="89999"/>
                                        </a:cubicBezTo>
                                        <a:cubicBezTo>
                                          <a:pt x="303530" y="89999"/>
                                          <a:pt x="359410" y="18879"/>
                                          <a:pt x="381000" y="1099"/>
                                        </a:cubicBezTo>
                                      </a:path>
                                    </a:pathLst>
                                  </a:custGeom>
                                  <a:noFill/>
                                  <a:ln>
                                    <a:solidFill>
                                      <a:schemeClr val="tx1">
                                        <a:lumMod val="95000"/>
                                        <a:lumOff val="5000"/>
                                      </a:schemeClr>
                                    </a:solidFill>
                                    <a:headEnd type="none"/>
                                    <a:tailEnd type="arrow"/>
                                  </a:ln>
                                </wps:spPr>
                                <wps:style>
                                  <a:lnRef idx="2">
                                    <a:schemeClr val="accent1">
                                      <a:lumMod val="75000"/>
                                    </a:schemeClr>
                                  </a:lnRef>
                                  <a:fillRef idx="1">
                                    <a:schemeClr val="accent1"/>
                                  </a:fillRef>
                                  <a:effectRef idx="0">
                                    <a:srgbClr val="FFFFFF"/>
                                  </a:effectRef>
                                  <a:fontRef idx="minor">
                                    <a:schemeClr val="lt1"/>
                                  </a:fontRef>
                                </wps:style>
                                <wps:bodyPr/>
                              </wps:wsp>
                              <wps:wsp>
                                <wps:cNvPr id="40" name="文本框 40"/>
                                <wps:cNvSpPr txBox="1"/>
                                <wps:spPr>
                                  <a:xfrm>
                                    <a:off x="8335" y="276338"/>
                                    <a:ext cx="1349"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0DA1AD6">
                                      <w:pPr>
                                        <w:ind w:firstLine="0" w:firstLineChars="0"/>
                                        <w:jc w:val="center"/>
                                        <w:rPr>
                                          <w:sz w:val="21"/>
                                          <w:szCs w:val="21"/>
                                        </w:rPr>
                                      </w:pPr>
                                      <w:r>
                                        <w:rPr>
                                          <w:rFonts w:hint="eastAsia"/>
                                          <w:sz w:val="21"/>
                                          <w:szCs w:val="21"/>
                                        </w:rPr>
                                        <w:t>消耗57.6</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1" name="任意多边形 41"/>
                                <wps:cNvSpPr/>
                                <wps:spPr>
                                  <a:xfrm>
                                    <a:off x="8730" y="278389"/>
                                    <a:ext cx="600" cy="242"/>
                                  </a:xfrm>
                                  <a:custGeom>
                                    <a:avLst/>
                                    <a:gdLst>
                                      <a:gd name="connisteX0" fmla="*/ 0 w 381000"/>
                                      <a:gd name="connsiteY0" fmla="*/ 153498 h 153498"/>
                                      <a:gd name="connisteX1" fmla="*/ 196850 w 381000"/>
                                      <a:gd name="connsiteY1" fmla="*/ 1098 h 153498"/>
                                      <a:gd name="connisteX2" fmla="*/ 266700 w 381000"/>
                                      <a:gd name="connsiteY2" fmla="*/ 89998 h 153498"/>
                                      <a:gd name="connisteX3" fmla="*/ 381000 w 381000"/>
                                      <a:gd name="connsiteY3" fmla="*/ 1098 h 153498"/>
                                      <a:gd name="connisteX4" fmla="*/ 374650 w 381000"/>
                                      <a:gd name="connsiteY4" fmla="*/ 1098 h 153498"/>
                                    </a:gdLst>
                                    <a:ahLst/>
                                    <a:cxnLst>
                                      <a:cxn ang="0">
                                        <a:pos x="connisteX0" y="connsiteY0"/>
                                      </a:cxn>
                                      <a:cxn ang="0">
                                        <a:pos x="connisteX1" y="connsiteY1"/>
                                      </a:cxn>
                                      <a:cxn ang="0">
                                        <a:pos x="connisteX2" y="connsiteY2"/>
                                      </a:cxn>
                                      <a:cxn ang="0">
                                        <a:pos x="connisteX3" y="connsiteY3"/>
                                      </a:cxn>
                                      <a:cxn ang="0">
                                        <a:pos x="connisteX4" y="connsiteY4"/>
                                      </a:cxn>
                                    </a:cxnLst>
                                    <a:rect l="l" t="t" r="r" b="b"/>
                                    <a:pathLst>
                                      <a:path w="381000" h="153499">
                                        <a:moveTo>
                                          <a:pt x="0" y="153499"/>
                                        </a:moveTo>
                                        <a:cubicBezTo>
                                          <a:pt x="38100" y="121114"/>
                                          <a:pt x="143510" y="13799"/>
                                          <a:pt x="196850" y="1099"/>
                                        </a:cubicBezTo>
                                        <a:cubicBezTo>
                                          <a:pt x="250190" y="-11601"/>
                                          <a:pt x="229870" y="89999"/>
                                          <a:pt x="266700" y="89999"/>
                                        </a:cubicBezTo>
                                        <a:cubicBezTo>
                                          <a:pt x="303530" y="89999"/>
                                          <a:pt x="359410" y="18879"/>
                                          <a:pt x="381000" y="1099"/>
                                        </a:cubicBezTo>
                                      </a:path>
                                    </a:pathLst>
                                  </a:custGeom>
                                  <a:noFill/>
                                  <a:ln>
                                    <a:solidFill>
                                      <a:schemeClr val="tx1">
                                        <a:lumMod val="95000"/>
                                        <a:lumOff val="5000"/>
                                      </a:schemeClr>
                                    </a:solidFill>
                                    <a:headEnd type="none"/>
                                    <a:tailEnd type="arrow"/>
                                  </a:ln>
                                </wps:spPr>
                                <wps:style>
                                  <a:lnRef idx="2">
                                    <a:schemeClr val="accent1">
                                      <a:lumMod val="75000"/>
                                    </a:schemeClr>
                                  </a:lnRef>
                                  <a:fillRef idx="1">
                                    <a:schemeClr val="accent1"/>
                                  </a:fillRef>
                                  <a:effectRef idx="0">
                                    <a:srgbClr val="FFFFFF"/>
                                  </a:effectRef>
                                  <a:fontRef idx="minor">
                                    <a:schemeClr val="lt1"/>
                                  </a:fontRef>
                                </wps:style>
                                <wps:bodyPr/>
                              </wps:wsp>
                              <wps:wsp>
                                <wps:cNvPr id="42" name="文本框 42"/>
                                <wps:cNvSpPr txBox="1"/>
                                <wps:spPr>
                                  <a:xfrm>
                                    <a:off x="8635" y="277928"/>
                                    <a:ext cx="1349" cy="452"/>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314A03">
                                      <w:pPr>
                                        <w:ind w:firstLine="0" w:firstLineChars="0"/>
                                        <w:jc w:val="center"/>
                                        <w:rPr>
                                          <w:sz w:val="21"/>
                                          <w:szCs w:val="21"/>
                                        </w:rPr>
                                      </w:pPr>
                                      <w:r>
                                        <w:rPr>
                                          <w:rFonts w:hint="eastAsia"/>
                                          <w:sz w:val="21"/>
                                          <w:szCs w:val="21"/>
                                        </w:rPr>
                                        <w:t>消耗115.2</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5" name="肘形连接符 45"/>
                                <wps:cNvCnPr/>
                                <wps:spPr>
                                  <a:xfrm flipV="1">
                                    <a:off x="7780" y="278814"/>
                                    <a:ext cx="1884" cy="877"/>
                                  </a:xfrm>
                                  <a:prstGeom prst="bentConnector3">
                                    <a:avLst>
                                      <a:gd name="adj1" fmla="val 119904"/>
                                    </a:avLst>
                                  </a:prstGeom>
                                  <a:ln>
                                    <a:solidFill>
                                      <a:schemeClr val="tx1">
                                        <a:lumMod val="95000"/>
                                        <a:lumOff val="5000"/>
                                      </a:schemeClr>
                                    </a:solidFill>
                                  </a:ln>
                                </wps:spPr>
                                <wps:style>
                                  <a:lnRef idx="2">
                                    <a:schemeClr val="accent1"/>
                                  </a:lnRef>
                                  <a:fillRef idx="0">
                                    <a:srgbClr val="FFFFFF"/>
                                  </a:fillRef>
                                  <a:effectRef idx="0">
                                    <a:srgbClr val="FFFFFF"/>
                                  </a:effectRef>
                                  <a:fontRef idx="minor">
                                    <a:schemeClr val="tx1"/>
                                  </a:fontRef>
                                </wps:style>
                                <wps:bodyPr/>
                              </wps:wsp>
                              <wps:wsp>
                                <wps:cNvPr id="46" name="直接箭头连接符 46"/>
                                <wps:cNvCnPr/>
                                <wps:spPr>
                                  <a:xfrm flipV="1">
                                    <a:off x="7800" y="278871"/>
                                    <a:ext cx="0" cy="860"/>
                                  </a:xfrm>
                                  <a:prstGeom prst="straightConnector1">
                                    <a:avLst/>
                                  </a:prstGeom>
                                  <a:ln>
                                    <a:solidFill>
                                      <a:schemeClr val="tx1">
                                        <a:lumMod val="95000"/>
                                        <a:lumOff val="5000"/>
                                      </a:schemeClr>
                                    </a:solidFill>
                                    <a:tailEnd type="arrow"/>
                                  </a:ln>
                                </wps:spPr>
                                <wps:style>
                                  <a:lnRef idx="2">
                                    <a:schemeClr val="accent1"/>
                                  </a:lnRef>
                                  <a:fillRef idx="0">
                                    <a:srgbClr val="FFFFFF"/>
                                  </a:fillRef>
                                  <a:effectRef idx="0">
                                    <a:srgbClr val="FFFFFF"/>
                                  </a:effectRef>
                                  <a:fontRef idx="minor">
                                    <a:schemeClr val="tx1"/>
                                  </a:fontRef>
                                </wps:style>
                                <wps:bodyPr/>
                              </wps:wsp>
                            </wpg:grpSp>
                          </wpg:wgp>
                        </a:graphicData>
                      </a:graphic>
                    </wp:anchor>
                  </w:drawing>
                </mc:Choice>
                <mc:Fallback>
                  <w:pict>
                    <v:group id="_x0000_s1026" o:spid="_x0000_s1026" o:spt="203" style="position:absolute;left:0pt;margin-left:-1.4pt;margin-top:2.6pt;height:169.65pt;width:403.85pt;z-index:251660288;mso-width-relative:page;mso-height-relative:page;" coordorigin="6336,276338" coordsize="8077,3393" o:gfxdata="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Dzf3FI2QAAAAgBAAAPAAAA&#10;AAAAAAEAIAAAACIAAABkcnMvZG93bnJldi54bWxQSwECFAAUAAAACACHTuJAxfXtDN8JAACkTAAA&#10;DgAAAAAAAAABACAAAAAoAQAAZHJzL2Uyb0RvYy54bWxQSwUGAAAAAAYABgBZAQAAeQ0AAAAA&#10;">
                      <o:lock v:ext="edit" aspectratio="f"/>
                      <v:shape id="_x0000_s1026" o:spid="_x0000_s1026" o:spt="202" type="#_x0000_t202" style="position:absolute;left:7975;top:279278;height:452;width:1830;" fillcolor="#FFFFFF [3201]" filled="t" stroked="f" coordsize="21600,21600" o:gfxdata="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kJb57sAAADb&#10;AAAADwAAAAAAAAABACAAAAAiAAAAZHJzL2Rvd25yZXYueG1sUEsBAhQAFAAAAAgAh07iQDMvBZ47&#10;AAAAOQAAABAAAAAAAAAAAQAgAAAACgEAAGRycy9zaGFwZXhtbC54bWxQSwUGAAAAAAYABgBbAQAA&#10;tAMAAAAA&#10;">
                        <v:fill on="t" focussize="0,0"/>
                        <v:stroke on="f" weight="0.5pt"/>
                        <v:imagedata o:title=""/>
                        <o:lock v:ext="edit" aspectratio="f"/>
                        <v:textbox>
                          <w:txbxContent>
                            <w:p w14:paraId="49801E0D">
                              <w:pPr>
                                <w:ind w:firstLine="0" w:firstLineChars="0"/>
                                <w:jc w:val="center"/>
                                <w:rPr>
                                  <w:sz w:val="21"/>
                                  <w:szCs w:val="21"/>
                                </w:rPr>
                              </w:pPr>
                              <w:r>
                                <w:rPr>
                                  <w:rFonts w:hint="eastAsia"/>
                                  <w:sz w:val="21"/>
                                  <w:szCs w:val="21"/>
                                </w:rPr>
                                <w:t>循环使用76800</w:t>
                              </w:r>
                            </w:p>
                          </w:txbxContent>
                        </v:textbox>
                      </v:shape>
                      <v:shape id="_x0000_s1026" o:spid="_x0000_s1026" o:spt="202" type="#_x0000_t202" style="position:absolute;left:7445;top:278348;height:452;width:801;" fillcolor="#FFFFFF [3201]" filled="t" stroked="f" coordsize="21600,21600" o:gfxdata="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jRG9y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14:paraId="4DEFE259">
                              <w:pPr>
                                <w:ind w:firstLine="0" w:firstLineChars="0"/>
                                <w:jc w:val="center"/>
                              </w:pPr>
                              <w:r>
                                <w:rPr>
                                  <w:rFonts w:hint="eastAsia"/>
                                  <w:sz w:val="21"/>
                                  <w:szCs w:val="21"/>
                                </w:rPr>
                                <w:t>115.2</w:t>
                              </w:r>
                            </w:p>
                          </w:txbxContent>
                        </v:textbox>
                      </v:shape>
                      <v:group id="_x0000_s1026" o:spid="_x0000_s1026" o:spt="203" style="position:absolute;left:6336;top:276338;height:3393;width:8077;" coordorigin="6336,276338" coordsize="8077,3393"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shape id="_x0000_s1026" o:spid="_x0000_s1026" o:spt="202" type="#_x0000_t202" style="position:absolute;left:8275;top:277076;height:452;width:1260;" fillcolor="#FFFFFF [3201]" filled="t" stroked="t" coordsize="21600,21600" o:gfxdata="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WIEwvQAA&#10;ANo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w:txbxContent>
                              <w:p w14:paraId="414DBB9F">
                                <w:pPr>
                                  <w:spacing w:line="240" w:lineRule="auto"/>
                                  <w:ind w:firstLine="0" w:firstLineChars="0"/>
                                  <w:jc w:val="center"/>
                                </w:pPr>
                                <w:r>
                                  <w:rPr>
                                    <w:rFonts w:hint="eastAsia"/>
                                  </w:rPr>
                                  <w:t>生活用水</w:t>
                                </w:r>
                              </w:p>
                            </w:txbxContent>
                          </v:textbox>
                        </v:shape>
                        <v:shape id="_x0000_s1026" o:spid="_x0000_s1026" o:spt="202" type="#_x0000_t202" style="position:absolute;left:10335;top:277076;height:452;width:1121;v-text-anchor:middle;" fillcolor="#FFFFFF [3201]" filled="t" stroked="t" coordsize="21600,21600" o:gfxdata="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iWz6bsAAADa&#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0mm,0mm,0mm,0mm">
                            <w:txbxContent>
                              <w:p w14:paraId="1552E79B">
                                <w:pPr>
                                  <w:spacing w:line="240" w:lineRule="auto"/>
                                  <w:ind w:firstLine="0" w:firstLineChars="0"/>
                                  <w:jc w:val="center"/>
                                </w:pPr>
                                <w:r>
                                  <w:rPr>
                                    <w:rFonts w:hint="eastAsia"/>
                                  </w:rPr>
                                  <w:t>化粪池</w:t>
                                </w:r>
                              </w:p>
                            </w:txbxContent>
                          </v:textbox>
                        </v:shape>
                        <v:shape id="_x0000_s1026" o:spid="_x0000_s1026" o:spt="202" type="#_x0000_t202" style="position:absolute;left:8244;top:278628;height:452;width:1420;v-text-anchor:middle;" fillcolor="#FFFFFF [3201]" filled="t" stroked="t" coordsize="21600,21600" o:gfxdata="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VpFnK5AAAA2g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inset="0mm,0mm,0mm,0mm">
                            <w:txbxContent>
                              <w:p w14:paraId="19785824">
                                <w:pPr>
                                  <w:spacing w:line="240" w:lineRule="auto"/>
                                  <w:ind w:firstLine="0" w:firstLineChars="0"/>
                                  <w:jc w:val="center"/>
                                </w:pPr>
                                <w:r>
                                  <w:rPr>
                                    <w:rFonts w:hint="eastAsia"/>
                                  </w:rPr>
                                  <w:t>冷却用水</w:t>
                                </w:r>
                              </w:p>
                            </w:txbxContent>
                          </v:textbox>
                        </v:shape>
                        <v:shape id="_x0000_s1026" o:spid="_x0000_s1026" o:spt="202" type="#_x0000_t202" style="position:absolute;left:12109;top:277076;height:452;width:1850;v-text-anchor:middle;" fillcolor="#FFFFFF [3201]" filled="t" stroked="t" coordsize="21600,21600" o:gfxdata="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U9oIAtwAAANoAAAAP&#10;AAAAAAAAAAEAIAAAACIAAABkcnMvZG93bnJldi54bWxQSwECFAAUAAAACACHTuJAMy8FnjsAAAA5&#10;AAAAEAAAAAAAAAABACAAAAAGAQAAZHJzL3NoYXBleG1sLnhtbFBLBQYAAAAABgAGAFsBAACwAwAA&#10;AAA=&#10;">
                          <v:fill on="t" focussize="0,0"/>
                          <v:stroke weight="0.5pt" color="#000000 [3204]" joinstyle="round"/>
                          <v:imagedata o:title=""/>
                          <o:lock v:ext="edit" aspectratio="f"/>
                          <v:textbox inset="0mm,0mm,0mm,0mm">
                            <w:txbxContent>
                              <w:p w14:paraId="2218997B">
                                <w:pPr>
                                  <w:spacing w:line="240" w:lineRule="auto"/>
                                  <w:ind w:firstLine="0" w:firstLineChars="0"/>
                                  <w:jc w:val="center"/>
                                </w:pPr>
                                <w:r>
                                  <w:rPr>
                                    <w:rFonts w:hint="eastAsia"/>
                                  </w:rPr>
                                  <w:t>市政污水管网</w:t>
                                </w:r>
                              </w:p>
                            </w:txbxContent>
                          </v:textbox>
                        </v:shape>
                        <v:shape id="_x0000_s1026" o:spid="_x0000_s1026" o:spt="202" type="#_x0000_t202" style="position:absolute;left:11365;top:278134;height:716;width:3048;v-text-anchor:middle;" fillcolor="#FFFFFF [3201]" filled="t" stroked="t" coordsize="21600,21600" o:gfxdata="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7uiebugAAANoA&#10;AAAPAAAAAAAAAAEAIAAAACIAAABkcnMvZG93bnJldi54bWxQSwECFAAUAAAACACHTuJAMy8FnjsA&#10;AAA5AAAAEAAAAAAAAAABACAAAAAJAQAAZHJzL3NoYXBleG1sLnhtbFBLBQYAAAAABgAGAFsBAACz&#10;AwAAAAA=&#10;">
                          <v:fill on="t" focussize="0,0"/>
                          <v:stroke weight="0.5pt" color="#000000 [3204]" joinstyle="round"/>
                          <v:imagedata o:title=""/>
                          <o:lock v:ext="edit" aspectratio="f"/>
                          <v:textbox inset="0mm,0mm,0mm,0mm">
                            <w:txbxContent>
                              <w:p w14:paraId="2EC6B71D">
                                <w:pPr>
                                  <w:spacing w:line="240" w:lineRule="auto"/>
                                  <w:ind w:firstLine="0" w:firstLineChars="0"/>
                                  <w:rPr>
                                    <w:sz w:val="21"/>
                                    <w:szCs w:val="21"/>
                                  </w:rPr>
                                </w:pPr>
                                <w:r>
                                  <w:rPr>
                                    <w:rFonts w:hint="eastAsia"/>
                                    <w:sz w:val="21"/>
                                    <w:szCs w:val="21"/>
                                  </w:rPr>
                                  <w:t>进入零陵区鹿坪污水处理厂处理</w:t>
                                </w:r>
                              </w:p>
                            </w:txbxContent>
                          </v:textbox>
                        </v:shape>
                        <v:shape id="_x0000_s1026" o:spid="_x0000_s1026" o:spt="32" type="#_x0000_t32" style="position:absolute;left:9535;top:277302;height:0;width:800;" filled="f" stroked="t" coordsize="21600,21600" o:gfxdata="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TEW+L4A&#10;AADbAAAADwAAAAAAAAABACAAAAAiAAAAZHJzL2Rvd25yZXYueG1sUEsBAhQAFAAAAAgAh07iQDMv&#10;BZ47AAAAOQAAABAAAAAAAAAAAQAgAAAADQEAAGRycy9zaGFwZXhtbC54bWxQSwUGAAAAAAYABgBb&#10;AQAAtwMAAAAA&#10;">
                          <v:fill on="f" focussize="0,0"/>
                          <v:stroke weight="1.5pt" color="#0D0D0D [3069]" miterlimit="8" joinstyle="miter" endarrow="block"/>
                          <v:imagedata o:title=""/>
                          <o:lock v:ext="edit" aspectratio="f"/>
                        </v:shape>
                        <v:shape id="_x0000_s1026" o:spid="_x0000_s1026" o:spt="32" type="#_x0000_t32" style="position:absolute;left:11459;top:277302;height:0;width:650;" filled="f" stroked="t" coordsize="21600,21600" o:gfxdata="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iOjL4A&#10;AADbAAAADwAAAAAAAAABACAAAAAiAAAAZHJzL2Rvd25yZXYueG1sUEsBAhQAFAAAAAgAh07iQDMv&#10;BZ47AAAAOQAAABAAAAAAAAAAAQAgAAAADQEAAGRycy9zaGFwZXhtbC54bWxQSwUGAAAAAAYABgBb&#10;AQAAtwMAAAAA&#10;">
                          <v:fill on="f" focussize="0,0"/>
                          <v:stroke weight="1.5pt" color="#0D0D0D [3069]" miterlimit="8" joinstyle="miter" endarrow="block"/>
                          <v:imagedata o:title=""/>
                          <o:lock v:ext="edit" aspectratio="f"/>
                        </v:shape>
                        <v:shape id="_x0000_s1026" o:spid="_x0000_s1026" o:spt="32" type="#_x0000_t32" style="position:absolute;left:7405;top:277302;height:0;width:870;" filled="f" stroked="t" coordsize="21600,21600" o:gfxdata="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rF74A&#10;AADbAAAADwAAAAAAAAABACAAAAAiAAAAZHJzL2Rvd25yZXYueG1sUEsBAhQAFAAAAAgAh07iQDMv&#10;BZ47AAAAOQAAABAAAAAAAAAAAQAgAAAADQEAAGRycy9zaGFwZXhtbC54bWxQSwUGAAAAAAYABgBb&#10;AQAAtwMAAAAA&#10;">
                          <v:fill on="f" focussize="0,0"/>
                          <v:stroke weight="1.5pt" color="#0D0D0D [3069]" miterlimit="8" joinstyle="miter" endarrow="block"/>
                          <v:imagedata o:title=""/>
                          <o:lock v:ext="edit" aspectratio="f"/>
                        </v:shape>
                        <v:shape id="_x0000_s1026" o:spid="_x0000_s1026" o:spt="32" type="#_x0000_t32" style="position:absolute;left:7439;top:278854;flip:y;height:11;width:805;" filled="f" stroked="t" coordsize="21600,21600" o:gfxdata="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1Uv7sAAADb&#10;AAAADwAAAAAAAAABACAAAAAiAAAAZHJzL2Rvd25yZXYueG1sUEsBAhQAFAAAAAgAh07iQDMvBZ47&#10;AAAAOQAAABAAAAAAAAAAAQAgAAAACgEAAGRycy9zaGFwZXhtbC54bWxQSwUGAAAAAAYABgBbAQAA&#10;tAMAAAAA&#10;">
                          <v:fill on="f" focussize="0,0"/>
                          <v:stroke weight="1.5pt" color="#0D0D0D [3069]" miterlimit="8" joinstyle="miter" endarrow="block"/>
                          <v:imagedata o:title=""/>
                          <o:lock v:ext="edit" aspectratio="f"/>
                        </v:shape>
                        <v:line id="_x0000_s1026" o:spid="_x0000_s1026" o:spt="20" style="position:absolute;left:7405;top:277301;height:1577;width:20;" filled="f" stroked="t" coordsize="21600,21600" o:gfxdata="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UE7sAAADb&#10;AAAADwAAAAAAAAABACAAAAAiAAAAZHJzL2Rvd25yZXYueG1sUEsBAhQAFAAAAAgAh07iQDMvBZ47&#10;AAAAOQAAABAAAAAAAAAAAQAgAAAACgEAAGRycy9zaGFwZXhtbC54bWxQSwUGAAAAAAYABgBbAQAA&#10;tAMAAAAA&#10;">
                          <v:fill on="f" focussize="0,0"/>
                          <v:stroke weight="1pt" color="#0D0D0D [3069]" miterlimit="8" joinstyle="miter"/>
                          <v:imagedata o:title=""/>
                          <o:lock v:ext="edit" aspectratio="f"/>
                        </v:line>
                        <v:line id="_x0000_s1026" o:spid="_x0000_s1026" o:spt="20" style="position:absolute;left:6475;top:278038;height:0;width:930;" filled="f" stroked="t" coordsize="21600,21600" o:gfxdata="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p/WXvQAA&#10;ANsAAAAPAAAAAAAAAAEAIAAAACIAAABkcnMvZG93bnJldi54bWxQSwECFAAUAAAACACHTuJAMy8F&#10;njsAAAA5AAAAEAAAAAAAAAABACAAAAAMAQAAZHJzL3NoYXBleG1sLnhtbFBLBQYAAAAABgAGAFsB&#10;AAC2AwAAAAA=&#10;">
                          <v:fill on="f" focussize="0,0"/>
                          <v:stroke weight="1.5pt" color="#0D0D0D [3069]" miterlimit="8" joinstyle="miter"/>
                          <v:imagedata o:title=""/>
                          <o:lock v:ext="edit" aspectratio="f"/>
                        </v:line>
                        <v:shape id="_x0000_s1026" o:spid="_x0000_s1026" o:spt="32" type="#_x0000_t32" style="position:absolute;left:12889;top:277548;flip:x;height:586;width:25;" filled="f" stroked="t" coordsize="21600,21600" o:gfxdata="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iLAzbsAAADb&#10;AAAADwAAAAAAAAABACAAAAAiAAAAZHJzL2Rvd25yZXYueG1sUEsBAhQAFAAAAAgAh07iQDMvBZ47&#10;AAAAOQAAABAAAAAAAAAAAQAgAAAACgEAAGRycy9zaGFwZXhtbC54bWxQSwUGAAAAAAYABgBbAQAA&#10;tAMAAAAA&#10;">
                          <v:fill on="f" focussize="0,0"/>
                          <v:stroke weight="1.5pt" color="#0D0D0D [3069]" miterlimit="8" joinstyle="miter" endarrow="block"/>
                          <v:imagedata o:title=""/>
                          <o:lock v:ext="edit" aspectratio="f"/>
                        </v:shape>
                        <v:shape id="_x0000_s1026" o:spid="_x0000_s1026" o:spt="202" type="#_x0000_t202" style="position:absolute;left:6336;top:277548;height:452;width:899;" fillcolor="#FFFFFF [3201]" filled="t" stroked="f" coordsize="21600,21600" o:gfxdata="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LXcY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72A5730C">
                                <w:pPr>
                                  <w:ind w:firstLine="0" w:firstLineChars="0"/>
                                  <w:jc w:val="center"/>
                                </w:pPr>
                                <w:r>
                                  <w:rPr>
                                    <w:rFonts w:hint="eastAsia"/>
                                    <w:sz w:val="21"/>
                                    <w:szCs w:val="21"/>
                                  </w:rPr>
                                  <w:t>403.2</w:t>
                                </w:r>
                              </w:p>
                            </w:txbxContent>
                          </v:textbox>
                        </v:shape>
                        <v:shape id="_x0000_s1026" o:spid="_x0000_s1026" o:spt="202" type="#_x0000_t202" style="position:absolute;left:7355;top:276928;height:331;width:731;" fillcolor="#FFFFFF [3201]" filled="t" stroked="f" coordsize="21600,21600" o:gfxdata="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3oiLgAAADb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1967C3C0">
                                <w:pPr>
                                  <w:ind w:firstLine="0" w:firstLineChars="0"/>
                                  <w:jc w:val="center"/>
                                </w:pPr>
                                <w:r>
                                  <w:rPr>
                                    <w:rFonts w:hint="eastAsia"/>
                                    <w:sz w:val="21"/>
                                    <w:szCs w:val="21"/>
                                  </w:rPr>
                                  <w:t>288</w:t>
                                </w:r>
                              </w:p>
                            </w:txbxContent>
                          </v:textbox>
                        </v:shape>
                        <v:shape id="_x0000_s1026" o:spid="_x0000_s1026" o:spt="202" type="#_x0000_t202" style="position:absolute;left:9496;top:276634;height:452;width:860;" fillcolor="#FFFFFF [3201]" filled="t" stroked="f" coordsize="21600,21600" o:gfxdata="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O/ny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14:paraId="2E0C95E7">
                                <w:pPr>
                                  <w:spacing w:line="240" w:lineRule="auto"/>
                                  <w:ind w:firstLine="0" w:firstLineChars="0"/>
                                  <w:jc w:val="center"/>
                                  <w:rPr>
                                    <w:sz w:val="21"/>
                                    <w:szCs w:val="21"/>
                                  </w:rPr>
                                </w:pPr>
                                <w:r>
                                  <w:rPr>
                                    <w:rFonts w:hint="eastAsia"/>
                                    <w:sz w:val="21"/>
                                    <w:szCs w:val="21"/>
                                  </w:rPr>
                                  <w:t>230.4</w:t>
                                </w:r>
                              </w:p>
                            </w:txbxContent>
                          </v:textbox>
                        </v:shape>
                        <v:shape id="_x0000_s1026" o:spid="_x0000_s1026" o:spt="202" type="#_x0000_t202" style="position:absolute;left:11325;top:276588;height:452;width:860;" fillcolor="#FFFFFF [3201]" filled="t" stroked="f" coordsize="21600,21600" o:gfxdata="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rnZgi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2424F9F4">
                                <w:pPr>
                                  <w:spacing w:line="240" w:lineRule="auto"/>
                                  <w:ind w:firstLine="0" w:firstLineChars="0"/>
                                  <w:jc w:val="center"/>
                                  <w:rPr>
                                    <w:sz w:val="21"/>
                                    <w:szCs w:val="21"/>
                                  </w:rPr>
                                </w:pPr>
                                <w:r>
                                  <w:rPr>
                                    <w:rFonts w:hint="eastAsia"/>
                                    <w:sz w:val="21"/>
                                    <w:szCs w:val="21"/>
                                  </w:rPr>
                                  <w:t>230.4</w:t>
                                </w:r>
                              </w:p>
                            </w:txbxContent>
                          </v:textbox>
                        </v:shape>
                        <v:shape id="_x0000_s1026" o:spid="_x0000_s1026" o:spt="100" style="position:absolute;left:8690;top:276839;height:242;width:600;" filled="f" stroked="t" coordsize="381000,153499" o:gfxdata="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7vPyr4A&#10;AADbAAAADwAAAAAAAAABACAAAAAiAAAAZHJzL2Rvd25yZXYueG1sUEsBAhQAFAAAAAgAh07iQDMv&#10;BZ47AAAAOQAAABAAAAAAAAAAAQAgAAAADQEAAGRycy9zaGFwZXhtbC54bWxQSwUGAAAAAAYABgBb&#10;AQAAtwMAAAAA&#10;" path="m0,153499c38100,121114,143510,13799,196850,1099c250190,-11601,229870,89999,266700,89999c303530,89999,359410,18879,381000,1099e">
                          <v:path o:connectlocs="0,242;310,1;420,141;600,1;590,1" o:connectangles="0,0,0,0,0"/>
                          <v:fill on="f" focussize="0,0"/>
                          <v:stroke weight="1pt" color="#0D0D0D [3069]" miterlimit="8" joinstyle="miter" endarrow="open"/>
                          <v:imagedata o:title=""/>
                          <o:lock v:ext="edit" aspectratio="f"/>
                        </v:shape>
                        <v:shape id="_x0000_s1026" o:spid="_x0000_s1026" o:spt="202" type="#_x0000_t202" style="position:absolute;left:8335;top:276338;height:452;width:1349;" fillcolor="#FFFFFF [3201]" filled="t" stroked="f" coordsize="21600,21600" o:gfxdata="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GgDhauzAAAA2wAAAA8AAAAA&#10;AAAAAQAgAAAAIgAAAGRycy9kb3ducmV2LnhtbFBLAQIUABQAAAAIAIdO4kAzLwWeOwAAADkAAAAQ&#10;AAAAAAAAAAEAIAAAAAIBAABkcnMvc2hhcGV4bWwueG1sUEsFBgAAAAAGAAYAWwEAAKwDAAAAAA==&#10;">
                          <v:fill on="t" focussize="0,0"/>
                          <v:stroke on="f" weight="0.5pt"/>
                          <v:imagedata o:title=""/>
                          <o:lock v:ext="edit" aspectratio="f"/>
                          <v:textbox>
                            <w:txbxContent>
                              <w:p w14:paraId="40DA1AD6">
                                <w:pPr>
                                  <w:ind w:firstLine="0" w:firstLineChars="0"/>
                                  <w:jc w:val="center"/>
                                  <w:rPr>
                                    <w:sz w:val="21"/>
                                    <w:szCs w:val="21"/>
                                  </w:rPr>
                                </w:pPr>
                                <w:r>
                                  <w:rPr>
                                    <w:rFonts w:hint="eastAsia"/>
                                    <w:sz w:val="21"/>
                                    <w:szCs w:val="21"/>
                                  </w:rPr>
                                  <w:t>消耗57.6</w:t>
                                </w:r>
                              </w:p>
                            </w:txbxContent>
                          </v:textbox>
                        </v:shape>
                        <v:shape id="_x0000_s1026" o:spid="_x0000_s1026" o:spt="100" style="position:absolute;left:8730;top:278389;height:242;width:600;" filled="f" stroked="t" coordsize="381000,153499" o:gfxdata="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y7CxvQAA&#10;ANsAAAAPAAAAAAAAAAEAIAAAACIAAABkcnMvZG93bnJldi54bWxQSwECFAAUAAAACACHTuJAMy8F&#10;njsAAAA5AAAAEAAAAAAAAAABACAAAAAMAQAAZHJzL3NoYXBleG1sLnhtbFBLBQYAAAAABgAGAFsB&#10;AAC2AwAAAAA=&#10;" path="m0,153499c38100,121114,143510,13799,196850,1099c250190,-11601,229870,89999,266700,89999c303530,89999,359410,18879,381000,1099e">
                          <v:path o:connectlocs="0,242;310,1;420,141;600,1;590,1" o:connectangles="0,0,0,0,0"/>
                          <v:fill on="f" focussize="0,0"/>
                          <v:stroke weight="1pt" color="#0D0D0D [3069]" miterlimit="8" joinstyle="miter" endarrow="open"/>
                          <v:imagedata o:title=""/>
                          <o:lock v:ext="edit" aspectratio="f"/>
                        </v:shape>
                        <v:shape id="_x0000_s1026" o:spid="_x0000_s1026" o:spt="202" type="#_x0000_t202" style="position:absolute;left:8635;top:277928;height:452;width:1349;" fillcolor="#FFFFFF [3201]" filled="t" stroked="f" coordsize="21600,21600" o:gfxdata="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edvke2AAAA2wAAAA8A&#10;AAAAAAAAAQAgAAAAIgAAAGRycy9kb3ducmV2LnhtbFBLAQIUABQAAAAIAIdO4kAzLwWeOwAAADkA&#10;AAAQAAAAAAAAAAEAIAAAAAUBAABkcnMvc2hhcGV4bWwueG1sUEsFBgAAAAAGAAYAWwEAAK8DAAAA&#10;AA==&#10;">
                          <v:fill on="t" focussize="0,0"/>
                          <v:stroke on="f" weight="0.5pt"/>
                          <v:imagedata o:title=""/>
                          <o:lock v:ext="edit" aspectratio="f"/>
                          <v:textbox>
                            <w:txbxContent>
                              <w:p w14:paraId="7C314A03">
                                <w:pPr>
                                  <w:ind w:firstLine="0" w:firstLineChars="0"/>
                                  <w:jc w:val="center"/>
                                  <w:rPr>
                                    <w:sz w:val="21"/>
                                    <w:szCs w:val="21"/>
                                  </w:rPr>
                                </w:pPr>
                                <w:r>
                                  <w:rPr>
                                    <w:rFonts w:hint="eastAsia"/>
                                    <w:sz w:val="21"/>
                                    <w:szCs w:val="21"/>
                                  </w:rPr>
                                  <w:t>消耗115.2</w:t>
                                </w:r>
                              </w:p>
                            </w:txbxContent>
                          </v:textbox>
                        </v:shape>
                        <v:shape id="_x0000_s1026" o:spid="_x0000_s1026" o:spt="34" type="#_x0000_t34" style="position:absolute;left:7780;top:278814;flip:y;height:877;width:1884;" filled="f" stroked="t" coordsize="21600,21600" o:gfxdata="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N2XpvQAA&#10;ANsAAAAPAAAAAAAAAAEAIAAAACIAAABkcnMvZG93bnJldi54bWxQSwECFAAUAAAACACHTuJAMy8F&#10;njsAAAA5AAAAEAAAAAAAAAABACAAAAAMAQAAZHJzL3NoYXBleG1sLnhtbFBLBQYAAAAABgAGAFsB&#10;AAC2AwAAAAA=&#10;" adj="25899">
                          <v:fill on="f" focussize="0,0"/>
                          <v:stroke weight="1pt" color="#0D0D0D [3069]" miterlimit="8" joinstyle="miter"/>
                          <v:imagedata o:title=""/>
                          <o:lock v:ext="edit" aspectratio="f"/>
                        </v:shape>
                        <v:shape id="_x0000_s1026" o:spid="_x0000_s1026" o:spt="32" type="#_x0000_t32" style="position:absolute;left:7800;top:278871;flip:y;height:860;width:0;" filled="f" stroked="t" coordsize="21600,21600" o:gfxdata="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IpgGugAAANsA&#10;AAAPAAAAAAAAAAEAIAAAACIAAABkcnMvZG93bnJldi54bWxQSwECFAAUAAAACACHTuJAMy8FnjsA&#10;AAA5AAAAEAAAAAAAAAABACAAAAAJAQAAZHJzL3NoYXBleG1sLnhtbFBLBQYAAAAABgAGAFsBAACz&#10;AwAAAAA=&#10;">
                          <v:fill on="f" focussize="0,0"/>
                          <v:stroke weight="1pt" color="#0D0D0D [3069]" miterlimit="8" joinstyle="miter" endarrow="open"/>
                          <v:imagedata o:title=""/>
                          <o:lock v:ext="edit" aspectratio="f"/>
                        </v:shape>
                      </v:group>
                    </v:group>
                  </w:pict>
                </mc:Fallback>
              </mc:AlternateContent>
            </w:r>
          </w:p>
          <w:p w14:paraId="7931751B">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79667F25">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6C28B5D6">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70D4B545">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2B3B12E0">
            <w:pPr>
              <w:keepNext w:val="0"/>
              <w:keepLines w:val="0"/>
              <w:suppressLineNumbers w:val="0"/>
              <w:adjustRightInd w:val="0"/>
              <w:snapToGrid w:val="0"/>
              <w:spacing w:before="0" w:beforeAutospacing="0" w:after="0" w:afterAutospacing="0"/>
              <w:ind w:left="0" w:right="0" w:firstLine="48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144FEA21">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58D5A3CB">
            <w:pPr>
              <w:keepNext w:val="0"/>
              <w:keepLines w:val="0"/>
              <w:suppressLineNumbers w:val="0"/>
              <w:adjustRightInd w:val="0"/>
              <w:snapToGrid w:val="0"/>
              <w:spacing w:before="0" w:beforeAutospacing="0" w:after="0" w:afterAutospacing="0"/>
              <w:ind w:left="0" w:right="0" w:firstLine="0" w:firstLineChars="0"/>
              <w:rPr>
                <w:rFonts w:hint="default" w:ascii="宋体" w:hAnsi="宋体" w:cs="宋体"/>
                <w:bCs/>
                <w:color w:val="0D0D0D" w:themeColor="text1" w:themeTint="F2"/>
                <w:szCs w:val="21"/>
                <w14:textFill>
                  <w14:solidFill>
                    <w14:schemeClr w14:val="tx1">
                      <w14:lumMod w14:val="95000"/>
                      <w14:lumOff w14:val="5000"/>
                    </w14:schemeClr>
                  </w14:solidFill>
                </w14:textFill>
              </w:rPr>
            </w:pPr>
          </w:p>
          <w:p w14:paraId="16F9783E">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cs="宋体"/>
                <w:b/>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color w:val="0D0D0D" w:themeColor="text1" w:themeTint="F2"/>
                <w:sz w:val="21"/>
                <w:szCs w:val="21"/>
                <w14:textFill>
                  <w14:solidFill>
                    <w14:schemeClr w14:val="tx1">
                      <w14:lumMod w14:val="95000"/>
                      <w14:lumOff w14:val="5000"/>
                    </w14:schemeClr>
                  </w14:solidFill>
                </w14:textFill>
              </w:rPr>
              <w:t>图2-1  本项目水平衡图（t/a)</w:t>
            </w:r>
          </w:p>
          <w:p w14:paraId="7B869FA9">
            <w:pPr>
              <w:keepNext w:val="0"/>
              <w:keepLines w:val="0"/>
              <w:numPr>
                <w:ilvl w:val="0"/>
                <w:numId w:val="1"/>
              </w:numPr>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物料平衡</w:t>
            </w:r>
          </w:p>
          <w:p w14:paraId="76A81EFC">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1）产品物料平衡</w:t>
            </w:r>
          </w:p>
          <w:tbl>
            <w:tblPr>
              <w:tblStyle w:val="17"/>
              <w:tblW w:w="81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744"/>
              <w:gridCol w:w="987"/>
              <w:gridCol w:w="1275"/>
              <w:gridCol w:w="1130"/>
              <w:gridCol w:w="1150"/>
              <w:gridCol w:w="1030"/>
            </w:tblGrid>
            <w:tr w14:paraId="703744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0" w:type="dxa"/>
                  <w:tcBorders>
                    <w:tl2br w:val="nil"/>
                    <w:tr2bl w:val="nil"/>
                  </w:tcBorders>
                  <w:vAlign w:val="center"/>
                </w:tcPr>
                <w:p w14:paraId="2AB9AED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p>
              </w:tc>
              <w:tc>
                <w:tcPr>
                  <w:tcW w:w="4006" w:type="dxa"/>
                  <w:gridSpan w:val="3"/>
                  <w:tcBorders>
                    <w:tl2br w:val="nil"/>
                    <w:tr2bl w:val="nil"/>
                  </w:tcBorders>
                  <w:vAlign w:val="center"/>
                </w:tcPr>
                <w:p w14:paraId="307573B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原辅料投入量</w:t>
                  </w:r>
                </w:p>
              </w:tc>
              <w:tc>
                <w:tcPr>
                  <w:tcW w:w="3310" w:type="dxa"/>
                  <w:gridSpan w:val="3"/>
                  <w:tcBorders>
                    <w:tl2br w:val="nil"/>
                    <w:tr2bl w:val="nil"/>
                  </w:tcBorders>
                  <w:vAlign w:val="center"/>
                </w:tcPr>
                <w:p w14:paraId="24E4951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产品产出量</w:t>
                  </w:r>
                </w:p>
              </w:tc>
            </w:tr>
            <w:tr w14:paraId="366A9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80" w:type="dxa"/>
                  <w:tcBorders>
                    <w:tl2br w:val="nil"/>
                    <w:tr2bl w:val="nil"/>
                  </w:tcBorders>
                  <w:vAlign w:val="center"/>
                </w:tcPr>
                <w:p w14:paraId="1339A9B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序号</w:t>
                  </w:r>
                </w:p>
              </w:tc>
              <w:tc>
                <w:tcPr>
                  <w:tcW w:w="1744" w:type="dxa"/>
                  <w:tcBorders>
                    <w:tl2br w:val="nil"/>
                    <w:tr2bl w:val="nil"/>
                  </w:tcBorders>
                  <w:vAlign w:val="center"/>
                </w:tcPr>
                <w:p w14:paraId="2631B8C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原料名称</w:t>
                  </w:r>
                </w:p>
              </w:tc>
              <w:tc>
                <w:tcPr>
                  <w:tcW w:w="987" w:type="dxa"/>
                  <w:tcBorders>
                    <w:tl2br w:val="nil"/>
                    <w:tr2bl w:val="nil"/>
                  </w:tcBorders>
                  <w:vAlign w:val="center"/>
                </w:tcPr>
                <w:p w14:paraId="5C89E96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形态</w:t>
                  </w:r>
                </w:p>
              </w:tc>
              <w:tc>
                <w:tcPr>
                  <w:tcW w:w="1275" w:type="dxa"/>
                  <w:tcBorders>
                    <w:tl2br w:val="nil"/>
                    <w:tr2bl w:val="nil"/>
                  </w:tcBorders>
                  <w:vAlign w:val="center"/>
                </w:tcPr>
                <w:p w14:paraId="31CC091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使用量</w:t>
                  </w:r>
                </w:p>
              </w:tc>
              <w:tc>
                <w:tcPr>
                  <w:tcW w:w="1130" w:type="dxa"/>
                  <w:tcBorders>
                    <w:tl2br w:val="nil"/>
                    <w:tr2bl w:val="nil"/>
                  </w:tcBorders>
                  <w:vAlign w:val="center"/>
                </w:tcPr>
                <w:p w14:paraId="7B853D5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8"/>
                      <w:szCs w:val="28"/>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产品名称</w:t>
                  </w:r>
                </w:p>
              </w:tc>
              <w:tc>
                <w:tcPr>
                  <w:tcW w:w="2180" w:type="dxa"/>
                  <w:gridSpan w:val="2"/>
                  <w:tcBorders>
                    <w:tl2br w:val="nil"/>
                    <w:tr2bl w:val="nil"/>
                  </w:tcBorders>
                  <w:vAlign w:val="center"/>
                </w:tcPr>
                <w:p w14:paraId="418F6D8D">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eastAsia"/>
                      <w:b/>
                      <w:bCs/>
                      <w:color w:val="0D0D0D" w:themeColor="text1" w:themeTint="F2"/>
                      <w:sz w:val="21"/>
                      <w:szCs w:val="21"/>
                      <w:u w:val="single"/>
                      <w14:textFill>
                        <w14:solidFill>
                          <w14:schemeClr w14:val="tx1">
                            <w14:lumMod w14:val="95000"/>
                            <w14:lumOff w14:val="5000"/>
                          </w14:schemeClr>
                        </w14:solidFill>
                      </w14:textFill>
                    </w:rPr>
                    <w:t>产品产生量</w:t>
                  </w:r>
                </w:p>
              </w:tc>
            </w:tr>
            <w:tr w14:paraId="01DC06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0" w:type="dxa"/>
                  <w:tcBorders>
                    <w:tl2br w:val="nil"/>
                    <w:tr2bl w:val="nil"/>
                  </w:tcBorders>
                  <w:vAlign w:val="center"/>
                </w:tcPr>
                <w:p w14:paraId="32DE6E8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w:t>
                  </w:r>
                </w:p>
              </w:tc>
              <w:tc>
                <w:tcPr>
                  <w:tcW w:w="1744" w:type="dxa"/>
                  <w:tcBorders>
                    <w:tl2br w:val="nil"/>
                    <w:tr2bl w:val="nil"/>
                  </w:tcBorders>
                  <w:vAlign w:val="center"/>
                </w:tcPr>
                <w:p w14:paraId="1A43FA8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聚酯多元醇</w:t>
                  </w:r>
                </w:p>
              </w:tc>
              <w:tc>
                <w:tcPr>
                  <w:tcW w:w="987" w:type="dxa"/>
                  <w:tcBorders>
                    <w:tl2br w:val="nil"/>
                    <w:tr2bl w:val="nil"/>
                  </w:tcBorders>
                  <w:vAlign w:val="center"/>
                </w:tcPr>
                <w:p w14:paraId="3CEDF43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固态</w:t>
                  </w:r>
                </w:p>
              </w:tc>
              <w:tc>
                <w:tcPr>
                  <w:tcW w:w="1275" w:type="dxa"/>
                  <w:tcBorders>
                    <w:tl2br w:val="nil"/>
                    <w:tr2bl w:val="nil"/>
                  </w:tcBorders>
                  <w:vAlign w:val="center"/>
                </w:tcPr>
                <w:p w14:paraId="0FBDC0A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1200t/a</w:t>
                  </w:r>
                </w:p>
              </w:tc>
              <w:tc>
                <w:tcPr>
                  <w:tcW w:w="1130" w:type="dxa"/>
                  <w:vMerge w:val="restart"/>
                  <w:tcBorders>
                    <w:tl2br w:val="nil"/>
                    <w:tr2bl w:val="nil"/>
                  </w:tcBorders>
                  <w:vAlign w:val="center"/>
                </w:tcPr>
                <w:p w14:paraId="7D94EA7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热塑性聚氨酯TPU颗粒</w:t>
                  </w:r>
                </w:p>
              </w:tc>
              <w:tc>
                <w:tcPr>
                  <w:tcW w:w="1150" w:type="dxa"/>
                  <w:tcBorders>
                    <w:tl2br w:val="nil"/>
                    <w:tr2bl w:val="nil"/>
                  </w:tcBorders>
                  <w:vAlign w:val="center"/>
                </w:tcPr>
                <w:p w14:paraId="54F38D4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合格产品</w:t>
                  </w:r>
                </w:p>
              </w:tc>
              <w:tc>
                <w:tcPr>
                  <w:tcW w:w="1030" w:type="dxa"/>
                  <w:tcBorders>
                    <w:tl2br w:val="nil"/>
                    <w:tr2bl w:val="nil"/>
                  </w:tcBorders>
                  <w:vAlign w:val="center"/>
                </w:tcPr>
                <w:p w14:paraId="1E7ECF1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199</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8.7</w:t>
                  </w:r>
                  <w:r>
                    <w:rPr>
                      <w:rFonts w:hint="eastAsia"/>
                      <w:color w:val="0D0D0D" w:themeColor="text1" w:themeTint="F2"/>
                      <w:sz w:val="21"/>
                      <w:szCs w:val="21"/>
                      <w:u w:val="single"/>
                      <w14:textFill>
                        <w14:solidFill>
                          <w14:schemeClr w14:val="tx1">
                            <w14:lumMod w14:val="95000"/>
                            <w14:lumOff w14:val="5000"/>
                          </w14:schemeClr>
                        </w14:solidFill>
                      </w14:textFill>
                    </w:rPr>
                    <w:t>t/a</w:t>
                  </w:r>
                </w:p>
              </w:tc>
            </w:tr>
            <w:tr w14:paraId="1364DB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exact"/>
                <w:jc w:val="center"/>
              </w:trPr>
              <w:tc>
                <w:tcPr>
                  <w:tcW w:w="880" w:type="dxa"/>
                  <w:tcBorders>
                    <w:tl2br w:val="nil"/>
                    <w:tr2bl w:val="nil"/>
                  </w:tcBorders>
                  <w:vAlign w:val="center"/>
                </w:tcPr>
                <w:p w14:paraId="70E469E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744" w:type="dxa"/>
                  <w:tcBorders>
                    <w:tl2br w:val="nil"/>
                    <w:tr2bl w:val="nil"/>
                  </w:tcBorders>
                  <w:vAlign w:val="center"/>
                </w:tcPr>
                <w:p w14:paraId="05C04A3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丁二醇</w:t>
                  </w:r>
                </w:p>
              </w:tc>
              <w:tc>
                <w:tcPr>
                  <w:tcW w:w="987" w:type="dxa"/>
                  <w:tcBorders>
                    <w:tl2br w:val="nil"/>
                    <w:tr2bl w:val="nil"/>
                  </w:tcBorders>
                  <w:vAlign w:val="center"/>
                </w:tcPr>
                <w:p w14:paraId="3CEC1BD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固态</w:t>
                  </w:r>
                </w:p>
              </w:tc>
              <w:tc>
                <w:tcPr>
                  <w:tcW w:w="1275" w:type="dxa"/>
                  <w:tcBorders>
                    <w:tl2br w:val="nil"/>
                    <w:tr2bl w:val="nil"/>
                  </w:tcBorders>
                  <w:vAlign w:val="center"/>
                </w:tcPr>
                <w:p w14:paraId="48F4C43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200t/a</w:t>
                  </w:r>
                </w:p>
              </w:tc>
              <w:tc>
                <w:tcPr>
                  <w:tcW w:w="1130" w:type="dxa"/>
                  <w:vMerge w:val="continue"/>
                  <w:tcBorders>
                    <w:tl2br w:val="nil"/>
                    <w:tr2bl w:val="nil"/>
                  </w:tcBorders>
                  <w:vAlign w:val="center"/>
                </w:tcPr>
                <w:p w14:paraId="7119871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150" w:type="dxa"/>
                  <w:tcBorders>
                    <w:tl2br w:val="nil"/>
                    <w:tr2bl w:val="nil"/>
                  </w:tcBorders>
                  <w:vAlign w:val="center"/>
                </w:tcPr>
                <w:p w14:paraId="7B6168C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废料</w:t>
                  </w:r>
                </w:p>
              </w:tc>
              <w:tc>
                <w:tcPr>
                  <w:tcW w:w="1030" w:type="dxa"/>
                  <w:tcBorders>
                    <w:tl2br w:val="nil"/>
                    <w:tr2bl w:val="nil"/>
                  </w:tcBorders>
                  <w:vAlign w:val="center"/>
                </w:tcPr>
                <w:p w14:paraId="62FCB2D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0.6</w:t>
                  </w:r>
                  <w:r>
                    <w:rPr>
                      <w:rFonts w:hint="eastAsia"/>
                      <w:color w:val="0D0D0D" w:themeColor="text1" w:themeTint="F2"/>
                      <w:sz w:val="21"/>
                      <w:szCs w:val="21"/>
                      <w:u w:val="single"/>
                      <w14:textFill>
                        <w14:solidFill>
                          <w14:schemeClr w14:val="tx1">
                            <w14:lumMod w14:val="95000"/>
                            <w14:lumOff w14:val="5000"/>
                          </w14:schemeClr>
                        </w14:solidFill>
                      </w14:textFill>
                    </w:rPr>
                    <w:t>t/a</w:t>
                  </w:r>
                </w:p>
              </w:tc>
            </w:tr>
            <w:tr w14:paraId="5EFE6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880" w:type="dxa"/>
                  <w:tcBorders>
                    <w:tl2br w:val="nil"/>
                    <w:tr2bl w:val="nil"/>
                  </w:tcBorders>
                  <w:vAlign w:val="center"/>
                </w:tcPr>
                <w:p w14:paraId="1F4F878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3</w:t>
                  </w:r>
                </w:p>
              </w:tc>
              <w:tc>
                <w:tcPr>
                  <w:tcW w:w="1744" w:type="dxa"/>
                  <w:tcBorders>
                    <w:tl2br w:val="nil"/>
                    <w:tr2bl w:val="nil"/>
                  </w:tcBorders>
                  <w:vAlign w:val="center"/>
                </w:tcPr>
                <w:p w14:paraId="490F2F0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多异氰酸酯</w:t>
                  </w:r>
                </w:p>
              </w:tc>
              <w:tc>
                <w:tcPr>
                  <w:tcW w:w="987" w:type="dxa"/>
                  <w:tcBorders>
                    <w:tl2br w:val="nil"/>
                    <w:tr2bl w:val="nil"/>
                  </w:tcBorders>
                  <w:vAlign w:val="center"/>
                </w:tcPr>
                <w:p w14:paraId="668B98A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固态</w:t>
                  </w:r>
                </w:p>
              </w:tc>
              <w:tc>
                <w:tcPr>
                  <w:tcW w:w="1275" w:type="dxa"/>
                  <w:tcBorders>
                    <w:tl2br w:val="nil"/>
                    <w:tr2bl w:val="nil"/>
                  </w:tcBorders>
                  <w:vAlign w:val="center"/>
                </w:tcPr>
                <w:p w14:paraId="146BFD3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600t/a</w:t>
                  </w:r>
                </w:p>
              </w:tc>
              <w:tc>
                <w:tcPr>
                  <w:tcW w:w="1130" w:type="dxa"/>
                  <w:vMerge w:val="continue"/>
                  <w:tcBorders>
                    <w:tl2br w:val="nil"/>
                    <w:tr2bl w:val="nil"/>
                  </w:tcBorders>
                  <w:vAlign w:val="center"/>
                </w:tcPr>
                <w:p w14:paraId="0DDEB3F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150" w:type="dxa"/>
                  <w:tcBorders>
                    <w:tl2br w:val="nil"/>
                    <w:tr2bl w:val="nil"/>
                  </w:tcBorders>
                  <w:vAlign w:val="center"/>
                </w:tcPr>
                <w:p w14:paraId="33AB34B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14:textFill>
                        <w14:solidFill>
                          <w14:schemeClr w14:val="tx1">
                            <w14:lumMod w14:val="95000"/>
                            <w14:lumOff w14:val="5000"/>
                          </w14:schemeClr>
                        </w14:solidFill>
                      </w14:textFill>
                    </w:rPr>
                    <w:t>有机废气</w:t>
                  </w:r>
                </w:p>
              </w:tc>
              <w:tc>
                <w:tcPr>
                  <w:tcW w:w="1030" w:type="dxa"/>
                  <w:tcBorders>
                    <w:tl2br w:val="nil"/>
                    <w:tr2bl w:val="nil"/>
                  </w:tcBorders>
                  <w:vAlign w:val="center"/>
                </w:tcPr>
                <w:p w14:paraId="4A133C5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0.7t/a</w:t>
                  </w:r>
                </w:p>
              </w:tc>
            </w:tr>
          </w:tbl>
          <w:p w14:paraId="6062FB69">
            <w:pPr>
              <w:keepNext w:val="0"/>
              <w:keepLines w:val="0"/>
              <w:suppressLineNumbers w:val="0"/>
              <w:adjustRightInd w:val="0"/>
              <w:snapToGrid w:val="0"/>
              <w:spacing w:before="0" w:beforeAutospacing="0" w:after="0" w:afterAutospacing="0"/>
              <w:ind w:left="0" w:right="0" w:firstLine="0" w:firstLineChars="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 xml:space="preserve">    2）非甲烷总烃物料平衡</w:t>
            </w:r>
          </w:p>
          <w:p w14:paraId="5053D4B8">
            <w:pPr>
              <w:keepNext w:val="0"/>
              <w:keepLines w:val="0"/>
              <w:suppressLineNumbers w:val="0"/>
              <w:adjustRightInd w:val="0"/>
              <w:snapToGrid w:val="0"/>
              <w:spacing w:before="0" w:beforeAutospacing="0" w:after="0" w:afterAutospacing="0"/>
              <w:ind w:left="0" w:right="0" w:firstLine="0" w:firstLineChars="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default"/>
                <w:color w:val="0D0D0D" w:themeColor="text1" w:themeTint="F2"/>
                <w14:textFill>
                  <w14:solidFill>
                    <w14:schemeClr w14:val="tx1">
                      <w14:lumMod w14:val="95000"/>
                      <w14:lumOff w14:val="5000"/>
                    </w14:schemeClr>
                  </w14:solidFill>
                </w14:textFill>
              </w:rPr>
              <mc:AlternateContent>
                <mc:Choice Requires="wpg">
                  <w:drawing>
                    <wp:anchor distT="0" distB="0" distL="114300" distR="114300" simplePos="0" relativeHeight="251665408" behindDoc="0" locked="0" layoutInCell="1" allowOverlap="1">
                      <wp:simplePos x="0" y="0"/>
                      <wp:positionH relativeFrom="column">
                        <wp:posOffset>10160</wp:posOffset>
                      </wp:positionH>
                      <wp:positionV relativeFrom="paragraph">
                        <wp:posOffset>128905</wp:posOffset>
                      </wp:positionV>
                      <wp:extent cx="5073015" cy="1380490"/>
                      <wp:effectExtent l="4445" t="5080" r="8890" b="5080"/>
                      <wp:wrapNone/>
                      <wp:docPr id="1" name="组合 1"/>
                      <wp:cNvGraphicFramePr/>
                      <a:graphic xmlns:a="http://schemas.openxmlformats.org/drawingml/2006/main">
                        <a:graphicData uri="http://schemas.microsoft.com/office/word/2010/wordprocessingGroup">
                          <wpg:wgp>
                            <wpg:cNvGrpSpPr/>
                            <wpg:grpSpPr>
                              <a:xfrm>
                                <a:off x="0" y="0"/>
                                <a:ext cx="5073015" cy="1380490"/>
                                <a:chOff x="8420" y="352974"/>
                                <a:chExt cx="7989" cy="2174"/>
                              </a:xfrm>
                            </wpg:grpSpPr>
                            <wps:wsp>
                              <wps:cNvPr id="4" name="文本框 4"/>
                              <wps:cNvSpPr txBox="1"/>
                              <wps:spPr>
                                <a:xfrm>
                                  <a:off x="8420" y="353787"/>
                                  <a:ext cx="1769" cy="8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A760F2B">
                                    <w:pPr>
                                      <w:spacing w:line="240" w:lineRule="auto"/>
                                      <w:ind w:firstLine="0" w:firstLineChars="0"/>
                                      <w:jc w:val="center"/>
                                      <w:rPr>
                                        <w:sz w:val="21"/>
                                        <w:szCs w:val="21"/>
                                        <w:u w:val="single"/>
                                      </w:rPr>
                                    </w:pPr>
                                    <w:r>
                                      <w:rPr>
                                        <w:rFonts w:hint="eastAsia"/>
                                        <w:sz w:val="21"/>
                                        <w:szCs w:val="21"/>
                                        <w:u w:val="single"/>
                                      </w:rPr>
                                      <w:t>挥发性有机物</w:t>
                                    </w:r>
                                  </w:p>
                                  <w:p w14:paraId="6E3088BC">
                                    <w:pPr>
                                      <w:spacing w:line="240" w:lineRule="auto"/>
                                      <w:ind w:firstLine="0" w:firstLineChars="0"/>
                                      <w:jc w:val="center"/>
                                      <w:rPr>
                                        <w:sz w:val="21"/>
                                        <w:szCs w:val="21"/>
                                        <w:u w:val="single"/>
                                      </w:rPr>
                                    </w:pPr>
                                    <w:r>
                                      <w:rPr>
                                        <w:rFonts w:hint="eastAsia"/>
                                        <w:sz w:val="21"/>
                                        <w:szCs w:val="21"/>
                                        <w:u w:val="single"/>
                                      </w:rPr>
                                      <w:t>（非甲烷总烃：</w:t>
                                    </w:r>
                                    <w:r>
                                      <w:rPr>
                                        <w:rFonts w:hint="eastAsia"/>
                                        <w:sz w:val="21"/>
                                        <w:szCs w:val="21"/>
                                        <w:u w:val="single"/>
                                        <w:lang w:val="en-US" w:eastAsia="zh-CN"/>
                                      </w:rPr>
                                      <w:t>0.7</w:t>
                                    </w:r>
                                    <w:r>
                                      <w:rPr>
                                        <w:rFonts w:hint="eastAsia"/>
                                        <w:sz w:val="21"/>
                                        <w:szCs w:val="21"/>
                                        <w:u w:val="single"/>
                                      </w:rPr>
                                      <w:t>）</w:t>
                                    </w:r>
                                  </w:p>
                                </w:txbxContent>
                              </wps:txbx>
                              <wps:bodyPr rot="0" spcFirstLastPara="0" vertOverflow="overflow" horzOverflow="overflow" vert="horz" wrap="square" lIns="0" tIns="0" rIns="0" bIns="0" numCol="1" spcCol="0" rtlCol="0" fromWordArt="0" anchor="t" anchorCtr="0" forceAA="0" compatLnSpc="1">
                                <a:noAutofit/>
                              </wps:bodyPr>
                            </wps:wsp>
                            <wps:wsp>
                              <wps:cNvPr id="10" name="文本框 10"/>
                              <wps:cNvSpPr txBox="1"/>
                              <wps:spPr>
                                <a:xfrm>
                                  <a:off x="10959" y="353348"/>
                                  <a:ext cx="1320" cy="51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38AA1FD">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有组织：</w:t>
                                    </w:r>
                                    <w:r>
                                      <w:rPr>
                                        <w:rFonts w:hint="eastAsia"/>
                                        <w:sz w:val="21"/>
                                        <w:szCs w:val="21"/>
                                        <w:u w:val="single"/>
                                        <w:lang w:val="en-US" w:eastAsia="zh-CN"/>
                                      </w:rPr>
                                      <w:t>0.63</w:t>
                                    </w:r>
                                  </w:p>
                                </w:txbxContent>
                              </wps:txbx>
                              <wps:bodyPr rot="0" spcFirstLastPara="0" vertOverflow="overflow" horzOverflow="overflow" vert="horz" wrap="square" lIns="0" tIns="0" rIns="0" bIns="0" numCol="1" spcCol="0" rtlCol="0" fromWordArt="0" anchor="t" anchorCtr="0" forceAA="0" compatLnSpc="1">
                                <a:noAutofit/>
                              </wps:bodyPr>
                            </wps:wsp>
                            <wps:wsp>
                              <wps:cNvPr id="56" name="文本框 56"/>
                              <wps:cNvSpPr txBox="1"/>
                              <wps:spPr>
                                <a:xfrm>
                                  <a:off x="10929" y="354667"/>
                                  <a:ext cx="1320" cy="48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262A64">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无组织：0.</w:t>
                                    </w:r>
                                    <w:r>
                                      <w:rPr>
                                        <w:rFonts w:hint="eastAsia"/>
                                        <w:sz w:val="21"/>
                                        <w:szCs w:val="21"/>
                                        <w:u w:val="single"/>
                                        <w:lang w:val="en-US" w:eastAsia="zh-CN"/>
                                      </w:rPr>
                                      <w:t>07</w:t>
                                    </w:r>
                                  </w:p>
                                </w:txbxContent>
                              </wps:txbx>
                              <wps:bodyPr rot="0" spcFirstLastPara="0" vertOverflow="overflow" horzOverflow="overflow" vert="horz" wrap="square" lIns="0" tIns="0" rIns="0" bIns="0" numCol="1" spcCol="0" rtlCol="0" fromWordArt="0" anchor="t" anchorCtr="0" forceAA="0" compatLnSpc="1">
                                <a:noAutofit/>
                              </wps:bodyPr>
                            </wps:wsp>
                            <wps:wsp>
                              <wps:cNvPr id="57" name="文本框 57"/>
                              <wps:cNvSpPr txBox="1"/>
                              <wps:spPr>
                                <a:xfrm>
                                  <a:off x="14949" y="353967"/>
                                  <a:ext cx="1460" cy="65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B513FC0">
                                    <w:pPr>
                                      <w:spacing w:line="240" w:lineRule="auto"/>
                                      <w:ind w:firstLine="0" w:firstLineChars="0"/>
                                      <w:jc w:val="center"/>
                                      <w:rPr>
                                        <w:rFonts w:hint="default" w:eastAsia="宋体"/>
                                        <w:sz w:val="21"/>
                                        <w:szCs w:val="21"/>
                                        <w:lang w:val="en-US" w:eastAsia="zh-CN"/>
                                      </w:rPr>
                                    </w:pPr>
                                    <w:r>
                                      <w:rPr>
                                        <w:rFonts w:hint="eastAsia"/>
                                        <w:sz w:val="21"/>
                                        <w:szCs w:val="21"/>
                                        <w:u w:val="single"/>
                                      </w:rPr>
                                      <w:t>排气筒高空排放：</w:t>
                                    </w:r>
                                    <w:r>
                                      <w:rPr>
                                        <w:rFonts w:hint="eastAsia"/>
                                        <w:sz w:val="21"/>
                                        <w:szCs w:val="21"/>
                                        <w:u w:val="single"/>
                                        <w:lang w:val="en-US" w:eastAsia="zh-CN"/>
                                      </w:rPr>
                                      <w:t>0.063</w:t>
                                    </w:r>
                                  </w:p>
                                </w:txbxContent>
                              </wps:txbx>
                              <wps:bodyPr rot="0" spcFirstLastPara="0" vertOverflow="overflow" horzOverflow="overflow" vert="horz" wrap="square" lIns="0" tIns="0" rIns="0" bIns="0" numCol="1" spcCol="0" rtlCol="0" fromWordArt="0" anchor="t" anchorCtr="0" forceAA="0" compatLnSpc="1">
                                <a:noAutofit/>
                              </wps:bodyPr>
                            </wps:wsp>
                            <wps:wsp>
                              <wps:cNvPr id="59" name="肘形连接符 59"/>
                              <wps:cNvCnPr/>
                              <wps:spPr>
                                <a:xfrm rot="10800000" flipH="1">
                                  <a:off x="10929" y="353598"/>
                                  <a:ext cx="50" cy="1300"/>
                                </a:xfrm>
                                <a:prstGeom prst="bentConnector3">
                                  <a:avLst>
                                    <a:gd name="adj1" fmla="val -750000"/>
                                  </a:avLst>
                                </a:prstGeom>
                                <a:ln>
                                  <a:solidFill>
                                    <a:schemeClr val="tx1">
                                      <a:lumMod val="95000"/>
                                      <a:lumOff val="5000"/>
                                    </a:schemeClr>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60" name="直接箭头连接符 60"/>
                              <wps:cNvCnPr>
                                <a:stCxn id="4" idx="3"/>
                              </wps:cNvCnPr>
                              <wps:spPr>
                                <a:xfrm>
                                  <a:off x="10189" y="354197"/>
                                  <a:ext cx="381" cy="4"/>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1" name="直接箭头连接符 61"/>
                              <wps:cNvCnPr/>
                              <wps:spPr>
                                <a:xfrm flipV="1">
                                  <a:off x="12269" y="353573"/>
                                  <a:ext cx="2246" cy="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wps:wsp>
                              <wps:cNvPr id="63" name="肘形连接符 63"/>
                              <wps:cNvCnPr/>
                              <wps:spPr>
                                <a:xfrm rot="10800000" flipH="1">
                                  <a:off x="14899" y="353258"/>
                                  <a:ext cx="50" cy="1020"/>
                                </a:xfrm>
                                <a:prstGeom prst="bentConnector3">
                                  <a:avLst>
                                    <a:gd name="adj1" fmla="val -750000"/>
                                  </a:avLst>
                                </a:prstGeom>
                                <a:ln>
                                  <a:solidFill>
                                    <a:schemeClr val="tx1">
                                      <a:lumMod val="95000"/>
                                      <a:lumOff val="5000"/>
                                    </a:schemeClr>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30" name="文本框 30"/>
                              <wps:cNvSpPr txBox="1"/>
                              <wps:spPr>
                                <a:xfrm>
                                  <a:off x="14975" y="352974"/>
                                  <a:ext cx="1391" cy="641"/>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10807A2">
                                    <w:pPr>
                                      <w:spacing w:line="240" w:lineRule="auto"/>
                                      <w:ind w:firstLine="0" w:firstLineChars="0"/>
                                      <w:jc w:val="center"/>
                                      <w:rPr>
                                        <w:sz w:val="21"/>
                                        <w:szCs w:val="21"/>
                                        <w:u w:val="single"/>
                                      </w:rPr>
                                    </w:pPr>
                                    <w:r>
                                      <w:rPr>
                                        <w:rFonts w:hint="eastAsia"/>
                                        <w:sz w:val="21"/>
                                        <w:szCs w:val="21"/>
                                        <w:u w:val="single"/>
                                      </w:rPr>
                                      <w:t>活性炭吸附：</w:t>
                                    </w:r>
                                  </w:p>
                                  <w:p w14:paraId="7C198865">
                                    <w:pPr>
                                      <w:spacing w:line="240" w:lineRule="auto"/>
                                      <w:ind w:firstLine="0" w:firstLineChars="0"/>
                                      <w:jc w:val="center"/>
                                      <w:rPr>
                                        <w:rFonts w:hint="default" w:eastAsia="宋体"/>
                                        <w:lang w:val="en-US" w:eastAsia="zh-CN"/>
                                      </w:rPr>
                                    </w:pPr>
                                    <w:r>
                                      <w:rPr>
                                        <w:rFonts w:hint="eastAsia"/>
                                        <w:sz w:val="21"/>
                                        <w:szCs w:val="21"/>
                                        <w:u w:val="single"/>
                                        <w:lang w:val="en-US" w:eastAsia="zh-CN"/>
                                      </w:rPr>
                                      <w:t>0.567</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0.8pt;margin-top:10.15pt;height:108.7pt;width:399.45pt;z-index:251665408;mso-width-relative:page;mso-height-relative:page;" coordorigin="8420,352974" coordsize="7989,2174" o:gfxdata="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mjka4tgAAAAIAQAADwAAAAAAAAABACAAAAAiAAAAZHJzL2Rvd25yZXYueG1sUEsB&#10;AhQAFAAAAAgAh07iQFvIeNNMBQAAiBoAAA4AAAAAAAAAAQAgAAAAJwEAAGRycy9lMm9Eb2MueG1s&#10;UEsFBgAAAAAGAAYAWQEAAOUIAAAAAA==&#10;">
                      <o:lock v:ext="edit" aspectratio="f"/>
                      <v:shape id="_x0000_s1026" o:spid="_x0000_s1026" o:spt="202" type="#_x0000_t202" style="position:absolute;left:8420;top:353787;height:820;width:1769;" fillcolor="#FFFFFF [3201]" filled="t" stroked="t" coordsize="21600,21600" o:gfxdata="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FCSrvQAA&#10;ANo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w:txbxContent>
                            <w:p w14:paraId="0A760F2B">
                              <w:pPr>
                                <w:spacing w:line="240" w:lineRule="auto"/>
                                <w:ind w:firstLine="0" w:firstLineChars="0"/>
                                <w:jc w:val="center"/>
                                <w:rPr>
                                  <w:sz w:val="21"/>
                                  <w:szCs w:val="21"/>
                                  <w:u w:val="single"/>
                                </w:rPr>
                              </w:pPr>
                              <w:r>
                                <w:rPr>
                                  <w:rFonts w:hint="eastAsia"/>
                                  <w:sz w:val="21"/>
                                  <w:szCs w:val="21"/>
                                  <w:u w:val="single"/>
                                </w:rPr>
                                <w:t>挥发性有机物</w:t>
                              </w:r>
                            </w:p>
                            <w:p w14:paraId="6E3088BC">
                              <w:pPr>
                                <w:spacing w:line="240" w:lineRule="auto"/>
                                <w:ind w:firstLine="0" w:firstLineChars="0"/>
                                <w:jc w:val="center"/>
                                <w:rPr>
                                  <w:sz w:val="21"/>
                                  <w:szCs w:val="21"/>
                                  <w:u w:val="single"/>
                                </w:rPr>
                              </w:pPr>
                              <w:r>
                                <w:rPr>
                                  <w:rFonts w:hint="eastAsia"/>
                                  <w:sz w:val="21"/>
                                  <w:szCs w:val="21"/>
                                  <w:u w:val="single"/>
                                </w:rPr>
                                <w:t>（非甲烷总烃：</w:t>
                              </w:r>
                              <w:r>
                                <w:rPr>
                                  <w:rFonts w:hint="eastAsia"/>
                                  <w:sz w:val="21"/>
                                  <w:szCs w:val="21"/>
                                  <w:u w:val="single"/>
                                  <w:lang w:val="en-US" w:eastAsia="zh-CN"/>
                                </w:rPr>
                                <w:t>0.7</w:t>
                              </w:r>
                              <w:r>
                                <w:rPr>
                                  <w:rFonts w:hint="eastAsia"/>
                                  <w:sz w:val="21"/>
                                  <w:szCs w:val="21"/>
                                  <w:u w:val="single"/>
                                </w:rPr>
                                <w:t>）</w:t>
                              </w:r>
                            </w:p>
                          </w:txbxContent>
                        </v:textbox>
                      </v:shape>
                      <v:shape id="_x0000_s1026" o:spid="_x0000_s1026" o:spt="202" type="#_x0000_t202" style="position:absolute;left:10959;top:353348;height:511;width:1320;" fillcolor="#FFFFFF [3201]" filled="t" stroked="t" coordsize="21600,21600" o:gfxdata="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EgAP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w:txbxContent>
                            <w:p w14:paraId="638AA1FD">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有组织：</w:t>
                              </w:r>
                              <w:r>
                                <w:rPr>
                                  <w:rFonts w:hint="eastAsia"/>
                                  <w:sz w:val="21"/>
                                  <w:szCs w:val="21"/>
                                  <w:u w:val="single"/>
                                  <w:lang w:val="en-US" w:eastAsia="zh-CN"/>
                                </w:rPr>
                                <w:t>0.63</w:t>
                              </w:r>
                            </w:p>
                          </w:txbxContent>
                        </v:textbox>
                      </v:shape>
                      <v:shape id="_x0000_s1026" o:spid="_x0000_s1026" o:spt="202" type="#_x0000_t202" style="position:absolute;left:10929;top:354667;height:481;width:1320;" fillcolor="#FFFFFF [3201]" filled="t" stroked="t" coordsize="21600,21600" o:gfxdata="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dhCC8AAAA&#10;2wAAAA8AAAAAAAAAAQAgAAAAIgAAAGRycy9kb3ducmV2LnhtbFBLAQIUABQAAAAIAIdO4kAzLwWe&#10;OwAAADkAAAAQAAAAAAAAAAEAIAAAAAsBAABkcnMvc2hhcGV4bWwueG1sUEsFBgAAAAAGAAYAWwEA&#10;ALUDAAAAAA==&#10;">
                        <v:fill on="t" focussize="0,0"/>
                        <v:stroke weight="0.5pt" color="#000000 [3204]" joinstyle="round"/>
                        <v:imagedata o:title=""/>
                        <o:lock v:ext="edit" aspectratio="f"/>
                        <v:textbox inset="0mm,0mm,0mm,0mm">
                          <w:txbxContent>
                            <w:p w14:paraId="52262A64">
                              <w:pPr>
                                <w:spacing w:line="240" w:lineRule="auto"/>
                                <w:ind w:firstLine="0" w:firstLineChars="0"/>
                                <w:jc w:val="center"/>
                                <w:rPr>
                                  <w:rFonts w:hint="default" w:eastAsia="宋体"/>
                                  <w:sz w:val="21"/>
                                  <w:szCs w:val="21"/>
                                  <w:u w:val="single"/>
                                  <w:lang w:val="en-US" w:eastAsia="zh-CN"/>
                                </w:rPr>
                              </w:pPr>
                              <w:r>
                                <w:rPr>
                                  <w:rFonts w:hint="eastAsia"/>
                                  <w:sz w:val="21"/>
                                  <w:szCs w:val="21"/>
                                  <w:u w:val="single"/>
                                </w:rPr>
                                <w:t>无组织：0.</w:t>
                              </w:r>
                              <w:r>
                                <w:rPr>
                                  <w:rFonts w:hint="eastAsia"/>
                                  <w:sz w:val="21"/>
                                  <w:szCs w:val="21"/>
                                  <w:u w:val="single"/>
                                  <w:lang w:val="en-US" w:eastAsia="zh-CN"/>
                                </w:rPr>
                                <w:t>07</w:t>
                              </w:r>
                            </w:p>
                          </w:txbxContent>
                        </v:textbox>
                      </v:shape>
                      <v:shape id="_x0000_s1026" o:spid="_x0000_s1026" o:spt="202" type="#_x0000_t202" style="position:absolute;left:14949;top:353967;height:651;width:1460;" fillcolor="#FFFFFF [3201]" filled="t" stroked="t" coordsize="21600,21600" o:gfxdata="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8kSG7vQAA&#10;ANsAAAAPAAAAAAAAAAEAIAAAACIAAABkcnMvZG93bnJldi54bWxQSwECFAAUAAAACACHTuJAMy8F&#10;njsAAAA5AAAAEAAAAAAAAAABACAAAAAMAQAAZHJzL3NoYXBleG1sLnhtbFBLBQYAAAAABgAGAFsB&#10;AAC2AwAAAAA=&#10;">
                        <v:fill on="t" focussize="0,0"/>
                        <v:stroke weight="0.5pt" color="#000000 [3204]" joinstyle="round"/>
                        <v:imagedata o:title=""/>
                        <o:lock v:ext="edit" aspectratio="f"/>
                        <v:textbox inset="0mm,0mm,0mm,0mm">
                          <w:txbxContent>
                            <w:p w14:paraId="1B513FC0">
                              <w:pPr>
                                <w:spacing w:line="240" w:lineRule="auto"/>
                                <w:ind w:firstLine="0" w:firstLineChars="0"/>
                                <w:jc w:val="center"/>
                                <w:rPr>
                                  <w:rFonts w:hint="default" w:eastAsia="宋体"/>
                                  <w:sz w:val="21"/>
                                  <w:szCs w:val="21"/>
                                  <w:lang w:val="en-US" w:eastAsia="zh-CN"/>
                                </w:rPr>
                              </w:pPr>
                              <w:r>
                                <w:rPr>
                                  <w:rFonts w:hint="eastAsia"/>
                                  <w:sz w:val="21"/>
                                  <w:szCs w:val="21"/>
                                  <w:u w:val="single"/>
                                </w:rPr>
                                <w:t>排气筒高空排放：</w:t>
                              </w:r>
                              <w:r>
                                <w:rPr>
                                  <w:rFonts w:hint="eastAsia"/>
                                  <w:sz w:val="21"/>
                                  <w:szCs w:val="21"/>
                                  <w:u w:val="single"/>
                                  <w:lang w:val="en-US" w:eastAsia="zh-CN"/>
                                </w:rPr>
                                <w:t>0.063</w:t>
                              </w:r>
                            </w:p>
                          </w:txbxContent>
                        </v:textbox>
                      </v:shape>
                      <v:shape id="_x0000_s1026" o:spid="_x0000_s1026" o:spt="34" type="#_x0000_t34" style="position:absolute;left:10929;top:353598;flip:x;height:1300;width:50;rotation:11796480f;" filled="f" stroked="t" coordsize="21600,21600" o:gfxdata="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01Q4LsAAADb&#10;AAAADwAAAAAAAAABACAAAAAiAAAAZHJzL2Rvd25yZXYueG1sUEsBAhQAFAAAAAgAh07iQDMvBZ47&#10;AAAAOQAAABAAAAAAAAAAAQAgAAAACgEAAGRycy9zaGFwZXhtbC54bWxQSwUGAAAAAAYABgBbAQAA&#10;tAMAAAAA&#10;" adj="-162000">
                        <v:fill on="f" focussize="0,0"/>
                        <v:stroke weight="1pt" color="#0D0D0D [3069]" miterlimit="8" joinstyle="miter" startarrow="open" endarrow="open"/>
                        <v:imagedata o:title=""/>
                        <o:lock v:ext="edit" aspectratio="f"/>
                      </v:shape>
                      <v:shape id="_x0000_s1026" o:spid="_x0000_s1026" o:spt="32" type="#_x0000_t32" style="position:absolute;left:10189;top:354197;height:4;width:381;" filled="f" stroked="t" coordsize="21600,21600" o:gfxdata="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M6S8ltwAAANsAAAAP&#10;AAAAAAAAAAEAIAAAACIAAABkcnMvZG93bnJldi54bWxQSwECFAAUAAAACACHTuJAMy8FnjsAAAA5&#10;AAAAEAAAAAAAAAABACAAAAAGAQAAZHJzL3NoYXBleG1sLnhtbFBLBQYAAAAABgAGAFsBAACwAwAA&#10;AAA=&#10;">
                        <v:fill on="f" focussize="0,0"/>
                        <v:stroke weight="1pt" color="#000000 [3213]" miterlimit="8" joinstyle="miter" endarrow="open"/>
                        <v:imagedata o:title=""/>
                        <o:lock v:ext="edit" aspectratio="f"/>
                      </v:shape>
                      <v:shape id="_x0000_s1026" o:spid="_x0000_s1026" o:spt="32" type="#_x0000_t32" style="position:absolute;left:12269;top:353573;flip:y;height:25;width:2246;" filled="f" stroked="t" coordsize="21600,21600" o:gfxdata="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sadUb4A&#10;AADbAAAADwAAAAAAAAABACAAAAAiAAAAZHJzL2Rvd25yZXYueG1sUEsBAhQAFAAAAAgAh07iQDMv&#10;BZ47AAAAOQAAABAAAAAAAAAAAQAgAAAADQEAAGRycy9zaGFwZXhtbC54bWxQSwUGAAAAAAYABgBb&#10;AQAAtwMAAAAA&#10;">
                        <v:fill on="f" focussize="0,0"/>
                        <v:stroke weight="1pt" color="#000000 [3213]" miterlimit="8" joinstyle="miter" endarrow="open"/>
                        <v:imagedata o:title=""/>
                        <o:lock v:ext="edit" aspectratio="f"/>
                      </v:shape>
                      <v:shape id="_x0000_s1026" o:spid="_x0000_s1026" o:spt="34" type="#_x0000_t34" style="position:absolute;left:14899;top:353258;flip:x;height:1020;width:50;rotation:11796480f;" filled="f" stroked="t" coordsize="21600,21600" o:gfxdata="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Mmtt7sAAADb&#10;AAAADwAAAAAAAAABACAAAAAiAAAAZHJzL2Rvd25yZXYueG1sUEsBAhQAFAAAAAgAh07iQDMvBZ47&#10;AAAAOQAAABAAAAAAAAAAAQAgAAAACgEAAGRycy9zaGFwZXhtbC54bWxQSwUGAAAAAAYABgBbAQAA&#10;tAMAAAAA&#10;" adj="-162000">
                        <v:fill on="f" focussize="0,0"/>
                        <v:stroke weight="1pt" color="#0D0D0D [3069]" miterlimit="8" joinstyle="miter" startarrow="open" endarrow="open"/>
                        <v:imagedata o:title=""/>
                        <o:lock v:ext="edit" aspectratio="f"/>
                      </v:shape>
                      <v:shape id="_x0000_s1026" o:spid="_x0000_s1026" o:spt="202" type="#_x0000_t202" style="position:absolute;left:14975;top:352974;height:641;width:1391;" fillcolor="#FFFFFF [3201]" filled="t" stroked="t" coordsize="21600,21600" o:gfxdata="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6nXG+5AAAA2wAA&#10;AA8AAAAAAAAAAQAgAAAAIgAAAGRycy9kb3ducmV2LnhtbFBLAQIUABQAAAAIAIdO4kAzLwWeOwAA&#10;ADkAAAAQAAAAAAAAAAEAIAAAAAgBAABkcnMvc2hhcGV4bWwueG1sUEsFBgAAAAAGAAYAWwEAALID&#10;AAAAAA==&#10;">
                        <v:fill on="t" focussize="0,0"/>
                        <v:stroke weight="0.5pt" color="#000000 [3204]" joinstyle="round"/>
                        <v:imagedata o:title=""/>
                        <o:lock v:ext="edit" aspectratio="f"/>
                        <v:textbox inset="0mm,0mm,0mm,0mm">
                          <w:txbxContent>
                            <w:p w14:paraId="110807A2">
                              <w:pPr>
                                <w:spacing w:line="240" w:lineRule="auto"/>
                                <w:ind w:firstLine="0" w:firstLineChars="0"/>
                                <w:jc w:val="center"/>
                                <w:rPr>
                                  <w:sz w:val="21"/>
                                  <w:szCs w:val="21"/>
                                  <w:u w:val="single"/>
                                </w:rPr>
                              </w:pPr>
                              <w:r>
                                <w:rPr>
                                  <w:rFonts w:hint="eastAsia"/>
                                  <w:sz w:val="21"/>
                                  <w:szCs w:val="21"/>
                                  <w:u w:val="single"/>
                                </w:rPr>
                                <w:t>活性炭吸附：</w:t>
                              </w:r>
                            </w:p>
                            <w:p w14:paraId="7C198865">
                              <w:pPr>
                                <w:spacing w:line="240" w:lineRule="auto"/>
                                <w:ind w:firstLine="0" w:firstLineChars="0"/>
                                <w:jc w:val="center"/>
                                <w:rPr>
                                  <w:rFonts w:hint="default" w:eastAsia="宋体"/>
                                  <w:lang w:val="en-US" w:eastAsia="zh-CN"/>
                                </w:rPr>
                              </w:pPr>
                              <w:r>
                                <w:rPr>
                                  <w:rFonts w:hint="eastAsia"/>
                                  <w:sz w:val="21"/>
                                  <w:szCs w:val="21"/>
                                  <w:u w:val="single"/>
                                  <w:lang w:val="en-US" w:eastAsia="zh-CN"/>
                                </w:rPr>
                                <w:t>0.567</w:t>
                              </w:r>
                            </w:p>
                          </w:txbxContent>
                        </v:textbox>
                      </v:shape>
                    </v:group>
                  </w:pict>
                </mc:Fallback>
              </mc:AlternateContent>
            </w:r>
          </w:p>
          <w:p w14:paraId="3B146E10">
            <w:pPr>
              <w:keepNext w:val="0"/>
              <w:keepLines w:val="0"/>
              <w:suppressLineNumbers w:val="0"/>
              <w:adjustRightInd w:val="0"/>
              <w:snapToGrid w:val="0"/>
              <w:spacing w:before="0" w:beforeAutospacing="0" w:after="0" w:afterAutospacing="0"/>
              <w:ind w:left="0" w:right="0" w:firstLine="0" w:firstLineChars="0"/>
              <w:rPr>
                <w:rFonts w:hint="default" w:ascii="宋体" w:hAnsi="宋体"/>
                <w:bCs/>
                <w:color w:val="0D0D0D" w:themeColor="text1" w:themeTint="F2"/>
                <w:szCs w:val="21"/>
                <w:u w:val="single"/>
                <w14:textFill>
                  <w14:solidFill>
                    <w14:schemeClr w14:val="tx1">
                      <w14:lumMod w14:val="95000"/>
                      <w14:lumOff w14:val="5000"/>
                    </w14:schemeClr>
                  </w14:solidFill>
                </w14:textFill>
              </w:rPr>
            </w:pPr>
          </w:p>
          <w:p w14:paraId="19CF1FC6">
            <w:pPr>
              <w:keepNext w:val="0"/>
              <w:keepLines w:val="0"/>
              <w:suppressLineNumbers w:val="0"/>
              <w:adjustRightInd w:val="0"/>
              <w:snapToGrid w:val="0"/>
              <w:spacing w:before="0" w:beforeAutospacing="0" w:after="0" w:afterAutospacing="0"/>
              <w:ind w:left="0" w:right="0" w:firstLine="0" w:firstLineChars="0"/>
              <w:rPr>
                <w:rFonts w:hint="default" w:ascii="宋体" w:hAnsi="宋体"/>
                <w:bCs/>
                <w:color w:val="0D0D0D" w:themeColor="text1" w:themeTint="F2"/>
                <w:szCs w:val="21"/>
                <w:u w:val="single"/>
                <w14:textFill>
                  <w14:solidFill>
                    <w14:schemeClr w14:val="tx1">
                      <w14:lumMod w14:val="95000"/>
                      <w14:lumOff w14:val="5000"/>
                    </w14:schemeClr>
                  </w14:solidFill>
                </w14:textFill>
              </w:rPr>
            </w:pPr>
          </w:p>
          <w:p w14:paraId="3A02BF1B">
            <w:pPr>
              <w:keepNext w:val="0"/>
              <w:keepLines w:val="0"/>
              <w:suppressLineNumbers w:val="0"/>
              <w:adjustRightInd w:val="0"/>
              <w:snapToGrid w:val="0"/>
              <w:spacing w:before="0" w:beforeAutospacing="0" w:after="0" w:afterAutospacing="0"/>
              <w:ind w:left="0" w:right="0" w:firstLine="0" w:firstLineChars="0"/>
              <w:rPr>
                <w:rFonts w:hint="default" w:ascii="宋体" w:hAnsi="宋体"/>
                <w:bCs/>
                <w:color w:val="0D0D0D" w:themeColor="text1" w:themeTint="F2"/>
                <w:szCs w:val="21"/>
                <w:u w:val="single"/>
                <w14:textFill>
                  <w14:solidFill>
                    <w14:schemeClr w14:val="tx1">
                      <w14:lumMod w14:val="95000"/>
                      <w14:lumOff w14:val="5000"/>
                    </w14:schemeClr>
                  </w14:solidFill>
                </w14:textFill>
              </w:rPr>
            </w:pPr>
          </w:p>
          <w:p w14:paraId="166A2FED">
            <w:pPr>
              <w:keepNext w:val="0"/>
              <w:keepLines w:val="0"/>
              <w:suppressLineNumbers w:val="0"/>
              <w:adjustRightInd w:val="0"/>
              <w:snapToGrid w:val="0"/>
              <w:spacing w:before="0" w:beforeAutospacing="0" w:after="0" w:afterAutospacing="0"/>
              <w:ind w:left="0" w:right="0" w:firstLine="0" w:firstLineChars="0"/>
              <w:rPr>
                <w:rFonts w:hint="default" w:ascii="宋体" w:hAnsi="宋体"/>
                <w:bCs/>
                <w:color w:val="0D0D0D" w:themeColor="text1" w:themeTint="F2"/>
                <w:szCs w:val="21"/>
                <w:u w:val="single"/>
                <w14:textFill>
                  <w14:solidFill>
                    <w14:schemeClr w14:val="tx1">
                      <w14:lumMod w14:val="95000"/>
                      <w14:lumOff w14:val="5000"/>
                    </w14:schemeClr>
                  </w14:solidFill>
                </w14:textFill>
              </w:rPr>
            </w:pPr>
          </w:p>
          <w:p w14:paraId="02BD44A8">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bCs/>
                <w:color w:val="0D0D0D" w:themeColor="text1" w:themeTint="F2"/>
                <w:szCs w:val="21"/>
                <w:u w:val="single"/>
                <w14:textFill>
                  <w14:solidFill>
                    <w14:schemeClr w14:val="tx1">
                      <w14:lumMod w14:val="95000"/>
                      <w14:lumOff w14:val="5000"/>
                    </w14:schemeClr>
                  </w14:solidFill>
                </w14:textFill>
              </w:rPr>
            </w:pPr>
          </w:p>
          <w:p w14:paraId="31FFA54B">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图2-2  非甲烷总烃物料衡算图 （单位：t/a ）</w:t>
            </w:r>
          </w:p>
          <w:p w14:paraId="3774F3EF">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9、清洁生产分析</w:t>
            </w:r>
          </w:p>
          <w:p w14:paraId="1CBEDF75">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清洁生产是指不断采用改进设计、使用清洁的能源和原料、采用先进的工艺技术和设备、改善管理、综合利用，从源头削减污染，提高资源利用率，减少或者避免生、服务和产品使用过程中污染物的产生和排放，以减轻或消除对人类健康和环境的危害。根据《中华人民共和国清洁生产促进法》的相关规定，企业应该采取以下清洁生产措施：</w:t>
            </w:r>
          </w:p>
          <w:p w14:paraId="618F57DB">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1）采用无毒、无害或者低毒、低害的原料，替代毒性大、危害严重的原料；</w:t>
            </w:r>
          </w:p>
          <w:p w14:paraId="532A49EB">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2）采用资源利用率高、污染物产生量少的工艺和设备，替代资源利用率低、污染物产生量多的工艺和设备；</w:t>
            </w:r>
          </w:p>
          <w:p w14:paraId="1862A2A7">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3）对生产过程中产生的废物、废水和余热等进行综合利用或者循环使用；</w:t>
            </w:r>
          </w:p>
          <w:p w14:paraId="1B0691D3">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4）采用能够达到国家或者地方规定的污染物排放标准和污染物排放总量控制指标的污染防治技术。</w:t>
            </w:r>
          </w:p>
          <w:p w14:paraId="6615051F">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清洁生产是建设项目环境影响评价的主要内容之一。清洁生产包括节约原材料和能源，淘汰有毒有害材料，在污染源部位降低排放废物的数量和毒性；对产品而言，清洁生产战略旨在减少产品从原材料选取、制造和使用到最终处置的整个生命周期对人类的环境影响。由此可见，清洁生产是运用一种整体预防性措施，使生产发展和环境保护相协调。</w:t>
            </w:r>
          </w:p>
          <w:p w14:paraId="4F725C50">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（1）</w:t>
            </w:r>
            <w:r>
              <w:rPr>
                <w:rFonts w:hint="eastAsia" w:ascii="宋体" w:hAnsi="宋体"/>
                <w:bCs/>
                <w:color w:val="0D0D0D" w:themeColor="text1" w:themeTint="F2"/>
                <w:szCs w:val="21"/>
                <w:u w:val="single"/>
                <w14:textFill>
                  <w14:solidFill>
                    <w14:schemeClr w14:val="tx1">
                      <w14:lumMod w14:val="95000"/>
                      <w14:lumOff w14:val="5000"/>
                    </w14:schemeClr>
                  </w14:solidFill>
                </w14:textFill>
              </w:rPr>
              <w:t>原材料分析</w:t>
            </w:r>
          </w:p>
          <w:p w14:paraId="714C5209">
            <w:pPr>
              <w:keepNext w:val="0"/>
              <w:keepLines w:val="0"/>
              <w:suppressLineNumbers w:val="0"/>
              <w:adjustRightInd w:val="0"/>
              <w:snapToGrid w:val="0"/>
              <w:spacing w:before="0" w:beforeAutospacing="0" w:after="0" w:afterAutospacing="0"/>
              <w:ind w:left="0" w:right="0" w:firstLine="480" w:firstLineChars="20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本项目所涉及的原料主要有聚酯多元醇、1，4-丁二醇、MD</w:t>
            </w:r>
            <w:r>
              <w:rPr>
                <w:rFonts w:hint="eastAsia" w:ascii="宋体" w:hAnsi="宋体"/>
                <w:bCs/>
                <w:color w:val="0D0D0D" w:themeColor="text1" w:themeTint="F2"/>
                <w:szCs w:val="21"/>
                <w:u w:val="single"/>
                <w:lang w:val="en-US" w:eastAsia="zh-CN"/>
                <w14:textFill>
                  <w14:solidFill>
                    <w14:schemeClr w14:val="tx1">
                      <w14:lumMod w14:val="95000"/>
                      <w14:lumOff w14:val="5000"/>
                    </w14:schemeClr>
                  </w14:solidFill>
                </w14:textFill>
              </w:rPr>
              <w:t>I</w:t>
            </w:r>
            <w:r>
              <w:rPr>
                <w:rFonts w:hint="eastAsia" w:ascii="宋体" w:hAnsi="宋体"/>
                <w:bCs/>
                <w:color w:val="0D0D0D" w:themeColor="text1" w:themeTint="F2"/>
                <w:szCs w:val="21"/>
                <w:u w:val="single"/>
                <w14:textFill>
                  <w14:solidFill>
                    <w14:schemeClr w14:val="tx1">
                      <w14:lumMod w14:val="95000"/>
                      <w14:lumOff w14:val="5000"/>
                    </w14:schemeClr>
                  </w14:solidFill>
                </w14:textFill>
              </w:rPr>
              <w:t>等，均为微毒或无毒物质，不属于《剧毒化学品目录》中所列的剧毒化学品，符合清洁生产要求。</w:t>
            </w:r>
          </w:p>
          <w:p w14:paraId="17F40F78">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以上原辅料均从正规企业购进。另外，生产过程中液体原料全部使用管道进行转输，大大提高了原料的利用效率，减少了损耗量，对行业可持续发展有重要意义。</w:t>
            </w:r>
          </w:p>
          <w:p w14:paraId="09022D2A">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在原辅材料的质量、储存和管理方面，工程原辅材料取低杂质高纯度的化工原料，以减少生产过程中的污染物产生量；原辅材料的存储和输送设备应选取密封性能好的生产设备，最大程度地减少物料的无组织散失；原辅材料的管理应规范化，设置专门人员对物料进行管理。在满足以上条件的基础上，本项目原辅材料的质量、储存和管理方面可以满足清洁生产要求。</w:t>
            </w:r>
          </w:p>
          <w:p w14:paraId="338B4B12">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（2）项目节能分析</w:t>
            </w:r>
          </w:p>
          <w:p w14:paraId="01CBCED4">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①</w:t>
            </w:r>
            <w:r>
              <w:rPr>
                <w:rFonts w:hint="eastAsia" w:ascii="宋体" w:hAnsi="宋体"/>
                <w:bCs/>
                <w:color w:val="0D0D0D" w:themeColor="text1" w:themeTint="F2"/>
                <w:szCs w:val="21"/>
                <w:u w:val="single"/>
                <w14:textFill>
                  <w14:solidFill>
                    <w14:schemeClr w14:val="tx1">
                      <w14:lumMod w14:val="95000"/>
                      <w14:lumOff w14:val="5000"/>
                    </w14:schemeClr>
                  </w14:solidFill>
                </w14:textFill>
              </w:rPr>
              <w:t>本项目采用电能给原辅料加热，属清洁能源。</w:t>
            </w:r>
          </w:p>
          <w:p w14:paraId="02CA53F7">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②</w:t>
            </w:r>
            <w:r>
              <w:rPr>
                <w:rFonts w:hint="eastAsia" w:ascii="宋体" w:hAnsi="宋体"/>
                <w:bCs/>
                <w:color w:val="0D0D0D" w:themeColor="text1" w:themeTint="F2"/>
                <w:szCs w:val="21"/>
                <w:u w:val="single"/>
                <w14:textFill>
                  <w14:solidFill>
                    <w14:schemeClr w14:val="tx1">
                      <w14:lumMod w14:val="95000"/>
                      <w14:lumOff w14:val="5000"/>
                    </w14:schemeClr>
                  </w14:solidFill>
                </w14:textFill>
              </w:rPr>
              <w:t>车间建筑设计上充分采用自然光，改善车间采光、通风环境。屋面设保温隔热层，减少热量损失，建筑物的开窗面积及室内表面反射系数符合《建筑采光设计标准》（GB/T50033-2001）的规定。</w:t>
            </w:r>
          </w:p>
          <w:p w14:paraId="2703E002">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③</w:t>
            </w:r>
            <w:r>
              <w:rPr>
                <w:rFonts w:hint="eastAsia" w:ascii="宋体" w:hAnsi="宋体"/>
                <w:bCs/>
                <w:color w:val="0D0D0D" w:themeColor="text1" w:themeTint="F2"/>
                <w:szCs w:val="21"/>
                <w:u w:val="single"/>
                <w14:textFill>
                  <w14:solidFill>
                    <w14:schemeClr w14:val="tx1">
                      <w14:lumMod w14:val="95000"/>
                      <w14:lumOff w14:val="5000"/>
                    </w14:schemeClr>
                  </w14:solidFill>
                </w14:textFill>
              </w:rPr>
              <w:t>照明采用节能光源，如LED光源等灯具，降低能耗。</w:t>
            </w:r>
          </w:p>
          <w:p w14:paraId="5AB57CD2">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④</w:t>
            </w:r>
            <w:r>
              <w:rPr>
                <w:rFonts w:hint="eastAsia" w:ascii="宋体" w:hAnsi="宋体"/>
                <w:bCs/>
                <w:color w:val="0D0D0D" w:themeColor="text1" w:themeTint="F2"/>
                <w:szCs w:val="21"/>
                <w:u w:val="single"/>
                <w14:textFill>
                  <w14:solidFill>
                    <w14:schemeClr w14:val="tx1">
                      <w14:lumMod w14:val="95000"/>
                      <w14:lumOff w14:val="5000"/>
                    </w14:schemeClr>
                  </w14:solidFill>
                </w14:textFill>
              </w:rPr>
              <w:t>风机等通风设备采用高效低噪声型产品；通风系统设置尽量满足节能运行工况。</w:t>
            </w:r>
          </w:p>
          <w:p w14:paraId="7F825D27">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cs="宋体"/>
                <w:bCs/>
                <w:color w:val="0D0D0D" w:themeColor="text1" w:themeTint="F2"/>
                <w:szCs w:val="21"/>
                <w:u w:val="single"/>
                <w14:textFill>
                  <w14:solidFill>
                    <w14:schemeClr w14:val="tx1">
                      <w14:lumMod w14:val="95000"/>
                      <w14:lumOff w14:val="5000"/>
                    </w14:schemeClr>
                  </w14:solidFill>
                </w14:textFill>
              </w:rPr>
              <w:t>⑤</w:t>
            </w:r>
            <w:r>
              <w:rPr>
                <w:rFonts w:hint="eastAsia" w:ascii="宋体" w:hAnsi="宋体"/>
                <w:bCs/>
                <w:color w:val="0D0D0D" w:themeColor="text1" w:themeTint="F2"/>
                <w:szCs w:val="21"/>
                <w:u w:val="single"/>
                <w14:textFill>
                  <w14:solidFill>
                    <w14:schemeClr w14:val="tx1">
                      <w14:lumMod w14:val="95000"/>
                      <w14:lumOff w14:val="5000"/>
                    </w14:schemeClr>
                  </w14:solidFill>
                </w14:textFill>
              </w:rPr>
              <w:t>选用绿色、环保且经国家认证的电气产品。在满足国家规范及供电行业标准的前提下，选用高性能变压器及相关配电设备，选用高品质电缆、电线降低自身损耗。</w:t>
            </w:r>
          </w:p>
          <w:p w14:paraId="473C8B57">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10、项目四至情况及平面布局</w:t>
            </w:r>
          </w:p>
          <w:p w14:paraId="78BA7147">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（1）四至情况：本项目位于零陵区河西工业区。本项目东侧为6#待建厂房，南侧为工业园其他空置厂房，西侧为12#已建厂房、北侧为瑞祥大道。</w:t>
            </w:r>
          </w:p>
          <w:p w14:paraId="2398A77B">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14:textFill>
                  <w14:solidFill>
                    <w14:schemeClr w14:val="tx1">
                      <w14:lumMod w14:val="95000"/>
                      <w14:lumOff w14:val="5000"/>
                    </w14:schemeClr>
                  </w14:solidFill>
                </w14:textFill>
              </w:rPr>
              <w:t>（2）平面布局：本项目位于零陵工业园苏宁松桥电器（富润）智造产业园内。项目主要2座生产厂房，从北往南10#厂房为厂房一，11#厂房为厂房二。</w:t>
            </w:r>
          </w:p>
          <w:p w14:paraId="05C11ED5">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r>
              <w:rPr>
                <w:rFonts w:hint="eastAsia" w:ascii="宋体" w:hAnsi="宋体"/>
                <w:bCs/>
                <w:color w:val="0D0D0D" w:themeColor="text1" w:themeTint="F2"/>
                <w:szCs w:val="21"/>
                <w:u w:val="single"/>
                <w:lang w:val="en-US" w:eastAsia="zh-CN"/>
                <w14:textFill>
                  <w14:solidFill>
                    <w14:schemeClr w14:val="tx1">
                      <w14:lumMod w14:val="95000"/>
                      <w14:lumOff w14:val="5000"/>
                    </w14:schemeClr>
                  </w14:solidFill>
                </w14:textFill>
              </w:rPr>
              <w:t>厂房内按生产工艺流程设计，</w:t>
            </w:r>
            <w:r>
              <w:rPr>
                <w:rFonts w:hint="default" w:ascii="宋体" w:hAnsi="宋体"/>
                <w:bCs/>
                <w:color w:val="0D0D0D" w:themeColor="text1" w:themeTint="F2"/>
                <w:szCs w:val="21"/>
                <w:u w:val="single"/>
                <w14:textFill>
                  <w14:solidFill>
                    <w14:schemeClr w14:val="tx1">
                      <w14:lumMod w14:val="95000"/>
                      <w14:lumOff w14:val="5000"/>
                    </w14:schemeClr>
                  </w14:solidFill>
                </w14:textFill>
              </w:rPr>
              <w:t>项目总平面布置在满足消防、安全、卫生要求的前提下，总平面布局功能分明、工艺流程顺畅、运输及物流合理、生产管理方便，同时结构紧凑、最大限度节约空间，项目平面布置合理。</w:t>
            </w:r>
            <w:r>
              <w:rPr>
                <w:rFonts w:hint="eastAsia" w:ascii="宋体" w:hAnsi="宋体"/>
                <w:bCs/>
                <w:color w:val="0D0D0D" w:themeColor="text1" w:themeTint="F2"/>
                <w:szCs w:val="21"/>
                <w:u w:val="single"/>
                <w14:textFill>
                  <w14:solidFill>
                    <w14:schemeClr w14:val="tx1">
                      <w14:lumMod w14:val="95000"/>
                      <w14:lumOff w14:val="5000"/>
                    </w14:schemeClr>
                  </w14:solidFill>
                </w14:textFill>
              </w:rPr>
              <w:t>本项目平面布置图见附图3。</w:t>
            </w:r>
          </w:p>
          <w:p w14:paraId="5CC89004">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u w:val="single"/>
                <w14:textFill>
                  <w14:solidFill>
                    <w14:schemeClr w14:val="tx1">
                      <w14:lumMod w14:val="95000"/>
                      <w14:lumOff w14:val="5000"/>
                    </w14:schemeClr>
                  </w14:solidFill>
                </w14:textFill>
              </w:rPr>
            </w:pPr>
          </w:p>
        </w:tc>
      </w:tr>
      <w:tr w14:paraId="26745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13" w:type="dxa"/>
            <w:vAlign w:val="center"/>
          </w:tcPr>
          <w:p w14:paraId="4EBB2D88">
            <w:pPr>
              <w:keepNext w:val="0"/>
              <w:keepLines w:val="0"/>
              <w:widowControl/>
              <w:suppressLineNumbers w:val="0"/>
              <w:adjustRightInd w:val="0"/>
              <w:snapToGrid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21"/>
                <w:szCs w:val="21"/>
                <w14:textFill>
                  <w14:solidFill>
                    <w14:schemeClr w14:val="tx1">
                      <w14:lumMod w14:val="95000"/>
                      <w14:lumOff w14:val="5000"/>
                    </w14:schemeClr>
                  </w14:solidFill>
                </w14:textFill>
              </w:rPr>
              <w:t>工艺流程和产排污环节</w:t>
            </w:r>
          </w:p>
        </w:tc>
        <w:tc>
          <w:tcPr>
            <w:tcW w:w="8271" w:type="dxa"/>
          </w:tcPr>
          <w:p w14:paraId="7DCE9A16">
            <w:pPr>
              <w:keepNext w:val="0"/>
              <w:keepLines w:val="0"/>
              <w:suppressLineNumbers w:val="0"/>
              <w:adjustRightInd w:val="0"/>
              <w:snapToGrid w:val="0"/>
              <w:spacing w:before="0" w:beforeAutospacing="0" w:after="0" w:afterAutospacing="0"/>
              <w:ind w:left="0" w:right="0" w:firstLine="482"/>
              <w:rPr>
                <w:rFonts w:hint="default"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一、施工期工艺流程简述</w:t>
            </w:r>
          </w:p>
          <w:p w14:paraId="79FA3C78">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本项目施工期不涉及土建施工过程，购置现有空置厂房。施工期仅为生产设备安装、环保设施的安装和建设，污染源主要为设备安装噪声等，本项目无相关土建项目。</w:t>
            </w:r>
          </w:p>
          <w:p w14:paraId="0FEEB8D0">
            <w:pPr>
              <w:keepNext w:val="0"/>
              <w:keepLines w:val="0"/>
              <w:suppressLineNumbers w:val="0"/>
              <w:adjustRightInd w:val="0"/>
              <w:snapToGrid w:val="0"/>
              <w:spacing w:before="0" w:beforeAutospacing="0" w:after="0" w:afterAutospacing="0"/>
              <w:ind w:left="0" w:right="0" w:firstLine="482"/>
              <w:rPr>
                <w:rFonts w:hint="default" w:ascii="宋体" w:hAnsi="宋体"/>
                <w:b/>
                <w:color w:val="0D0D0D" w:themeColor="text1" w:themeTint="F2"/>
                <w:szCs w:val="21"/>
                <w14:textFill>
                  <w14:solidFill>
                    <w14:schemeClr w14:val="tx1">
                      <w14:lumMod w14:val="95000"/>
                      <w14:lumOff w14:val="5000"/>
                    </w14:schemeClr>
                  </w14:solidFill>
                </w14:textFill>
              </w:rPr>
            </w:pPr>
            <w:r>
              <w:rPr>
                <w:rFonts w:hint="eastAsia" w:ascii="宋体" w:hAnsi="宋体"/>
                <w:b/>
                <w:color w:val="0D0D0D" w:themeColor="text1" w:themeTint="F2"/>
                <w:szCs w:val="21"/>
                <w14:textFill>
                  <w14:solidFill>
                    <w14:schemeClr w14:val="tx1">
                      <w14:lumMod w14:val="95000"/>
                      <w14:lumOff w14:val="5000"/>
                    </w14:schemeClr>
                  </w14:solidFill>
                </w14:textFill>
              </w:rPr>
              <w:t>二、营运期工艺流程简述（图示）：</w:t>
            </w:r>
          </w:p>
          <w:p w14:paraId="5434C8B8">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本项目主要生产塑料制品制造，生产工艺流程及产污环节见下图：</w:t>
            </w:r>
          </w:p>
          <w:p w14:paraId="08052DCA">
            <w:pPr>
              <w:keepNext w:val="0"/>
              <w:keepLines w:val="0"/>
              <w:suppressLineNumbers w:val="0"/>
              <w:adjustRightInd w:val="0"/>
              <w:snapToGrid w:val="0"/>
              <w:spacing w:before="0" w:beforeAutospacing="0" w:after="0" w:afterAutospacing="0"/>
              <w:ind w:left="0" w:right="0" w:firstLine="0" w:firstLineChars="0"/>
              <w:jc w:val="center"/>
              <w:rPr>
                <w:rFonts w:hint="default" w:ascii="宋体" w:hAnsi="宋体"/>
                <w:bCs/>
                <w:color w:val="0D0D0D" w:themeColor="text1" w:themeTint="F2"/>
                <w:szCs w:val="21"/>
                <w14:textFill>
                  <w14:solidFill>
                    <w14:schemeClr w14:val="tx1">
                      <w14:lumMod w14:val="95000"/>
                      <w14:lumOff w14:val="5000"/>
                    </w14:schemeClr>
                  </w14:solidFill>
                </w14:textFill>
              </w:rPr>
            </w:pPr>
            <w:r>
              <w:rPr>
                <w:rFonts w:hint="default"/>
                <w:color w:val="0D0D0D" w:themeColor="text1" w:themeTint="F2"/>
                <w14:textFill>
                  <w14:solidFill>
                    <w14:schemeClr w14:val="tx1">
                      <w14:lumMod w14:val="95000"/>
                      <w14:lumOff w14:val="5000"/>
                    </w14:schemeClr>
                  </w14:solidFill>
                </w14:textFill>
              </w:rPr>
              <w:drawing>
                <wp:inline distT="0" distB="0" distL="114300" distR="114300">
                  <wp:extent cx="5131435" cy="1863090"/>
                  <wp:effectExtent l="0" t="0" r="12065" b="3810"/>
                  <wp:docPr id="3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
                          <pic:cNvPicPr>
                            <a:picLocks noChangeAspect="1"/>
                          </pic:cNvPicPr>
                        </pic:nvPicPr>
                        <pic:blipFill>
                          <a:blip r:embed="rId8"/>
                          <a:stretch>
                            <a:fillRect/>
                          </a:stretch>
                        </pic:blipFill>
                        <pic:spPr>
                          <a:xfrm>
                            <a:off x="0" y="0"/>
                            <a:ext cx="5131435" cy="1863090"/>
                          </a:xfrm>
                          <a:prstGeom prst="rect">
                            <a:avLst/>
                          </a:prstGeom>
                          <a:noFill/>
                          <a:ln>
                            <a:noFill/>
                          </a:ln>
                        </pic:spPr>
                      </pic:pic>
                    </a:graphicData>
                  </a:graphic>
                </wp:inline>
              </w:drawing>
            </w:r>
          </w:p>
          <w:p w14:paraId="49BA43EC">
            <w:pPr>
              <w:keepNext w:val="0"/>
              <w:keepLines w:val="0"/>
              <w:suppressLineNumbers w:val="0"/>
              <w:adjustRightInd w:val="0"/>
              <w:snapToGrid w:val="0"/>
              <w:spacing w:before="0" w:beforeAutospacing="0" w:after="0" w:afterAutospacing="0"/>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b/>
                <w:color w:val="0D0D0D" w:themeColor="text1" w:themeTint="F2"/>
                <w:sz w:val="21"/>
                <w:szCs w:val="21"/>
                <w14:textFill>
                  <w14:solidFill>
                    <w14:schemeClr w14:val="tx1">
                      <w14:lumMod w14:val="95000"/>
                      <w14:lumOff w14:val="5000"/>
                    </w14:schemeClr>
                  </w14:solidFill>
                </w14:textFill>
              </w:rPr>
              <w:t>图2-2  生产工艺流程及产污环节</w:t>
            </w:r>
          </w:p>
          <w:p w14:paraId="09CC8EA7">
            <w:pPr>
              <w:keepNext w:val="0"/>
              <w:keepLines w:val="0"/>
              <w:suppressLineNumbers w:val="0"/>
              <w:adjustRightInd w:val="0"/>
              <w:snapToGrid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u w:val="single"/>
                <w14:textFill>
                  <w14:solidFill>
                    <w14:schemeClr w14:val="tx1">
                      <w14:lumMod w14:val="95000"/>
                      <w14:lumOff w14:val="5000"/>
                    </w14:schemeClr>
                  </w14:solidFill>
                </w14:textFill>
              </w:rPr>
              <w:t>生产工艺简述：</w:t>
            </w:r>
          </w:p>
          <w:p w14:paraId="07894EF3">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预热：原辅料为镀锌铁桶包装，重量为200-220KG，为黏性液体或结晶状固体，在50-60℃预热池进行预溶解成液体状，以便进入储罐生产。该程序使用电加热，不产废气。</w:t>
            </w:r>
          </w:p>
          <w:p w14:paraId="39A66F2F">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储罐：A、B、C罐均为三层结构：耐酸不锈钢内胆，附有螺旋导流板的加热夹套，外包聚氨酯硬泡绝热层。</w:t>
            </w:r>
          </w:p>
          <w:p w14:paraId="41042CAD">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TPU浇注机初混合</w:t>
            </w:r>
            <w:r>
              <w:rPr>
                <w:rFonts w:hint="default"/>
                <w:color w:val="0D0D0D" w:themeColor="text1" w:themeTint="F2"/>
                <w:u w:val="single"/>
                <w14:textFill>
                  <w14:solidFill>
                    <w14:schemeClr w14:val="tx1">
                      <w14:lumMod w14:val="95000"/>
                      <w14:lumOff w14:val="5000"/>
                    </w14:schemeClr>
                  </w14:solidFill>
                </w14:textFill>
              </w:rPr>
              <w:t>：将不</w:t>
            </w:r>
            <w:r>
              <w:rPr>
                <w:rFonts w:hint="eastAsia"/>
                <w:color w:val="0D0D0D" w:themeColor="text1" w:themeTint="F2"/>
                <w:u w:val="single"/>
                <w14:textFill>
                  <w14:solidFill>
                    <w14:schemeClr w14:val="tx1">
                      <w14:lumMod w14:val="95000"/>
                      <w14:lumOff w14:val="5000"/>
                    </w14:schemeClr>
                  </w14:solidFill>
                </w14:textFill>
              </w:rPr>
              <w:t>同已预热熔解成液体状的原辅料，按</w:t>
            </w:r>
            <w:r>
              <w:rPr>
                <w:rFonts w:hint="default"/>
                <w:color w:val="0D0D0D" w:themeColor="text1" w:themeTint="F2"/>
                <w:u w:val="single"/>
                <w14:textFill>
                  <w14:solidFill>
                    <w14:schemeClr w14:val="tx1">
                      <w14:lumMod w14:val="95000"/>
                      <w14:lumOff w14:val="5000"/>
                    </w14:schemeClr>
                  </w14:solidFill>
                </w14:textFill>
              </w:rPr>
              <w:t>一定比例</w:t>
            </w:r>
            <w:r>
              <w:rPr>
                <w:rFonts w:hint="eastAsia"/>
                <w:color w:val="0D0D0D" w:themeColor="text1" w:themeTint="F2"/>
                <w:u w:val="single"/>
                <w14:textFill>
                  <w14:solidFill>
                    <w14:schemeClr w14:val="tx1">
                      <w14:lumMod w14:val="95000"/>
                      <w14:lumOff w14:val="5000"/>
                    </w14:schemeClr>
                  </w14:solidFill>
                </w14:textFill>
              </w:rPr>
              <w:t>初</w:t>
            </w:r>
            <w:r>
              <w:rPr>
                <w:rFonts w:hint="default"/>
                <w:color w:val="0D0D0D" w:themeColor="text1" w:themeTint="F2"/>
                <w:u w:val="single"/>
                <w14:textFill>
                  <w14:solidFill>
                    <w14:schemeClr w14:val="tx1">
                      <w14:lumMod w14:val="95000"/>
                      <w14:lumOff w14:val="5000"/>
                    </w14:schemeClr>
                  </w14:solidFill>
                </w14:textFill>
              </w:rPr>
              <w:t>混合，</w:t>
            </w:r>
            <w:r>
              <w:rPr>
                <w:rFonts w:hint="eastAsia"/>
                <w:color w:val="0D0D0D" w:themeColor="text1" w:themeTint="F2"/>
                <w:u w:val="single"/>
                <w14:textFill>
                  <w14:solidFill>
                    <w14:schemeClr w14:val="tx1">
                      <w14:lumMod w14:val="95000"/>
                      <w14:lumOff w14:val="5000"/>
                    </w14:schemeClr>
                  </w14:solidFill>
                </w14:textFill>
              </w:rPr>
              <w:t>保证物料混合均匀，无气泡。生产</w:t>
            </w:r>
            <w:r>
              <w:rPr>
                <w:rFonts w:hint="default"/>
                <w:color w:val="0D0D0D" w:themeColor="text1" w:themeTint="F2"/>
                <w:u w:val="single"/>
                <w14:textFill>
                  <w14:solidFill>
                    <w14:schemeClr w14:val="tx1">
                      <w14:lumMod w14:val="95000"/>
                      <w14:lumOff w14:val="5000"/>
                    </w14:schemeClr>
                  </w14:solidFill>
                </w14:textFill>
              </w:rPr>
              <w:t>过程中会产生设备噪声</w:t>
            </w:r>
            <w:r>
              <w:rPr>
                <w:rFonts w:hint="eastAsia"/>
                <w:color w:val="0D0D0D" w:themeColor="text1" w:themeTint="F2"/>
                <w:u w:val="single"/>
                <w14:textFill>
                  <w14:solidFill>
                    <w14:schemeClr w14:val="tx1">
                      <w14:lumMod w14:val="95000"/>
                      <w14:lumOff w14:val="5000"/>
                    </w14:schemeClr>
                  </w14:solidFill>
                </w14:textFill>
              </w:rPr>
              <w:t>N</w:t>
            </w:r>
            <w:r>
              <w:rPr>
                <w:rFonts w:hint="default"/>
                <w:color w:val="0D0D0D" w:themeColor="text1" w:themeTint="F2"/>
                <w:u w:val="single"/>
                <w14:textFill>
                  <w14:solidFill>
                    <w14:schemeClr w14:val="tx1">
                      <w14:lumMod w14:val="95000"/>
                      <w14:lumOff w14:val="5000"/>
                    </w14:schemeClr>
                  </w14:solidFill>
                </w14:textFill>
              </w:rPr>
              <w:t>、非甲烷总烃</w:t>
            </w:r>
            <w:r>
              <w:rPr>
                <w:rFonts w:hint="eastAsia"/>
                <w:color w:val="0D0D0D" w:themeColor="text1" w:themeTint="F2"/>
                <w:u w:val="single"/>
                <w14:textFill>
                  <w14:solidFill>
                    <w14:schemeClr w14:val="tx1">
                      <w14:lumMod w14:val="95000"/>
                      <w14:lumOff w14:val="5000"/>
                    </w14:schemeClr>
                  </w14:solidFill>
                </w14:textFill>
              </w:rPr>
              <w:t>G。</w:t>
            </w:r>
          </w:p>
          <w:p w14:paraId="5832B114">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螺杆机加热挤出：在高温（140~250℃），挤出压力4~7mPa）混合原料由螺杆挤出机传送至切料工序。此工序会设备噪声N、非甲烷总烃G。</w:t>
            </w:r>
          </w:p>
          <w:p w14:paraId="2BC02A01">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切粒：原料液水下连续造粒，然后熟化得到成品，根据设定规格切成直径2mm圆形塑料颗粒。此工序会产生设备噪声N。</w:t>
            </w:r>
          </w:p>
          <w:p w14:paraId="061824C2">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冷却：切出的圆形塑料颗粒直接进入冷却水槽中成型，冷却水仅起到降温作用，水中不产生杂质。冷却水经冷却塔循环使用，定期补充损耗。此工序会产生设备噪声N。</w:t>
            </w:r>
          </w:p>
          <w:p w14:paraId="6746E963">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14:textFill>
                  <w14:solidFill>
                    <w14:schemeClr w14:val="tx1">
                      <w14:lumMod w14:val="95000"/>
                      <w14:lumOff w14:val="5000"/>
                    </w14:schemeClr>
                  </w14:solidFill>
                </w14:textFill>
              </w:rPr>
            </w:pPr>
            <w:r>
              <w:rPr>
                <w:rFonts w:hint="eastAsia"/>
                <w:color w:val="0D0D0D" w:themeColor="text1" w:themeTint="F2"/>
                <w:u w:val="single"/>
                <w14:textFill>
                  <w14:solidFill>
                    <w14:schemeClr w14:val="tx1">
                      <w14:lumMod w14:val="95000"/>
                      <w14:lumOff w14:val="5000"/>
                    </w14:schemeClr>
                  </w14:solidFill>
                </w14:textFill>
              </w:rPr>
              <w:t>成品塑胶颗粒：成品塑胶颗粒装袋打包。</w:t>
            </w:r>
          </w:p>
        </w:tc>
      </w:tr>
      <w:tr w14:paraId="5C24C2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13" w:type="dxa"/>
            <w:vAlign w:val="center"/>
          </w:tcPr>
          <w:p w14:paraId="591406ED">
            <w:pPr>
              <w:keepNext w:val="0"/>
              <w:keepLines w:val="0"/>
              <w:widowControl/>
              <w:suppressLineNumbers w:val="0"/>
              <w:adjustRightInd w:val="0"/>
              <w:snapToGrid w:val="0"/>
              <w:spacing w:before="0" w:beforeAutospacing="0" w:after="0" w:afterAutospacing="0"/>
              <w:ind w:left="0" w:right="0" w:firstLine="0" w:firstLineChars="0"/>
              <w:jc w:val="center"/>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sz w:val="21"/>
                <w:szCs w:val="21"/>
                <w14:textFill>
                  <w14:solidFill>
                    <w14:schemeClr w14:val="tx1">
                      <w14:lumMod w14:val="95000"/>
                      <w14:lumOff w14:val="5000"/>
                    </w14:schemeClr>
                  </w14:solidFill>
                </w14:textFill>
              </w:rPr>
              <w:t>与项目有关的原有环境污染问题</w:t>
            </w:r>
          </w:p>
        </w:tc>
        <w:tc>
          <w:tcPr>
            <w:tcW w:w="8271" w:type="dxa"/>
          </w:tcPr>
          <w:p w14:paraId="705AA722">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p>
          <w:p w14:paraId="60CAB8EA">
            <w:pPr>
              <w:keepNext w:val="0"/>
              <w:keepLines w:val="0"/>
              <w:suppressLineNumbers w:val="0"/>
              <w:adjustRightInd w:val="0"/>
              <w:snapToGrid w:val="0"/>
              <w:spacing w:before="0" w:beforeAutospacing="0" w:after="0" w:afterAutospacing="0"/>
              <w:ind w:left="0" w:right="0" w:firstLine="480"/>
              <w:rPr>
                <w:rFonts w:hint="default" w:ascii="宋体" w:hAnsi="宋体"/>
                <w:bCs/>
                <w:color w:val="0D0D0D" w:themeColor="text1" w:themeTint="F2"/>
                <w:szCs w:val="21"/>
                <w14:textFill>
                  <w14:solidFill>
                    <w14:schemeClr w14:val="tx1">
                      <w14:lumMod w14:val="95000"/>
                      <w14:lumOff w14:val="5000"/>
                    </w14:schemeClr>
                  </w14:solidFill>
                </w14:textFill>
              </w:rPr>
            </w:pPr>
            <w:r>
              <w:rPr>
                <w:rFonts w:hint="eastAsia" w:ascii="宋体" w:hAnsi="宋体"/>
                <w:bCs/>
                <w:color w:val="0D0D0D" w:themeColor="text1" w:themeTint="F2"/>
                <w:szCs w:val="21"/>
                <w14:textFill>
                  <w14:solidFill>
                    <w14:schemeClr w14:val="tx1">
                      <w14:lumMod w14:val="95000"/>
                      <w14:lumOff w14:val="5000"/>
                    </w14:schemeClr>
                  </w14:solidFill>
                </w14:textFill>
              </w:rPr>
              <w:t>项目为购置零陵工业园新建好的标准厂房，暂未引进其他工业项目，不存在原有环境污染问题。</w:t>
            </w:r>
          </w:p>
        </w:tc>
      </w:tr>
    </w:tbl>
    <w:p w14:paraId="028455BD">
      <w:pPr>
        <w:jc w:val="left"/>
        <w:rPr>
          <w:rFonts w:ascii="黑体" w:hAnsi="黑体" w:eastAsia="黑体"/>
          <w:snapToGrid w:val="0"/>
          <w:color w:val="0D0D0D" w:themeColor="text1" w:themeTint="F2"/>
          <w:sz w:val="36"/>
          <w:szCs w:val="36"/>
          <w14:textFill>
            <w14:solidFill>
              <w14:schemeClr w14:val="tx1">
                <w14:lumMod w14:val="95000"/>
                <w14:lumOff w14:val="5000"/>
              </w14:schemeClr>
            </w14:solidFill>
          </w14:textFill>
        </w:rPr>
        <w:sectPr>
          <w:pgSz w:w="11906" w:h="16838"/>
          <w:pgMar w:top="1701" w:right="1531" w:bottom="1701" w:left="1531" w:header="851" w:footer="851" w:gutter="0"/>
          <w:cols w:space="720" w:num="1"/>
          <w:docGrid w:linePitch="312" w:charSpace="0"/>
        </w:sectPr>
      </w:pPr>
    </w:p>
    <w:p w14:paraId="12E5EA79">
      <w:pPr>
        <w:widowControl/>
        <w:ind w:firstLine="0" w:firstLineChars="0"/>
        <w:jc w:val="center"/>
        <w:outlineLvl w:val="0"/>
        <w:rPr>
          <w:rFonts w:ascii="黑体" w:hAnsi="黑体" w:eastAsia="黑体"/>
          <w:snapToGrid w:val="0"/>
          <w:color w:val="0D0D0D" w:themeColor="text1" w:themeTint="F2"/>
          <w:kern w:val="0"/>
          <w:sz w:val="36"/>
          <w:szCs w:val="36"/>
          <w14:textFill>
            <w14:solidFill>
              <w14:schemeClr w14:val="tx1">
                <w14:lumMod w14:val="95000"/>
                <w14:lumOff w14:val="5000"/>
              </w14:schemeClr>
            </w14:solidFill>
          </w14:textFill>
        </w:rPr>
      </w:pPr>
      <w:bookmarkStart w:id="14" w:name="_Toc11786"/>
      <w:bookmarkStart w:id="15" w:name="_Toc27729"/>
      <w:r>
        <w:rPr>
          <w:rFonts w:hint="eastAsia" w:ascii="黑体" w:hAnsi="黑体" w:eastAsia="黑体"/>
          <w:snapToGrid w:val="0"/>
          <w:color w:val="0D0D0D" w:themeColor="text1" w:themeTint="F2"/>
          <w:kern w:val="0"/>
          <w:sz w:val="30"/>
          <w:szCs w:val="30"/>
          <w14:textFill>
            <w14:solidFill>
              <w14:schemeClr w14:val="tx1">
                <w14:lumMod w14:val="95000"/>
                <w14:lumOff w14:val="5000"/>
              </w14:schemeClr>
            </w14:solidFill>
          </w14:textFill>
        </w:rPr>
        <w:t>三、区域环境质量现状、环境保护目标及评价标准</w:t>
      </w:r>
      <w:bookmarkEnd w:id="14"/>
      <w:bookmarkEnd w:id="15"/>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19"/>
      </w:tblGrid>
      <w:tr w14:paraId="25CB1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06" w:hRule="atLeast"/>
          <w:jc w:val="center"/>
        </w:trPr>
        <w:tc>
          <w:tcPr>
            <w:tcW w:w="800" w:type="dxa"/>
            <w:vAlign w:val="center"/>
          </w:tcPr>
          <w:p w14:paraId="1960F170">
            <w:pPr>
              <w:keepNext w:val="0"/>
              <w:keepLines w:val="0"/>
              <w:widowControl/>
              <w:suppressLineNumbers w:val="0"/>
              <w:spacing w:before="0" w:beforeAutospacing="0" w:after="0" w:afterAutospacing="0"/>
              <w:ind w:left="0" w:right="0" w:firstLine="0" w:firstLineChars="0"/>
              <w:jc w:val="center"/>
              <w:outlineLvl w:val="0"/>
              <w:rPr>
                <w:rFonts w:hint="default"/>
                <w:b/>
                <w:bCs/>
                <w:color w:val="0D0D0D" w:themeColor="text1" w:themeTint="F2"/>
                <w:kern w:val="0"/>
                <w:szCs w:val="21"/>
                <w14:textFill>
                  <w14:solidFill>
                    <w14:schemeClr w14:val="tx1">
                      <w14:lumMod w14:val="95000"/>
                      <w14:lumOff w14:val="5000"/>
                    </w14:schemeClr>
                  </w14:solidFill>
                </w14:textFill>
              </w:rPr>
            </w:pPr>
            <w:bookmarkStart w:id="16" w:name="_Toc11800"/>
            <w:bookmarkStart w:id="17" w:name="_Toc14018"/>
            <w:r>
              <w:rPr>
                <w:rFonts w:hint="default"/>
                <w:b/>
                <w:bCs/>
                <w:color w:val="0D0D0D" w:themeColor="text1" w:themeTint="F2"/>
                <w:kern w:val="0"/>
                <w:szCs w:val="21"/>
                <w14:textFill>
                  <w14:solidFill>
                    <w14:schemeClr w14:val="tx1">
                      <w14:lumMod w14:val="95000"/>
                      <w14:lumOff w14:val="5000"/>
                    </w14:schemeClr>
                  </w14:solidFill>
                </w14:textFill>
              </w:rPr>
              <w:t>区域环境质量现状</w:t>
            </w:r>
            <w:bookmarkEnd w:id="16"/>
            <w:bookmarkEnd w:id="17"/>
          </w:p>
        </w:tc>
        <w:tc>
          <w:tcPr>
            <w:tcW w:w="8119" w:type="dxa"/>
            <w:vAlign w:val="center"/>
          </w:tcPr>
          <w:p w14:paraId="371B021F">
            <w:pPr>
              <w:keepNext w:val="0"/>
              <w:keepLines w:val="0"/>
              <w:widowControl/>
              <w:suppressLineNumbers w:val="0"/>
              <w:spacing w:before="0" w:beforeAutospacing="0" w:after="0" w:afterAutospacing="0"/>
              <w:ind w:left="0" w:right="0" w:firstLine="482"/>
              <w:jc w:val="left"/>
              <w:rPr>
                <w:rFonts w:hint="default"/>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1、空气环境现状调查与评价</w:t>
            </w:r>
          </w:p>
          <w:p w14:paraId="222D2E17">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（1）项目所在区空气质量达标情况</w:t>
            </w:r>
          </w:p>
          <w:p w14:paraId="3A4DDF21">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根据《建设项目环境影响报告表编制技术指南（污染影响类）（试行）》常规污染物引用与建设项目距离近的有效数据，包括近3 年的规划环境影响评价的监测数据，国家、地方环境空气质量监测网数据或生态环境主管部门公开发布的质量数据等；引用的数据为近3年的数据，满足要求。为了解项目所在区域的环境空气质量达标情况，本评价引用永州市生态环境局发布的2023 年连续一年的大气环境质量状况监测数据（《关于2023年12月全市环境质量状况通报》中附件 4《2023 年1-12月全市城市环境空气质量污染物浓度情况》），区域环境空气质量现状评价见下表：</w:t>
            </w:r>
          </w:p>
          <w:p w14:paraId="5875C65C">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18"/>
                <w:szCs w:val="18"/>
                <w14:textFill>
                  <w14:solidFill>
                    <w14:schemeClr w14:val="tx1">
                      <w14:lumMod w14:val="95000"/>
                      <w14:lumOff w14:val="5000"/>
                    </w14:schemeClr>
                  </w14:solidFill>
                </w14:textFill>
              </w:rPr>
            </w:pPr>
            <w:r>
              <w:rPr>
                <w:rFonts w:hint="default"/>
                <w:b/>
                <w:bCs/>
                <w:color w:val="0D0D0D" w:themeColor="text1" w:themeTint="F2"/>
                <w:kern w:val="0"/>
                <w:sz w:val="21"/>
                <w:szCs w:val="21"/>
                <w:lang w:bidi="ar"/>
                <w14:textFill>
                  <w14:solidFill>
                    <w14:schemeClr w14:val="tx1">
                      <w14:lumMod w14:val="95000"/>
                      <w14:lumOff w14:val="5000"/>
                    </w14:schemeClr>
                  </w14:solidFill>
                </w14:textFill>
              </w:rPr>
              <w:t>表3-1 2023 年永州市环境空气质量监测结果统计表 单位：µg/m3(CO为mg/m3)</w:t>
            </w:r>
          </w:p>
          <w:tbl>
            <w:tblPr>
              <w:tblStyle w:val="17"/>
              <w:tblW w:w="7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2090"/>
              <w:gridCol w:w="1157"/>
              <w:gridCol w:w="1280"/>
              <w:gridCol w:w="1233"/>
              <w:gridCol w:w="1136"/>
            </w:tblGrid>
            <w:tr w14:paraId="32851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083" w:type="dxa"/>
                  <w:tcBorders>
                    <w:tl2br w:val="nil"/>
                    <w:tr2bl w:val="nil"/>
                  </w:tcBorders>
                  <w:vAlign w:val="center"/>
                </w:tcPr>
                <w:p w14:paraId="39479B4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b/>
                      <w:bCs/>
                      <w:color w:val="0D0D0D" w:themeColor="text1" w:themeTint="F2"/>
                      <w:kern w:val="0"/>
                      <w:sz w:val="20"/>
                      <w:szCs w:val="20"/>
                      <w:lang w:bidi="ar"/>
                      <w14:textFill>
                        <w14:solidFill>
                          <w14:schemeClr w14:val="tx1">
                            <w14:lumMod w14:val="95000"/>
                            <w14:lumOff w14:val="5000"/>
                          </w14:schemeClr>
                        </w14:solidFill>
                      </w14:textFill>
                    </w:rPr>
                    <w:t>污染物</w:t>
                  </w:r>
                </w:p>
              </w:tc>
              <w:tc>
                <w:tcPr>
                  <w:tcW w:w="2090" w:type="dxa"/>
                  <w:tcBorders>
                    <w:tl2br w:val="nil"/>
                    <w:tr2bl w:val="nil"/>
                  </w:tcBorders>
                  <w:vAlign w:val="center"/>
                </w:tcPr>
                <w:p w14:paraId="0B1DB7B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b/>
                      <w:bCs/>
                      <w:color w:val="0D0D0D" w:themeColor="text1" w:themeTint="F2"/>
                      <w:kern w:val="0"/>
                      <w:sz w:val="20"/>
                      <w:szCs w:val="20"/>
                      <w:lang w:bidi="ar"/>
                      <w14:textFill>
                        <w14:solidFill>
                          <w14:schemeClr w14:val="tx1">
                            <w14:lumMod w14:val="95000"/>
                            <w14:lumOff w14:val="5000"/>
                          </w14:schemeClr>
                        </w14:solidFill>
                      </w14:textFill>
                    </w:rPr>
                    <w:t>年评价指标</w:t>
                  </w:r>
                </w:p>
              </w:tc>
              <w:tc>
                <w:tcPr>
                  <w:tcW w:w="1157" w:type="dxa"/>
                  <w:tcBorders>
                    <w:tl2br w:val="nil"/>
                    <w:tr2bl w:val="nil"/>
                  </w:tcBorders>
                  <w:vAlign w:val="center"/>
                </w:tcPr>
                <w:p w14:paraId="0E1C7ED5">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b/>
                      <w:bCs/>
                      <w:color w:val="0D0D0D" w:themeColor="text1" w:themeTint="F2"/>
                      <w:kern w:val="0"/>
                      <w:sz w:val="20"/>
                      <w:szCs w:val="20"/>
                      <w:lang w:bidi="ar"/>
                      <w14:textFill>
                        <w14:solidFill>
                          <w14:schemeClr w14:val="tx1">
                            <w14:lumMod w14:val="95000"/>
                            <w14:lumOff w14:val="5000"/>
                          </w14:schemeClr>
                        </w14:solidFill>
                      </w14:textFill>
                    </w:rPr>
                    <w:t>现状浓度</w:t>
                  </w:r>
                </w:p>
              </w:tc>
              <w:tc>
                <w:tcPr>
                  <w:tcW w:w="1280" w:type="dxa"/>
                  <w:tcBorders>
                    <w:tl2br w:val="nil"/>
                    <w:tr2bl w:val="nil"/>
                  </w:tcBorders>
                  <w:vAlign w:val="center"/>
                </w:tcPr>
                <w:p w14:paraId="763A651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b/>
                      <w:bCs/>
                      <w:color w:val="0D0D0D" w:themeColor="text1" w:themeTint="F2"/>
                      <w:kern w:val="0"/>
                      <w:sz w:val="20"/>
                      <w:szCs w:val="20"/>
                      <w:lang w:bidi="ar"/>
                      <w14:textFill>
                        <w14:solidFill>
                          <w14:schemeClr w14:val="tx1">
                            <w14:lumMod w14:val="95000"/>
                            <w14:lumOff w14:val="5000"/>
                          </w14:schemeClr>
                        </w14:solidFill>
                      </w14:textFill>
                    </w:rPr>
                    <w:t>标准值</w:t>
                  </w:r>
                </w:p>
              </w:tc>
              <w:tc>
                <w:tcPr>
                  <w:tcW w:w="1233" w:type="dxa"/>
                  <w:tcBorders>
                    <w:tl2br w:val="nil"/>
                    <w:tr2bl w:val="nil"/>
                  </w:tcBorders>
                  <w:vAlign w:val="center"/>
                </w:tcPr>
                <w:p w14:paraId="394496D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b/>
                      <w:bCs/>
                      <w:color w:val="0D0D0D" w:themeColor="text1" w:themeTint="F2"/>
                      <w:kern w:val="0"/>
                      <w:sz w:val="20"/>
                      <w:szCs w:val="20"/>
                      <w:lang w:bidi="ar"/>
                      <w14:textFill>
                        <w14:solidFill>
                          <w14:schemeClr w14:val="tx1">
                            <w14:lumMod w14:val="95000"/>
                            <w14:lumOff w14:val="5000"/>
                          </w14:schemeClr>
                        </w14:solidFill>
                      </w14:textFill>
                    </w:rPr>
                    <w:t>占标率（%）</w:t>
                  </w:r>
                </w:p>
              </w:tc>
              <w:tc>
                <w:tcPr>
                  <w:tcW w:w="1136" w:type="dxa"/>
                  <w:tcBorders>
                    <w:tl2br w:val="nil"/>
                    <w:tr2bl w:val="nil"/>
                  </w:tcBorders>
                  <w:vAlign w:val="center"/>
                </w:tcPr>
                <w:p w14:paraId="175BA99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b/>
                      <w:bCs/>
                      <w:color w:val="0D0D0D" w:themeColor="text1" w:themeTint="F2"/>
                      <w:kern w:val="0"/>
                      <w:sz w:val="20"/>
                      <w:szCs w:val="20"/>
                      <w:lang w:bidi="ar"/>
                      <w14:textFill>
                        <w14:solidFill>
                          <w14:schemeClr w14:val="tx1">
                            <w14:lumMod w14:val="95000"/>
                            <w14:lumOff w14:val="5000"/>
                          </w14:schemeClr>
                        </w14:solidFill>
                      </w14:textFill>
                    </w:rPr>
                    <w:t>达标情况</w:t>
                  </w:r>
                </w:p>
              </w:tc>
            </w:tr>
            <w:tr w14:paraId="45517A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3" w:type="dxa"/>
                  <w:tcBorders>
                    <w:tl2br w:val="nil"/>
                    <w:tr2bl w:val="nil"/>
                  </w:tcBorders>
                  <w:vAlign w:val="center"/>
                </w:tcPr>
                <w:p w14:paraId="379DB27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SO</w:t>
                  </w:r>
                  <w:r>
                    <w:rPr>
                      <w:rFonts w:hint="default"/>
                      <w:color w:val="0D0D0D" w:themeColor="text1" w:themeTint="F2"/>
                      <w:kern w:val="0"/>
                      <w:sz w:val="13"/>
                      <w:szCs w:val="13"/>
                      <w:lang w:bidi="ar"/>
                      <w14:textFill>
                        <w14:solidFill>
                          <w14:schemeClr w14:val="tx1">
                            <w14:lumMod w14:val="95000"/>
                            <w14:lumOff w14:val="5000"/>
                          </w14:schemeClr>
                        </w14:solidFill>
                      </w14:textFill>
                    </w:rPr>
                    <w:t>2</w:t>
                  </w:r>
                </w:p>
              </w:tc>
              <w:tc>
                <w:tcPr>
                  <w:tcW w:w="2090" w:type="dxa"/>
                  <w:tcBorders>
                    <w:tl2br w:val="nil"/>
                    <w:tr2bl w:val="nil"/>
                  </w:tcBorders>
                  <w:vAlign w:val="center"/>
                </w:tcPr>
                <w:p w14:paraId="37D540A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年平均质量浓度</w:t>
                  </w:r>
                </w:p>
              </w:tc>
              <w:tc>
                <w:tcPr>
                  <w:tcW w:w="1157" w:type="dxa"/>
                  <w:tcBorders>
                    <w:tl2br w:val="nil"/>
                    <w:tr2bl w:val="nil"/>
                  </w:tcBorders>
                  <w:vAlign w:val="center"/>
                </w:tcPr>
                <w:p w14:paraId="0B1EE97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9</w:t>
                  </w:r>
                </w:p>
              </w:tc>
              <w:tc>
                <w:tcPr>
                  <w:tcW w:w="1280" w:type="dxa"/>
                  <w:tcBorders>
                    <w:tl2br w:val="nil"/>
                    <w:tr2bl w:val="nil"/>
                  </w:tcBorders>
                  <w:vAlign w:val="center"/>
                </w:tcPr>
                <w:p w14:paraId="3BEF520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60</w:t>
                  </w:r>
                </w:p>
              </w:tc>
              <w:tc>
                <w:tcPr>
                  <w:tcW w:w="1233" w:type="dxa"/>
                  <w:tcBorders>
                    <w:tl2br w:val="nil"/>
                    <w:tr2bl w:val="nil"/>
                  </w:tcBorders>
                  <w:vAlign w:val="center"/>
                </w:tcPr>
                <w:p w14:paraId="672B6BB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15</w:t>
                  </w:r>
                </w:p>
              </w:tc>
              <w:tc>
                <w:tcPr>
                  <w:tcW w:w="1136" w:type="dxa"/>
                  <w:tcBorders>
                    <w:tl2br w:val="nil"/>
                    <w:tr2bl w:val="nil"/>
                  </w:tcBorders>
                  <w:vAlign w:val="center"/>
                </w:tcPr>
                <w:p w14:paraId="07CFADF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达标</w:t>
                  </w:r>
                </w:p>
              </w:tc>
            </w:tr>
            <w:tr w14:paraId="44DF79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3" w:type="dxa"/>
                  <w:tcBorders>
                    <w:tl2br w:val="nil"/>
                    <w:tr2bl w:val="nil"/>
                  </w:tcBorders>
                  <w:vAlign w:val="center"/>
                </w:tcPr>
                <w:p w14:paraId="61D4786E">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NO</w:t>
                  </w:r>
                  <w:r>
                    <w:rPr>
                      <w:rFonts w:hint="default"/>
                      <w:color w:val="0D0D0D" w:themeColor="text1" w:themeTint="F2"/>
                      <w:kern w:val="0"/>
                      <w:sz w:val="13"/>
                      <w:szCs w:val="13"/>
                      <w:lang w:bidi="ar"/>
                      <w14:textFill>
                        <w14:solidFill>
                          <w14:schemeClr w14:val="tx1">
                            <w14:lumMod w14:val="95000"/>
                            <w14:lumOff w14:val="5000"/>
                          </w14:schemeClr>
                        </w14:solidFill>
                      </w14:textFill>
                    </w:rPr>
                    <w:t>2</w:t>
                  </w:r>
                </w:p>
              </w:tc>
              <w:tc>
                <w:tcPr>
                  <w:tcW w:w="2090" w:type="dxa"/>
                  <w:tcBorders>
                    <w:tl2br w:val="nil"/>
                    <w:tr2bl w:val="nil"/>
                  </w:tcBorders>
                  <w:vAlign w:val="center"/>
                </w:tcPr>
                <w:p w14:paraId="2F1CF33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年平均质量浓度</w:t>
                  </w:r>
                </w:p>
              </w:tc>
              <w:tc>
                <w:tcPr>
                  <w:tcW w:w="1157" w:type="dxa"/>
                  <w:tcBorders>
                    <w:tl2br w:val="nil"/>
                    <w:tr2bl w:val="nil"/>
                  </w:tcBorders>
                  <w:vAlign w:val="center"/>
                </w:tcPr>
                <w:p w14:paraId="04AA99D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16</w:t>
                  </w:r>
                </w:p>
              </w:tc>
              <w:tc>
                <w:tcPr>
                  <w:tcW w:w="1280" w:type="dxa"/>
                  <w:tcBorders>
                    <w:tl2br w:val="nil"/>
                    <w:tr2bl w:val="nil"/>
                  </w:tcBorders>
                  <w:vAlign w:val="center"/>
                </w:tcPr>
                <w:p w14:paraId="1FDC63F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40</w:t>
                  </w:r>
                </w:p>
              </w:tc>
              <w:tc>
                <w:tcPr>
                  <w:tcW w:w="1233" w:type="dxa"/>
                  <w:tcBorders>
                    <w:tl2br w:val="nil"/>
                    <w:tr2bl w:val="nil"/>
                  </w:tcBorders>
                  <w:vAlign w:val="center"/>
                </w:tcPr>
                <w:p w14:paraId="64F3973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40</w:t>
                  </w:r>
                </w:p>
              </w:tc>
              <w:tc>
                <w:tcPr>
                  <w:tcW w:w="1136" w:type="dxa"/>
                  <w:tcBorders>
                    <w:tl2br w:val="nil"/>
                    <w:tr2bl w:val="nil"/>
                  </w:tcBorders>
                  <w:vAlign w:val="center"/>
                </w:tcPr>
                <w:p w14:paraId="6FFC80A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达标</w:t>
                  </w:r>
                </w:p>
              </w:tc>
            </w:tr>
            <w:tr w14:paraId="12707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3" w:type="dxa"/>
                  <w:tcBorders>
                    <w:tl2br w:val="nil"/>
                    <w:tr2bl w:val="nil"/>
                  </w:tcBorders>
                  <w:vAlign w:val="center"/>
                </w:tcPr>
                <w:p w14:paraId="4C33DC8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PM</w:t>
                  </w:r>
                  <w:r>
                    <w:rPr>
                      <w:rFonts w:hint="default"/>
                      <w:color w:val="0D0D0D" w:themeColor="text1" w:themeTint="F2"/>
                      <w:kern w:val="0"/>
                      <w:sz w:val="13"/>
                      <w:szCs w:val="13"/>
                      <w:lang w:bidi="ar"/>
                      <w14:textFill>
                        <w14:solidFill>
                          <w14:schemeClr w14:val="tx1">
                            <w14:lumMod w14:val="95000"/>
                            <w14:lumOff w14:val="5000"/>
                          </w14:schemeClr>
                        </w14:solidFill>
                      </w14:textFill>
                    </w:rPr>
                    <w:t>10</w:t>
                  </w:r>
                </w:p>
              </w:tc>
              <w:tc>
                <w:tcPr>
                  <w:tcW w:w="2090" w:type="dxa"/>
                  <w:tcBorders>
                    <w:tl2br w:val="nil"/>
                    <w:tr2bl w:val="nil"/>
                  </w:tcBorders>
                  <w:vAlign w:val="center"/>
                </w:tcPr>
                <w:p w14:paraId="7CA0546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年平均质量浓度</w:t>
                  </w:r>
                </w:p>
              </w:tc>
              <w:tc>
                <w:tcPr>
                  <w:tcW w:w="1157" w:type="dxa"/>
                  <w:tcBorders>
                    <w:tl2br w:val="nil"/>
                    <w:tr2bl w:val="nil"/>
                  </w:tcBorders>
                  <w:vAlign w:val="center"/>
                </w:tcPr>
                <w:p w14:paraId="2DD3BF9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50</w:t>
                  </w:r>
                </w:p>
              </w:tc>
              <w:tc>
                <w:tcPr>
                  <w:tcW w:w="1280" w:type="dxa"/>
                  <w:tcBorders>
                    <w:tl2br w:val="nil"/>
                    <w:tr2bl w:val="nil"/>
                  </w:tcBorders>
                  <w:vAlign w:val="center"/>
                </w:tcPr>
                <w:p w14:paraId="2F694C7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70</w:t>
                  </w:r>
                </w:p>
              </w:tc>
              <w:tc>
                <w:tcPr>
                  <w:tcW w:w="1233" w:type="dxa"/>
                  <w:tcBorders>
                    <w:tl2br w:val="nil"/>
                    <w:tr2bl w:val="nil"/>
                  </w:tcBorders>
                  <w:vAlign w:val="center"/>
                </w:tcPr>
                <w:p w14:paraId="75A801F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71.4</w:t>
                  </w:r>
                </w:p>
              </w:tc>
              <w:tc>
                <w:tcPr>
                  <w:tcW w:w="1136" w:type="dxa"/>
                  <w:tcBorders>
                    <w:tl2br w:val="nil"/>
                    <w:tr2bl w:val="nil"/>
                  </w:tcBorders>
                  <w:vAlign w:val="center"/>
                </w:tcPr>
                <w:p w14:paraId="4960678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达标</w:t>
                  </w:r>
                </w:p>
              </w:tc>
            </w:tr>
            <w:tr w14:paraId="3B27E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3" w:type="dxa"/>
                  <w:tcBorders>
                    <w:tl2br w:val="nil"/>
                    <w:tr2bl w:val="nil"/>
                  </w:tcBorders>
                  <w:vAlign w:val="center"/>
                </w:tcPr>
                <w:p w14:paraId="7F9961C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PM</w:t>
                  </w:r>
                  <w:r>
                    <w:rPr>
                      <w:rFonts w:hint="default"/>
                      <w:color w:val="0D0D0D" w:themeColor="text1" w:themeTint="F2"/>
                      <w:kern w:val="0"/>
                      <w:sz w:val="20"/>
                      <w:szCs w:val="20"/>
                      <w:vertAlign w:val="subscript"/>
                      <w:lang w:bidi="ar"/>
                      <w14:textFill>
                        <w14:solidFill>
                          <w14:schemeClr w14:val="tx1">
                            <w14:lumMod w14:val="95000"/>
                            <w14:lumOff w14:val="5000"/>
                          </w14:schemeClr>
                        </w14:solidFill>
                      </w14:textFill>
                    </w:rPr>
                    <w:t>2.5</w:t>
                  </w:r>
                </w:p>
              </w:tc>
              <w:tc>
                <w:tcPr>
                  <w:tcW w:w="2090" w:type="dxa"/>
                  <w:tcBorders>
                    <w:tl2br w:val="nil"/>
                    <w:tr2bl w:val="nil"/>
                  </w:tcBorders>
                  <w:vAlign w:val="center"/>
                </w:tcPr>
                <w:p w14:paraId="3A48D40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年平均质量浓度</w:t>
                  </w:r>
                </w:p>
              </w:tc>
              <w:tc>
                <w:tcPr>
                  <w:tcW w:w="1157" w:type="dxa"/>
                  <w:tcBorders>
                    <w:tl2br w:val="nil"/>
                    <w:tr2bl w:val="nil"/>
                  </w:tcBorders>
                  <w:vAlign w:val="center"/>
                </w:tcPr>
                <w:p w14:paraId="16F9F39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36</w:t>
                  </w:r>
                </w:p>
              </w:tc>
              <w:tc>
                <w:tcPr>
                  <w:tcW w:w="1280" w:type="dxa"/>
                  <w:tcBorders>
                    <w:tl2br w:val="nil"/>
                    <w:tr2bl w:val="nil"/>
                  </w:tcBorders>
                  <w:vAlign w:val="center"/>
                </w:tcPr>
                <w:p w14:paraId="0E01ED4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35</w:t>
                  </w:r>
                </w:p>
              </w:tc>
              <w:tc>
                <w:tcPr>
                  <w:tcW w:w="1233" w:type="dxa"/>
                  <w:tcBorders>
                    <w:tl2br w:val="nil"/>
                    <w:tr2bl w:val="nil"/>
                  </w:tcBorders>
                  <w:vAlign w:val="center"/>
                </w:tcPr>
                <w:p w14:paraId="7AF869F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102.9</w:t>
                  </w:r>
                </w:p>
              </w:tc>
              <w:tc>
                <w:tcPr>
                  <w:tcW w:w="1136" w:type="dxa"/>
                  <w:tcBorders>
                    <w:tl2br w:val="nil"/>
                    <w:tr2bl w:val="nil"/>
                  </w:tcBorders>
                  <w:vAlign w:val="center"/>
                </w:tcPr>
                <w:p w14:paraId="2706639A">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不达标</w:t>
                  </w:r>
                </w:p>
              </w:tc>
            </w:tr>
            <w:tr w14:paraId="71CD6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3" w:type="dxa"/>
                  <w:tcBorders>
                    <w:tl2br w:val="nil"/>
                    <w:tr2bl w:val="nil"/>
                  </w:tcBorders>
                  <w:vAlign w:val="center"/>
                </w:tcPr>
                <w:p w14:paraId="0497C3A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CO</w:t>
                  </w:r>
                </w:p>
              </w:tc>
              <w:tc>
                <w:tcPr>
                  <w:tcW w:w="2090" w:type="dxa"/>
                  <w:tcBorders>
                    <w:tl2br w:val="nil"/>
                    <w:tr2bl w:val="nil"/>
                  </w:tcBorders>
                  <w:vAlign w:val="center"/>
                </w:tcPr>
                <w:p w14:paraId="4D39E2D1">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年平均质量浓度</w:t>
                  </w:r>
                </w:p>
              </w:tc>
              <w:tc>
                <w:tcPr>
                  <w:tcW w:w="1157" w:type="dxa"/>
                  <w:tcBorders>
                    <w:tl2br w:val="nil"/>
                    <w:tr2bl w:val="nil"/>
                  </w:tcBorders>
                  <w:vAlign w:val="center"/>
                </w:tcPr>
                <w:p w14:paraId="40BF3D2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1.0</w:t>
                  </w:r>
                </w:p>
              </w:tc>
              <w:tc>
                <w:tcPr>
                  <w:tcW w:w="1280" w:type="dxa"/>
                  <w:tcBorders>
                    <w:tl2br w:val="nil"/>
                    <w:tr2bl w:val="nil"/>
                  </w:tcBorders>
                  <w:vAlign w:val="center"/>
                </w:tcPr>
                <w:p w14:paraId="0399B0C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4</w:t>
                  </w:r>
                </w:p>
              </w:tc>
              <w:tc>
                <w:tcPr>
                  <w:tcW w:w="1233" w:type="dxa"/>
                  <w:tcBorders>
                    <w:tl2br w:val="nil"/>
                    <w:tr2bl w:val="nil"/>
                  </w:tcBorders>
                  <w:vAlign w:val="center"/>
                </w:tcPr>
                <w:p w14:paraId="3A1E765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25</w:t>
                  </w:r>
                </w:p>
              </w:tc>
              <w:tc>
                <w:tcPr>
                  <w:tcW w:w="1136" w:type="dxa"/>
                  <w:tcBorders>
                    <w:tl2br w:val="nil"/>
                    <w:tr2bl w:val="nil"/>
                  </w:tcBorders>
                  <w:vAlign w:val="center"/>
                </w:tcPr>
                <w:p w14:paraId="3DAEB11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达标</w:t>
                  </w:r>
                </w:p>
              </w:tc>
            </w:tr>
            <w:tr w14:paraId="4AB81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083" w:type="dxa"/>
                  <w:tcBorders>
                    <w:tl2br w:val="nil"/>
                    <w:tr2bl w:val="nil"/>
                  </w:tcBorders>
                  <w:vAlign w:val="center"/>
                </w:tcPr>
                <w:p w14:paraId="6EF36D3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O</w:t>
                  </w:r>
                  <w:r>
                    <w:rPr>
                      <w:rFonts w:hint="default"/>
                      <w:color w:val="0D0D0D" w:themeColor="text1" w:themeTint="F2"/>
                      <w:kern w:val="0"/>
                      <w:sz w:val="13"/>
                      <w:szCs w:val="13"/>
                      <w:lang w:bidi="ar"/>
                      <w14:textFill>
                        <w14:solidFill>
                          <w14:schemeClr w14:val="tx1">
                            <w14:lumMod w14:val="95000"/>
                            <w14:lumOff w14:val="5000"/>
                          </w14:schemeClr>
                        </w14:solidFill>
                      </w14:textFill>
                    </w:rPr>
                    <w:t>3</w:t>
                  </w:r>
                </w:p>
              </w:tc>
              <w:tc>
                <w:tcPr>
                  <w:tcW w:w="2090" w:type="dxa"/>
                  <w:tcBorders>
                    <w:tl2br w:val="nil"/>
                    <w:tr2bl w:val="nil"/>
                  </w:tcBorders>
                  <w:vAlign w:val="center"/>
                </w:tcPr>
                <w:p w14:paraId="0BB1C6B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日最大8h第90百分位</w:t>
                  </w:r>
                </w:p>
              </w:tc>
              <w:tc>
                <w:tcPr>
                  <w:tcW w:w="1157" w:type="dxa"/>
                  <w:tcBorders>
                    <w:tl2br w:val="nil"/>
                    <w:tr2bl w:val="nil"/>
                  </w:tcBorders>
                  <w:vAlign w:val="center"/>
                </w:tcPr>
                <w:p w14:paraId="3E20944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127</w:t>
                  </w:r>
                </w:p>
              </w:tc>
              <w:tc>
                <w:tcPr>
                  <w:tcW w:w="1280" w:type="dxa"/>
                  <w:tcBorders>
                    <w:tl2br w:val="nil"/>
                    <w:tr2bl w:val="nil"/>
                  </w:tcBorders>
                  <w:vAlign w:val="center"/>
                </w:tcPr>
                <w:p w14:paraId="02E513B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160</w:t>
                  </w:r>
                </w:p>
              </w:tc>
              <w:tc>
                <w:tcPr>
                  <w:tcW w:w="1233" w:type="dxa"/>
                  <w:tcBorders>
                    <w:tl2br w:val="nil"/>
                    <w:tr2bl w:val="nil"/>
                  </w:tcBorders>
                  <w:vAlign w:val="center"/>
                </w:tcPr>
                <w:p w14:paraId="2931A4C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79.4</w:t>
                  </w:r>
                </w:p>
              </w:tc>
              <w:tc>
                <w:tcPr>
                  <w:tcW w:w="1136" w:type="dxa"/>
                  <w:tcBorders>
                    <w:tl2br w:val="nil"/>
                    <w:tr2bl w:val="nil"/>
                  </w:tcBorders>
                  <w:vAlign w:val="center"/>
                </w:tcPr>
                <w:p w14:paraId="708C201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lang w:bidi="ar"/>
                      <w14:textFill>
                        <w14:solidFill>
                          <w14:schemeClr w14:val="tx1">
                            <w14:lumMod w14:val="95000"/>
                            <w14:lumOff w14:val="5000"/>
                          </w14:schemeClr>
                        </w14:solidFill>
                      </w14:textFill>
                    </w:rPr>
                  </w:pPr>
                  <w:r>
                    <w:rPr>
                      <w:rFonts w:hint="default"/>
                      <w:color w:val="0D0D0D" w:themeColor="text1" w:themeTint="F2"/>
                      <w:kern w:val="0"/>
                      <w:sz w:val="20"/>
                      <w:szCs w:val="20"/>
                      <w:lang w:bidi="ar"/>
                      <w14:textFill>
                        <w14:solidFill>
                          <w14:schemeClr w14:val="tx1">
                            <w14:lumMod w14:val="95000"/>
                            <w14:lumOff w14:val="5000"/>
                          </w14:schemeClr>
                        </w14:solidFill>
                      </w14:textFill>
                    </w:rPr>
                    <w:t>达标</w:t>
                  </w:r>
                </w:p>
              </w:tc>
            </w:tr>
          </w:tbl>
          <w:p w14:paraId="1475D536">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根据上表可知，2023 年常规大气污染物中PM</w:t>
            </w:r>
            <w:r>
              <w:rPr>
                <w:rFonts w:hint="default"/>
                <w:color w:val="0D0D0D" w:themeColor="text1" w:themeTint="F2"/>
                <w:kern w:val="0"/>
                <w:vertAlign w:val="subscript"/>
                <w:lang w:bidi="ar"/>
                <w14:textFill>
                  <w14:solidFill>
                    <w14:schemeClr w14:val="tx1">
                      <w14:lumMod w14:val="95000"/>
                      <w14:lumOff w14:val="5000"/>
                    </w14:schemeClr>
                  </w14:solidFill>
                </w14:textFill>
              </w:rPr>
              <w:t>10</w:t>
            </w:r>
            <w:r>
              <w:rPr>
                <w:rFonts w:hint="default"/>
                <w:color w:val="0D0D0D" w:themeColor="text1" w:themeTint="F2"/>
                <w:kern w:val="0"/>
                <w:lang w:bidi="ar"/>
                <w14:textFill>
                  <w14:solidFill>
                    <w14:schemeClr w14:val="tx1">
                      <w14:lumMod w14:val="95000"/>
                      <w14:lumOff w14:val="5000"/>
                    </w14:schemeClr>
                  </w14:solidFill>
                </w14:textFill>
              </w:rPr>
              <w:t>、SO</w:t>
            </w:r>
            <w:r>
              <w:rPr>
                <w:rFonts w:hint="default"/>
                <w:color w:val="0D0D0D" w:themeColor="text1" w:themeTint="F2"/>
                <w:kern w:val="0"/>
                <w:vertAlign w:val="subscript"/>
                <w:lang w:bidi="ar"/>
                <w14:textFill>
                  <w14:solidFill>
                    <w14:schemeClr w14:val="tx1">
                      <w14:lumMod w14:val="95000"/>
                      <w14:lumOff w14:val="5000"/>
                    </w14:schemeClr>
                  </w14:solidFill>
                </w14:textFill>
              </w:rPr>
              <w:t>2</w:t>
            </w:r>
            <w:r>
              <w:rPr>
                <w:rFonts w:hint="default"/>
                <w:color w:val="0D0D0D" w:themeColor="text1" w:themeTint="F2"/>
                <w:kern w:val="0"/>
                <w:lang w:bidi="ar"/>
                <w14:textFill>
                  <w14:solidFill>
                    <w14:schemeClr w14:val="tx1">
                      <w14:lumMod w14:val="95000"/>
                      <w14:lumOff w14:val="5000"/>
                    </w14:schemeClr>
                  </w14:solidFill>
                </w14:textFill>
              </w:rPr>
              <w:t>、NO</w:t>
            </w:r>
            <w:r>
              <w:rPr>
                <w:rFonts w:hint="default"/>
                <w:color w:val="0D0D0D" w:themeColor="text1" w:themeTint="F2"/>
                <w:kern w:val="0"/>
                <w:vertAlign w:val="subscript"/>
                <w:lang w:bidi="ar"/>
                <w14:textFill>
                  <w14:solidFill>
                    <w14:schemeClr w14:val="tx1">
                      <w14:lumMod w14:val="95000"/>
                      <w14:lumOff w14:val="5000"/>
                    </w14:schemeClr>
                  </w14:solidFill>
                </w14:textFill>
              </w:rPr>
              <w:t>2</w:t>
            </w:r>
            <w:r>
              <w:rPr>
                <w:rFonts w:hint="default"/>
                <w:color w:val="0D0D0D" w:themeColor="text1" w:themeTint="F2"/>
                <w:kern w:val="0"/>
                <w:lang w:bidi="ar"/>
                <w14:textFill>
                  <w14:solidFill>
                    <w14:schemeClr w14:val="tx1">
                      <w14:lumMod w14:val="95000"/>
                      <w14:lumOff w14:val="5000"/>
                    </w14:schemeClr>
                  </w14:solidFill>
                </w14:textFill>
              </w:rPr>
              <w:t>、CO年平均值、O</w:t>
            </w:r>
            <w:r>
              <w:rPr>
                <w:rFonts w:hint="default"/>
                <w:color w:val="0D0D0D" w:themeColor="text1" w:themeTint="F2"/>
                <w:kern w:val="0"/>
                <w:vertAlign w:val="subscript"/>
                <w:lang w:bidi="ar"/>
                <w14:textFill>
                  <w14:solidFill>
                    <w14:schemeClr w14:val="tx1">
                      <w14:lumMod w14:val="95000"/>
                      <w14:lumOff w14:val="5000"/>
                    </w14:schemeClr>
                  </w14:solidFill>
                </w14:textFill>
              </w:rPr>
              <w:t>3</w:t>
            </w:r>
            <w:r>
              <w:rPr>
                <w:rFonts w:hint="default"/>
                <w:color w:val="0D0D0D" w:themeColor="text1" w:themeTint="F2"/>
                <w:kern w:val="0"/>
                <w:lang w:bidi="ar"/>
                <w14:textFill>
                  <w14:solidFill>
                    <w14:schemeClr w14:val="tx1">
                      <w14:lumMod w14:val="95000"/>
                      <w14:lumOff w14:val="5000"/>
                    </w14:schemeClr>
                  </w14:solidFill>
                </w14:textFill>
              </w:rPr>
              <w:t>日最大 8h 平均值浓度均满足《环境空气质量标准》（GB3096-2012）中二级标准要求。PM</w:t>
            </w:r>
            <w:r>
              <w:rPr>
                <w:rFonts w:hint="default"/>
                <w:color w:val="0D0D0D" w:themeColor="text1" w:themeTint="F2"/>
                <w:kern w:val="0"/>
                <w:vertAlign w:val="subscript"/>
                <w:lang w:bidi="ar"/>
                <w14:textFill>
                  <w14:solidFill>
                    <w14:schemeClr w14:val="tx1">
                      <w14:lumMod w14:val="95000"/>
                      <w14:lumOff w14:val="5000"/>
                    </w14:schemeClr>
                  </w14:solidFill>
                </w14:textFill>
              </w:rPr>
              <w:t>2.5</w:t>
            </w:r>
            <w:r>
              <w:rPr>
                <w:rFonts w:hint="default"/>
                <w:color w:val="0D0D0D" w:themeColor="text1" w:themeTint="F2"/>
                <w:kern w:val="0"/>
                <w:lang w:bidi="ar"/>
                <w14:textFill>
                  <w14:solidFill>
                    <w14:schemeClr w14:val="tx1">
                      <w14:lumMod w14:val="95000"/>
                      <w14:lumOff w14:val="5000"/>
                    </w14:schemeClr>
                  </w14:solidFill>
                </w14:textFill>
              </w:rPr>
              <w:t>占标率是 102.9%，项目所在区域环境空气属于不达标区。</w:t>
            </w:r>
          </w:p>
          <w:p w14:paraId="07813683">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超标原因分析：1、重污染天气应急减排不到位；2、烟花爆竹燃放管控不到位。</w:t>
            </w:r>
          </w:p>
          <w:p w14:paraId="0314F46B">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应对措施：强化重污染天气防范和应对，全力加强烟花爆竹燃放管控。</w:t>
            </w:r>
          </w:p>
          <w:p w14:paraId="55F16285">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在采取上述措施后环境空气质量将得到明显改善，零陵区将恢复到达标区。</w:t>
            </w:r>
          </w:p>
          <w:p w14:paraId="285D6442">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（2）特征污染物环境质量现状评价</w:t>
            </w:r>
          </w:p>
          <w:p w14:paraId="21DBFD96">
            <w:pPr>
              <w:keepNext w:val="0"/>
              <w:keepLines w:val="0"/>
              <w:widowControl/>
              <w:suppressLineNumbers w:val="0"/>
              <w:spacing w:before="0" w:beforeAutospacing="0" w:after="0" w:afterAutospacing="0"/>
              <w:ind w:left="0" w:right="0" w:firstLine="480"/>
              <w:jc w:val="left"/>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本项目大气环境污染涉及的特征污染物为TSP、TVOC。</w:t>
            </w:r>
          </w:p>
          <w:p w14:paraId="0F9C3385">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TVOC、TSP 引用由湖南中额环保科技有限公司对《湖南中芯能新能源有限公司建设项目》的监测数据，监测时间为2023年4月11日~13日，湖南中芯能新能源有限公司位于本项目西北侧1150m处，处于本项目周边5km范围内，引用数据可行。监测结果见表3-2。湖南中芯能新能源有限公司位于湖南省永州市零陵区石山脚街道河西工业园标准厂房三期5#厂房，在本项目西北面约1150m处。监测结果见下表。</w:t>
            </w:r>
          </w:p>
          <w:p w14:paraId="7671287D">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表3-2  大气环境现状监测结果</w:t>
            </w:r>
          </w:p>
          <w:tbl>
            <w:tblPr>
              <w:tblStyle w:val="17"/>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651"/>
              <w:gridCol w:w="1571"/>
              <w:gridCol w:w="1581"/>
              <w:gridCol w:w="1312"/>
            </w:tblGrid>
            <w:tr w14:paraId="47B6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843" w:type="dxa"/>
                  <w:tcBorders>
                    <w:top w:val="single" w:color="auto" w:sz="12" w:space="0"/>
                    <w:left w:val="single" w:color="auto" w:sz="12" w:space="0"/>
                  </w:tcBorders>
                  <w:vAlign w:val="center"/>
                </w:tcPr>
                <w:p w14:paraId="6E2B45EF">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监测点位</w:t>
                  </w:r>
                </w:p>
              </w:tc>
              <w:tc>
                <w:tcPr>
                  <w:tcW w:w="1651" w:type="dxa"/>
                  <w:tcBorders>
                    <w:top w:val="single" w:color="auto" w:sz="12" w:space="0"/>
                  </w:tcBorders>
                  <w:vAlign w:val="center"/>
                </w:tcPr>
                <w:p w14:paraId="0D26CBDA">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监测因子</w:t>
                  </w:r>
                </w:p>
              </w:tc>
              <w:tc>
                <w:tcPr>
                  <w:tcW w:w="1571" w:type="dxa"/>
                  <w:tcBorders>
                    <w:top w:val="single" w:color="auto" w:sz="12" w:space="0"/>
                  </w:tcBorders>
                  <w:vAlign w:val="center"/>
                </w:tcPr>
                <w:p w14:paraId="24671E9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监测结果μg/m³</w:t>
                  </w:r>
                </w:p>
              </w:tc>
              <w:tc>
                <w:tcPr>
                  <w:tcW w:w="1581" w:type="dxa"/>
                  <w:tcBorders>
                    <w:top w:val="single" w:color="auto" w:sz="12" w:space="0"/>
                  </w:tcBorders>
                  <w:vAlign w:val="center"/>
                </w:tcPr>
                <w:p w14:paraId="230C9F9B">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评价标准μg/m³</w:t>
                  </w:r>
                </w:p>
              </w:tc>
              <w:tc>
                <w:tcPr>
                  <w:tcW w:w="1312" w:type="dxa"/>
                  <w:tcBorders>
                    <w:top w:val="single" w:color="auto" w:sz="12" w:space="0"/>
                    <w:right w:val="single" w:color="auto" w:sz="12" w:space="0"/>
                  </w:tcBorders>
                  <w:vAlign w:val="center"/>
                </w:tcPr>
                <w:p w14:paraId="3653CB9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达标分析</w:t>
                  </w:r>
                </w:p>
              </w:tc>
            </w:tr>
            <w:tr w14:paraId="2FC7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843" w:type="dxa"/>
                  <w:vMerge w:val="restart"/>
                  <w:tcBorders>
                    <w:left w:val="single" w:color="auto" w:sz="12" w:space="0"/>
                  </w:tcBorders>
                  <w:vAlign w:val="center"/>
                </w:tcPr>
                <w:p w14:paraId="507DD48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G1湖南中芯能新能源有限公司厂界下风向处（位于本项目西北面约1150m处）</w:t>
                  </w:r>
                </w:p>
              </w:tc>
              <w:tc>
                <w:tcPr>
                  <w:tcW w:w="1651" w:type="dxa"/>
                  <w:vAlign w:val="center"/>
                </w:tcPr>
                <w:p w14:paraId="064FE01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TSP(日均值)</w:t>
                  </w:r>
                </w:p>
              </w:tc>
              <w:tc>
                <w:tcPr>
                  <w:tcW w:w="1571" w:type="dxa"/>
                  <w:vAlign w:val="center"/>
                </w:tcPr>
                <w:p w14:paraId="4155AFE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81-85</w:t>
                  </w:r>
                </w:p>
              </w:tc>
              <w:tc>
                <w:tcPr>
                  <w:tcW w:w="1581" w:type="dxa"/>
                  <w:vAlign w:val="center"/>
                </w:tcPr>
                <w:p w14:paraId="0F49CB9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300</w:t>
                  </w:r>
                </w:p>
              </w:tc>
              <w:tc>
                <w:tcPr>
                  <w:tcW w:w="1312" w:type="dxa"/>
                  <w:tcBorders>
                    <w:right w:val="single" w:color="auto" w:sz="12" w:space="0"/>
                  </w:tcBorders>
                  <w:vAlign w:val="center"/>
                </w:tcPr>
                <w:p w14:paraId="1D14532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达标</w:t>
                  </w:r>
                </w:p>
              </w:tc>
            </w:tr>
            <w:tr w14:paraId="747E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43" w:type="dxa"/>
                  <w:vMerge w:val="continue"/>
                  <w:tcBorders>
                    <w:left w:val="single" w:color="auto" w:sz="12" w:space="0"/>
                    <w:bottom w:val="single" w:color="auto" w:sz="12" w:space="0"/>
                  </w:tcBorders>
                  <w:vAlign w:val="center"/>
                </w:tcPr>
                <w:p w14:paraId="14A0E676">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p>
              </w:tc>
              <w:tc>
                <w:tcPr>
                  <w:tcW w:w="1651" w:type="dxa"/>
                  <w:tcBorders>
                    <w:bottom w:val="single" w:color="auto" w:sz="12" w:space="0"/>
                  </w:tcBorders>
                  <w:vAlign w:val="center"/>
                </w:tcPr>
                <w:p w14:paraId="7BB5F10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TVOC(8h均值)</w:t>
                  </w:r>
                </w:p>
              </w:tc>
              <w:tc>
                <w:tcPr>
                  <w:tcW w:w="1571" w:type="dxa"/>
                  <w:tcBorders>
                    <w:bottom w:val="single" w:color="auto" w:sz="12" w:space="0"/>
                  </w:tcBorders>
                  <w:vAlign w:val="center"/>
                </w:tcPr>
                <w:p w14:paraId="0DEC107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105-111</w:t>
                  </w:r>
                </w:p>
              </w:tc>
              <w:tc>
                <w:tcPr>
                  <w:tcW w:w="1581" w:type="dxa"/>
                  <w:tcBorders>
                    <w:bottom w:val="single" w:color="auto" w:sz="12" w:space="0"/>
                  </w:tcBorders>
                  <w:vAlign w:val="center"/>
                </w:tcPr>
                <w:p w14:paraId="3440F30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600</w:t>
                  </w:r>
                </w:p>
              </w:tc>
              <w:tc>
                <w:tcPr>
                  <w:tcW w:w="1312" w:type="dxa"/>
                  <w:tcBorders>
                    <w:bottom w:val="single" w:color="auto" w:sz="12" w:space="0"/>
                    <w:right w:val="single" w:color="auto" w:sz="12" w:space="0"/>
                  </w:tcBorders>
                  <w:vAlign w:val="center"/>
                </w:tcPr>
                <w:p w14:paraId="3AB95F0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达标</w:t>
                  </w:r>
                </w:p>
              </w:tc>
            </w:tr>
          </w:tbl>
          <w:p w14:paraId="4400C0D6">
            <w:pPr>
              <w:keepNext w:val="0"/>
              <w:keepLines w:val="0"/>
              <w:widowControl/>
              <w:suppressLineNumbers w:val="0"/>
              <w:spacing w:before="120" w:beforeLines="5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根据上表监测结果可知，项目区域TSP日均值浓度满足《环境空气质量标准》(GB3095-2012)及其 2018 年修改单中二级标准。TVOC浓度能满足《环境影响评价技术导则大气环境》(HJ2.2-2018)附录D中浓度参考限值。因此，</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项目所在区域大气环境质量较好</w:t>
            </w:r>
            <w:r>
              <w:rPr>
                <w:rFonts w:hint="default"/>
                <w:color w:val="0D0D0D" w:themeColor="text1" w:themeTint="F2"/>
                <w:kern w:val="0"/>
                <w:u w:val="single"/>
                <w:lang w:bidi="ar"/>
                <w14:textFill>
                  <w14:solidFill>
                    <w14:schemeClr w14:val="tx1">
                      <w14:lumMod w14:val="95000"/>
                      <w14:lumOff w14:val="5000"/>
                    </w14:schemeClr>
                  </w14:solidFill>
                </w14:textFill>
              </w:rPr>
              <w:t>。</w:t>
            </w:r>
          </w:p>
          <w:p w14:paraId="6BF29999">
            <w:pPr>
              <w:keepNext w:val="0"/>
              <w:keepLines w:val="0"/>
              <w:widowControl/>
              <w:numPr>
                <w:ilvl w:val="0"/>
                <w:numId w:val="2"/>
              </w:numPr>
              <w:suppressLineNumbers w:val="0"/>
              <w:spacing w:before="0" w:beforeAutospacing="0" w:after="0" w:afterAutospacing="0"/>
              <w:ind w:left="0" w:right="0" w:firstLine="482"/>
              <w:jc w:val="left"/>
              <w:rPr>
                <w:rFonts w:hint="default"/>
                <w:b/>
                <w:bCs/>
                <w:color w:val="0D0D0D" w:themeColor="text1" w:themeTint="F2"/>
                <w:kern w:val="0"/>
                <w:lang w:bidi="ar"/>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地表水环境质量现状</w:t>
            </w:r>
          </w:p>
          <w:p w14:paraId="54FB63D7">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本项目位于湖南零陵工业园河西工业区瑞翔大道与西爽亭路交汇处东南角，项目无生产废水产生，生活污水经化粪池处理排入市政污水管网进入零陵区鹿坪污水处理厂处理；污水处理厂排污口位置设置在潇水一侧。本次环评期间收集了永州市环境质量简报（2024年4月），发布我市2024年4月份水环境质量状况：</w:t>
            </w:r>
          </w:p>
          <w:p w14:paraId="4B320041">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一、地表水环境质量状况</w:t>
            </w:r>
          </w:p>
          <w:p w14:paraId="58408C96">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4月份考核我市的52个省控地表水断面水质状况：Ⅰ类水质断面8个、Ⅱ类水质断面44个。</w:t>
            </w:r>
          </w:p>
          <w:p w14:paraId="3F5E4191">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Ⅰ类水质断面8个：湘江伍家组、紫良乡野狗岭、涔天河水库上游1000米、江华县水厂GB/T4754-2023(鱼塘坡)、东西河汇合处、水市水库、柑子园镇周邝村、金陵水库。</w:t>
            </w:r>
          </w:p>
          <w:p w14:paraId="1E0620CF">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Ⅱ类水质断面44个：大夫庙、港子口、归阳镇、紫水河入湘江口、黄沙村、井塘乡马江口村、双牌水库、诸葛庙、祥霖铺镇桐溪尾村、曹家滩、江边院子、白水入湘江口、岭脚村、车头桥、纱帽岭村、黄沙湾、老埠头、曲河、黄阳司、茅竹镇滴水、浯溪水厂(杨梅岩)、祁阳观音滩、普济桥、珠山镇蒿草塘村、码市、道县水厂、东洲山、江村镇江村渡口、双牌县饮用水源地、五里牌、异蛇山庄、南津渡水厂、蚣坝河入潇水口、大坪坳水库(江永县水厂）、宜江入潇水口、仁和坝、宁远县水厂、泠江入宁远河口、祁水入湘江口、黄花河入白河口、所城、候背电站、蓝山县水厂(汇源源峰村)、大历县村。</w:t>
            </w:r>
          </w:p>
          <w:p w14:paraId="6C256376">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二、饮用水水源地水质状况</w:t>
            </w:r>
          </w:p>
          <w:p w14:paraId="7165A3E5">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4月市级集中式饮用水水源地：曲河、诸葛庙、南津渡水厂和舜帝庙水质达到《地表水环境质量》（GB3838-2002）Ⅱ类水质标准，水质达标率为100%。</w:t>
            </w:r>
          </w:p>
          <w:p w14:paraId="634D761C">
            <w:pPr>
              <w:keepNext w:val="0"/>
              <w:keepLines w:val="0"/>
              <w:widowControl/>
              <w:suppressLineNumbers w:val="0"/>
              <w:spacing w:before="0" w:beforeAutospacing="0" w:after="0" w:afterAutospacing="0"/>
              <w:ind w:left="0" w:right="0" w:firstLine="480"/>
              <w:jc w:val="left"/>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河西鹿坪污水处理厂入河口上游3km大夫庙常规水质监测断面，河西鹿坪污水处理厂入河口下游 3km老埠头常规水质监测断面数据，水质控制目标均属于Ⅱ类水质断面，故项目所在区域地表水环境质量良好。因此项目周边地表水环境质量质量状况良好，潇水水质均能够满足水环境功能要求。</w:t>
            </w:r>
          </w:p>
          <w:p w14:paraId="2DB8FBFF">
            <w:pPr>
              <w:keepNext w:val="0"/>
              <w:keepLines w:val="0"/>
              <w:widowControl/>
              <w:suppressLineNumbers w:val="0"/>
              <w:spacing w:before="0" w:beforeAutospacing="0" w:after="0" w:afterAutospacing="0"/>
              <w:ind w:left="0" w:right="0" w:firstLine="482"/>
              <w:jc w:val="left"/>
              <w:rPr>
                <w:rFonts w:hint="default"/>
                <w:b/>
                <w:bCs/>
                <w:color w:val="0D0D0D" w:themeColor="text1" w:themeTint="F2"/>
                <w:kern w:val="0"/>
                <w:lang w:bidi="ar"/>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3、声环境质量现状</w:t>
            </w:r>
          </w:p>
          <w:p w14:paraId="2CA827BA">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根据《建设项目环境影响报告表编制技术指南（污染影响类）（试行）》要求，本项目厂界外50m范围内不存在声环境保护目标，不进行声环境质量现状监测，区域声环境质量一般。</w:t>
            </w:r>
          </w:p>
          <w:p w14:paraId="4A08C5FD">
            <w:pPr>
              <w:keepNext w:val="0"/>
              <w:keepLines w:val="0"/>
              <w:widowControl/>
              <w:suppressLineNumbers w:val="0"/>
              <w:spacing w:before="0" w:beforeAutospacing="0" w:after="0" w:afterAutospacing="0"/>
              <w:ind w:left="0" w:right="0" w:firstLine="482"/>
              <w:jc w:val="left"/>
              <w:rPr>
                <w:rFonts w:hint="default"/>
                <w:b/>
                <w:bCs/>
                <w:color w:val="0D0D0D" w:themeColor="text1" w:themeTint="F2"/>
                <w:kern w:val="0"/>
                <w:lang w:bidi="ar"/>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4、生态环境现状</w:t>
            </w:r>
          </w:p>
          <w:p w14:paraId="4DA05652">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拟建项目为工业园区已建成标准钢构厂房，土地开发利用程度较高，受人类活动的影响，厂区植被主要为人工绿化和杂草，区内已无大中型陆生野生动物分布。区内现有野生动物以鸟类、蛙类、鼠类等常见的小型动物为主，评价范围未发现国家重点保护动植物和古木大树分布，未发现野生珍稀濒危动物种类，无风景名胜区、自然保护区。</w:t>
            </w:r>
          </w:p>
          <w:p w14:paraId="1B1C78B5">
            <w:pPr>
              <w:keepNext w:val="0"/>
              <w:keepLines w:val="0"/>
              <w:widowControl/>
              <w:suppressLineNumbers w:val="0"/>
              <w:spacing w:before="0" w:beforeAutospacing="0" w:after="0" w:afterAutospacing="0"/>
              <w:ind w:left="0" w:right="0" w:firstLine="482"/>
              <w:jc w:val="left"/>
              <w:rPr>
                <w:rFonts w:hint="default"/>
                <w:b/>
                <w:bCs/>
                <w:color w:val="0D0D0D" w:themeColor="text1" w:themeTint="F2"/>
                <w:kern w:val="0"/>
                <w:lang w:bidi="ar"/>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5、电磁辐射</w:t>
            </w:r>
          </w:p>
          <w:p w14:paraId="2E4F8754">
            <w:pPr>
              <w:keepNext w:val="0"/>
              <w:keepLines w:val="0"/>
              <w:widowControl/>
              <w:suppressLineNumbers w:val="0"/>
              <w:spacing w:before="0" w:beforeAutospacing="0" w:after="0" w:afterAutospacing="0"/>
              <w:ind w:left="480" w:leftChars="200" w:right="0" w:firstLine="0" w:firstLineChars="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本项目不涉及电磁辐射影响，不需开展电磁辐射现状监测与评价。</w:t>
            </w:r>
          </w:p>
          <w:p w14:paraId="3C07779C">
            <w:pPr>
              <w:keepNext w:val="0"/>
              <w:keepLines w:val="0"/>
              <w:widowControl/>
              <w:suppressLineNumbers w:val="0"/>
              <w:spacing w:before="0" w:beforeAutospacing="0" w:after="0" w:afterAutospacing="0"/>
              <w:ind w:left="0" w:right="0" w:firstLine="482"/>
              <w:jc w:val="left"/>
              <w:rPr>
                <w:rFonts w:hint="default"/>
                <w:b/>
                <w:bCs/>
                <w:color w:val="0D0D0D" w:themeColor="text1" w:themeTint="F2"/>
                <w:kern w:val="0"/>
                <w:lang w:bidi="ar"/>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6、地下水、土壤质量</w:t>
            </w:r>
          </w:p>
          <w:p w14:paraId="05846A33">
            <w:pPr>
              <w:keepNext w:val="0"/>
              <w:keepLines w:val="0"/>
              <w:widowControl/>
              <w:suppressLineNumbers w:val="0"/>
              <w:spacing w:before="0" w:beforeAutospacing="0" w:after="0" w:afterAutospacing="0"/>
              <w:ind w:left="0" w:right="0" w:firstLine="480"/>
              <w:jc w:val="left"/>
              <w:rPr>
                <w:rFonts w:hint="default"/>
                <w:color w:val="0D0D0D" w:themeColor="text1" w:themeTint="F2"/>
                <w:kern w:val="0"/>
                <w:lang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本项目主要为塑料制品制造项目，主要大气污染物为非甲烷总烃，水污染物为生活污水，生活污水经化粪池处理后排入市政污水管网进入零陵区鹿坪污水处理厂处理。根据《建设项目环境影响报告表编制技术指南（污染影响类）（试行）》提到的“6.地下水、土壤环境。原则上不开展环境质量现状调查。建设项目存在土壤、地下水环境污染途径的，应结合污染源、保护目标分布情况开展现状调查以留作背景值”。</w:t>
            </w:r>
          </w:p>
          <w:p w14:paraId="43EAE7CA">
            <w:pPr>
              <w:keepNext w:val="0"/>
              <w:keepLines w:val="0"/>
              <w:widowControl/>
              <w:suppressLineNumbers w:val="0"/>
              <w:spacing w:before="0" w:beforeAutospacing="0" w:after="0" w:afterAutospacing="0"/>
              <w:ind w:left="0" w:right="0" w:firstLine="480"/>
              <w:jc w:val="left"/>
              <w:rPr>
                <w:rFonts w:hint="default"/>
                <w:color w:val="0D0D0D" w:themeColor="text1" w:themeTint="F2"/>
                <w:kern w:val="0"/>
                <w:szCs w:val="21"/>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本项目污染源基本上不涉及土壤、地下水环境污染影响途径。故本项目不开展相关环境质量现状调查及监测。</w:t>
            </w:r>
          </w:p>
        </w:tc>
      </w:tr>
      <w:tr w14:paraId="0A0006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vAlign w:val="center"/>
          </w:tcPr>
          <w:p w14:paraId="7A87908A">
            <w:pPr>
              <w:keepNext w:val="0"/>
              <w:keepLines w:val="0"/>
              <w:suppressLineNumbers w:val="0"/>
              <w:adjustRightInd w:val="0"/>
              <w:snapToGrid w:val="0"/>
              <w:spacing w:before="0" w:beforeAutospacing="0" w:after="0" w:afterAutospacing="0"/>
              <w:ind w:left="0" w:right="0" w:firstLine="0" w:firstLineChars="0"/>
              <w:jc w:val="center"/>
              <w:rPr>
                <w:rFonts w:hint="default"/>
                <w:b/>
                <w:bCs/>
                <w:color w:val="0D0D0D" w:themeColor="text1" w:themeTint="F2"/>
                <w:kern w:val="0"/>
                <w:szCs w:val="21"/>
                <w14:textFill>
                  <w14:solidFill>
                    <w14:schemeClr w14:val="tx1">
                      <w14:lumMod w14:val="95000"/>
                      <w14:lumOff w14:val="5000"/>
                    </w14:schemeClr>
                  </w14:solidFill>
                </w14:textFill>
              </w:rPr>
            </w:pPr>
            <w:r>
              <w:rPr>
                <w:rFonts w:hint="default"/>
                <w:b/>
                <w:bCs/>
                <w:color w:val="0D0D0D" w:themeColor="text1" w:themeTint="F2"/>
                <w:kern w:val="0"/>
                <w:szCs w:val="21"/>
                <w14:textFill>
                  <w14:solidFill>
                    <w14:schemeClr w14:val="tx1">
                      <w14:lumMod w14:val="95000"/>
                      <w14:lumOff w14:val="5000"/>
                    </w14:schemeClr>
                  </w14:solidFill>
                </w14:textFill>
              </w:rPr>
              <w:t>环境保护目标</w:t>
            </w:r>
          </w:p>
        </w:tc>
        <w:tc>
          <w:tcPr>
            <w:tcW w:w="8119" w:type="dxa"/>
            <w:vAlign w:val="center"/>
          </w:tcPr>
          <w:p w14:paraId="3DC0EAEE">
            <w:pPr>
              <w:pStyle w:val="2"/>
              <w:keepNext w:val="0"/>
              <w:keepLines w:val="0"/>
              <w:suppressLineNumbers w:val="0"/>
              <w:spacing w:before="120" w:beforeLines="50" w:beforeAutospacing="0" w:after="0" w:afterAutospacing="0"/>
              <w:ind w:left="0" w:right="0" w:firstLine="482" w:firstLineChars="200"/>
              <w:rPr>
                <w:rFonts w:hint="default" w:eastAsia="宋体"/>
                <w:color w:val="0D0D0D" w:themeColor="text1" w:themeTint="F2"/>
                <w:sz w:val="24"/>
                <w:szCs w:val="24"/>
                <w14:textFill>
                  <w14:solidFill>
                    <w14:schemeClr w14:val="tx1">
                      <w14:lumMod w14:val="95000"/>
                      <w14:lumOff w14:val="5000"/>
                    </w14:schemeClr>
                  </w14:solidFill>
                </w14:textFill>
              </w:rPr>
            </w:pPr>
            <w:bookmarkStart w:id="18" w:name="_Toc14995"/>
            <w:bookmarkStart w:id="19" w:name="_Toc24714"/>
            <w:r>
              <w:rPr>
                <w:rFonts w:hint="default" w:eastAsia="宋体"/>
                <w:color w:val="0D0D0D" w:themeColor="text1" w:themeTint="F2"/>
                <w:sz w:val="24"/>
                <w:szCs w:val="24"/>
                <w14:textFill>
                  <w14:solidFill>
                    <w14:schemeClr w14:val="tx1">
                      <w14:lumMod w14:val="95000"/>
                      <w14:lumOff w14:val="5000"/>
                    </w14:schemeClr>
                  </w14:solidFill>
                </w14:textFill>
              </w:rPr>
              <w:t>1、</w:t>
            </w:r>
            <w:r>
              <w:rPr>
                <w:rFonts w:hint="default" w:eastAsia="宋体"/>
                <w:color w:val="0D0D0D" w:themeColor="text1" w:themeTint="F2"/>
                <w:sz w:val="24"/>
                <w:szCs w:val="24"/>
                <w:lang w:val="zh-CN"/>
                <w14:textFill>
                  <w14:solidFill>
                    <w14:schemeClr w14:val="tx1">
                      <w14:lumMod w14:val="95000"/>
                      <w14:lumOff w14:val="5000"/>
                    </w14:schemeClr>
                  </w14:solidFill>
                </w14:textFill>
              </w:rPr>
              <w:t>主要环境保护目标（列出名单及保护级别）：</w:t>
            </w:r>
            <w:bookmarkEnd w:id="18"/>
            <w:bookmarkEnd w:id="19"/>
          </w:p>
          <w:p w14:paraId="27781AD6">
            <w:pPr>
              <w:keepNext w:val="0"/>
              <w:keepLines w:val="0"/>
              <w:suppressLineNumbers w:val="0"/>
              <w:adjustRightInd w:val="0"/>
              <w:snapToGrid w:val="0"/>
              <w:spacing w:before="120" w:beforeLines="50" w:beforeAutospacing="0" w:after="0" w:afterAutospacing="0"/>
              <w:ind w:left="0" w:right="0" w:firstLine="480"/>
              <w:rPr>
                <w:rFonts w:hint="default"/>
                <w:color w:val="0D0D0D" w:themeColor="text1" w:themeTint="F2"/>
                <w:u w:val="single"/>
                <w:lang w:bidi="ar"/>
                <w14:textFill>
                  <w14:solidFill>
                    <w14:schemeClr w14:val="tx1">
                      <w14:lumMod w14:val="95000"/>
                      <w14:lumOff w14:val="5000"/>
                    </w14:schemeClr>
                  </w14:solidFill>
                </w14:textFill>
              </w:rPr>
            </w:pPr>
            <w:r>
              <w:rPr>
                <w:rFonts w:hint="default"/>
                <w:color w:val="0D0D0D" w:themeColor="text1" w:themeTint="F2"/>
                <w:u w:val="single"/>
                <w:lang w:bidi="ar"/>
                <w14:textFill>
                  <w14:solidFill>
                    <w14:schemeClr w14:val="tx1">
                      <w14:lumMod w14:val="95000"/>
                      <w14:lumOff w14:val="5000"/>
                    </w14:schemeClr>
                  </w14:solidFill>
                </w14:textFill>
              </w:rPr>
              <w:t>本项目位于湖南省永州市零陵区零陵工业园河西片区，</w:t>
            </w:r>
            <w:r>
              <w:rPr>
                <w:rFonts w:hint="default"/>
                <w:color w:val="0D0D0D" w:themeColor="text1" w:themeTint="F2"/>
                <w:szCs w:val="44"/>
                <w:u w:val="single"/>
                <w:shd w:val="clear" w:color="auto" w:fill="FFFFFF"/>
                <w:lang w:val="zh-CN" w:bidi="ar"/>
                <w14:textFill>
                  <w14:solidFill>
                    <w14:schemeClr w14:val="tx1">
                      <w14:lumMod w14:val="95000"/>
                      <w14:lumOff w14:val="5000"/>
                    </w14:schemeClr>
                  </w14:solidFill>
                </w14:textFill>
              </w:rPr>
              <w:t>本项目厂界外500米范围内无自然保护区、风景名胜区、文化区和人群较集中的区域。</w:t>
            </w:r>
            <w:r>
              <w:rPr>
                <w:rFonts w:hint="default"/>
                <w:color w:val="0D0D0D" w:themeColor="text1" w:themeTint="F2"/>
                <w:u w:val="single"/>
                <w:lang w:bidi="ar"/>
                <w14:textFill>
                  <w14:solidFill>
                    <w14:schemeClr w14:val="tx1">
                      <w14:lumMod w14:val="95000"/>
                      <w14:lumOff w14:val="5000"/>
                    </w14:schemeClr>
                  </w14:solidFill>
                </w14:textFill>
              </w:rPr>
              <w:t>项目主要环境保护目标详见表3-3。</w:t>
            </w:r>
          </w:p>
          <w:p w14:paraId="2D017C69">
            <w:pPr>
              <w:keepNext w:val="0"/>
              <w:keepLines w:val="0"/>
              <w:suppressLineNumbers w:val="0"/>
              <w:adjustRightInd w:val="0"/>
              <w:snapToGrid w:val="0"/>
              <w:spacing w:before="120" w:beforeLines="50" w:beforeAutospacing="0" w:after="0" w:afterAutospacing="0"/>
              <w:ind w:left="0" w:leftChars="0" w:right="0" w:rightChars="0" w:firstLine="0" w:firstLineChars="0"/>
              <w:jc w:val="center"/>
              <w:rPr>
                <w:rFonts w:hint="default"/>
                <w:b/>
                <w:bCs/>
                <w:color w:val="0D0D0D" w:themeColor="text1" w:themeTint="F2"/>
                <w:kern w:val="0"/>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lang w:bidi="ar"/>
                <w14:textFill>
                  <w14:solidFill>
                    <w14:schemeClr w14:val="tx1">
                      <w14:lumMod w14:val="95000"/>
                      <w14:lumOff w14:val="5000"/>
                    </w14:schemeClr>
                  </w14:solidFill>
                </w14:textFill>
              </w:rPr>
              <w:t>表3-3 主要环境保护目标</w:t>
            </w:r>
          </w:p>
          <w:tbl>
            <w:tblPr>
              <w:tblStyle w:val="16"/>
              <w:tblW w:w="80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05"/>
              <w:gridCol w:w="1146"/>
              <w:gridCol w:w="1366"/>
              <w:gridCol w:w="750"/>
              <w:gridCol w:w="1113"/>
              <w:gridCol w:w="1222"/>
              <w:gridCol w:w="1734"/>
            </w:tblGrid>
            <w:tr w14:paraId="6D3568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Borders>
                    <w:tl2br w:val="nil"/>
                    <w:tr2bl w:val="nil"/>
                  </w:tcBorders>
                  <w:shd w:val="clear" w:color="auto" w:fill="FFFFFF"/>
                  <w:vAlign w:val="center"/>
                </w:tcPr>
                <w:p w14:paraId="2B0106E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lang w:bidi="ar"/>
                      <w14:textFill>
                        <w14:solidFill>
                          <w14:schemeClr w14:val="tx1">
                            <w14:lumMod w14:val="95000"/>
                            <w14:lumOff w14:val="5000"/>
                          </w14:schemeClr>
                        </w14:solidFill>
                      </w14:textFill>
                    </w:rPr>
                    <w:t>环境</w:t>
                  </w:r>
                </w:p>
                <w:p w14:paraId="26078D12">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lang w:bidi="ar"/>
                      <w14:textFill>
                        <w14:solidFill>
                          <w14:schemeClr w14:val="tx1">
                            <w14:lumMod w14:val="95000"/>
                            <w14:lumOff w14:val="5000"/>
                          </w14:schemeClr>
                        </w14:solidFill>
                      </w14:textFill>
                    </w:rPr>
                    <w:t>类别</w:t>
                  </w:r>
                </w:p>
              </w:tc>
              <w:tc>
                <w:tcPr>
                  <w:tcW w:w="1146" w:type="dxa"/>
                  <w:tcBorders>
                    <w:tl2br w:val="nil"/>
                    <w:tr2bl w:val="nil"/>
                  </w:tcBorders>
                  <w:shd w:val="clear" w:color="auto" w:fill="FFFFFF"/>
                  <w:vAlign w:val="center"/>
                </w:tcPr>
                <w:p w14:paraId="1DC8DA0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保护目标</w:t>
                  </w:r>
                </w:p>
              </w:tc>
              <w:tc>
                <w:tcPr>
                  <w:tcW w:w="1366" w:type="dxa"/>
                  <w:tcBorders>
                    <w:tl2br w:val="nil"/>
                    <w:tr2bl w:val="nil"/>
                  </w:tcBorders>
                  <w:shd w:val="clear" w:color="auto" w:fill="FFFFFF"/>
                  <w:vAlign w:val="center"/>
                </w:tcPr>
                <w:p w14:paraId="439D6545">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坐标</w:t>
                  </w:r>
                </w:p>
              </w:tc>
              <w:tc>
                <w:tcPr>
                  <w:tcW w:w="750" w:type="dxa"/>
                  <w:tcBorders>
                    <w:tl2br w:val="nil"/>
                    <w:tr2bl w:val="nil"/>
                  </w:tcBorders>
                  <w:shd w:val="clear" w:color="auto" w:fill="FFFFFF"/>
                  <w:vAlign w:val="center"/>
                </w:tcPr>
                <w:p w14:paraId="3CB43254">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shd w:val="clear" w:color="auto" w:fill="FFFFFF"/>
                      <w:lang w:bidi="ar"/>
                      <w14:textFill>
                        <w14:solidFill>
                          <w14:schemeClr w14:val="tx1">
                            <w14:lumMod w14:val="95000"/>
                            <w14:lumOff w14:val="5000"/>
                          </w14:schemeClr>
                        </w14:solidFill>
                      </w14:textFill>
                    </w:rPr>
                    <w:t>方位</w:t>
                  </w:r>
                </w:p>
              </w:tc>
              <w:tc>
                <w:tcPr>
                  <w:tcW w:w="1113" w:type="dxa"/>
                  <w:tcBorders>
                    <w:tl2br w:val="nil"/>
                    <w:tr2bl w:val="nil"/>
                  </w:tcBorders>
                  <w:shd w:val="clear" w:color="auto" w:fill="FFFFFF"/>
                  <w:vAlign w:val="center"/>
                </w:tcPr>
                <w:p w14:paraId="049E0E0B">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shd w:val="clear" w:color="auto" w:fill="FFFFFF"/>
                      <w:lang w:bidi="ar"/>
                      <w14:textFill>
                        <w14:solidFill>
                          <w14:schemeClr w14:val="tx1">
                            <w14:lumMod w14:val="95000"/>
                            <w14:lumOff w14:val="5000"/>
                          </w14:schemeClr>
                        </w14:solidFill>
                      </w14:textFill>
                    </w:rPr>
                    <w:t>相对</w:t>
                  </w:r>
                  <w:r>
                    <w:rPr>
                      <w:rFonts w:hint="default" w:ascii="Times New Roman" w:hAnsi="Times New Roman"/>
                      <w:b/>
                      <w:bCs/>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厂界</w:t>
                  </w:r>
                </w:p>
                <w:p w14:paraId="5E68A60B">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距离</w:t>
                  </w:r>
                </w:p>
              </w:tc>
              <w:tc>
                <w:tcPr>
                  <w:tcW w:w="1222" w:type="dxa"/>
                  <w:tcBorders>
                    <w:tl2br w:val="nil"/>
                    <w:tr2bl w:val="nil"/>
                  </w:tcBorders>
                  <w:shd w:val="clear" w:color="auto" w:fill="FFFFFF"/>
                  <w:vAlign w:val="center"/>
                </w:tcPr>
                <w:p w14:paraId="684EA991">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u w:val="single"/>
                      <w:shd w:val="clear" w:color="auto" w:fill="FFFFFF"/>
                      <w:lang w:bidi="ar"/>
                      <w14:textFill>
                        <w14:solidFill>
                          <w14:schemeClr w14:val="tx1">
                            <w14:lumMod w14:val="95000"/>
                            <w14:lumOff w14:val="5000"/>
                          </w14:schemeClr>
                        </w14:solidFill>
                      </w14:textFill>
                    </w:rPr>
                    <w:t>保护对象</w:t>
                  </w:r>
                </w:p>
              </w:tc>
              <w:tc>
                <w:tcPr>
                  <w:tcW w:w="1734" w:type="dxa"/>
                  <w:tcBorders>
                    <w:tl2br w:val="nil"/>
                    <w:tr2bl w:val="nil"/>
                  </w:tcBorders>
                  <w:shd w:val="clear" w:color="auto" w:fill="FFFFFF"/>
                  <w:vAlign w:val="center"/>
                </w:tcPr>
                <w:p w14:paraId="1E511433">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b/>
                      <w:bCs/>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b/>
                      <w:bCs/>
                      <w:color w:val="0D0D0D" w:themeColor="text1" w:themeTint="F2"/>
                      <w:sz w:val="21"/>
                      <w:szCs w:val="21"/>
                      <w:shd w:val="clear" w:color="auto" w:fill="FFFFFF"/>
                      <w:lang w:bidi="ar"/>
                      <w14:textFill>
                        <w14:solidFill>
                          <w14:schemeClr w14:val="tx1">
                            <w14:lumMod w14:val="95000"/>
                            <w14:lumOff w14:val="5000"/>
                          </w14:schemeClr>
                        </w14:solidFill>
                      </w14:textFill>
                    </w:rPr>
                    <w:t>环境功能区</w:t>
                  </w:r>
                </w:p>
              </w:tc>
            </w:tr>
            <w:tr w14:paraId="2D154E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vMerge w:val="restart"/>
                  <w:tcBorders>
                    <w:tl2br w:val="nil"/>
                    <w:tr2bl w:val="nil"/>
                  </w:tcBorders>
                  <w:shd w:val="clear" w:color="auto" w:fill="FFFFFF"/>
                  <w:vAlign w:val="center"/>
                </w:tcPr>
                <w:p w14:paraId="44B198C2">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地表水</w:t>
                  </w:r>
                </w:p>
                <w:p w14:paraId="2C9AB91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环境</w:t>
                  </w:r>
                </w:p>
              </w:tc>
              <w:tc>
                <w:tcPr>
                  <w:tcW w:w="1146" w:type="dxa"/>
                  <w:tcBorders>
                    <w:tl2br w:val="nil"/>
                    <w:tr2bl w:val="nil"/>
                  </w:tcBorders>
                  <w:shd w:val="clear" w:color="auto" w:fill="FFFFFF"/>
                  <w:vAlign w:val="center"/>
                </w:tcPr>
                <w:p w14:paraId="69025A24">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潇水</w:t>
                  </w:r>
                  <w:r>
                    <w:rPr>
                      <w:rFonts w:hint="eastAsia"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（娘子岭水厂取水口下游200米至萍岛湘江汇合处）</w:t>
                  </w:r>
                </w:p>
              </w:tc>
              <w:tc>
                <w:tcPr>
                  <w:tcW w:w="1366" w:type="dxa"/>
                  <w:tcBorders>
                    <w:tl2br w:val="nil"/>
                    <w:tr2bl w:val="nil"/>
                  </w:tcBorders>
                  <w:shd w:val="clear" w:color="auto" w:fill="FFFFFF"/>
                  <w:vAlign w:val="center"/>
                </w:tcPr>
                <w:p w14:paraId="684318AF">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w:t>
                  </w:r>
                </w:p>
              </w:tc>
              <w:tc>
                <w:tcPr>
                  <w:tcW w:w="750" w:type="dxa"/>
                  <w:tcBorders>
                    <w:tl2br w:val="nil"/>
                    <w:tr2bl w:val="nil"/>
                  </w:tcBorders>
                  <w:shd w:val="clear" w:color="auto" w:fill="FFFFFF"/>
                  <w:vAlign w:val="center"/>
                </w:tcPr>
                <w:p w14:paraId="4B5858D7">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东</w:t>
                  </w:r>
                </w:p>
              </w:tc>
              <w:tc>
                <w:tcPr>
                  <w:tcW w:w="1113" w:type="dxa"/>
                  <w:tcBorders>
                    <w:tl2br w:val="nil"/>
                    <w:tr2bl w:val="nil"/>
                  </w:tcBorders>
                  <w:shd w:val="clear" w:color="auto" w:fill="FFFFFF"/>
                  <w:vAlign w:val="center"/>
                </w:tcPr>
                <w:p w14:paraId="10DBDD2D">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4.39</w:t>
                  </w: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km</w:t>
                  </w:r>
                </w:p>
              </w:tc>
              <w:tc>
                <w:tcPr>
                  <w:tcW w:w="1222" w:type="dxa"/>
                  <w:tcBorders>
                    <w:tl2br w:val="nil"/>
                    <w:tr2bl w:val="nil"/>
                  </w:tcBorders>
                  <w:shd w:val="clear" w:color="auto" w:fill="FFFFFF"/>
                  <w:vAlign w:val="center"/>
                </w:tcPr>
                <w:p w14:paraId="18DDFD2A">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工业用水</w:t>
                  </w:r>
                </w:p>
              </w:tc>
              <w:tc>
                <w:tcPr>
                  <w:tcW w:w="1734" w:type="dxa"/>
                  <w:vMerge w:val="restart"/>
                  <w:tcBorders>
                    <w:tl2br w:val="nil"/>
                    <w:tr2bl w:val="nil"/>
                  </w:tcBorders>
                  <w:shd w:val="clear" w:color="auto" w:fill="FFFFFF"/>
                  <w:vAlign w:val="center"/>
                </w:tcPr>
                <w:p w14:paraId="32E00354">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t>《地表水环境质</w:t>
                  </w:r>
                  <w:r>
                    <w:rPr>
                      <w:rFonts w:hint="default" w:ascii="Times New Roman" w:hAnsi="Times New Roman"/>
                      <w:color w:val="0D0D0D" w:themeColor="text1" w:themeTint="F2"/>
                      <w:sz w:val="21"/>
                      <w:szCs w:val="21"/>
                      <w:shd w:val="clear" w:color="auto" w:fill="FFFFFF"/>
                      <w:lang w:bidi="ar"/>
                      <w14:textFill>
                        <w14:solidFill>
                          <w14:schemeClr w14:val="tx1">
                            <w14:lumMod w14:val="95000"/>
                            <w14:lumOff w14:val="5000"/>
                          </w14:schemeClr>
                        </w14:solidFill>
                      </w14:textFill>
                    </w:rPr>
                    <w:t>量</w:t>
                  </w:r>
                  <w:r>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t>标准》（GB3838</w:t>
                  </w:r>
                  <w:r>
                    <w:rPr>
                      <w:rFonts w:hint="default" w:ascii="Times New Roman" w:hAnsi="Times New Roman"/>
                      <w:color w:val="0D0D0D" w:themeColor="text1" w:themeTint="F2"/>
                      <w:sz w:val="21"/>
                      <w:szCs w:val="21"/>
                      <w:shd w:val="clear" w:color="auto" w:fill="FFFFFF"/>
                      <w:lang w:bidi="ar"/>
                      <w14:textFill>
                        <w14:solidFill>
                          <w14:schemeClr w14:val="tx1">
                            <w14:lumMod w14:val="95000"/>
                            <w14:lumOff w14:val="5000"/>
                          </w14:schemeClr>
                        </w14:solidFill>
                      </w14:textFill>
                    </w:rPr>
                    <w:t>-</w:t>
                  </w:r>
                  <w:r>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t>2002）中III类</w:t>
                  </w:r>
                </w:p>
              </w:tc>
            </w:tr>
            <w:tr w14:paraId="72366E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vMerge w:val="continue"/>
                  <w:tcBorders>
                    <w:tl2br w:val="nil"/>
                    <w:tr2bl w:val="nil"/>
                  </w:tcBorders>
                  <w:shd w:val="clear" w:color="auto" w:fill="FFFFFF"/>
                  <w:vAlign w:val="center"/>
                </w:tcPr>
                <w:p w14:paraId="20E330B0">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pPr>
                </w:p>
              </w:tc>
              <w:tc>
                <w:tcPr>
                  <w:tcW w:w="1146" w:type="dxa"/>
                  <w:tcBorders>
                    <w:tl2br w:val="nil"/>
                    <w:tr2bl w:val="nil"/>
                  </w:tcBorders>
                  <w:shd w:val="clear" w:color="auto" w:fill="FFFFFF"/>
                  <w:vAlign w:val="center"/>
                </w:tcPr>
                <w:p w14:paraId="5C48B2E4">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湘江（芝山萍岛上端至老埠头）</w:t>
                  </w:r>
                </w:p>
              </w:tc>
              <w:tc>
                <w:tcPr>
                  <w:tcW w:w="1366" w:type="dxa"/>
                  <w:tcBorders>
                    <w:tl2br w:val="nil"/>
                    <w:tr2bl w:val="nil"/>
                  </w:tcBorders>
                  <w:shd w:val="clear" w:color="auto" w:fill="FFFFFF"/>
                  <w:vAlign w:val="center"/>
                </w:tcPr>
                <w:p w14:paraId="44A91B0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w:t>
                  </w:r>
                </w:p>
              </w:tc>
              <w:tc>
                <w:tcPr>
                  <w:tcW w:w="750" w:type="dxa"/>
                  <w:tcBorders>
                    <w:tl2br w:val="nil"/>
                    <w:tr2bl w:val="nil"/>
                  </w:tcBorders>
                  <w:shd w:val="clear" w:color="auto" w:fill="FFFFFF"/>
                  <w:vAlign w:val="center"/>
                </w:tcPr>
                <w:p w14:paraId="2F67D5B7">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北</w:t>
                  </w:r>
                </w:p>
              </w:tc>
              <w:tc>
                <w:tcPr>
                  <w:tcW w:w="1113" w:type="dxa"/>
                  <w:tcBorders>
                    <w:tl2br w:val="nil"/>
                    <w:tr2bl w:val="nil"/>
                  </w:tcBorders>
                  <w:shd w:val="clear" w:color="auto" w:fill="FFFFFF"/>
                  <w:vAlign w:val="center"/>
                </w:tcPr>
                <w:p w14:paraId="7A103A37">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5.6Km</w:t>
                  </w:r>
                </w:p>
              </w:tc>
              <w:tc>
                <w:tcPr>
                  <w:tcW w:w="1222" w:type="dxa"/>
                  <w:tcBorders>
                    <w:tl2br w:val="nil"/>
                    <w:tr2bl w:val="nil"/>
                  </w:tcBorders>
                  <w:shd w:val="clear" w:color="auto" w:fill="FFFFFF"/>
                  <w:vAlign w:val="center"/>
                </w:tcPr>
                <w:p w14:paraId="0460040C">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工业用水区（鹿坪污水处理厂纳污河段）</w:t>
                  </w:r>
                </w:p>
              </w:tc>
              <w:tc>
                <w:tcPr>
                  <w:tcW w:w="1734" w:type="dxa"/>
                  <w:vMerge w:val="continue"/>
                  <w:tcBorders>
                    <w:tl2br w:val="nil"/>
                    <w:tr2bl w:val="nil"/>
                  </w:tcBorders>
                  <w:shd w:val="clear" w:color="auto" w:fill="FFFFFF"/>
                  <w:vAlign w:val="center"/>
                </w:tcPr>
                <w:p w14:paraId="09478F7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pPr>
                </w:p>
              </w:tc>
            </w:tr>
            <w:tr w14:paraId="45A18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vMerge w:val="continue"/>
                  <w:tcBorders>
                    <w:tl2br w:val="nil"/>
                    <w:tr2bl w:val="nil"/>
                  </w:tcBorders>
                  <w:shd w:val="clear" w:color="auto" w:fill="FFFFFF"/>
                  <w:vAlign w:val="center"/>
                </w:tcPr>
                <w:p w14:paraId="1293B8DA">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default"/>
                      <w:color w:val="0D0D0D" w:themeColor="text1" w:themeTint="F2"/>
                      <w:sz w:val="20"/>
                      <w:szCs w:val="20"/>
                      <w:u w:val="single"/>
                      <w14:textFill>
                        <w14:solidFill>
                          <w14:schemeClr w14:val="tx1">
                            <w14:lumMod w14:val="95000"/>
                            <w14:lumOff w14:val="5000"/>
                          </w14:schemeClr>
                        </w14:solidFill>
                      </w14:textFill>
                    </w:rPr>
                  </w:pPr>
                </w:p>
              </w:tc>
              <w:tc>
                <w:tcPr>
                  <w:tcW w:w="1146" w:type="dxa"/>
                  <w:tcBorders>
                    <w:tl2br w:val="nil"/>
                    <w:tr2bl w:val="nil"/>
                  </w:tcBorders>
                  <w:shd w:val="clear" w:color="auto" w:fill="FFFFFF"/>
                  <w:vAlign w:val="center"/>
                </w:tcPr>
                <w:p w14:paraId="0F6E7DD6">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愚溪河</w:t>
                  </w:r>
                </w:p>
              </w:tc>
              <w:tc>
                <w:tcPr>
                  <w:tcW w:w="1366" w:type="dxa"/>
                  <w:tcBorders>
                    <w:tl2br w:val="nil"/>
                    <w:tr2bl w:val="nil"/>
                  </w:tcBorders>
                  <w:shd w:val="clear" w:color="auto" w:fill="FFFFFF"/>
                  <w:vAlign w:val="center"/>
                </w:tcPr>
                <w:p w14:paraId="0FE0F5F2">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w:t>
                  </w:r>
                </w:p>
              </w:tc>
              <w:tc>
                <w:tcPr>
                  <w:tcW w:w="750" w:type="dxa"/>
                  <w:tcBorders>
                    <w:tl2br w:val="nil"/>
                    <w:tr2bl w:val="nil"/>
                  </w:tcBorders>
                  <w:shd w:val="clear" w:color="auto" w:fill="FFFFFF"/>
                  <w:vAlign w:val="center"/>
                </w:tcPr>
                <w:p w14:paraId="0249AD13">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南</w:t>
                  </w:r>
                </w:p>
              </w:tc>
              <w:tc>
                <w:tcPr>
                  <w:tcW w:w="1113" w:type="dxa"/>
                  <w:tcBorders>
                    <w:tl2br w:val="nil"/>
                    <w:tr2bl w:val="nil"/>
                  </w:tcBorders>
                  <w:shd w:val="clear" w:color="auto" w:fill="FFFFFF"/>
                  <w:vAlign w:val="center"/>
                </w:tcPr>
                <w:p w14:paraId="3BFCB390">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524</w:t>
                  </w: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m</w:t>
                  </w:r>
                </w:p>
              </w:tc>
              <w:tc>
                <w:tcPr>
                  <w:tcW w:w="1222" w:type="dxa"/>
                  <w:tcBorders>
                    <w:tl2br w:val="nil"/>
                    <w:tr2bl w:val="nil"/>
                  </w:tcBorders>
                  <w:shd w:val="clear" w:color="auto" w:fill="FFFFFF"/>
                  <w:vAlign w:val="center"/>
                </w:tcPr>
                <w:p w14:paraId="40564684">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农业用水</w:t>
                  </w:r>
                </w:p>
              </w:tc>
              <w:tc>
                <w:tcPr>
                  <w:tcW w:w="1734" w:type="dxa"/>
                  <w:vMerge w:val="continue"/>
                  <w:tcBorders>
                    <w:tl2br w:val="nil"/>
                    <w:tr2bl w:val="nil"/>
                  </w:tcBorders>
                  <w:shd w:val="clear" w:color="auto" w:fill="FFFFFF"/>
                  <w:vAlign w:val="center"/>
                </w:tcPr>
                <w:p w14:paraId="06B0729B">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color w:val="0D0D0D" w:themeColor="text1" w:themeTint="F2"/>
                      <w:sz w:val="20"/>
                      <w:szCs w:val="20"/>
                      <w14:textFill>
                        <w14:solidFill>
                          <w14:schemeClr w14:val="tx1">
                            <w14:lumMod w14:val="95000"/>
                            <w14:lumOff w14:val="5000"/>
                          </w14:schemeClr>
                        </w14:solidFill>
                      </w14:textFill>
                    </w:rPr>
                  </w:pPr>
                </w:p>
              </w:tc>
            </w:tr>
            <w:tr w14:paraId="78463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vMerge w:val="restart"/>
                  <w:tcBorders>
                    <w:tl2br w:val="nil"/>
                    <w:tr2bl w:val="nil"/>
                  </w:tcBorders>
                  <w:shd w:val="clear" w:color="auto" w:fill="FFFFFF"/>
                  <w:vAlign w:val="center"/>
                </w:tcPr>
                <w:p w14:paraId="6F4E053A">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bidi="ar"/>
                      <w14:textFill>
                        <w14:solidFill>
                          <w14:schemeClr w14:val="tx1">
                            <w14:lumMod w14:val="95000"/>
                            <w14:lumOff w14:val="5000"/>
                          </w14:schemeClr>
                        </w14:solidFill>
                      </w14:textFill>
                    </w:rPr>
                    <w:t>大气</w:t>
                  </w:r>
                </w:p>
                <w:p w14:paraId="2BE111D8">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环境</w:t>
                  </w:r>
                </w:p>
              </w:tc>
              <w:tc>
                <w:tcPr>
                  <w:tcW w:w="1146" w:type="dxa"/>
                  <w:tcBorders>
                    <w:tl2br w:val="nil"/>
                    <w:tr2bl w:val="nil"/>
                  </w:tcBorders>
                  <w:shd w:val="clear" w:color="auto" w:fill="FFFFFF"/>
                  <w:vAlign w:val="center"/>
                </w:tcPr>
                <w:p w14:paraId="673657BC">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D0D0D" w:themeColor="text1" w:themeTint="F2"/>
                      <w:kern w:val="0"/>
                      <w:sz w:val="21"/>
                      <w:szCs w:val="21"/>
                      <w:u w:val="single"/>
                      <w:lang w:val="en-US" w:eastAsia="zh-CN" w:bidi="ar-SA"/>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lang w:bidi="ar"/>
                      <w14:textFill>
                        <w14:solidFill>
                          <w14:schemeClr w14:val="tx1">
                            <w14:lumMod w14:val="95000"/>
                            <w14:lumOff w14:val="5000"/>
                          </w14:schemeClr>
                        </w14:solidFill>
                      </w14:textFill>
                    </w:rPr>
                    <w:t>麻蝈塘夏家</w:t>
                  </w:r>
                </w:p>
              </w:tc>
              <w:tc>
                <w:tcPr>
                  <w:tcW w:w="1366" w:type="dxa"/>
                  <w:tcBorders>
                    <w:tl2br w:val="nil"/>
                    <w:tr2bl w:val="nil"/>
                  </w:tcBorders>
                  <w:shd w:val="clear" w:color="auto" w:fill="FFFFFF"/>
                  <w:vAlign w:val="center"/>
                </w:tcPr>
                <w:p w14:paraId="77A14DFF">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D0D0D" w:themeColor="text1" w:themeTint="F2"/>
                      <w:kern w:val="0"/>
                      <w:sz w:val="21"/>
                      <w:szCs w:val="21"/>
                      <w:u w:val="single"/>
                      <w:lang w:val="en-US" w:eastAsia="zh-CN" w:bidi="ar-SA"/>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111.5</w:t>
                  </w: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67800</w:t>
                  </w: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，26.19</w:t>
                  </w: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5511</w:t>
                  </w:r>
                </w:p>
              </w:tc>
              <w:tc>
                <w:tcPr>
                  <w:tcW w:w="750" w:type="dxa"/>
                  <w:tcBorders>
                    <w:tl2br w:val="nil"/>
                    <w:tr2bl w:val="nil"/>
                  </w:tcBorders>
                  <w:shd w:val="clear" w:color="auto" w:fill="FFFFFF"/>
                  <w:vAlign w:val="center"/>
                </w:tcPr>
                <w:p w14:paraId="38DF2553">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南</w:t>
                  </w:r>
                </w:p>
              </w:tc>
              <w:tc>
                <w:tcPr>
                  <w:tcW w:w="1113" w:type="dxa"/>
                  <w:tcBorders>
                    <w:tl2br w:val="nil"/>
                    <w:tr2bl w:val="nil"/>
                  </w:tcBorders>
                  <w:shd w:val="clear" w:color="auto" w:fill="FFFFFF"/>
                  <w:vAlign w:val="center"/>
                </w:tcPr>
                <w:p w14:paraId="66776FD8">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410m</w:t>
                  </w:r>
                </w:p>
              </w:tc>
              <w:tc>
                <w:tcPr>
                  <w:tcW w:w="1222" w:type="dxa"/>
                  <w:tcBorders>
                    <w:tl2br w:val="nil"/>
                    <w:tr2bl w:val="nil"/>
                  </w:tcBorders>
                  <w:shd w:val="clear" w:color="auto" w:fill="FFFFFF"/>
                  <w:vAlign w:val="center"/>
                </w:tcPr>
                <w:p w14:paraId="318626D6">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居民，5户15人</w:t>
                  </w:r>
                </w:p>
              </w:tc>
              <w:tc>
                <w:tcPr>
                  <w:tcW w:w="1734" w:type="dxa"/>
                  <w:vMerge w:val="restart"/>
                  <w:tcBorders>
                    <w:tl2br w:val="nil"/>
                    <w:tr2bl w:val="nil"/>
                  </w:tcBorders>
                  <w:shd w:val="clear" w:color="auto" w:fill="FFFFFF"/>
                  <w:tcMar>
                    <w:top w:w="0" w:type="dxa"/>
                    <w:left w:w="0" w:type="dxa"/>
                    <w:bottom w:w="0" w:type="dxa"/>
                    <w:right w:w="0" w:type="dxa"/>
                  </w:tcMar>
                  <w:vAlign w:val="center"/>
                </w:tcPr>
                <w:p w14:paraId="019256A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t>《环境空气质量标准》（GB3095-2012）中二级</w:t>
                  </w:r>
                  <w:r>
                    <w:rPr>
                      <w:rFonts w:hint="default" w:ascii="Times New Roman" w:hAnsi="Times New Roman"/>
                      <w:color w:val="0D0D0D" w:themeColor="text1" w:themeTint="F2"/>
                      <w:sz w:val="21"/>
                      <w:szCs w:val="21"/>
                      <w:shd w:val="clear" w:color="auto" w:fill="FFFFFF"/>
                      <w:lang w:bidi="ar"/>
                      <w14:textFill>
                        <w14:solidFill>
                          <w14:schemeClr w14:val="tx1">
                            <w14:lumMod w14:val="95000"/>
                            <w14:lumOff w14:val="5000"/>
                          </w14:schemeClr>
                        </w14:solidFill>
                      </w14:textFill>
                    </w:rPr>
                    <w:t>标准</w:t>
                  </w:r>
                </w:p>
              </w:tc>
            </w:tr>
            <w:tr w14:paraId="6E865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vMerge w:val="continue"/>
                  <w:tcBorders>
                    <w:tl2br w:val="nil"/>
                    <w:tr2bl w:val="nil"/>
                  </w:tcBorders>
                  <w:shd w:val="clear" w:color="auto" w:fill="FFFFFF"/>
                  <w:vAlign w:val="center"/>
                </w:tcPr>
                <w:p w14:paraId="21E5C2BC">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textAlignment w:val="auto"/>
                    <w:rPr>
                      <w:rFonts w:hint="default"/>
                      <w:color w:val="0D0D0D" w:themeColor="text1" w:themeTint="F2"/>
                      <w:sz w:val="20"/>
                      <w:szCs w:val="20"/>
                      <w:u w:val="single"/>
                      <w14:textFill>
                        <w14:solidFill>
                          <w14:schemeClr w14:val="tx1">
                            <w14:lumMod w14:val="95000"/>
                            <w14:lumOff w14:val="5000"/>
                          </w14:schemeClr>
                        </w14:solidFill>
                      </w14:textFill>
                    </w:rPr>
                  </w:pPr>
                </w:p>
              </w:tc>
              <w:tc>
                <w:tcPr>
                  <w:tcW w:w="1146" w:type="dxa"/>
                  <w:tcBorders>
                    <w:tl2br w:val="nil"/>
                    <w:tr2bl w:val="nil"/>
                  </w:tcBorders>
                  <w:shd w:val="clear" w:color="auto" w:fill="FFFFFF"/>
                  <w:vAlign w:val="center"/>
                </w:tcPr>
                <w:p w14:paraId="24EE2319">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石山脚派出所</w:t>
                  </w:r>
                </w:p>
              </w:tc>
              <w:tc>
                <w:tcPr>
                  <w:tcW w:w="1366" w:type="dxa"/>
                  <w:tcBorders>
                    <w:tl2br w:val="nil"/>
                    <w:tr2bl w:val="nil"/>
                  </w:tcBorders>
                  <w:shd w:val="clear" w:color="auto" w:fill="FFFFFF"/>
                  <w:vAlign w:val="center"/>
                </w:tcPr>
                <w:p w14:paraId="154F2506">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u w:val="single"/>
                      <w:lang w:val="en-US"/>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111.5</w:t>
                  </w: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63810</w:t>
                  </w:r>
                  <w:r>
                    <w:rPr>
                      <w:rFonts w:hint="default" w:ascii="Times New Roman" w:hAnsi="Times New Roman"/>
                      <w:color w:val="0D0D0D" w:themeColor="text1" w:themeTint="F2"/>
                      <w:sz w:val="21"/>
                      <w:szCs w:val="21"/>
                      <w:u w:val="single"/>
                      <w:shd w:val="clear" w:color="auto" w:fill="FFFFFF"/>
                      <w:lang w:val="zh-CN" w:bidi="ar"/>
                      <w14:textFill>
                        <w14:solidFill>
                          <w14:schemeClr w14:val="tx1">
                            <w14:lumMod w14:val="95000"/>
                            <w14:lumOff w14:val="5000"/>
                          </w14:schemeClr>
                        </w14:solidFill>
                      </w14:textFill>
                    </w:rPr>
                    <w:t>，26.19</w:t>
                  </w:r>
                  <w:r>
                    <w:rPr>
                      <w:rFonts w:hint="eastAsia" w:ascii="Times New Roman" w:hAnsi="Times New Roman"/>
                      <w:color w:val="0D0D0D" w:themeColor="text1" w:themeTint="F2"/>
                      <w:sz w:val="21"/>
                      <w:szCs w:val="21"/>
                      <w:u w:val="single"/>
                      <w:shd w:val="clear" w:color="auto" w:fill="FFFFFF"/>
                      <w:lang w:val="en-US" w:eastAsia="zh-CN" w:bidi="ar"/>
                      <w14:textFill>
                        <w14:solidFill>
                          <w14:schemeClr w14:val="tx1">
                            <w14:lumMod w14:val="95000"/>
                            <w14:lumOff w14:val="5000"/>
                          </w14:schemeClr>
                        </w14:solidFill>
                      </w14:textFill>
                    </w:rPr>
                    <w:t>9236</w:t>
                  </w:r>
                </w:p>
              </w:tc>
              <w:tc>
                <w:tcPr>
                  <w:tcW w:w="750" w:type="dxa"/>
                  <w:tcBorders>
                    <w:tl2br w:val="nil"/>
                    <w:tr2bl w:val="nil"/>
                  </w:tcBorders>
                  <w:shd w:val="clear" w:color="auto" w:fill="FFFFFF"/>
                  <w:vAlign w:val="center"/>
                </w:tcPr>
                <w:p w14:paraId="17AD3EAE">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西</w:t>
                  </w:r>
                </w:p>
              </w:tc>
              <w:tc>
                <w:tcPr>
                  <w:tcW w:w="1113" w:type="dxa"/>
                  <w:tcBorders>
                    <w:tl2br w:val="nil"/>
                    <w:tr2bl w:val="nil"/>
                  </w:tcBorders>
                  <w:shd w:val="clear" w:color="auto" w:fill="FFFFFF"/>
                  <w:vAlign w:val="center"/>
                </w:tcPr>
                <w:p w14:paraId="412B0FAB">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500m</w:t>
                  </w:r>
                </w:p>
              </w:tc>
              <w:tc>
                <w:tcPr>
                  <w:tcW w:w="1222" w:type="dxa"/>
                  <w:tcBorders>
                    <w:tl2br w:val="nil"/>
                    <w:tr2bl w:val="nil"/>
                  </w:tcBorders>
                  <w:shd w:val="clear" w:color="auto" w:fill="FFFFFF"/>
                  <w:vAlign w:val="center"/>
                </w:tcPr>
                <w:p w14:paraId="4AB2D51E">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ascii="Times New Roman" w:hAnsi="Times New Roman"/>
                      <w:color w:val="0D0D0D" w:themeColor="text1" w:themeTint="F2"/>
                      <w:sz w:val="21"/>
                      <w:szCs w:val="21"/>
                      <w:u w:val="single"/>
                      <w:lang w:val="en-US" w:eastAsia="zh-CN"/>
                      <w14:textFill>
                        <w14:solidFill>
                          <w14:schemeClr w14:val="tx1">
                            <w14:lumMod w14:val="95000"/>
                            <w14:lumOff w14:val="5000"/>
                          </w14:schemeClr>
                        </w14:solidFill>
                      </w14:textFill>
                    </w:rPr>
                    <w:t>办公，约20人</w:t>
                  </w:r>
                </w:p>
              </w:tc>
              <w:tc>
                <w:tcPr>
                  <w:tcW w:w="1734" w:type="dxa"/>
                  <w:vMerge w:val="continue"/>
                  <w:tcBorders>
                    <w:tl2br w:val="nil"/>
                    <w:tr2bl w:val="nil"/>
                  </w:tcBorders>
                  <w:shd w:val="clear" w:color="auto" w:fill="FFFFFF"/>
                  <w:vAlign w:val="center"/>
                </w:tcPr>
                <w:p w14:paraId="1E308744">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color w:val="0D0D0D" w:themeColor="text1" w:themeTint="F2"/>
                      <w:sz w:val="20"/>
                      <w:szCs w:val="20"/>
                      <w14:textFill>
                        <w14:solidFill>
                          <w14:schemeClr w14:val="tx1">
                            <w14:lumMod w14:val="95000"/>
                            <w14:lumOff w14:val="5000"/>
                          </w14:schemeClr>
                        </w14:solidFill>
                      </w14:textFill>
                    </w:rPr>
                  </w:pPr>
                </w:p>
              </w:tc>
            </w:tr>
            <w:tr w14:paraId="730AC2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Borders>
                    <w:tl2br w:val="nil"/>
                    <w:tr2bl w:val="nil"/>
                  </w:tcBorders>
                  <w:shd w:val="clear" w:color="auto" w:fill="FFFFFF"/>
                  <w:vAlign w:val="center"/>
                </w:tcPr>
                <w:p w14:paraId="3BE01D96">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14:textFill>
                        <w14:solidFill>
                          <w14:schemeClr w14:val="tx1">
                            <w14:lumMod w14:val="95000"/>
                            <w14:lumOff w14:val="5000"/>
                          </w14:schemeClr>
                        </w14:solidFill>
                      </w14:textFill>
                    </w:rPr>
                    <w:t>地下水环境</w:t>
                  </w:r>
                </w:p>
              </w:tc>
              <w:tc>
                <w:tcPr>
                  <w:tcW w:w="5597" w:type="dxa"/>
                  <w:gridSpan w:val="5"/>
                  <w:tcBorders>
                    <w:tl2br w:val="nil"/>
                    <w:tr2bl w:val="nil"/>
                  </w:tcBorders>
                  <w:shd w:val="clear" w:color="auto" w:fill="FFFFFF"/>
                  <w:vAlign w:val="center"/>
                </w:tcPr>
                <w:p w14:paraId="456B7B8C">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color w:val="0D0D0D" w:themeColor="text1" w:themeTint="F2"/>
                      <w:szCs w:val="21"/>
                      <w14:textFill>
                        <w14:solidFill>
                          <w14:schemeClr w14:val="tx1">
                            <w14:lumMod w14:val="95000"/>
                            <w14:lumOff w14:val="5000"/>
                          </w14:schemeClr>
                        </w14:solidFill>
                      </w14:textFill>
                    </w:rPr>
                  </w:pPr>
                  <w:r>
                    <w:rPr>
                      <w:rFonts w:hint="default"/>
                      <w:color w:val="0D0D0D" w:themeColor="text1" w:themeTint="F2"/>
                      <w:sz w:val="21"/>
                      <w:szCs w:val="21"/>
                      <w:lang w:bidi="ar"/>
                      <w14:textFill>
                        <w14:solidFill>
                          <w14:schemeClr w14:val="tx1">
                            <w14:lumMod w14:val="95000"/>
                            <w14:lumOff w14:val="5000"/>
                          </w14:schemeClr>
                        </w14:solidFill>
                      </w14:textFill>
                    </w:rPr>
                    <w:t>本项目厂界外500m范围内无地下水集中式饮用水水源和热水、矿泉水、温泉等特殊地下水资源</w:t>
                  </w:r>
                </w:p>
              </w:tc>
              <w:tc>
                <w:tcPr>
                  <w:tcW w:w="1734" w:type="dxa"/>
                  <w:tcBorders>
                    <w:tl2br w:val="nil"/>
                    <w:tr2bl w:val="nil"/>
                  </w:tcBorders>
                  <w:shd w:val="clear" w:color="auto" w:fill="FFFFFF"/>
                  <w:vAlign w:val="center"/>
                </w:tcPr>
                <w:p w14:paraId="4759F45B">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14:textFill>
                        <w14:solidFill>
                          <w14:schemeClr w14:val="tx1">
                            <w14:lumMod w14:val="95000"/>
                            <w14:lumOff w14:val="5000"/>
                          </w14:schemeClr>
                        </w14:solidFill>
                      </w14:textFill>
                    </w:rPr>
                    <w:t>地下水质量标准(GB/T14848-2017)Ⅲ类标准</w:t>
                  </w:r>
                </w:p>
              </w:tc>
            </w:tr>
            <w:tr w14:paraId="327F8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705" w:type="dxa"/>
                  <w:tcBorders>
                    <w:tl2br w:val="nil"/>
                    <w:tr2bl w:val="nil"/>
                  </w:tcBorders>
                  <w:shd w:val="clear" w:color="auto" w:fill="FFFFFF"/>
                  <w:vAlign w:val="center"/>
                </w:tcPr>
                <w:p w14:paraId="43015BEA">
                  <w:pPr>
                    <w:pStyle w:val="14"/>
                    <w:keepNext w:val="0"/>
                    <w:keepLines w:val="0"/>
                    <w:pageBreakBefore w:val="0"/>
                    <w:widowControl w:val="0"/>
                    <w:suppressLineNumbers w:val="0"/>
                    <w:shd w:val="clear" w:color="auto" w:fill="FFFFFF"/>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shd w:val="clear" w:color="auto" w:fill="FFFFFF"/>
                      <w:lang w:val="zh-CN" w:bidi="ar"/>
                      <w14:textFill>
                        <w14:solidFill>
                          <w14:schemeClr w14:val="tx1">
                            <w14:lumMod w14:val="95000"/>
                            <w14:lumOff w14:val="5000"/>
                          </w14:schemeClr>
                        </w14:solidFill>
                      </w14:textFill>
                    </w:rPr>
                    <w:t>声环境</w:t>
                  </w:r>
                </w:p>
              </w:tc>
              <w:tc>
                <w:tcPr>
                  <w:tcW w:w="5597" w:type="dxa"/>
                  <w:gridSpan w:val="5"/>
                  <w:tcBorders>
                    <w:tl2br w:val="nil"/>
                    <w:tr2bl w:val="nil"/>
                  </w:tcBorders>
                  <w:shd w:val="clear" w:color="auto" w:fill="FFFFFF"/>
                  <w:vAlign w:val="center"/>
                </w:tcPr>
                <w:p w14:paraId="4FF000AA">
                  <w:pPr>
                    <w:keepNext w:val="0"/>
                    <w:keepLines w:val="0"/>
                    <w:pageBreakBefore w:val="0"/>
                    <w:widowControl w:val="0"/>
                    <w:suppressLineNumbers w:val="0"/>
                    <w:kinsoku/>
                    <w:wordWrap/>
                    <w:overflowPunct/>
                    <w:topLinePunct w:val="0"/>
                    <w:bidi w:val="0"/>
                    <w:adjustRightInd/>
                    <w:snapToGrid/>
                    <w:spacing w:before="0" w:beforeAutospacing="0" w:after="0" w:afterAutospacing="0" w:line="240" w:lineRule="auto"/>
                    <w:ind w:left="0" w:right="0" w:firstLine="0" w:firstLineChars="0"/>
                    <w:jc w:val="center"/>
                    <w:textAlignment w:val="auto"/>
                    <w:rPr>
                      <w:rFonts w:hint="default"/>
                      <w:color w:val="0D0D0D" w:themeColor="text1" w:themeTint="F2"/>
                      <w:kern w:val="0"/>
                      <w:szCs w:val="21"/>
                      <w:shd w:val="clear" w:color="auto" w:fill="FFFFFF"/>
                      <w:lang w:bidi="ar"/>
                      <w14:textFill>
                        <w14:solidFill>
                          <w14:schemeClr w14:val="tx1">
                            <w14:lumMod w14:val="95000"/>
                            <w14:lumOff w14:val="5000"/>
                          </w14:schemeClr>
                        </w14:solidFill>
                      </w14:textFill>
                    </w:rPr>
                  </w:pPr>
                  <w:r>
                    <w:rPr>
                      <w:rFonts w:hint="default"/>
                      <w:color w:val="0D0D0D" w:themeColor="text1" w:themeTint="F2"/>
                      <w:kern w:val="0"/>
                      <w:sz w:val="21"/>
                      <w:szCs w:val="21"/>
                      <w:shd w:val="clear" w:color="auto" w:fill="FFFFFF"/>
                      <w:lang w:val="zh-CN" w:bidi="ar"/>
                      <w14:textFill>
                        <w14:solidFill>
                          <w14:schemeClr w14:val="tx1">
                            <w14:lumMod w14:val="95000"/>
                            <w14:lumOff w14:val="5000"/>
                          </w14:schemeClr>
                        </w14:solidFill>
                      </w14:textFill>
                    </w:rPr>
                    <w:t>厂界</w:t>
                  </w:r>
                  <w:r>
                    <w:rPr>
                      <w:rFonts w:hint="default"/>
                      <w:color w:val="0D0D0D" w:themeColor="text1" w:themeTint="F2"/>
                      <w:kern w:val="0"/>
                      <w:sz w:val="21"/>
                      <w:szCs w:val="21"/>
                      <w:shd w:val="clear" w:color="auto" w:fill="FFFFFF"/>
                      <w:lang w:bidi="ar"/>
                      <w14:textFill>
                        <w14:solidFill>
                          <w14:schemeClr w14:val="tx1">
                            <w14:lumMod w14:val="95000"/>
                            <w14:lumOff w14:val="5000"/>
                          </w14:schemeClr>
                        </w14:solidFill>
                      </w14:textFill>
                    </w:rPr>
                    <w:t>50</w:t>
                  </w:r>
                  <w:r>
                    <w:rPr>
                      <w:rFonts w:hint="default"/>
                      <w:color w:val="0D0D0D" w:themeColor="text1" w:themeTint="F2"/>
                      <w:kern w:val="0"/>
                      <w:sz w:val="21"/>
                      <w:szCs w:val="21"/>
                      <w:shd w:val="clear" w:color="auto" w:fill="FFFFFF"/>
                      <w:lang w:val="zh-CN" w:bidi="ar"/>
                      <w14:textFill>
                        <w14:solidFill>
                          <w14:schemeClr w14:val="tx1">
                            <w14:lumMod w14:val="95000"/>
                            <w14:lumOff w14:val="5000"/>
                          </w14:schemeClr>
                        </w14:solidFill>
                      </w14:textFill>
                    </w:rPr>
                    <w:t>m范围内</w:t>
                  </w:r>
                  <w:r>
                    <w:rPr>
                      <w:rFonts w:hint="default"/>
                      <w:color w:val="0D0D0D" w:themeColor="text1" w:themeTint="F2"/>
                      <w:kern w:val="0"/>
                      <w:sz w:val="21"/>
                      <w:szCs w:val="21"/>
                      <w:shd w:val="clear" w:color="auto" w:fill="FFFFFF"/>
                      <w:lang w:bidi="ar"/>
                      <w14:textFill>
                        <w14:solidFill>
                          <w14:schemeClr w14:val="tx1">
                            <w14:lumMod w14:val="95000"/>
                            <w14:lumOff w14:val="5000"/>
                          </w14:schemeClr>
                        </w14:solidFill>
                      </w14:textFill>
                    </w:rPr>
                    <w:t>无</w:t>
                  </w:r>
                  <w:r>
                    <w:rPr>
                      <w:rFonts w:hint="default"/>
                      <w:color w:val="0D0D0D" w:themeColor="text1" w:themeTint="F2"/>
                      <w:sz w:val="21"/>
                      <w:szCs w:val="21"/>
                      <w:lang w:bidi="ar"/>
                      <w14:textFill>
                        <w14:solidFill>
                          <w14:schemeClr w14:val="tx1">
                            <w14:lumMod w14:val="95000"/>
                            <w14:lumOff w14:val="5000"/>
                          </w14:schemeClr>
                        </w14:solidFill>
                      </w14:textFill>
                    </w:rPr>
                    <w:t>保护目标</w:t>
                  </w:r>
                </w:p>
              </w:tc>
              <w:tc>
                <w:tcPr>
                  <w:tcW w:w="1734" w:type="dxa"/>
                  <w:tcBorders>
                    <w:tl2br w:val="nil"/>
                    <w:tr2bl w:val="nil"/>
                  </w:tcBorders>
                  <w:shd w:val="clear" w:color="auto" w:fill="FFFFFF"/>
                  <w:vAlign w:val="center"/>
                </w:tcPr>
                <w:p w14:paraId="1DBB9241">
                  <w:pPr>
                    <w:pStyle w:val="1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olor w:val="0D0D0D" w:themeColor="text1" w:themeTint="F2"/>
                      <w:sz w:val="21"/>
                      <w:szCs w:val="21"/>
                      <w:shd w:val="clear" w:color="auto" w:fill="FFFFFF"/>
                      <w:lang w:bidi="ar"/>
                      <w14:textFill>
                        <w14:solidFill>
                          <w14:schemeClr w14:val="tx1">
                            <w14:lumMod w14:val="95000"/>
                            <w14:lumOff w14:val="5000"/>
                          </w14:schemeClr>
                        </w14:solidFill>
                      </w14:textFill>
                    </w:rPr>
                  </w:pPr>
                  <w:r>
                    <w:rPr>
                      <w:rFonts w:hint="default" w:ascii="Times New Roman" w:hAnsi="Times New Roman"/>
                      <w:color w:val="0D0D0D" w:themeColor="text1" w:themeTint="F2"/>
                      <w:sz w:val="21"/>
                      <w:szCs w:val="21"/>
                      <w:lang w:bidi="ar"/>
                      <w14:textFill>
                        <w14:solidFill>
                          <w14:schemeClr w14:val="tx1">
                            <w14:lumMod w14:val="95000"/>
                            <w14:lumOff w14:val="5000"/>
                          </w14:schemeClr>
                        </w14:solidFill>
                      </w14:textFill>
                    </w:rPr>
                    <w:t>《工业企业厂界环境噪声排放标准》（GB12348-2008）中的3类标准</w:t>
                  </w:r>
                </w:p>
              </w:tc>
            </w:tr>
          </w:tbl>
          <w:p w14:paraId="663E95A7">
            <w:pPr>
              <w:keepNext w:val="0"/>
              <w:keepLines w:val="0"/>
              <w:suppressLineNumbers w:val="0"/>
              <w:adjustRightInd w:val="0"/>
              <w:snapToGrid w:val="0"/>
              <w:spacing w:before="0" w:beforeAutospacing="0" w:after="0" w:afterAutospacing="0"/>
              <w:ind w:left="0" w:right="0" w:firstLine="0" w:firstLineChars="0"/>
              <w:rPr>
                <w:rFonts w:hint="default"/>
                <w:color w:val="0D0D0D" w:themeColor="text1" w:themeTint="F2"/>
                <w:kern w:val="0"/>
                <w:szCs w:val="21"/>
                <w14:textFill>
                  <w14:solidFill>
                    <w14:schemeClr w14:val="tx1">
                      <w14:lumMod w14:val="95000"/>
                      <w14:lumOff w14:val="5000"/>
                    </w14:schemeClr>
                  </w14:solidFill>
                </w14:textFill>
              </w:rPr>
            </w:pPr>
          </w:p>
        </w:tc>
      </w:tr>
      <w:tr w14:paraId="0262CD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10" w:hRule="atLeast"/>
          <w:jc w:val="center"/>
        </w:trPr>
        <w:tc>
          <w:tcPr>
            <w:tcW w:w="800" w:type="dxa"/>
            <w:tcMar>
              <w:left w:w="51" w:type="dxa"/>
              <w:right w:w="51" w:type="dxa"/>
            </w:tcMar>
            <w:vAlign w:val="center"/>
          </w:tcPr>
          <w:p w14:paraId="3DF32224">
            <w:pPr>
              <w:keepNext w:val="0"/>
              <w:keepLines w:val="0"/>
              <w:suppressLineNumbers w:val="0"/>
              <w:adjustRightInd w:val="0"/>
              <w:snapToGrid w:val="0"/>
              <w:spacing w:before="0" w:beforeAutospacing="0" w:after="0" w:afterAutospacing="0"/>
              <w:ind w:left="0" w:right="24" w:rightChars="10" w:firstLine="0" w:firstLineChars="0"/>
              <w:jc w:val="center"/>
              <w:rPr>
                <w:rFonts w:hint="default"/>
                <w:b/>
                <w:bCs/>
                <w:color w:val="0D0D0D" w:themeColor="text1" w:themeTint="F2"/>
                <w:kern w:val="0"/>
                <w:szCs w:val="21"/>
                <w14:textFill>
                  <w14:solidFill>
                    <w14:schemeClr w14:val="tx1">
                      <w14:lumMod w14:val="95000"/>
                      <w14:lumOff w14:val="5000"/>
                    </w14:schemeClr>
                  </w14:solidFill>
                </w14:textFill>
              </w:rPr>
            </w:pPr>
            <w:r>
              <w:rPr>
                <w:rFonts w:hint="default"/>
                <w:b/>
                <w:bCs/>
                <w:color w:val="0D0D0D" w:themeColor="text1" w:themeTint="F2"/>
                <w:kern w:val="0"/>
                <w:szCs w:val="21"/>
                <w14:textFill>
                  <w14:solidFill>
                    <w14:schemeClr w14:val="tx1">
                      <w14:lumMod w14:val="95000"/>
                      <w14:lumOff w14:val="5000"/>
                    </w14:schemeClr>
                  </w14:solidFill>
                </w14:textFill>
              </w:rPr>
              <w:t>污染物排放控制标准</w:t>
            </w:r>
          </w:p>
        </w:tc>
        <w:tc>
          <w:tcPr>
            <w:tcW w:w="8119" w:type="dxa"/>
            <w:vAlign w:val="center"/>
          </w:tcPr>
          <w:p w14:paraId="33718763">
            <w:pPr>
              <w:keepNext w:val="0"/>
              <w:keepLines w:val="0"/>
              <w:suppressLineNumbers w:val="0"/>
              <w:spacing w:before="0" w:beforeAutospacing="0" w:after="0" w:afterAutospacing="0"/>
              <w:ind w:left="0" w:right="0" w:firstLine="482"/>
              <w:rPr>
                <w:rFonts w:hint="default"/>
                <w:b/>
                <w:bCs/>
                <w:color w:val="0D0D0D" w:themeColor="text1" w:themeTint="F2"/>
                <w14:textFill>
                  <w14:solidFill>
                    <w14:schemeClr w14:val="tx1">
                      <w14:lumMod w14:val="95000"/>
                      <w14:lumOff w14:val="5000"/>
                    </w14:schemeClr>
                  </w14:solidFill>
                </w14:textFill>
              </w:rPr>
            </w:pPr>
            <w:r>
              <w:rPr>
                <w:rFonts w:hint="default"/>
                <w:b/>
                <w:bCs/>
                <w:color w:val="0D0D0D" w:themeColor="text1" w:themeTint="F2"/>
                <w14:textFill>
                  <w14:solidFill>
                    <w14:schemeClr w14:val="tx1">
                      <w14:lumMod w14:val="95000"/>
                      <w14:lumOff w14:val="5000"/>
                    </w14:schemeClr>
                  </w14:solidFill>
                </w14:textFill>
              </w:rPr>
              <w:t>一、施工期</w:t>
            </w:r>
          </w:p>
          <w:p w14:paraId="25639F4F">
            <w:pPr>
              <w:keepNext w:val="0"/>
              <w:keepLines w:val="0"/>
              <w:suppressLineNumbers w:val="0"/>
              <w:spacing w:before="0" w:beforeAutospacing="0" w:after="0" w:afterAutospacing="0"/>
              <w:ind w:left="0" w:right="0" w:firstLine="480"/>
              <w:rPr>
                <w:rFonts w:hint="default"/>
                <w:b/>
                <w:bCs/>
                <w:color w:val="0D0D0D" w:themeColor="text1" w:themeTint="F2"/>
                <w14:textFill>
                  <w14:solidFill>
                    <w14:schemeClr w14:val="tx1">
                      <w14:lumMod w14:val="95000"/>
                      <w14:lumOff w14:val="5000"/>
                    </w14:schemeClr>
                  </w14:solidFill>
                </w14:textFill>
              </w:rPr>
            </w:pPr>
            <w:r>
              <w:rPr>
                <w:rFonts w:hint="default"/>
                <w:color w:val="0D0D0D" w:themeColor="text1" w:themeTint="F2"/>
                <w14:textFill>
                  <w14:solidFill>
                    <w14:schemeClr w14:val="tx1">
                      <w14:lumMod w14:val="95000"/>
                      <w14:lumOff w14:val="5000"/>
                    </w14:schemeClr>
                  </w14:solidFill>
                </w14:textFill>
              </w:rPr>
              <w:t>本项目厂区建筑物为新建钢架结构标准厂房，施工期仅进行设备安装调试，对周围环境影响很小。因此，</w:t>
            </w:r>
            <w:r>
              <w:rPr>
                <w:rFonts w:hint="eastAsia"/>
                <w:color w:val="0D0D0D" w:themeColor="text1" w:themeTint="F2"/>
                <w:lang w:val="en-US" w:eastAsia="zh-CN"/>
                <w14:textFill>
                  <w14:solidFill>
                    <w14:schemeClr w14:val="tx1">
                      <w14:lumMod w14:val="95000"/>
                      <w14:lumOff w14:val="5000"/>
                    </w14:schemeClr>
                  </w14:solidFill>
                </w14:textFill>
              </w:rPr>
              <w:t>本次环评不再对施工期进行分析</w:t>
            </w:r>
            <w:r>
              <w:rPr>
                <w:rFonts w:hint="default"/>
                <w:color w:val="0D0D0D" w:themeColor="text1" w:themeTint="F2"/>
                <w14:textFill>
                  <w14:solidFill>
                    <w14:schemeClr w14:val="tx1">
                      <w14:lumMod w14:val="95000"/>
                      <w14:lumOff w14:val="5000"/>
                    </w14:schemeClr>
                  </w14:solidFill>
                </w14:textFill>
              </w:rPr>
              <w:t>。</w:t>
            </w:r>
          </w:p>
          <w:p w14:paraId="79E351F8">
            <w:pPr>
              <w:keepNext w:val="0"/>
              <w:keepLines w:val="0"/>
              <w:suppressLineNumbers w:val="0"/>
              <w:spacing w:before="0" w:beforeAutospacing="0" w:after="0" w:afterAutospacing="0"/>
              <w:ind w:left="0" w:right="0" w:firstLine="482"/>
              <w:rPr>
                <w:rFonts w:hint="default"/>
                <w:b/>
                <w:bCs/>
                <w:color w:val="0D0D0D" w:themeColor="text1" w:themeTint="F2"/>
                <w14:textFill>
                  <w14:solidFill>
                    <w14:schemeClr w14:val="tx1">
                      <w14:lumMod w14:val="95000"/>
                      <w14:lumOff w14:val="5000"/>
                    </w14:schemeClr>
                  </w14:solidFill>
                </w14:textFill>
              </w:rPr>
            </w:pPr>
            <w:r>
              <w:rPr>
                <w:rFonts w:hint="default"/>
                <w:b/>
                <w:bCs/>
                <w:color w:val="0D0D0D" w:themeColor="text1" w:themeTint="F2"/>
                <w14:textFill>
                  <w14:solidFill>
                    <w14:schemeClr w14:val="tx1">
                      <w14:lumMod w14:val="95000"/>
                      <w14:lumOff w14:val="5000"/>
                    </w14:schemeClr>
                  </w14:solidFill>
                </w14:textFill>
              </w:rPr>
              <w:t>二、营运期</w:t>
            </w:r>
          </w:p>
          <w:p w14:paraId="20CC80BF">
            <w:pPr>
              <w:keepNext w:val="0"/>
              <w:keepLines w:val="0"/>
              <w:suppressLineNumbers w:val="0"/>
              <w:spacing w:before="0" w:beforeAutospacing="0" w:after="0" w:afterAutospacing="0"/>
              <w:ind w:left="0" w:right="0" w:firstLine="482"/>
              <w:rPr>
                <w:rFonts w:hint="default"/>
                <w:b/>
                <w:bCs/>
                <w:color w:val="0D0D0D" w:themeColor="text1" w:themeTint="F2"/>
                <w14:textFill>
                  <w14:solidFill>
                    <w14:schemeClr w14:val="tx1">
                      <w14:lumMod w14:val="95000"/>
                      <w14:lumOff w14:val="5000"/>
                    </w14:schemeClr>
                  </w14:solidFill>
                </w14:textFill>
              </w:rPr>
            </w:pPr>
            <w:r>
              <w:rPr>
                <w:rFonts w:hint="default"/>
                <w:b/>
                <w:bCs/>
                <w:color w:val="0D0D0D" w:themeColor="text1" w:themeTint="F2"/>
                <w14:textFill>
                  <w14:solidFill>
                    <w14:schemeClr w14:val="tx1">
                      <w14:lumMod w14:val="95000"/>
                      <w14:lumOff w14:val="5000"/>
                    </w14:schemeClr>
                  </w14:solidFill>
                </w14:textFill>
              </w:rPr>
              <w:t>1、大气污染物排放标准</w:t>
            </w:r>
          </w:p>
          <w:p w14:paraId="6073D75B">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项目工艺废气排放的非甲烷总烃</w:t>
            </w:r>
            <w:r>
              <w:rPr>
                <w:rFonts w:hint="eastAsia"/>
                <w:color w:val="0D0D0D" w:themeColor="text1" w:themeTint="F2"/>
                <w:u w:val="single"/>
                <w:lang w:val="en-US" w:eastAsia="zh-CN"/>
                <w14:textFill>
                  <w14:solidFill>
                    <w14:schemeClr w14:val="tx1">
                      <w14:lumMod w14:val="95000"/>
                      <w14:lumOff w14:val="5000"/>
                    </w14:schemeClr>
                  </w14:solidFill>
                </w14:textFill>
              </w:rPr>
              <w:t>参照</w:t>
            </w:r>
            <w:r>
              <w:rPr>
                <w:rFonts w:hint="default"/>
                <w:color w:val="0D0D0D" w:themeColor="text1" w:themeTint="F2"/>
                <w:u w:val="single"/>
                <w14:textFill>
                  <w14:solidFill>
                    <w14:schemeClr w14:val="tx1">
                      <w14:lumMod w14:val="95000"/>
                      <w14:lumOff w14:val="5000"/>
                    </w14:schemeClr>
                  </w14:solidFill>
                </w14:textFill>
              </w:rPr>
              <w:t>执行《合成树脂工业污染物排放标准》（GB31572</w:t>
            </w:r>
            <w:r>
              <w:rPr>
                <w:rFonts w:hint="eastAsia"/>
                <w:color w:val="0D0D0D" w:themeColor="text1" w:themeTint="F2"/>
                <w:u w:val="single"/>
                <w:lang w:eastAsia="zh-CN"/>
                <w14:textFill>
                  <w14:solidFill>
                    <w14:schemeClr w14:val="tx1">
                      <w14:lumMod w14:val="95000"/>
                      <w14:lumOff w14:val="5000"/>
                    </w14:schemeClr>
                  </w14:solidFill>
                </w14:textFill>
              </w:rPr>
              <w:t>-</w:t>
            </w:r>
            <w:r>
              <w:rPr>
                <w:rFonts w:hint="default"/>
                <w:color w:val="0D0D0D" w:themeColor="text1" w:themeTint="F2"/>
                <w:u w:val="single"/>
                <w14:textFill>
                  <w14:solidFill>
                    <w14:schemeClr w14:val="tx1">
                      <w14:lumMod w14:val="95000"/>
                      <w14:lumOff w14:val="5000"/>
                    </w14:schemeClr>
                  </w14:solidFill>
                </w14:textFill>
              </w:rPr>
              <w:t>2015）表 4 中排放限值，见表3-4；厂区内非甲烷总烃无组织排放执行《挥发性有机物无组织排放控制标准》（GB37822-2019）中表 A.1 的相应规定，见表3-5。</w:t>
            </w:r>
          </w:p>
          <w:p w14:paraId="5719B232">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表3-4  大气污染物排放执行标准</w:t>
            </w:r>
          </w:p>
          <w:tbl>
            <w:tblPr>
              <w:tblStyle w:val="17"/>
              <w:tblW w:w="8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90"/>
              <w:gridCol w:w="990"/>
              <w:gridCol w:w="890"/>
              <w:gridCol w:w="850"/>
              <w:gridCol w:w="1120"/>
              <w:gridCol w:w="900"/>
              <w:gridCol w:w="860"/>
              <w:gridCol w:w="880"/>
            </w:tblGrid>
            <w:tr w14:paraId="5DA26F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29" w:type="dxa"/>
                  <w:vMerge w:val="restart"/>
                  <w:tcBorders>
                    <w:tl2br w:val="nil"/>
                    <w:tr2bl w:val="nil"/>
                  </w:tcBorders>
                  <w:tcMar>
                    <w:top w:w="0" w:type="dxa"/>
                    <w:left w:w="0" w:type="dxa"/>
                    <w:bottom w:w="0" w:type="dxa"/>
                    <w:right w:w="0" w:type="dxa"/>
                  </w:tcMar>
                  <w:vAlign w:val="center"/>
                </w:tcPr>
                <w:p w14:paraId="0FD616D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污染物名称</w:t>
                  </w:r>
                </w:p>
              </w:tc>
              <w:tc>
                <w:tcPr>
                  <w:tcW w:w="790" w:type="dxa"/>
                  <w:vMerge w:val="restart"/>
                  <w:tcBorders>
                    <w:tl2br w:val="nil"/>
                    <w:tr2bl w:val="nil"/>
                  </w:tcBorders>
                  <w:tcMar>
                    <w:top w:w="0" w:type="dxa"/>
                    <w:left w:w="0" w:type="dxa"/>
                    <w:bottom w:w="0" w:type="dxa"/>
                    <w:right w:w="0" w:type="dxa"/>
                  </w:tcMar>
                  <w:vAlign w:val="center"/>
                </w:tcPr>
                <w:p w14:paraId="2336CE1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污染源产生位置</w:t>
                  </w:r>
                </w:p>
              </w:tc>
              <w:tc>
                <w:tcPr>
                  <w:tcW w:w="990" w:type="dxa"/>
                  <w:vMerge w:val="restart"/>
                  <w:tcBorders>
                    <w:tl2br w:val="nil"/>
                    <w:tr2bl w:val="nil"/>
                  </w:tcBorders>
                  <w:tcMar>
                    <w:top w:w="0" w:type="dxa"/>
                    <w:left w:w="0" w:type="dxa"/>
                    <w:bottom w:w="0" w:type="dxa"/>
                    <w:right w:w="0" w:type="dxa"/>
                  </w:tcMar>
                  <w:vAlign w:val="center"/>
                </w:tcPr>
                <w:p w14:paraId="088CDA4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最高允许排放浓度（mg/m³）</w:t>
                  </w:r>
                </w:p>
              </w:tc>
              <w:tc>
                <w:tcPr>
                  <w:tcW w:w="890" w:type="dxa"/>
                  <w:vMerge w:val="restart"/>
                  <w:tcBorders>
                    <w:tl2br w:val="nil"/>
                    <w:tr2bl w:val="nil"/>
                  </w:tcBorders>
                  <w:tcMar>
                    <w:top w:w="0" w:type="dxa"/>
                    <w:left w:w="0" w:type="dxa"/>
                    <w:bottom w:w="0" w:type="dxa"/>
                    <w:right w:w="0" w:type="dxa"/>
                  </w:tcMar>
                  <w:vAlign w:val="center"/>
                </w:tcPr>
                <w:p w14:paraId="1E9E25F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最高允许排放速率（kg/h)</w:t>
                  </w:r>
                </w:p>
              </w:tc>
              <w:tc>
                <w:tcPr>
                  <w:tcW w:w="850" w:type="dxa"/>
                  <w:vMerge w:val="restart"/>
                  <w:tcBorders>
                    <w:tl2br w:val="nil"/>
                    <w:tr2bl w:val="nil"/>
                  </w:tcBorders>
                  <w:tcMar>
                    <w:top w:w="0" w:type="dxa"/>
                    <w:left w:w="0" w:type="dxa"/>
                    <w:bottom w:w="0" w:type="dxa"/>
                    <w:right w:w="0" w:type="dxa"/>
                  </w:tcMar>
                  <w:vAlign w:val="center"/>
                </w:tcPr>
                <w:p w14:paraId="3424391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最高允许排放量（kg/t产品）</w:t>
                  </w:r>
                </w:p>
              </w:tc>
              <w:tc>
                <w:tcPr>
                  <w:tcW w:w="1120" w:type="dxa"/>
                  <w:vMerge w:val="restart"/>
                  <w:tcBorders>
                    <w:tl2br w:val="nil"/>
                    <w:tr2bl w:val="nil"/>
                  </w:tcBorders>
                  <w:tcMar>
                    <w:top w:w="0" w:type="dxa"/>
                    <w:left w:w="0" w:type="dxa"/>
                    <w:bottom w:w="0" w:type="dxa"/>
                    <w:right w:w="0" w:type="dxa"/>
                  </w:tcMar>
                  <w:vAlign w:val="center"/>
                </w:tcPr>
                <w:p w14:paraId="6CAF33E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排气筒高度（m)</w:t>
                  </w:r>
                </w:p>
              </w:tc>
              <w:tc>
                <w:tcPr>
                  <w:tcW w:w="2640" w:type="dxa"/>
                  <w:gridSpan w:val="3"/>
                  <w:tcBorders>
                    <w:tl2br w:val="nil"/>
                    <w:tr2bl w:val="nil"/>
                  </w:tcBorders>
                  <w:tcMar>
                    <w:top w:w="0" w:type="dxa"/>
                    <w:left w:w="0" w:type="dxa"/>
                    <w:bottom w:w="0" w:type="dxa"/>
                    <w:right w:w="0" w:type="dxa"/>
                  </w:tcMar>
                  <w:vAlign w:val="center"/>
                </w:tcPr>
                <w:p w14:paraId="1867B54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无组织排放监控浓度限值（mg/m³）</w:t>
                  </w:r>
                </w:p>
              </w:tc>
            </w:tr>
            <w:tr w14:paraId="4CD32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9" w:type="dxa"/>
                  <w:vMerge w:val="continue"/>
                  <w:tcBorders>
                    <w:tl2br w:val="nil"/>
                    <w:tr2bl w:val="nil"/>
                  </w:tcBorders>
                  <w:tcMar>
                    <w:top w:w="0" w:type="dxa"/>
                    <w:left w:w="0" w:type="dxa"/>
                    <w:bottom w:w="0" w:type="dxa"/>
                    <w:right w:w="0" w:type="dxa"/>
                  </w:tcMar>
                  <w:vAlign w:val="center"/>
                </w:tcPr>
                <w:p w14:paraId="3B904AB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790" w:type="dxa"/>
                  <w:vMerge w:val="continue"/>
                  <w:tcBorders>
                    <w:tl2br w:val="nil"/>
                    <w:tr2bl w:val="nil"/>
                  </w:tcBorders>
                  <w:tcMar>
                    <w:top w:w="0" w:type="dxa"/>
                    <w:left w:w="0" w:type="dxa"/>
                    <w:bottom w:w="0" w:type="dxa"/>
                    <w:right w:w="0" w:type="dxa"/>
                  </w:tcMar>
                  <w:vAlign w:val="center"/>
                </w:tcPr>
                <w:p w14:paraId="298F5D3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990" w:type="dxa"/>
                  <w:vMerge w:val="continue"/>
                  <w:tcBorders>
                    <w:tl2br w:val="nil"/>
                    <w:tr2bl w:val="nil"/>
                  </w:tcBorders>
                  <w:tcMar>
                    <w:top w:w="0" w:type="dxa"/>
                    <w:left w:w="0" w:type="dxa"/>
                    <w:bottom w:w="0" w:type="dxa"/>
                    <w:right w:w="0" w:type="dxa"/>
                  </w:tcMar>
                  <w:vAlign w:val="center"/>
                </w:tcPr>
                <w:p w14:paraId="7BF8082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890" w:type="dxa"/>
                  <w:vMerge w:val="continue"/>
                  <w:tcBorders>
                    <w:tl2br w:val="nil"/>
                    <w:tr2bl w:val="nil"/>
                  </w:tcBorders>
                  <w:tcMar>
                    <w:top w:w="0" w:type="dxa"/>
                    <w:left w:w="0" w:type="dxa"/>
                    <w:bottom w:w="0" w:type="dxa"/>
                    <w:right w:w="0" w:type="dxa"/>
                  </w:tcMar>
                  <w:vAlign w:val="center"/>
                </w:tcPr>
                <w:p w14:paraId="755DC61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850" w:type="dxa"/>
                  <w:vMerge w:val="continue"/>
                  <w:tcBorders>
                    <w:tl2br w:val="nil"/>
                    <w:tr2bl w:val="nil"/>
                  </w:tcBorders>
                  <w:tcMar>
                    <w:top w:w="0" w:type="dxa"/>
                    <w:left w:w="0" w:type="dxa"/>
                    <w:bottom w:w="0" w:type="dxa"/>
                    <w:right w:w="0" w:type="dxa"/>
                  </w:tcMar>
                  <w:vAlign w:val="center"/>
                </w:tcPr>
                <w:p w14:paraId="2984446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p>
              </w:tc>
              <w:tc>
                <w:tcPr>
                  <w:tcW w:w="1120" w:type="dxa"/>
                  <w:vMerge w:val="continue"/>
                  <w:tcBorders>
                    <w:tl2br w:val="nil"/>
                    <w:tr2bl w:val="nil"/>
                  </w:tcBorders>
                  <w:tcMar>
                    <w:top w:w="0" w:type="dxa"/>
                    <w:left w:w="0" w:type="dxa"/>
                    <w:bottom w:w="0" w:type="dxa"/>
                    <w:right w:w="0" w:type="dxa"/>
                  </w:tcMar>
                  <w:vAlign w:val="center"/>
                </w:tcPr>
                <w:p w14:paraId="52420A1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p>
              </w:tc>
              <w:tc>
                <w:tcPr>
                  <w:tcW w:w="900" w:type="dxa"/>
                  <w:tcBorders>
                    <w:tl2br w:val="nil"/>
                    <w:tr2bl w:val="nil"/>
                  </w:tcBorders>
                  <w:tcMar>
                    <w:top w:w="0" w:type="dxa"/>
                    <w:left w:w="0" w:type="dxa"/>
                    <w:bottom w:w="0" w:type="dxa"/>
                    <w:right w:w="0" w:type="dxa"/>
                  </w:tcMar>
                  <w:vAlign w:val="center"/>
                </w:tcPr>
                <w:p w14:paraId="4A8A4EA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企业边界</w:t>
                  </w:r>
                </w:p>
              </w:tc>
              <w:tc>
                <w:tcPr>
                  <w:tcW w:w="860" w:type="dxa"/>
                  <w:tcBorders>
                    <w:tl2br w:val="nil"/>
                    <w:tr2bl w:val="nil"/>
                  </w:tcBorders>
                  <w:tcMar>
                    <w:top w:w="0" w:type="dxa"/>
                    <w:left w:w="0" w:type="dxa"/>
                    <w:bottom w:w="0" w:type="dxa"/>
                    <w:right w:w="0" w:type="dxa"/>
                  </w:tcMar>
                  <w:vAlign w:val="center"/>
                </w:tcPr>
                <w:p w14:paraId="36F73F6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厂区内均值</w:t>
                  </w:r>
                </w:p>
              </w:tc>
              <w:tc>
                <w:tcPr>
                  <w:tcW w:w="880" w:type="dxa"/>
                  <w:tcBorders>
                    <w:tl2br w:val="nil"/>
                    <w:tr2bl w:val="nil"/>
                  </w:tcBorders>
                  <w:tcMar>
                    <w:top w:w="0" w:type="dxa"/>
                    <w:left w:w="0" w:type="dxa"/>
                    <w:bottom w:w="0" w:type="dxa"/>
                    <w:right w:w="0" w:type="dxa"/>
                  </w:tcMar>
                  <w:vAlign w:val="center"/>
                </w:tcPr>
                <w:p w14:paraId="4647D56A">
                  <w:pPr>
                    <w:keepNext w:val="0"/>
                    <w:keepLines w:val="0"/>
                    <w:suppressLineNumbers w:val="0"/>
                    <w:spacing w:before="0" w:beforeAutospacing="0" w:after="0" w:afterAutospacing="0" w:line="240" w:lineRule="auto"/>
                    <w:ind w:left="0" w:right="0" w:firstLine="0" w:firstLineChars="0"/>
                    <w:jc w:val="left"/>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厂区内任意一次值</w:t>
                  </w:r>
                </w:p>
              </w:tc>
            </w:tr>
            <w:tr w14:paraId="3076C6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9" w:type="dxa"/>
                  <w:vMerge w:val="restart"/>
                  <w:tcBorders>
                    <w:tl2br w:val="nil"/>
                    <w:tr2bl w:val="nil"/>
                  </w:tcBorders>
                  <w:tcMar>
                    <w:top w:w="0" w:type="dxa"/>
                    <w:left w:w="0" w:type="dxa"/>
                    <w:bottom w:w="0" w:type="dxa"/>
                    <w:right w:w="0" w:type="dxa"/>
                  </w:tcMar>
                  <w:vAlign w:val="center"/>
                </w:tcPr>
                <w:p w14:paraId="5BA09F6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非甲烷总烃</w:t>
                  </w:r>
                </w:p>
              </w:tc>
              <w:tc>
                <w:tcPr>
                  <w:tcW w:w="790" w:type="dxa"/>
                  <w:tcBorders>
                    <w:tl2br w:val="nil"/>
                    <w:tr2bl w:val="nil"/>
                  </w:tcBorders>
                  <w:tcMar>
                    <w:top w:w="0" w:type="dxa"/>
                    <w:left w:w="0" w:type="dxa"/>
                    <w:bottom w:w="0" w:type="dxa"/>
                    <w:right w:w="0" w:type="dxa"/>
                  </w:tcMar>
                  <w:vAlign w:val="center"/>
                </w:tcPr>
                <w:p w14:paraId="3C108DE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厂房一</w:t>
                  </w:r>
                </w:p>
              </w:tc>
              <w:tc>
                <w:tcPr>
                  <w:tcW w:w="990" w:type="dxa"/>
                  <w:tcBorders>
                    <w:tl2br w:val="nil"/>
                    <w:tr2bl w:val="nil"/>
                  </w:tcBorders>
                  <w:tcMar>
                    <w:top w:w="0" w:type="dxa"/>
                    <w:left w:w="0" w:type="dxa"/>
                    <w:bottom w:w="0" w:type="dxa"/>
                    <w:right w:w="0" w:type="dxa"/>
                  </w:tcMar>
                  <w:vAlign w:val="center"/>
                </w:tcPr>
                <w:p w14:paraId="621FF1E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60</w:t>
                  </w:r>
                </w:p>
              </w:tc>
              <w:tc>
                <w:tcPr>
                  <w:tcW w:w="890" w:type="dxa"/>
                  <w:tcBorders>
                    <w:tl2br w:val="nil"/>
                    <w:tr2bl w:val="nil"/>
                  </w:tcBorders>
                  <w:tcMar>
                    <w:top w:w="0" w:type="dxa"/>
                    <w:left w:w="0" w:type="dxa"/>
                    <w:bottom w:w="0" w:type="dxa"/>
                    <w:right w:w="0" w:type="dxa"/>
                  </w:tcMar>
                  <w:vAlign w:val="center"/>
                </w:tcPr>
                <w:p w14:paraId="7E907D8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850" w:type="dxa"/>
                  <w:tcBorders>
                    <w:tl2br w:val="nil"/>
                    <w:tr2bl w:val="nil"/>
                  </w:tcBorders>
                  <w:tcMar>
                    <w:top w:w="0" w:type="dxa"/>
                    <w:left w:w="0" w:type="dxa"/>
                    <w:bottom w:w="0" w:type="dxa"/>
                    <w:right w:w="0" w:type="dxa"/>
                  </w:tcMar>
                  <w:vAlign w:val="center"/>
                </w:tcPr>
                <w:p w14:paraId="082D07A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0.5</w:t>
                  </w:r>
                </w:p>
              </w:tc>
              <w:tc>
                <w:tcPr>
                  <w:tcW w:w="1120" w:type="dxa"/>
                  <w:tcBorders>
                    <w:tl2br w:val="nil"/>
                    <w:tr2bl w:val="nil"/>
                  </w:tcBorders>
                  <w:tcMar>
                    <w:top w:w="0" w:type="dxa"/>
                    <w:left w:w="0" w:type="dxa"/>
                    <w:bottom w:w="0" w:type="dxa"/>
                    <w:right w:w="0" w:type="dxa"/>
                  </w:tcMar>
                  <w:vAlign w:val="center"/>
                </w:tcPr>
                <w:p w14:paraId="428C4B1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15</w:t>
                  </w:r>
                </w:p>
              </w:tc>
              <w:tc>
                <w:tcPr>
                  <w:tcW w:w="900" w:type="dxa"/>
                  <w:tcBorders>
                    <w:tl2br w:val="nil"/>
                    <w:tr2bl w:val="nil"/>
                  </w:tcBorders>
                  <w:tcMar>
                    <w:top w:w="0" w:type="dxa"/>
                    <w:left w:w="0" w:type="dxa"/>
                    <w:bottom w:w="0" w:type="dxa"/>
                    <w:right w:w="0" w:type="dxa"/>
                  </w:tcMar>
                  <w:vAlign w:val="center"/>
                </w:tcPr>
                <w:p w14:paraId="1B29A9F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4.0</w:t>
                  </w:r>
                </w:p>
              </w:tc>
              <w:tc>
                <w:tcPr>
                  <w:tcW w:w="860" w:type="dxa"/>
                  <w:vMerge w:val="restart"/>
                  <w:tcBorders>
                    <w:tl2br w:val="nil"/>
                    <w:tr2bl w:val="nil"/>
                  </w:tcBorders>
                  <w:tcMar>
                    <w:top w:w="0" w:type="dxa"/>
                    <w:left w:w="0" w:type="dxa"/>
                    <w:bottom w:w="0" w:type="dxa"/>
                    <w:right w:w="0" w:type="dxa"/>
                  </w:tcMar>
                  <w:vAlign w:val="center"/>
                </w:tcPr>
                <w:p w14:paraId="286B39A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10</w:t>
                  </w:r>
                </w:p>
              </w:tc>
              <w:tc>
                <w:tcPr>
                  <w:tcW w:w="880" w:type="dxa"/>
                  <w:vMerge w:val="restart"/>
                  <w:tcBorders>
                    <w:tl2br w:val="nil"/>
                    <w:tr2bl w:val="nil"/>
                  </w:tcBorders>
                  <w:tcMar>
                    <w:top w:w="0" w:type="dxa"/>
                    <w:left w:w="0" w:type="dxa"/>
                    <w:bottom w:w="0" w:type="dxa"/>
                    <w:right w:w="0" w:type="dxa"/>
                  </w:tcMar>
                  <w:vAlign w:val="center"/>
                </w:tcPr>
                <w:p w14:paraId="3490C23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30</w:t>
                  </w:r>
                </w:p>
              </w:tc>
            </w:tr>
            <w:tr w14:paraId="449EE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29" w:type="dxa"/>
                  <w:vMerge w:val="continue"/>
                  <w:tcBorders>
                    <w:tl2br w:val="nil"/>
                    <w:tr2bl w:val="nil"/>
                  </w:tcBorders>
                  <w:tcMar>
                    <w:top w:w="0" w:type="dxa"/>
                    <w:left w:w="0" w:type="dxa"/>
                    <w:bottom w:w="0" w:type="dxa"/>
                    <w:right w:w="0" w:type="dxa"/>
                  </w:tcMar>
                  <w:vAlign w:val="center"/>
                </w:tcPr>
                <w:p w14:paraId="57B9D52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790" w:type="dxa"/>
                  <w:tcBorders>
                    <w:tl2br w:val="nil"/>
                    <w:tr2bl w:val="nil"/>
                  </w:tcBorders>
                  <w:tcMar>
                    <w:top w:w="0" w:type="dxa"/>
                    <w:left w:w="0" w:type="dxa"/>
                    <w:bottom w:w="0" w:type="dxa"/>
                    <w:right w:w="0" w:type="dxa"/>
                  </w:tcMar>
                  <w:vAlign w:val="center"/>
                </w:tcPr>
                <w:p w14:paraId="0F33F4D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厂房二</w:t>
                  </w:r>
                </w:p>
              </w:tc>
              <w:tc>
                <w:tcPr>
                  <w:tcW w:w="990" w:type="dxa"/>
                  <w:tcBorders>
                    <w:tl2br w:val="nil"/>
                    <w:tr2bl w:val="nil"/>
                  </w:tcBorders>
                  <w:tcMar>
                    <w:top w:w="0" w:type="dxa"/>
                    <w:left w:w="0" w:type="dxa"/>
                    <w:bottom w:w="0" w:type="dxa"/>
                    <w:right w:w="0" w:type="dxa"/>
                  </w:tcMar>
                  <w:vAlign w:val="center"/>
                </w:tcPr>
                <w:p w14:paraId="5744BF9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60</w:t>
                  </w:r>
                </w:p>
              </w:tc>
              <w:tc>
                <w:tcPr>
                  <w:tcW w:w="890" w:type="dxa"/>
                  <w:tcBorders>
                    <w:tl2br w:val="nil"/>
                    <w:tr2bl w:val="nil"/>
                  </w:tcBorders>
                  <w:tcMar>
                    <w:top w:w="0" w:type="dxa"/>
                    <w:left w:w="0" w:type="dxa"/>
                    <w:bottom w:w="0" w:type="dxa"/>
                    <w:right w:w="0" w:type="dxa"/>
                  </w:tcMar>
                  <w:vAlign w:val="center"/>
                </w:tcPr>
                <w:p w14:paraId="0377A5E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850" w:type="dxa"/>
                  <w:tcBorders>
                    <w:tl2br w:val="nil"/>
                    <w:tr2bl w:val="nil"/>
                  </w:tcBorders>
                  <w:tcMar>
                    <w:top w:w="0" w:type="dxa"/>
                    <w:left w:w="0" w:type="dxa"/>
                    <w:bottom w:w="0" w:type="dxa"/>
                    <w:right w:w="0" w:type="dxa"/>
                  </w:tcMar>
                  <w:vAlign w:val="center"/>
                </w:tcPr>
                <w:p w14:paraId="20246DC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0.5</w:t>
                  </w:r>
                </w:p>
              </w:tc>
              <w:tc>
                <w:tcPr>
                  <w:tcW w:w="1120" w:type="dxa"/>
                  <w:tcBorders>
                    <w:tl2br w:val="nil"/>
                    <w:tr2bl w:val="nil"/>
                  </w:tcBorders>
                  <w:tcMar>
                    <w:top w:w="0" w:type="dxa"/>
                    <w:left w:w="0" w:type="dxa"/>
                    <w:bottom w:w="0" w:type="dxa"/>
                    <w:right w:w="0" w:type="dxa"/>
                  </w:tcMar>
                  <w:vAlign w:val="center"/>
                </w:tcPr>
                <w:p w14:paraId="3094437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15</w:t>
                  </w:r>
                </w:p>
              </w:tc>
              <w:tc>
                <w:tcPr>
                  <w:tcW w:w="900" w:type="dxa"/>
                  <w:tcBorders>
                    <w:tl2br w:val="nil"/>
                    <w:tr2bl w:val="nil"/>
                  </w:tcBorders>
                  <w:tcMar>
                    <w:top w:w="0" w:type="dxa"/>
                    <w:left w:w="0" w:type="dxa"/>
                    <w:bottom w:w="0" w:type="dxa"/>
                    <w:right w:w="0" w:type="dxa"/>
                  </w:tcMar>
                  <w:vAlign w:val="center"/>
                </w:tcPr>
                <w:p w14:paraId="42EDBDD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4</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w:t>
                  </w:r>
                  <w:r>
                    <w:rPr>
                      <w:rFonts w:hint="default"/>
                      <w:color w:val="0D0D0D" w:themeColor="text1" w:themeTint="F2"/>
                      <w:sz w:val="21"/>
                      <w:szCs w:val="21"/>
                      <w:u w:val="single"/>
                      <w14:textFill>
                        <w14:solidFill>
                          <w14:schemeClr w14:val="tx1">
                            <w14:lumMod w14:val="95000"/>
                            <w14:lumOff w14:val="5000"/>
                          </w14:schemeClr>
                        </w14:solidFill>
                      </w14:textFill>
                    </w:rPr>
                    <w:t>0</w:t>
                  </w:r>
                </w:p>
              </w:tc>
              <w:tc>
                <w:tcPr>
                  <w:tcW w:w="860" w:type="dxa"/>
                  <w:vMerge w:val="continue"/>
                  <w:tcBorders>
                    <w:tl2br w:val="nil"/>
                    <w:tr2bl w:val="nil"/>
                  </w:tcBorders>
                  <w:tcMar>
                    <w:top w:w="0" w:type="dxa"/>
                    <w:left w:w="0" w:type="dxa"/>
                    <w:bottom w:w="0" w:type="dxa"/>
                    <w:right w:w="0" w:type="dxa"/>
                  </w:tcMar>
                </w:tcPr>
                <w:p w14:paraId="3599D4FA">
                  <w:pPr>
                    <w:keepNext w:val="0"/>
                    <w:keepLines w:val="0"/>
                    <w:suppressLineNumbers w:val="0"/>
                    <w:spacing w:before="0" w:beforeAutospacing="0" w:after="0" w:afterAutospacing="0"/>
                    <w:ind w:left="0" w:right="0" w:firstLine="480"/>
                    <w:rPr>
                      <w:rFonts w:hint="default"/>
                      <w:color w:val="0D0D0D" w:themeColor="text1" w:themeTint="F2"/>
                      <w14:textFill>
                        <w14:solidFill>
                          <w14:schemeClr w14:val="tx1">
                            <w14:lumMod w14:val="95000"/>
                            <w14:lumOff w14:val="5000"/>
                          </w14:schemeClr>
                        </w14:solidFill>
                      </w14:textFill>
                    </w:rPr>
                  </w:pPr>
                </w:p>
              </w:tc>
              <w:tc>
                <w:tcPr>
                  <w:tcW w:w="880" w:type="dxa"/>
                  <w:vMerge w:val="continue"/>
                  <w:tcBorders>
                    <w:tl2br w:val="nil"/>
                    <w:tr2bl w:val="nil"/>
                  </w:tcBorders>
                  <w:tcMar>
                    <w:top w:w="0" w:type="dxa"/>
                    <w:left w:w="0" w:type="dxa"/>
                    <w:bottom w:w="0" w:type="dxa"/>
                    <w:right w:w="0" w:type="dxa"/>
                  </w:tcMar>
                </w:tcPr>
                <w:p w14:paraId="698C40CD">
                  <w:pPr>
                    <w:keepNext w:val="0"/>
                    <w:keepLines w:val="0"/>
                    <w:suppressLineNumbers w:val="0"/>
                    <w:spacing w:before="0" w:beforeAutospacing="0" w:after="0" w:afterAutospacing="0"/>
                    <w:ind w:left="0" w:right="0" w:firstLine="480"/>
                    <w:rPr>
                      <w:rFonts w:hint="default"/>
                      <w:color w:val="0D0D0D" w:themeColor="text1" w:themeTint="F2"/>
                      <w14:textFill>
                        <w14:solidFill>
                          <w14:schemeClr w14:val="tx1">
                            <w14:lumMod w14:val="95000"/>
                            <w14:lumOff w14:val="5000"/>
                          </w14:schemeClr>
                        </w14:solidFill>
                      </w14:textFill>
                    </w:rPr>
                  </w:pPr>
                </w:p>
              </w:tc>
            </w:tr>
          </w:tbl>
          <w:p w14:paraId="1FB72D8B">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14:textFill>
                  <w14:solidFill>
                    <w14:schemeClr w14:val="tx1">
                      <w14:lumMod w14:val="95000"/>
                      <w14:lumOff w14:val="5000"/>
                    </w14:schemeClr>
                  </w14:solidFill>
                </w14:textFill>
              </w:rPr>
            </w:pPr>
          </w:p>
          <w:p w14:paraId="515AE52B">
            <w:pPr>
              <w:keepNext w:val="0"/>
              <w:keepLines w:val="0"/>
              <w:widowControl/>
              <w:suppressLineNumbers w:val="0"/>
              <w:spacing w:before="0" w:beforeAutospacing="0" w:after="0" w:afterAutospacing="0"/>
              <w:ind w:left="0" w:right="0" w:firstLine="482"/>
              <w:jc w:val="left"/>
              <w:rPr>
                <w:rFonts w:hint="default"/>
                <w:b/>
                <w:bCs/>
                <w:color w:val="0D0D0D" w:themeColor="text1" w:themeTint="F2"/>
                <w14:textFill>
                  <w14:solidFill>
                    <w14:schemeClr w14:val="tx1">
                      <w14:lumMod w14:val="95000"/>
                      <w14:lumOff w14:val="5000"/>
                    </w14:schemeClr>
                  </w14:solidFill>
                </w14:textFill>
              </w:rPr>
            </w:pPr>
            <w:r>
              <w:rPr>
                <w:rFonts w:hint="default"/>
                <w:b/>
                <w:bCs/>
                <w:color w:val="0D0D0D" w:themeColor="text1" w:themeTint="F2"/>
                <w:kern w:val="0"/>
                <w:lang w:bidi="ar"/>
                <w14:textFill>
                  <w14:solidFill>
                    <w14:schemeClr w14:val="tx1">
                      <w14:lumMod w14:val="95000"/>
                      <w14:lumOff w14:val="5000"/>
                    </w14:schemeClr>
                  </w14:solidFill>
                </w14:textFill>
              </w:rPr>
              <w:t>2、废水</w:t>
            </w:r>
          </w:p>
          <w:p w14:paraId="27167AE3">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本项目无生产废水产生外排，项目生活污水经厂房化粪池处理达标后可排入市政污水管网送往生活污水执行《污水综合排放标准》（GB8978-1996）表4中三级标准；符合零陵区鹿坪污水处理厂接管标准。</w:t>
            </w:r>
          </w:p>
          <w:p w14:paraId="24752F42">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b/>
                <w:bCs/>
                <w:color w:val="0D0D0D" w:themeColor="text1" w:themeTint="F2"/>
                <w:kern w:val="0"/>
                <w:sz w:val="21"/>
                <w:szCs w:val="21"/>
                <w:lang w:bidi="ar"/>
                <w14:textFill>
                  <w14:solidFill>
                    <w14:schemeClr w14:val="tx1">
                      <w14:lumMod w14:val="95000"/>
                      <w14:lumOff w14:val="5000"/>
                    </w14:schemeClr>
                  </w14:solidFill>
                </w14:textFill>
              </w:rPr>
              <w:t>表3-5  污水综合排放标准(摘录)</w:t>
            </w:r>
          </w:p>
          <w:tbl>
            <w:tblPr>
              <w:tblStyle w:val="17"/>
              <w:tblW w:w="80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2293"/>
              <w:gridCol w:w="4420"/>
            </w:tblGrid>
            <w:tr w14:paraId="2E6459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18" w:type="dxa"/>
                  <w:tcBorders>
                    <w:tl2br w:val="nil"/>
                    <w:tr2bl w:val="nil"/>
                  </w:tcBorders>
                  <w:vAlign w:val="center"/>
                </w:tcPr>
                <w:p w14:paraId="3EA2B3D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lang w:bidi="ar"/>
                      <w14:textFill>
                        <w14:solidFill>
                          <w14:schemeClr w14:val="tx1">
                            <w14:lumMod w14:val="95000"/>
                            <w14:lumOff w14:val="5000"/>
                          </w14:schemeClr>
                        </w14:solidFill>
                      </w14:textFill>
                    </w:rPr>
                  </w:pPr>
                  <w:r>
                    <w:rPr>
                      <w:rFonts w:hint="default"/>
                      <w:b/>
                      <w:bCs/>
                      <w:color w:val="0D0D0D" w:themeColor="text1" w:themeTint="F2"/>
                      <w:kern w:val="0"/>
                      <w:sz w:val="21"/>
                      <w:szCs w:val="21"/>
                      <w:lang w:bidi="ar"/>
                      <w14:textFill>
                        <w14:solidFill>
                          <w14:schemeClr w14:val="tx1">
                            <w14:lumMod w14:val="95000"/>
                            <w14:lumOff w14:val="5000"/>
                          </w14:schemeClr>
                        </w14:solidFill>
                      </w14:textFill>
                    </w:rPr>
                    <w:t>项目</w:t>
                  </w:r>
                </w:p>
              </w:tc>
              <w:tc>
                <w:tcPr>
                  <w:tcW w:w="2293" w:type="dxa"/>
                  <w:tcBorders>
                    <w:tl2br w:val="nil"/>
                    <w:tr2bl w:val="nil"/>
                  </w:tcBorders>
                  <w:vAlign w:val="center"/>
                </w:tcPr>
                <w:p w14:paraId="02D945A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lang w:bidi="ar"/>
                      <w14:textFill>
                        <w14:solidFill>
                          <w14:schemeClr w14:val="tx1">
                            <w14:lumMod w14:val="95000"/>
                            <w14:lumOff w14:val="5000"/>
                          </w14:schemeClr>
                        </w14:solidFill>
                      </w14:textFill>
                    </w:rPr>
                  </w:pPr>
                  <w:r>
                    <w:rPr>
                      <w:rFonts w:hint="default"/>
                      <w:b/>
                      <w:bCs/>
                      <w:color w:val="0D0D0D" w:themeColor="text1" w:themeTint="F2"/>
                      <w:kern w:val="0"/>
                      <w:sz w:val="21"/>
                      <w:szCs w:val="21"/>
                      <w:lang w:bidi="ar"/>
                      <w14:textFill>
                        <w14:solidFill>
                          <w14:schemeClr w14:val="tx1">
                            <w14:lumMod w14:val="95000"/>
                            <w14:lumOff w14:val="5000"/>
                          </w14:schemeClr>
                        </w14:solidFill>
                      </w14:textFill>
                    </w:rPr>
                    <w:t>浓度限值（mg/</w:t>
                  </w:r>
                  <w:r>
                    <w:rPr>
                      <w:rFonts w:hint="eastAsia"/>
                      <w:b/>
                      <w:bCs/>
                      <w:color w:val="0D0D0D" w:themeColor="text1" w:themeTint="F2"/>
                      <w:kern w:val="0"/>
                      <w:sz w:val="21"/>
                      <w:szCs w:val="21"/>
                      <w:lang w:val="en-US" w:eastAsia="zh-CN" w:bidi="ar"/>
                      <w14:textFill>
                        <w14:solidFill>
                          <w14:schemeClr w14:val="tx1">
                            <w14:lumMod w14:val="95000"/>
                            <w14:lumOff w14:val="5000"/>
                          </w14:schemeClr>
                        </w14:solidFill>
                      </w14:textFill>
                    </w:rPr>
                    <w:t>l</w:t>
                  </w:r>
                  <w:r>
                    <w:rPr>
                      <w:rFonts w:hint="default"/>
                      <w:b/>
                      <w:bCs/>
                      <w:color w:val="0D0D0D" w:themeColor="text1" w:themeTint="F2"/>
                      <w:kern w:val="0"/>
                      <w:sz w:val="21"/>
                      <w:szCs w:val="21"/>
                      <w:lang w:bidi="ar"/>
                      <w14:textFill>
                        <w14:solidFill>
                          <w14:schemeClr w14:val="tx1">
                            <w14:lumMod w14:val="95000"/>
                            <w14:lumOff w14:val="5000"/>
                          </w14:schemeClr>
                        </w14:solidFill>
                      </w14:textFill>
                    </w:rPr>
                    <w:t>）</w:t>
                  </w:r>
                </w:p>
              </w:tc>
              <w:tc>
                <w:tcPr>
                  <w:tcW w:w="4420" w:type="dxa"/>
                  <w:tcBorders>
                    <w:tl2br w:val="nil"/>
                    <w:tr2bl w:val="nil"/>
                  </w:tcBorders>
                  <w:vAlign w:val="center"/>
                </w:tcPr>
                <w:p w14:paraId="6451BA4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lang w:bidi="ar"/>
                      <w14:textFill>
                        <w14:solidFill>
                          <w14:schemeClr w14:val="tx1">
                            <w14:lumMod w14:val="95000"/>
                            <w14:lumOff w14:val="5000"/>
                          </w14:schemeClr>
                        </w14:solidFill>
                      </w14:textFill>
                    </w:rPr>
                  </w:pPr>
                  <w:r>
                    <w:rPr>
                      <w:rFonts w:hint="default"/>
                      <w:b/>
                      <w:bCs/>
                      <w:color w:val="0D0D0D" w:themeColor="text1" w:themeTint="F2"/>
                      <w:kern w:val="0"/>
                      <w:sz w:val="21"/>
                      <w:szCs w:val="21"/>
                      <w:lang w:bidi="ar"/>
                      <w14:textFill>
                        <w14:solidFill>
                          <w14:schemeClr w14:val="tx1">
                            <w14:lumMod w14:val="95000"/>
                            <w14:lumOff w14:val="5000"/>
                          </w14:schemeClr>
                        </w14:solidFill>
                      </w14:textFill>
                    </w:rPr>
                    <w:t>标准来源</w:t>
                  </w:r>
                </w:p>
              </w:tc>
            </w:tr>
            <w:tr w14:paraId="38BF3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18" w:type="dxa"/>
                  <w:tcBorders>
                    <w:tl2br w:val="nil"/>
                    <w:tr2bl w:val="nil"/>
                  </w:tcBorders>
                  <w:vAlign w:val="center"/>
                </w:tcPr>
                <w:p w14:paraId="5ABF638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COD</w:t>
                  </w:r>
                </w:p>
              </w:tc>
              <w:tc>
                <w:tcPr>
                  <w:tcW w:w="2293" w:type="dxa"/>
                  <w:tcBorders>
                    <w:tl2br w:val="nil"/>
                    <w:tr2bl w:val="nil"/>
                  </w:tcBorders>
                  <w:vAlign w:val="center"/>
                </w:tcPr>
                <w:p w14:paraId="7B5A15F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500</w:t>
                  </w:r>
                </w:p>
              </w:tc>
              <w:tc>
                <w:tcPr>
                  <w:tcW w:w="4420" w:type="dxa"/>
                  <w:vMerge w:val="restart"/>
                  <w:tcBorders>
                    <w:tl2br w:val="nil"/>
                    <w:tr2bl w:val="nil"/>
                  </w:tcBorders>
                  <w:vAlign w:val="center"/>
                </w:tcPr>
                <w:p w14:paraId="4A0ABD5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《污水综合排放标准》</w:t>
                  </w:r>
                </w:p>
                <w:p w14:paraId="190D92A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(GB8978-1996)表4三级标准限值</w:t>
                  </w:r>
                </w:p>
              </w:tc>
            </w:tr>
            <w:tr w14:paraId="42A858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18" w:type="dxa"/>
                  <w:tcBorders>
                    <w:tl2br w:val="nil"/>
                    <w:tr2bl w:val="nil"/>
                  </w:tcBorders>
                  <w:vAlign w:val="center"/>
                </w:tcPr>
                <w:p w14:paraId="19F7ECE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SS</w:t>
                  </w:r>
                </w:p>
              </w:tc>
              <w:tc>
                <w:tcPr>
                  <w:tcW w:w="2293" w:type="dxa"/>
                  <w:tcBorders>
                    <w:tl2br w:val="nil"/>
                    <w:tr2bl w:val="nil"/>
                  </w:tcBorders>
                  <w:vAlign w:val="center"/>
                </w:tcPr>
                <w:p w14:paraId="574885C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400</w:t>
                  </w:r>
                </w:p>
              </w:tc>
              <w:tc>
                <w:tcPr>
                  <w:tcW w:w="4420" w:type="dxa"/>
                  <w:vMerge w:val="continue"/>
                  <w:tcBorders>
                    <w:tl2br w:val="nil"/>
                    <w:tr2bl w:val="nil"/>
                  </w:tcBorders>
                  <w:vAlign w:val="center"/>
                </w:tcPr>
                <w:p w14:paraId="1441FD8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p>
              </w:tc>
            </w:tr>
            <w:tr w14:paraId="4D799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18" w:type="dxa"/>
                  <w:tcBorders>
                    <w:tl2br w:val="nil"/>
                    <w:tr2bl w:val="nil"/>
                  </w:tcBorders>
                  <w:vAlign w:val="center"/>
                </w:tcPr>
                <w:p w14:paraId="4F56DC6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BOD</w:t>
                  </w:r>
                  <w:r>
                    <w:rPr>
                      <w:rFonts w:hint="default"/>
                      <w:color w:val="0D0D0D" w:themeColor="text1" w:themeTint="F2"/>
                      <w:kern w:val="0"/>
                      <w:sz w:val="21"/>
                      <w:szCs w:val="21"/>
                      <w:vertAlign w:val="subscript"/>
                      <w:lang w:bidi="ar"/>
                      <w14:textFill>
                        <w14:solidFill>
                          <w14:schemeClr w14:val="tx1">
                            <w14:lumMod w14:val="95000"/>
                            <w14:lumOff w14:val="5000"/>
                          </w14:schemeClr>
                        </w14:solidFill>
                      </w14:textFill>
                    </w:rPr>
                    <w:t>5</w:t>
                  </w:r>
                </w:p>
              </w:tc>
              <w:tc>
                <w:tcPr>
                  <w:tcW w:w="2293" w:type="dxa"/>
                  <w:tcBorders>
                    <w:tl2br w:val="nil"/>
                    <w:tr2bl w:val="nil"/>
                  </w:tcBorders>
                  <w:vAlign w:val="center"/>
                </w:tcPr>
                <w:p w14:paraId="5252D32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300</w:t>
                  </w:r>
                </w:p>
              </w:tc>
              <w:tc>
                <w:tcPr>
                  <w:tcW w:w="4420" w:type="dxa"/>
                  <w:vMerge w:val="continue"/>
                  <w:tcBorders>
                    <w:tl2br w:val="nil"/>
                    <w:tr2bl w:val="nil"/>
                  </w:tcBorders>
                  <w:vAlign w:val="center"/>
                </w:tcPr>
                <w:p w14:paraId="4E7A862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p>
              </w:tc>
            </w:tr>
            <w:tr w14:paraId="48336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18" w:type="dxa"/>
                  <w:tcBorders>
                    <w:tl2br w:val="nil"/>
                    <w:tr2bl w:val="nil"/>
                  </w:tcBorders>
                  <w:vAlign w:val="center"/>
                </w:tcPr>
                <w:p w14:paraId="4DE1F11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pH</w:t>
                  </w:r>
                </w:p>
              </w:tc>
              <w:tc>
                <w:tcPr>
                  <w:tcW w:w="2293" w:type="dxa"/>
                  <w:tcBorders>
                    <w:tl2br w:val="nil"/>
                    <w:tr2bl w:val="nil"/>
                  </w:tcBorders>
                  <w:vAlign w:val="center"/>
                </w:tcPr>
                <w:p w14:paraId="6FEBEE0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6-9</w:t>
                  </w:r>
                </w:p>
              </w:tc>
              <w:tc>
                <w:tcPr>
                  <w:tcW w:w="4420" w:type="dxa"/>
                  <w:vMerge w:val="continue"/>
                  <w:tcBorders>
                    <w:tl2br w:val="nil"/>
                    <w:tr2bl w:val="nil"/>
                  </w:tcBorders>
                  <w:vAlign w:val="center"/>
                </w:tcPr>
                <w:p w14:paraId="491866F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p>
              </w:tc>
            </w:tr>
            <w:tr w14:paraId="205A1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18" w:type="dxa"/>
                  <w:tcBorders>
                    <w:tl2br w:val="nil"/>
                    <w:tr2bl w:val="nil"/>
                  </w:tcBorders>
                  <w:vAlign w:val="center"/>
                </w:tcPr>
                <w:p w14:paraId="762506A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NH</w:t>
                  </w:r>
                  <w:r>
                    <w:rPr>
                      <w:rFonts w:hint="default"/>
                      <w:color w:val="0D0D0D" w:themeColor="text1" w:themeTint="F2"/>
                      <w:kern w:val="0"/>
                      <w:sz w:val="21"/>
                      <w:szCs w:val="21"/>
                      <w:vertAlign w:val="subscript"/>
                      <w:lang w:bidi="ar"/>
                      <w14:textFill>
                        <w14:solidFill>
                          <w14:schemeClr w14:val="tx1">
                            <w14:lumMod w14:val="95000"/>
                            <w14:lumOff w14:val="5000"/>
                          </w14:schemeClr>
                        </w14:solidFill>
                      </w14:textFill>
                    </w:rPr>
                    <w:t>3</w:t>
                  </w:r>
                  <w:r>
                    <w:rPr>
                      <w:rFonts w:hint="default"/>
                      <w:color w:val="0D0D0D" w:themeColor="text1" w:themeTint="F2"/>
                      <w:kern w:val="0"/>
                      <w:sz w:val="21"/>
                      <w:szCs w:val="21"/>
                      <w:lang w:bidi="ar"/>
                      <w14:textFill>
                        <w14:solidFill>
                          <w14:schemeClr w14:val="tx1">
                            <w14:lumMod w14:val="95000"/>
                            <w14:lumOff w14:val="5000"/>
                          </w14:schemeClr>
                        </w14:solidFill>
                      </w14:textFill>
                    </w:rPr>
                    <w:t>-N</w:t>
                  </w:r>
                </w:p>
              </w:tc>
              <w:tc>
                <w:tcPr>
                  <w:tcW w:w="2293" w:type="dxa"/>
                  <w:tcBorders>
                    <w:tl2br w:val="nil"/>
                    <w:tr2bl w:val="nil"/>
                  </w:tcBorders>
                  <w:vAlign w:val="center"/>
                </w:tcPr>
                <w:p w14:paraId="057DB4D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45</w:t>
                  </w:r>
                </w:p>
              </w:tc>
              <w:tc>
                <w:tcPr>
                  <w:tcW w:w="4420" w:type="dxa"/>
                  <w:vMerge w:val="continue"/>
                  <w:tcBorders>
                    <w:tl2br w:val="nil"/>
                    <w:tr2bl w:val="nil"/>
                  </w:tcBorders>
                  <w:vAlign w:val="center"/>
                </w:tcPr>
                <w:p w14:paraId="428FC3D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p>
              </w:tc>
            </w:tr>
            <w:tr w14:paraId="12B5A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8" w:type="dxa"/>
                  <w:tcBorders>
                    <w:tl2br w:val="nil"/>
                    <w:tr2bl w:val="nil"/>
                  </w:tcBorders>
                  <w:vAlign w:val="center"/>
                </w:tcPr>
                <w:p w14:paraId="3A28002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动植物油</w:t>
                  </w:r>
                </w:p>
              </w:tc>
              <w:tc>
                <w:tcPr>
                  <w:tcW w:w="2293" w:type="dxa"/>
                  <w:tcBorders>
                    <w:tl2br w:val="nil"/>
                    <w:tr2bl w:val="nil"/>
                  </w:tcBorders>
                  <w:vAlign w:val="center"/>
                </w:tcPr>
                <w:p w14:paraId="2B9B6C3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100</w:t>
                  </w:r>
                </w:p>
              </w:tc>
              <w:tc>
                <w:tcPr>
                  <w:tcW w:w="4420" w:type="dxa"/>
                  <w:vMerge w:val="continue"/>
                  <w:tcBorders>
                    <w:tl2br w:val="nil"/>
                    <w:tr2bl w:val="nil"/>
                  </w:tcBorders>
                  <w:vAlign w:val="center"/>
                </w:tcPr>
                <w:p w14:paraId="0492E70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lang w:bidi="ar"/>
                      <w14:textFill>
                        <w14:solidFill>
                          <w14:schemeClr w14:val="tx1">
                            <w14:lumMod w14:val="95000"/>
                            <w14:lumOff w14:val="5000"/>
                          </w14:schemeClr>
                        </w14:solidFill>
                      </w14:textFill>
                    </w:rPr>
                  </w:pPr>
                </w:p>
              </w:tc>
            </w:tr>
          </w:tbl>
          <w:p w14:paraId="5EB0CD83">
            <w:pPr>
              <w:keepNext w:val="0"/>
              <w:keepLines w:val="0"/>
              <w:suppressLineNumbers w:val="0"/>
              <w:adjustRightInd w:val="0"/>
              <w:snapToGrid w:val="0"/>
              <w:spacing w:before="0" w:beforeAutospacing="0" w:after="0" w:afterAutospacing="0"/>
              <w:ind w:left="0" w:right="0" w:firstLine="482"/>
              <w:rPr>
                <w:rFonts w:hint="default"/>
                <w:b/>
                <w:bCs/>
                <w:color w:val="0D0D0D" w:themeColor="text1" w:themeTint="F2"/>
                <w:kern w:val="0"/>
                <w:szCs w:val="21"/>
                <w14:textFill>
                  <w14:solidFill>
                    <w14:schemeClr w14:val="tx1">
                      <w14:lumMod w14:val="95000"/>
                      <w14:lumOff w14:val="5000"/>
                    </w14:schemeClr>
                  </w14:solidFill>
                </w14:textFill>
              </w:rPr>
            </w:pPr>
            <w:r>
              <w:rPr>
                <w:rFonts w:hint="default"/>
                <w:b/>
                <w:bCs/>
                <w:color w:val="0D0D0D" w:themeColor="text1" w:themeTint="F2"/>
                <w:kern w:val="0"/>
                <w:szCs w:val="21"/>
                <w14:textFill>
                  <w14:solidFill>
                    <w14:schemeClr w14:val="tx1">
                      <w14:lumMod w14:val="95000"/>
                      <w14:lumOff w14:val="5000"/>
                    </w14:schemeClr>
                  </w14:solidFill>
                </w14:textFill>
              </w:rPr>
              <w:t>3、噪声</w:t>
            </w:r>
          </w:p>
          <w:p w14:paraId="3FC90849">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kern w:val="0"/>
                <w:szCs w:val="21"/>
                <w14:textFill>
                  <w14:solidFill>
                    <w14:schemeClr w14:val="tx1">
                      <w14:lumMod w14:val="95000"/>
                      <w14:lumOff w14:val="5000"/>
                    </w14:schemeClr>
                  </w14:solidFill>
                </w14:textFill>
              </w:rPr>
            </w:pPr>
            <w:r>
              <w:rPr>
                <w:rFonts w:hint="default"/>
                <w:color w:val="0D0D0D" w:themeColor="text1" w:themeTint="F2"/>
                <w:kern w:val="0"/>
                <w:szCs w:val="21"/>
                <w14:textFill>
                  <w14:solidFill>
                    <w14:schemeClr w14:val="tx1">
                      <w14:lumMod w14:val="95000"/>
                      <w14:lumOff w14:val="5000"/>
                    </w14:schemeClr>
                  </w14:solidFill>
                </w14:textFill>
              </w:rPr>
              <w:t>项目运营期四周厂界噪声执行《工业企业厂界环境噪声排放标准》（GB12348-2008）3类标准要求见下表。</w:t>
            </w:r>
          </w:p>
          <w:p w14:paraId="1E4FAF5D">
            <w:pPr>
              <w:keepNext w:val="0"/>
              <w:keepLines w:val="0"/>
              <w:suppressLineNumbers w:val="0"/>
              <w:adjustRightInd w:val="0"/>
              <w:snapToGrid w:val="0"/>
              <w:spacing w:before="0" w:beforeAutospacing="0" w:after="0" w:afterAutospacing="0"/>
              <w:ind w:left="0" w:right="0" w:firstLine="0" w:firstLineChars="0"/>
              <w:jc w:val="center"/>
              <w:rPr>
                <w:rFonts w:hint="default"/>
                <w:color w:val="0D0D0D" w:themeColor="text1" w:themeTint="F2"/>
                <w:kern w:val="0"/>
                <w:szCs w:val="21"/>
                <w14:textFill>
                  <w14:solidFill>
                    <w14:schemeClr w14:val="tx1">
                      <w14:lumMod w14:val="95000"/>
                      <w14:lumOff w14:val="5000"/>
                    </w14:schemeClr>
                  </w14:solidFill>
                </w14:textFill>
              </w:rPr>
            </w:pPr>
            <w:r>
              <w:rPr>
                <w:rFonts w:hint="default"/>
                <w:b/>
                <w:bCs/>
                <w:color w:val="0D0D0D" w:themeColor="text1" w:themeTint="F2"/>
                <w:kern w:val="0"/>
                <w:sz w:val="21"/>
                <w:szCs w:val="21"/>
                <w14:textFill>
                  <w14:solidFill>
                    <w14:schemeClr w14:val="tx1">
                      <w14:lumMod w14:val="95000"/>
                      <w14:lumOff w14:val="5000"/>
                    </w14:schemeClr>
                  </w14:solidFill>
                </w14:textFill>
              </w:rPr>
              <w:t>表3-6《工业企业厂界环境噪声排放标准》（GB12348-2008）（摘录）单位：dB（A）</w:t>
            </w:r>
          </w:p>
          <w:tbl>
            <w:tblPr>
              <w:tblStyle w:val="17"/>
              <w:tblW w:w="8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1746"/>
              <w:gridCol w:w="2009"/>
            </w:tblGrid>
            <w:tr w14:paraId="24607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264" w:type="dxa"/>
                  <w:vMerge w:val="restart"/>
                  <w:tcBorders>
                    <w:tl2br w:val="nil"/>
                    <w:tr2bl w:val="nil"/>
                  </w:tcBorders>
                  <w:vAlign w:val="center"/>
                </w:tcPr>
                <w:p w14:paraId="72074A4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p>
                <w:p w14:paraId="1CB8F77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p>
                <w:p w14:paraId="7EFB0F5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r>
                    <w:rPr>
                      <w:rFonts w:hint="default"/>
                      <w:b/>
                      <w:bCs/>
                      <w:color w:val="0D0D0D" w:themeColor="text1" w:themeTint="F2"/>
                      <w:kern w:val="0"/>
                      <w:sz w:val="21"/>
                      <w:szCs w:val="21"/>
                      <w14:textFill>
                        <w14:solidFill>
                          <w14:schemeClr w14:val="tx1">
                            <w14:lumMod w14:val="95000"/>
                            <w14:lumOff w14:val="5000"/>
                          </w14:schemeClr>
                        </w14:solidFill>
                      </w14:textFill>
                    </w:rPr>
                    <w:t>厂界外声环境功能类别</w:t>
                  </w:r>
                </w:p>
                <w:p w14:paraId="008928E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r>
                    <w:rPr>
                      <w:rFonts w:hint="default"/>
                      <w:b/>
                      <w:bCs/>
                      <w:color w:val="0D0D0D" w:themeColor="text1" w:themeTint="F2"/>
                      <w:kern w:val="0"/>
                      <w:sz w:val="21"/>
                      <w:szCs w:val="21"/>
                      <w14:textFill>
                        <w14:solidFill>
                          <w14:schemeClr w14:val="tx1">
                            <w14:lumMod w14:val="95000"/>
                            <w14:lumOff w14:val="5000"/>
                          </w14:schemeClr>
                        </w14:solidFill>
                      </w14:textFill>
                    </w:rPr>
                    <w:t>时段</w:t>
                  </w:r>
                </w:p>
              </w:tc>
              <w:tc>
                <w:tcPr>
                  <w:tcW w:w="3755" w:type="dxa"/>
                  <w:gridSpan w:val="2"/>
                  <w:tcBorders>
                    <w:tl2br w:val="nil"/>
                    <w:tr2bl w:val="nil"/>
                  </w:tcBorders>
                  <w:vAlign w:val="center"/>
                </w:tcPr>
                <w:p w14:paraId="28F399D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r>
                    <w:rPr>
                      <w:rFonts w:hint="default"/>
                      <w:b/>
                      <w:bCs/>
                      <w:color w:val="0D0D0D" w:themeColor="text1" w:themeTint="F2"/>
                      <w:kern w:val="0"/>
                      <w:sz w:val="21"/>
                      <w:szCs w:val="21"/>
                      <w14:textFill>
                        <w14:solidFill>
                          <w14:schemeClr w14:val="tx1">
                            <w14:lumMod w14:val="95000"/>
                            <w14:lumOff w14:val="5000"/>
                          </w14:schemeClr>
                        </w14:solidFill>
                      </w14:textFill>
                    </w:rPr>
                    <w:t>环境噪声限值</w:t>
                  </w:r>
                </w:p>
              </w:tc>
            </w:tr>
            <w:tr w14:paraId="018CA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64" w:type="dxa"/>
                  <w:vMerge w:val="continue"/>
                  <w:tcBorders>
                    <w:tl2br w:val="nil"/>
                    <w:tr2bl w:val="nil"/>
                  </w:tcBorders>
                  <w:vAlign w:val="center"/>
                </w:tcPr>
                <w:p w14:paraId="24B210E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1746" w:type="dxa"/>
                  <w:tcBorders>
                    <w:tl2br w:val="nil"/>
                    <w:tr2bl w:val="nil"/>
                  </w:tcBorders>
                  <w:vAlign w:val="center"/>
                </w:tcPr>
                <w:p w14:paraId="5E3F276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r>
                    <w:rPr>
                      <w:rFonts w:hint="default"/>
                      <w:b/>
                      <w:bCs/>
                      <w:color w:val="0D0D0D" w:themeColor="text1" w:themeTint="F2"/>
                      <w:kern w:val="0"/>
                      <w:sz w:val="21"/>
                      <w:szCs w:val="21"/>
                      <w14:textFill>
                        <w14:solidFill>
                          <w14:schemeClr w14:val="tx1">
                            <w14:lumMod w14:val="95000"/>
                            <w14:lumOff w14:val="5000"/>
                          </w14:schemeClr>
                        </w14:solidFill>
                      </w14:textFill>
                    </w:rPr>
                    <w:t>昼间</w:t>
                  </w:r>
                </w:p>
              </w:tc>
              <w:tc>
                <w:tcPr>
                  <w:tcW w:w="2009" w:type="dxa"/>
                  <w:tcBorders>
                    <w:tl2br w:val="nil"/>
                    <w:tr2bl w:val="nil"/>
                  </w:tcBorders>
                  <w:vAlign w:val="center"/>
                </w:tcPr>
                <w:p w14:paraId="37D856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kern w:val="0"/>
                      <w:sz w:val="21"/>
                      <w:szCs w:val="21"/>
                      <w14:textFill>
                        <w14:solidFill>
                          <w14:schemeClr w14:val="tx1">
                            <w14:lumMod w14:val="95000"/>
                            <w14:lumOff w14:val="5000"/>
                          </w14:schemeClr>
                        </w14:solidFill>
                      </w14:textFill>
                    </w:rPr>
                  </w:pPr>
                  <w:r>
                    <w:rPr>
                      <w:rFonts w:hint="default"/>
                      <w:b/>
                      <w:bCs/>
                      <w:color w:val="0D0D0D" w:themeColor="text1" w:themeTint="F2"/>
                      <w:kern w:val="0"/>
                      <w:sz w:val="21"/>
                      <w:szCs w:val="21"/>
                      <w14:textFill>
                        <w14:solidFill>
                          <w14:schemeClr w14:val="tx1">
                            <w14:lumMod w14:val="95000"/>
                            <w14:lumOff w14:val="5000"/>
                          </w14:schemeClr>
                        </w14:solidFill>
                      </w14:textFill>
                    </w:rPr>
                    <w:t>夜间</w:t>
                  </w:r>
                </w:p>
              </w:tc>
            </w:tr>
            <w:tr w14:paraId="39A86F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4264" w:type="dxa"/>
                  <w:tcBorders>
                    <w:tl2br w:val="nil"/>
                    <w:tr2bl w:val="nil"/>
                  </w:tcBorders>
                  <w:vAlign w:val="center"/>
                </w:tcPr>
                <w:p w14:paraId="0B3F72D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D0D0D" w:themeColor="text1" w:themeTint="F2"/>
                      <w:kern w:val="0"/>
                      <w:sz w:val="21"/>
                      <w:szCs w:val="21"/>
                      <w14:textFill>
                        <w14:solidFill>
                          <w14:schemeClr w14:val="tx1">
                            <w14:lumMod w14:val="95000"/>
                            <w14:lumOff w14:val="5000"/>
                          </w14:schemeClr>
                        </w14:solidFill>
                      </w14:textFill>
                    </w:rPr>
                  </w:pPr>
                  <w:r>
                    <w:rPr>
                      <w:rFonts w:hint="default"/>
                      <w:color w:val="0D0D0D" w:themeColor="text1" w:themeTint="F2"/>
                      <w:kern w:val="0"/>
                      <w:sz w:val="21"/>
                      <w:szCs w:val="21"/>
                      <w14:textFill>
                        <w14:solidFill>
                          <w14:schemeClr w14:val="tx1">
                            <w14:lumMod w14:val="95000"/>
                            <w14:lumOff w14:val="5000"/>
                          </w14:schemeClr>
                        </w14:solidFill>
                      </w14:textFill>
                    </w:rPr>
                    <w:t>3类</w:t>
                  </w:r>
                </w:p>
              </w:tc>
              <w:tc>
                <w:tcPr>
                  <w:tcW w:w="1746" w:type="dxa"/>
                  <w:tcBorders>
                    <w:tl2br w:val="nil"/>
                    <w:tr2bl w:val="nil"/>
                  </w:tcBorders>
                  <w:vAlign w:val="center"/>
                </w:tcPr>
                <w:p w14:paraId="1C25234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D0D0D" w:themeColor="text1" w:themeTint="F2"/>
                      <w:kern w:val="0"/>
                      <w:sz w:val="21"/>
                      <w:szCs w:val="21"/>
                      <w14:textFill>
                        <w14:solidFill>
                          <w14:schemeClr w14:val="tx1">
                            <w14:lumMod w14:val="95000"/>
                            <w14:lumOff w14:val="5000"/>
                          </w14:schemeClr>
                        </w14:solidFill>
                      </w14:textFill>
                    </w:rPr>
                  </w:pPr>
                  <w:r>
                    <w:rPr>
                      <w:rFonts w:hint="default"/>
                      <w:color w:val="0D0D0D" w:themeColor="text1" w:themeTint="F2"/>
                      <w:kern w:val="0"/>
                      <w:sz w:val="21"/>
                      <w:szCs w:val="21"/>
                      <w14:textFill>
                        <w14:solidFill>
                          <w14:schemeClr w14:val="tx1">
                            <w14:lumMod w14:val="95000"/>
                            <w14:lumOff w14:val="5000"/>
                          </w14:schemeClr>
                        </w14:solidFill>
                      </w14:textFill>
                    </w:rPr>
                    <w:t>65</w:t>
                  </w:r>
                </w:p>
              </w:tc>
              <w:tc>
                <w:tcPr>
                  <w:tcW w:w="2009" w:type="dxa"/>
                  <w:tcBorders>
                    <w:tl2br w:val="nil"/>
                    <w:tr2bl w:val="nil"/>
                  </w:tcBorders>
                  <w:vAlign w:val="center"/>
                </w:tcPr>
                <w:p w14:paraId="57C8491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D0D0D" w:themeColor="text1" w:themeTint="F2"/>
                      <w:kern w:val="0"/>
                      <w:sz w:val="21"/>
                      <w:szCs w:val="21"/>
                      <w14:textFill>
                        <w14:solidFill>
                          <w14:schemeClr w14:val="tx1">
                            <w14:lumMod w14:val="95000"/>
                            <w14:lumOff w14:val="5000"/>
                          </w14:schemeClr>
                        </w14:solidFill>
                      </w14:textFill>
                    </w:rPr>
                  </w:pPr>
                  <w:r>
                    <w:rPr>
                      <w:rFonts w:hint="default"/>
                      <w:color w:val="0D0D0D" w:themeColor="text1" w:themeTint="F2"/>
                      <w:kern w:val="0"/>
                      <w:sz w:val="21"/>
                      <w:szCs w:val="21"/>
                      <w14:textFill>
                        <w14:solidFill>
                          <w14:schemeClr w14:val="tx1">
                            <w14:lumMod w14:val="95000"/>
                            <w14:lumOff w14:val="5000"/>
                          </w14:schemeClr>
                        </w14:solidFill>
                      </w14:textFill>
                    </w:rPr>
                    <w:t>55</w:t>
                  </w:r>
                </w:p>
              </w:tc>
            </w:tr>
          </w:tbl>
          <w:p w14:paraId="0DC595A3">
            <w:pPr>
              <w:keepNext w:val="0"/>
              <w:keepLines w:val="0"/>
              <w:suppressLineNumbers w:val="0"/>
              <w:adjustRightInd w:val="0"/>
              <w:snapToGrid w:val="0"/>
              <w:spacing w:before="0" w:beforeAutospacing="0" w:after="0" w:afterAutospacing="0"/>
              <w:ind w:left="0" w:right="0" w:firstLine="482"/>
              <w:rPr>
                <w:rFonts w:hint="default"/>
                <w:b/>
                <w:bCs/>
                <w:color w:val="0D0D0D" w:themeColor="text1" w:themeTint="F2"/>
                <w:kern w:val="0"/>
                <w:szCs w:val="21"/>
                <w14:textFill>
                  <w14:solidFill>
                    <w14:schemeClr w14:val="tx1">
                      <w14:lumMod w14:val="95000"/>
                      <w14:lumOff w14:val="5000"/>
                    </w14:schemeClr>
                  </w14:solidFill>
                </w14:textFill>
              </w:rPr>
            </w:pPr>
            <w:r>
              <w:rPr>
                <w:rFonts w:hint="default"/>
                <w:b/>
                <w:bCs/>
                <w:color w:val="0D0D0D" w:themeColor="text1" w:themeTint="F2"/>
                <w:kern w:val="0"/>
                <w:szCs w:val="21"/>
                <w14:textFill>
                  <w14:solidFill>
                    <w14:schemeClr w14:val="tx1">
                      <w14:lumMod w14:val="95000"/>
                      <w14:lumOff w14:val="5000"/>
                    </w14:schemeClr>
                  </w14:solidFill>
                </w14:textFill>
              </w:rPr>
              <w:t>4、固废</w:t>
            </w:r>
          </w:p>
          <w:p w14:paraId="700A46EF">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kern w:val="0"/>
                <w:szCs w:val="21"/>
                <w14:textFill>
                  <w14:solidFill>
                    <w14:schemeClr w14:val="tx1">
                      <w14:lumMod w14:val="95000"/>
                      <w14:lumOff w14:val="5000"/>
                    </w14:schemeClr>
                  </w14:solidFill>
                </w14:textFill>
              </w:rPr>
            </w:pPr>
            <w:r>
              <w:rPr>
                <w:rFonts w:hint="default"/>
                <w:color w:val="0D0D0D" w:themeColor="text1" w:themeTint="F2"/>
                <w:kern w:val="0"/>
                <w:szCs w:val="21"/>
                <w14:textFill>
                  <w14:solidFill>
                    <w14:schemeClr w14:val="tx1">
                      <w14:lumMod w14:val="95000"/>
                      <w14:lumOff w14:val="5000"/>
                    </w14:schemeClr>
                  </w14:solidFill>
                </w14:textFill>
              </w:rPr>
              <w:t>本项目固体废物执行《中华人民共和国固体废物污染环境防治法》。</w:t>
            </w:r>
          </w:p>
          <w:p w14:paraId="55502BEB">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kern w:val="0"/>
                <w:szCs w:val="21"/>
                <w14:textFill>
                  <w14:solidFill>
                    <w14:schemeClr w14:val="tx1">
                      <w14:lumMod w14:val="95000"/>
                      <w14:lumOff w14:val="5000"/>
                    </w14:schemeClr>
                  </w14:solidFill>
                </w14:textFill>
              </w:rPr>
            </w:pPr>
            <w:r>
              <w:rPr>
                <w:rFonts w:hint="default"/>
                <w:color w:val="0D0D0D" w:themeColor="text1" w:themeTint="F2"/>
                <w:kern w:val="0"/>
                <w:szCs w:val="21"/>
                <w14:textFill>
                  <w14:solidFill>
                    <w14:schemeClr w14:val="tx1">
                      <w14:lumMod w14:val="95000"/>
                      <w14:lumOff w14:val="5000"/>
                    </w14:schemeClr>
                  </w14:solidFill>
                </w14:textFill>
              </w:rPr>
              <w:t>一般固废贮存管理参照《一般工业固体废物贮存和填埋污染控制标准》（GB18599-2020）。</w:t>
            </w:r>
          </w:p>
          <w:p w14:paraId="2FBD0B2F">
            <w:pPr>
              <w:keepNext w:val="0"/>
              <w:keepLines w:val="0"/>
              <w:suppressLineNumbers w:val="0"/>
              <w:adjustRightInd w:val="0"/>
              <w:snapToGrid w:val="0"/>
              <w:spacing w:before="0" w:beforeAutospacing="0" w:after="0" w:afterAutospacing="0"/>
              <w:ind w:left="0" w:right="0" w:firstLine="480"/>
              <w:rPr>
                <w:rFonts w:hint="default"/>
                <w:color w:val="0D0D0D" w:themeColor="text1" w:themeTint="F2"/>
                <w:kern w:val="0"/>
                <w:szCs w:val="21"/>
                <w14:textFill>
                  <w14:solidFill>
                    <w14:schemeClr w14:val="tx1">
                      <w14:lumMod w14:val="95000"/>
                      <w14:lumOff w14:val="5000"/>
                    </w14:schemeClr>
                  </w14:solidFill>
                </w14:textFill>
              </w:rPr>
            </w:pPr>
            <w:r>
              <w:rPr>
                <w:rFonts w:hint="default"/>
                <w:color w:val="0D0D0D" w:themeColor="text1" w:themeTint="F2"/>
                <w:kern w:val="0"/>
                <w:szCs w:val="21"/>
                <w14:textFill>
                  <w14:solidFill>
                    <w14:schemeClr w14:val="tx1">
                      <w14:lumMod w14:val="95000"/>
                      <w14:lumOff w14:val="5000"/>
                    </w14:schemeClr>
                  </w14:solidFill>
                </w14:textFill>
              </w:rPr>
              <w:t>危险废物管理执行《危险废物收集、贮存、运输技术规范》（HJ2025-2012）、《危险废物贮存污染控制标准》（GB18597-2023）。</w:t>
            </w:r>
          </w:p>
        </w:tc>
      </w:tr>
      <w:tr w14:paraId="5CD567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14:paraId="2361A120">
            <w:pPr>
              <w:keepNext w:val="0"/>
              <w:keepLines w:val="0"/>
              <w:suppressLineNumbers w:val="0"/>
              <w:adjustRightInd w:val="0"/>
              <w:snapToGrid w:val="0"/>
              <w:spacing w:before="0" w:beforeAutospacing="0" w:after="0" w:afterAutospacing="0"/>
              <w:ind w:left="0" w:right="0" w:firstLine="0" w:firstLineChars="0"/>
              <w:jc w:val="center"/>
              <w:rPr>
                <w:rFonts w:hint="default"/>
                <w:b/>
                <w:bCs/>
                <w:color w:val="0D0D0D" w:themeColor="text1" w:themeTint="F2"/>
                <w:kern w:val="0"/>
                <w:szCs w:val="21"/>
                <w14:textFill>
                  <w14:solidFill>
                    <w14:schemeClr w14:val="tx1">
                      <w14:lumMod w14:val="95000"/>
                      <w14:lumOff w14:val="5000"/>
                    </w14:schemeClr>
                  </w14:solidFill>
                </w14:textFill>
              </w:rPr>
            </w:pPr>
            <w:r>
              <w:rPr>
                <w:rFonts w:hint="default"/>
                <w:b/>
                <w:bCs/>
                <w:color w:val="0D0D0D" w:themeColor="text1" w:themeTint="F2"/>
                <w:kern w:val="0"/>
                <w:szCs w:val="21"/>
                <w14:textFill>
                  <w14:solidFill>
                    <w14:schemeClr w14:val="tx1">
                      <w14:lumMod w14:val="95000"/>
                      <w14:lumOff w14:val="5000"/>
                    </w14:schemeClr>
                  </w14:solidFill>
                </w14:textFill>
              </w:rPr>
              <w:t>总量控制指标</w:t>
            </w:r>
          </w:p>
        </w:tc>
        <w:tc>
          <w:tcPr>
            <w:tcW w:w="8119" w:type="dxa"/>
            <w:vAlign w:val="center"/>
          </w:tcPr>
          <w:p w14:paraId="736F18F3">
            <w:pPr>
              <w:keepNext w:val="0"/>
              <w:keepLines w:val="0"/>
              <w:widowControl/>
              <w:suppressLineNumbers w:val="0"/>
              <w:spacing w:before="0" w:beforeAutospacing="0" w:after="0" w:afterAutospacing="0"/>
              <w:ind w:left="0" w:right="0" w:firstLine="480"/>
              <w:jc w:val="left"/>
              <w:rPr>
                <w:rFonts w:hint="default"/>
                <w:color w:val="0D0D0D" w:themeColor="text1" w:themeTint="F2"/>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1、</w:t>
            </w:r>
            <w:r>
              <w:rPr>
                <w:rFonts w:hint="eastAsia"/>
                <w:color w:val="0D0D0D" w:themeColor="text1" w:themeTint="F2"/>
                <w:kern w:val="0"/>
                <w:lang w:val="en-US" w:eastAsia="zh-CN" w:bidi="ar"/>
                <w14:textFill>
                  <w14:solidFill>
                    <w14:schemeClr w14:val="tx1">
                      <w14:lumMod w14:val="95000"/>
                      <w14:lumOff w14:val="5000"/>
                    </w14:schemeClr>
                  </w14:solidFill>
                </w14:textFill>
              </w:rPr>
              <w:t>本项目无生产废水产生和排放，故不涉及废水总量指标</w:t>
            </w:r>
            <w:r>
              <w:rPr>
                <w:rFonts w:hint="default"/>
                <w:color w:val="0D0D0D" w:themeColor="text1" w:themeTint="F2"/>
                <w:kern w:val="0"/>
                <w:lang w:bidi="ar"/>
                <w14:textFill>
                  <w14:solidFill>
                    <w14:schemeClr w14:val="tx1">
                      <w14:lumMod w14:val="95000"/>
                      <w14:lumOff w14:val="5000"/>
                    </w14:schemeClr>
                  </w14:solidFill>
                </w14:textFill>
              </w:rPr>
              <w:t>。</w:t>
            </w:r>
          </w:p>
          <w:p w14:paraId="081D0855">
            <w:pPr>
              <w:keepNext w:val="0"/>
              <w:keepLines w:val="0"/>
              <w:widowControl/>
              <w:suppressLineNumbers w:val="0"/>
              <w:spacing w:before="0" w:beforeAutospacing="0" w:after="0" w:afterAutospacing="0"/>
              <w:ind w:left="0" w:right="0" w:firstLine="480"/>
              <w:rPr>
                <w:rFonts w:hint="default" w:eastAsia="宋体"/>
                <w:color w:val="0D0D0D" w:themeColor="text1" w:themeTint="F2"/>
                <w:kern w:val="0"/>
                <w:lang w:val="en-US" w:eastAsia="zh-CN" w:bidi="ar"/>
                <w14:textFill>
                  <w14:solidFill>
                    <w14:schemeClr w14:val="tx1">
                      <w14:lumMod w14:val="95000"/>
                      <w14:lumOff w14:val="5000"/>
                    </w14:schemeClr>
                  </w14:solidFill>
                </w14:textFill>
              </w:rPr>
            </w:pPr>
            <w:r>
              <w:rPr>
                <w:rFonts w:hint="default"/>
                <w:color w:val="0D0D0D" w:themeColor="text1" w:themeTint="F2"/>
                <w:kern w:val="0"/>
                <w:lang w:bidi="ar"/>
                <w14:textFill>
                  <w14:solidFill>
                    <w14:schemeClr w14:val="tx1">
                      <w14:lumMod w14:val="95000"/>
                      <w14:lumOff w14:val="5000"/>
                    </w14:schemeClr>
                  </w14:solidFill>
                </w14:textFill>
              </w:rPr>
              <w:t>2、本项目工艺废气排放的非甲烷总烃执行《合成树脂工业污染物排放标准》（GB31572</w:t>
            </w:r>
            <w:r>
              <w:rPr>
                <w:rFonts w:hint="eastAsia"/>
                <w:color w:val="0D0D0D" w:themeColor="text1" w:themeTint="F2"/>
                <w:kern w:val="0"/>
                <w:lang w:eastAsia="zh-CN" w:bidi="ar"/>
                <w14:textFill>
                  <w14:solidFill>
                    <w14:schemeClr w14:val="tx1">
                      <w14:lumMod w14:val="95000"/>
                      <w14:lumOff w14:val="5000"/>
                    </w14:schemeClr>
                  </w14:solidFill>
                </w14:textFill>
              </w:rPr>
              <w:t>-</w:t>
            </w:r>
            <w:r>
              <w:rPr>
                <w:rFonts w:hint="default"/>
                <w:color w:val="0D0D0D" w:themeColor="text1" w:themeTint="F2"/>
                <w:kern w:val="0"/>
                <w:lang w:bidi="ar"/>
                <w14:textFill>
                  <w14:solidFill>
                    <w14:schemeClr w14:val="tx1">
                      <w14:lumMod w14:val="95000"/>
                      <w14:lumOff w14:val="5000"/>
                    </w14:schemeClr>
                  </w14:solidFill>
                </w14:textFill>
              </w:rPr>
              <w:t>2015）表 4 中排放限值。</w:t>
            </w:r>
            <w:r>
              <w:rPr>
                <w:rFonts w:hint="eastAsia"/>
                <w:color w:val="0D0D0D" w:themeColor="text1" w:themeTint="F2"/>
                <w:kern w:val="0"/>
                <w:lang w:val="en-US" w:eastAsia="zh-CN" w:bidi="ar"/>
                <w14:textFill>
                  <w14:solidFill>
                    <w14:schemeClr w14:val="tx1">
                      <w14:lumMod w14:val="95000"/>
                      <w14:lumOff w14:val="5000"/>
                    </w14:schemeClr>
                  </w14:solidFill>
                </w14:textFill>
              </w:rPr>
              <w:t>根据工程分析，</w:t>
            </w:r>
            <w:r>
              <w:rPr>
                <w:rFonts w:hint="default"/>
                <w:color w:val="0D0D0D" w:themeColor="text1" w:themeTint="F2"/>
                <w:kern w:val="0"/>
                <w:lang w:bidi="ar"/>
                <w14:textFill>
                  <w14:solidFill>
                    <w14:schemeClr w14:val="tx1">
                      <w14:lumMod w14:val="95000"/>
                      <w14:lumOff w14:val="5000"/>
                    </w14:schemeClr>
                  </w14:solidFill>
                </w14:textFill>
              </w:rPr>
              <w:t>非甲烷总烃</w:t>
            </w:r>
            <w:r>
              <w:rPr>
                <w:rFonts w:hint="eastAsia"/>
                <w:color w:val="0D0D0D" w:themeColor="text1" w:themeTint="F2"/>
                <w:kern w:val="0"/>
                <w:lang w:val="en-US" w:eastAsia="zh-CN" w:bidi="ar"/>
                <w14:textFill>
                  <w14:solidFill>
                    <w14:schemeClr w14:val="tx1">
                      <w14:lumMod w14:val="95000"/>
                      <w14:lumOff w14:val="5000"/>
                    </w14:schemeClr>
                  </w14:solidFill>
                </w14:textFill>
              </w:rPr>
              <w:t>总</w:t>
            </w:r>
            <w:r>
              <w:rPr>
                <w:rFonts w:hint="default"/>
                <w:color w:val="0D0D0D" w:themeColor="text1" w:themeTint="F2"/>
                <w:kern w:val="0"/>
                <w:lang w:bidi="ar"/>
                <w14:textFill>
                  <w14:solidFill>
                    <w14:schemeClr w14:val="tx1">
                      <w14:lumMod w14:val="95000"/>
                      <w14:lumOff w14:val="5000"/>
                    </w14:schemeClr>
                  </w14:solidFill>
                </w14:textFill>
              </w:rPr>
              <w:t>产生量为</w:t>
            </w:r>
            <w:r>
              <w:rPr>
                <w:rFonts w:hint="eastAsia"/>
                <w:color w:val="0D0D0D" w:themeColor="text1" w:themeTint="F2"/>
                <w:kern w:val="0"/>
                <w:lang w:val="en-US" w:eastAsia="zh-CN" w:bidi="ar"/>
                <w14:textFill>
                  <w14:solidFill>
                    <w14:schemeClr w14:val="tx1">
                      <w14:lumMod w14:val="95000"/>
                      <w14:lumOff w14:val="5000"/>
                    </w14:schemeClr>
                  </w14:solidFill>
                </w14:textFill>
              </w:rPr>
              <w:t>0.7t/a</w:t>
            </w:r>
            <w:r>
              <w:rPr>
                <w:rFonts w:hint="default"/>
                <w:color w:val="0D0D0D" w:themeColor="text1" w:themeTint="F2"/>
                <w:kern w:val="0"/>
                <w:lang w:bidi="ar"/>
                <w14:textFill>
                  <w14:solidFill>
                    <w14:schemeClr w14:val="tx1">
                      <w14:lumMod w14:val="95000"/>
                      <w14:lumOff w14:val="5000"/>
                    </w14:schemeClr>
                  </w14:solidFill>
                </w14:textFill>
              </w:rPr>
              <w:t>，经收集的非甲烷总烃量为</w:t>
            </w:r>
            <w:r>
              <w:rPr>
                <w:rFonts w:hint="eastAsia"/>
                <w:color w:val="0D0D0D" w:themeColor="text1" w:themeTint="F2"/>
                <w:kern w:val="0"/>
                <w:lang w:val="en-US" w:eastAsia="zh-CN" w:bidi="ar"/>
                <w14:textFill>
                  <w14:solidFill>
                    <w14:schemeClr w14:val="tx1">
                      <w14:lumMod w14:val="95000"/>
                      <w14:lumOff w14:val="5000"/>
                    </w14:schemeClr>
                  </w14:solidFill>
                </w14:textFill>
              </w:rPr>
              <w:t>0.63</w:t>
            </w:r>
            <w:r>
              <w:rPr>
                <w:rFonts w:hint="default"/>
                <w:color w:val="0D0D0D" w:themeColor="text1" w:themeTint="F2"/>
                <w:kern w:val="0"/>
                <w:lang w:bidi="ar"/>
                <w14:textFill>
                  <w14:solidFill>
                    <w14:schemeClr w14:val="tx1">
                      <w14:lumMod w14:val="95000"/>
                      <w14:lumOff w14:val="5000"/>
                    </w14:schemeClr>
                  </w14:solidFill>
                </w14:textFill>
              </w:rPr>
              <w:t>t/a，通过</w:t>
            </w:r>
            <w:r>
              <w:rPr>
                <w:rFonts w:hint="eastAsia"/>
                <w:color w:val="0D0D0D" w:themeColor="text1" w:themeTint="F2"/>
                <w:kern w:val="0"/>
                <w:lang w:eastAsia="zh-CN" w:bidi="ar"/>
                <w14:textFill>
                  <w14:solidFill>
                    <w14:schemeClr w14:val="tx1">
                      <w14:lumMod w14:val="95000"/>
                      <w14:lumOff w14:val="5000"/>
                    </w14:schemeClr>
                  </w14:solidFill>
                </w14:textFill>
              </w:rPr>
              <w:t>二级活性炭</w:t>
            </w:r>
            <w:r>
              <w:rPr>
                <w:rFonts w:hint="default"/>
                <w:color w:val="0D0D0D" w:themeColor="text1" w:themeTint="F2"/>
                <w:kern w:val="0"/>
                <w:lang w:bidi="ar"/>
                <w14:textFill>
                  <w14:solidFill>
                    <w14:schemeClr w14:val="tx1">
                      <w14:lumMod w14:val="95000"/>
                      <w14:lumOff w14:val="5000"/>
                    </w14:schemeClr>
                  </w14:solidFill>
                </w14:textFill>
              </w:rPr>
              <w:t>吸附装置处理后排放量为</w:t>
            </w:r>
            <w:r>
              <w:rPr>
                <w:rFonts w:hint="eastAsia"/>
                <w:color w:val="0D0D0D" w:themeColor="text1" w:themeTint="F2"/>
                <w:kern w:val="0"/>
                <w:lang w:val="en-US" w:eastAsia="zh-CN" w:bidi="ar"/>
                <w14:textFill>
                  <w14:solidFill>
                    <w14:schemeClr w14:val="tx1">
                      <w14:lumMod w14:val="95000"/>
                      <w14:lumOff w14:val="5000"/>
                    </w14:schemeClr>
                  </w14:solidFill>
                </w14:textFill>
              </w:rPr>
              <w:t>0.063</w:t>
            </w:r>
            <w:r>
              <w:rPr>
                <w:rFonts w:hint="default"/>
                <w:color w:val="0D0D0D" w:themeColor="text1" w:themeTint="F2"/>
                <w:kern w:val="0"/>
                <w:lang w:bidi="ar"/>
                <w14:textFill>
                  <w14:solidFill>
                    <w14:schemeClr w14:val="tx1">
                      <w14:lumMod w14:val="95000"/>
                      <w14:lumOff w14:val="5000"/>
                    </w14:schemeClr>
                  </w14:solidFill>
                </w14:textFill>
              </w:rPr>
              <w:t>t/a，未收集的非甲烷总烃量为</w:t>
            </w:r>
            <w:r>
              <w:rPr>
                <w:rFonts w:hint="eastAsia"/>
                <w:color w:val="0D0D0D" w:themeColor="text1" w:themeTint="F2"/>
                <w:kern w:val="0"/>
                <w:lang w:val="en-US" w:eastAsia="zh-CN" w:bidi="ar"/>
                <w14:textFill>
                  <w14:solidFill>
                    <w14:schemeClr w14:val="tx1">
                      <w14:lumMod w14:val="95000"/>
                      <w14:lumOff w14:val="5000"/>
                    </w14:schemeClr>
                  </w14:solidFill>
                </w14:textFill>
              </w:rPr>
              <w:t>0.07</w:t>
            </w:r>
            <w:r>
              <w:rPr>
                <w:rFonts w:hint="default"/>
                <w:color w:val="0D0D0D" w:themeColor="text1" w:themeTint="F2"/>
                <w:kern w:val="0"/>
                <w:lang w:bidi="ar"/>
                <w14:textFill>
                  <w14:solidFill>
                    <w14:schemeClr w14:val="tx1">
                      <w14:lumMod w14:val="95000"/>
                      <w14:lumOff w14:val="5000"/>
                    </w14:schemeClr>
                  </w14:solidFill>
                </w14:textFill>
              </w:rPr>
              <w:t>t/a。</w:t>
            </w:r>
          </w:p>
        </w:tc>
      </w:tr>
    </w:tbl>
    <w:p w14:paraId="568362F9">
      <w:pPr>
        <w:ind w:firstLine="0" w:firstLineChars="0"/>
        <w:jc w:val="center"/>
        <w:outlineLvl w:val="0"/>
        <w:rPr>
          <w:rFonts w:ascii="黑体" w:hAnsi="黑体" w:eastAsia="黑体"/>
          <w:snapToGrid w:val="0"/>
          <w:color w:val="0D0D0D" w:themeColor="text1" w:themeTint="F2"/>
          <w:sz w:val="30"/>
          <w:szCs w:val="30"/>
          <w14:textFill>
            <w14:solidFill>
              <w14:schemeClr w14:val="tx1">
                <w14:lumMod w14:val="95000"/>
                <w14:lumOff w14:val="5000"/>
              </w14:schemeClr>
            </w14:solidFill>
          </w14:textFill>
        </w:rPr>
        <w:sectPr>
          <w:pgSz w:w="11907" w:h="16840"/>
          <w:pgMar w:top="1701" w:right="1531" w:bottom="2127" w:left="1531" w:header="851" w:footer="851" w:gutter="0"/>
          <w:cols w:space="720" w:num="1"/>
          <w:docGrid w:linePitch="312" w:charSpace="0"/>
        </w:sectPr>
      </w:pPr>
      <w:bookmarkStart w:id="20" w:name="_Toc2514"/>
      <w:bookmarkStart w:id="21" w:name="_Toc25634"/>
    </w:p>
    <w:p w14:paraId="4E937D05">
      <w:pPr>
        <w:ind w:firstLine="0" w:firstLineChars="0"/>
        <w:jc w:val="center"/>
        <w:outlineLvl w:val="0"/>
        <w:rPr>
          <w:color w:val="0D0D0D" w:themeColor="text1" w:themeTint="F2"/>
          <w14:textFill>
            <w14:solidFill>
              <w14:schemeClr w14:val="tx1">
                <w14:lumMod w14:val="95000"/>
                <w14:lumOff w14:val="5000"/>
              </w14:schemeClr>
            </w14:solidFill>
          </w14:textFill>
        </w:rPr>
      </w:pPr>
      <w:r>
        <w:rPr>
          <w:rFonts w:hint="eastAsia" w:ascii="黑体" w:hAnsi="黑体" w:eastAsia="黑体"/>
          <w:snapToGrid w:val="0"/>
          <w:color w:val="0D0D0D" w:themeColor="text1" w:themeTint="F2"/>
          <w:sz w:val="30"/>
          <w:szCs w:val="30"/>
          <w14:textFill>
            <w14:solidFill>
              <w14:schemeClr w14:val="tx1">
                <w14:lumMod w14:val="95000"/>
                <w14:lumOff w14:val="5000"/>
              </w14:schemeClr>
            </w14:solidFill>
          </w14:textFill>
        </w:rPr>
        <w:t>四、主要环境影响和保护措施</w:t>
      </w:r>
      <w:bookmarkEnd w:id="20"/>
      <w:bookmarkEnd w:id="21"/>
    </w:p>
    <w:tbl>
      <w:tblPr>
        <w:tblStyle w:val="1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8251"/>
      </w:tblGrid>
      <w:tr w14:paraId="598B5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746" w:type="dxa"/>
            <w:tcMar>
              <w:left w:w="51" w:type="dxa"/>
              <w:right w:w="51" w:type="dxa"/>
            </w:tcMar>
            <w:vAlign w:val="center"/>
          </w:tcPr>
          <w:p w14:paraId="0B2FF6BF">
            <w:pPr>
              <w:keepNext w:val="0"/>
              <w:keepLines w:val="0"/>
              <w:widowControl/>
              <w:suppressLineNumbers w:val="0"/>
              <w:spacing w:before="0" w:beforeAutospacing="0" w:after="0" w:afterAutospacing="0"/>
              <w:ind w:left="0" w:right="0" w:firstLine="0" w:firstLineChars="0"/>
              <w:jc w:val="center"/>
              <w:outlineLvl w:val="0"/>
              <w:rPr>
                <w:rFonts w:hint="default"/>
                <w:b/>
                <w:bCs/>
                <w:color w:val="0D0D0D" w:themeColor="text1" w:themeTint="F2"/>
                <w:sz w:val="21"/>
                <w:szCs w:val="21"/>
                <w14:textFill>
                  <w14:solidFill>
                    <w14:schemeClr w14:val="tx1">
                      <w14:lumMod w14:val="95000"/>
                      <w14:lumOff w14:val="5000"/>
                    </w14:schemeClr>
                  </w14:solidFill>
                </w14:textFill>
              </w:rPr>
            </w:pPr>
            <w:r>
              <w:rPr>
                <w:rFonts w:hint="default" w:eastAsia="黑体"/>
                <w:b/>
                <w:bCs/>
                <w:snapToGrid w:val="0"/>
                <w:color w:val="0D0D0D" w:themeColor="text1" w:themeTint="F2"/>
                <w:kern w:val="0"/>
                <w:sz w:val="36"/>
                <w:szCs w:val="36"/>
                <w14:textFill>
                  <w14:solidFill>
                    <w14:schemeClr w14:val="tx1">
                      <w14:lumMod w14:val="95000"/>
                      <w14:lumOff w14:val="5000"/>
                    </w14:schemeClr>
                  </w14:solidFill>
                </w14:textFill>
              </w:rPr>
              <w:br w:type="page"/>
            </w:r>
            <w:bookmarkStart w:id="22" w:name="_Toc27935"/>
            <w:bookmarkStart w:id="23" w:name="_Toc719"/>
            <w:r>
              <w:rPr>
                <w:rFonts w:hint="default"/>
                <w:b/>
                <w:bCs/>
                <w:color w:val="0D0D0D" w:themeColor="text1" w:themeTint="F2"/>
                <w:sz w:val="21"/>
                <w:szCs w:val="21"/>
                <w14:textFill>
                  <w14:solidFill>
                    <w14:schemeClr w14:val="tx1">
                      <w14:lumMod w14:val="95000"/>
                      <w14:lumOff w14:val="5000"/>
                    </w14:schemeClr>
                  </w14:solidFill>
                </w14:textFill>
              </w:rPr>
              <w:t>施工期环境保护措施</w:t>
            </w:r>
            <w:bookmarkEnd w:id="22"/>
            <w:bookmarkEnd w:id="23"/>
          </w:p>
        </w:tc>
        <w:tc>
          <w:tcPr>
            <w:tcW w:w="8162" w:type="dxa"/>
            <w:tcMar>
              <w:left w:w="51" w:type="dxa"/>
              <w:right w:w="51" w:type="dxa"/>
            </w:tcMar>
            <w:vAlign w:val="center"/>
          </w:tcPr>
          <w:p w14:paraId="4A19C445">
            <w:pPr>
              <w:keepNext w:val="0"/>
              <w:keepLines w:val="0"/>
              <w:suppressLineNumbers w:val="0"/>
              <w:adjustRightInd w:val="0"/>
              <w:snapToGrid w:val="0"/>
              <w:spacing w:before="0" w:beforeAutospacing="0" w:after="0" w:afterAutospacing="0"/>
              <w:ind w:left="0" w:right="0" w:firstLine="440"/>
              <w:rPr>
                <w:rFonts w:hint="default"/>
                <w:bCs/>
                <w:color w:val="0D0D0D" w:themeColor="text1" w:themeTint="F2"/>
                <w:spacing w:val="-10"/>
                <w:szCs w:val="21"/>
                <w14:textFill>
                  <w14:solidFill>
                    <w14:schemeClr w14:val="tx1">
                      <w14:lumMod w14:val="95000"/>
                      <w14:lumOff w14:val="5000"/>
                    </w14:schemeClr>
                  </w14:solidFill>
                </w14:textFill>
              </w:rPr>
            </w:pPr>
            <w:r>
              <w:rPr>
                <w:rFonts w:hint="default"/>
                <w:bCs/>
                <w:color w:val="0D0D0D" w:themeColor="text1" w:themeTint="F2"/>
                <w:spacing w:val="-10"/>
                <w:szCs w:val="21"/>
                <w14:textFill>
                  <w14:solidFill>
                    <w14:schemeClr w14:val="tx1">
                      <w14:lumMod w14:val="95000"/>
                      <w14:lumOff w14:val="5000"/>
                    </w14:schemeClr>
                  </w14:solidFill>
                </w14:textFill>
              </w:rPr>
              <w:t>本项目施工期不涉及土建施工过程，拟使用现有新建厂房安装机械设备。施工时间约1个月，施工期较短。施工过程中仅有噪声和少量固体废弃物产生。且施工期较短，随着施工期的结束而消失，施工期对周边大气环境、声环境的影响较小。</w:t>
            </w:r>
          </w:p>
        </w:tc>
      </w:tr>
      <w:tr w14:paraId="23636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6" w:type="dxa"/>
            <w:tcMar>
              <w:left w:w="51" w:type="dxa"/>
              <w:right w:w="51" w:type="dxa"/>
            </w:tcMar>
            <w:vAlign w:val="center"/>
          </w:tcPr>
          <w:p w14:paraId="52B3B513">
            <w:pPr>
              <w:keepNext w:val="0"/>
              <w:keepLines w:val="0"/>
              <w:suppressLineNumbers w:val="0"/>
              <w:adjustRightInd w:val="0"/>
              <w:snapToGrid w:val="0"/>
              <w:spacing w:before="0" w:beforeAutospacing="0" w:after="0" w:afterAutospacing="0"/>
              <w:ind w:left="-14" w:leftChars="-16" w:right="0" w:hanging="24" w:hangingChars="10"/>
              <w:jc w:val="center"/>
              <w:rPr>
                <w:rFonts w:hint="default"/>
                <w:b/>
                <w:bCs/>
                <w:color w:val="0D0D0D" w:themeColor="text1" w:themeTint="F2"/>
                <w:szCs w:val="21"/>
                <w:u w:val="single"/>
                <w14:textFill>
                  <w14:solidFill>
                    <w14:schemeClr w14:val="tx1">
                      <w14:lumMod w14:val="95000"/>
                      <w14:lumOff w14:val="5000"/>
                    </w14:schemeClr>
                  </w14:solidFill>
                </w14:textFill>
              </w:rPr>
            </w:pPr>
            <w:r>
              <w:rPr>
                <w:rFonts w:hint="default"/>
                <w:b/>
                <w:bCs/>
                <w:color w:val="0D0D0D" w:themeColor="text1" w:themeTint="F2"/>
                <w:szCs w:val="21"/>
                <w:u w:val="single"/>
                <w14:textFill>
                  <w14:solidFill>
                    <w14:schemeClr w14:val="tx1">
                      <w14:lumMod w14:val="95000"/>
                      <w14:lumOff w14:val="5000"/>
                    </w14:schemeClr>
                  </w14:solidFill>
                </w14:textFill>
              </w:rPr>
              <w:t>运营期环境影响和保护措施</w:t>
            </w:r>
          </w:p>
        </w:tc>
        <w:tc>
          <w:tcPr>
            <w:tcW w:w="8162" w:type="dxa"/>
            <w:tcMar>
              <w:top w:w="0" w:type="dxa"/>
              <w:left w:w="51" w:type="dxa"/>
              <w:bottom w:w="0" w:type="dxa"/>
              <w:right w:w="51" w:type="dxa"/>
            </w:tcMar>
            <w:vAlign w:val="center"/>
          </w:tcPr>
          <w:p w14:paraId="53367C6F">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default"/>
                <w:b/>
                <w:color w:val="0D0D0D" w:themeColor="text1" w:themeTint="F2"/>
                <w:spacing w:val="-10"/>
                <w:szCs w:val="21"/>
                <w:u w:val="single"/>
                <w14:textFill>
                  <w14:solidFill>
                    <w14:schemeClr w14:val="tx1">
                      <w14:lumMod w14:val="95000"/>
                      <w14:lumOff w14:val="5000"/>
                    </w14:schemeClr>
                  </w14:solidFill>
                </w14:textFill>
              </w:rPr>
              <w:t>运营期环境影响和保护措施：</w:t>
            </w:r>
          </w:p>
          <w:p w14:paraId="6C5082B1">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eastAsia"/>
                <w:b/>
                <w:color w:val="0D0D0D" w:themeColor="text1" w:themeTint="F2"/>
                <w:spacing w:val="-10"/>
                <w:szCs w:val="21"/>
                <w:u w:val="single"/>
                <w14:textFill>
                  <w14:solidFill>
                    <w14:schemeClr w14:val="tx1">
                      <w14:lumMod w14:val="95000"/>
                      <w14:lumOff w14:val="5000"/>
                    </w14:schemeClr>
                  </w14:solidFill>
                </w14:textFill>
              </w:rPr>
              <w:t>一、废气</w:t>
            </w:r>
          </w:p>
          <w:p w14:paraId="67B2AE5E">
            <w:pPr>
              <w:keepNext w:val="0"/>
              <w:keepLines w:val="0"/>
              <w:suppressLineNumbers w:val="0"/>
              <w:adjustRightInd w:val="0"/>
              <w:snapToGrid w:val="0"/>
              <w:spacing w:before="0" w:beforeAutospacing="0" w:after="0" w:afterAutospacing="0"/>
              <w:ind w:left="0" w:right="0" w:firstLine="440"/>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default"/>
                <w:bCs/>
                <w:color w:val="0D0D0D" w:themeColor="text1" w:themeTint="F2"/>
                <w:spacing w:val="-10"/>
                <w:szCs w:val="21"/>
                <w:u w:val="single"/>
                <w14:textFill>
                  <w14:solidFill>
                    <w14:schemeClr w14:val="tx1">
                      <w14:lumMod w14:val="95000"/>
                      <w14:lumOff w14:val="5000"/>
                    </w14:schemeClr>
                  </w14:solidFill>
                </w14:textFill>
              </w:rPr>
              <w:t>根据分析，本项目主要大气污染源为熔融挤出过程中原辅材料加热会产生少量挥发性有机物，以非甲烷总烃计。</w:t>
            </w:r>
          </w:p>
          <w:p w14:paraId="4CD845E8">
            <w:pPr>
              <w:keepNext w:val="0"/>
              <w:keepLines w:val="0"/>
              <w:suppressLineNumbers w:val="0"/>
              <w:adjustRightInd w:val="0"/>
              <w:snapToGrid w:val="0"/>
              <w:spacing w:before="0" w:beforeAutospacing="0" w:after="0" w:afterAutospacing="0"/>
              <w:ind w:left="0" w:right="0" w:firstLine="440"/>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default"/>
                <w:bCs/>
                <w:color w:val="0D0D0D" w:themeColor="text1" w:themeTint="F2"/>
                <w:spacing w:val="-10"/>
                <w:szCs w:val="21"/>
                <w:u w:val="single"/>
                <w14:textFill>
                  <w14:solidFill>
                    <w14:schemeClr w14:val="tx1">
                      <w14:lumMod w14:val="95000"/>
                      <w14:lumOff w14:val="5000"/>
                    </w14:schemeClr>
                  </w14:solidFill>
                </w14:textFill>
              </w:rPr>
              <w:t>1、废气源强核算</w:t>
            </w:r>
          </w:p>
          <w:p w14:paraId="2273DF0E">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lang w:val="en-US" w:eastAsia="zh-CN"/>
                <w14:textFill>
                  <w14:solidFill>
                    <w14:schemeClr w14:val="tx1">
                      <w14:lumMod w14:val="95000"/>
                      <w14:lumOff w14:val="5000"/>
                    </w14:schemeClr>
                  </w14:solidFill>
                </w14:textFill>
              </w:rPr>
              <w:t>挤出工序是对原料加热至熔融状态，由于加热温度控制在允许的范围内， 故不发生裂解，但会产生少量挥发性有机气体，以非甲烷总烃计。报告采用物料衡算的方法对本项目原料加热工序产生的非甲烷总烃进行估算。根据《空气污染物排放和控制手册工业污染源调查与研究第二辑》（美国环境保护局编），乙烯单体排放因子为0.35kg/t原料（0.035%）。由于乙烯也属于非甲烷总烃类，同时根据同类型企业污染物排放系数统计，本次环评保守估计生产过程中污染物产生因子为非甲烷总烃为0.35kg/t原料，项目聚酯多元醇、MDI、丁二醇等年用量为2000t/a，本项目挤出造粒工序产生非甲烷总烃为0.7t/a（0.3646kg/h）。</w:t>
            </w:r>
          </w:p>
          <w:p w14:paraId="09855EF2">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本项目拟分</w:t>
            </w:r>
            <w:r>
              <w:rPr>
                <w:rFonts w:hint="eastAsia"/>
                <w:color w:val="0D0D0D" w:themeColor="text1" w:themeTint="F2"/>
                <w:u w:val="single"/>
                <w14:textFill>
                  <w14:solidFill>
                    <w14:schemeClr w14:val="tx1">
                      <w14:lumMod w14:val="95000"/>
                      <w14:lumOff w14:val="5000"/>
                    </w14:schemeClr>
                  </w14:solidFill>
                </w14:textFill>
              </w:rPr>
              <w:t>别在#10、#11二个厂房分别安装1</w:t>
            </w:r>
            <w:r>
              <w:rPr>
                <w:rFonts w:hint="default"/>
                <w:color w:val="0D0D0D" w:themeColor="text1" w:themeTint="F2"/>
                <w:u w:val="single"/>
                <w14:textFill>
                  <w14:solidFill>
                    <w14:schemeClr w14:val="tx1">
                      <w14:lumMod w14:val="95000"/>
                      <w14:lumOff w14:val="5000"/>
                    </w14:schemeClr>
                  </w14:solidFill>
                </w14:textFill>
              </w:rPr>
              <w:t>条生产线，</w:t>
            </w:r>
            <w:r>
              <w:rPr>
                <w:rFonts w:hint="eastAsia"/>
                <w:color w:val="0D0D0D" w:themeColor="text1" w:themeTint="F2"/>
                <w:u w:val="single"/>
                <w14:textFill>
                  <w14:solidFill>
                    <w14:schemeClr w14:val="tx1">
                      <w14:lumMod w14:val="95000"/>
                      <w14:lumOff w14:val="5000"/>
                    </w14:schemeClr>
                  </w14:solidFill>
                </w14:textFill>
              </w:rPr>
              <w:t>单条产线产量为1</w:t>
            </w:r>
            <w:r>
              <w:rPr>
                <w:rFonts w:hint="default"/>
                <w:color w:val="0D0D0D" w:themeColor="text1" w:themeTint="F2"/>
                <w:u w:val="single"/>
                <w14:textFill>
                  <w14:solidFill>
                    <w14:schemeClr w14:val="tx1">
                      <w14:lumMod w14:val="95000"/>
                      <w14:lumOff w14:val="5000"/>
                    </w14:schemeClr>
                  </w14:solidFill>
                </w14:textFill>
              </w:rPr>
              <w:t>000t</w:t>
            </w:r>
            <w:r>
              <w:rPr>
                <w:rFonts w:hint="eastAsia"/>
                <w:color w:val="0D0D0D" w:themeColor="text1" w:themeTint="F2"/>
                <w:u w:val="single"/>
                <w14:textFill>
                  <w14:solidFill>
                    <w14:schemeClr w14:val="tx1">
                      <w14:lumMod w14:val="95000"/>
                      <w14:lumOff w14:val="5000"/>
                    </w14:schemeClr>
                  </w14:solidFill>
                </w14:textFill>
              </w:rPr>
              <w:t>/a</w:t>
            </w:r>
            <w:r>
              <w:rPr>
                <w:rFonts w:hint="default"/>
                <w:color w:val="0D0D0D" w:themeColor="text1" w:themeTint="F2"/>
                <w:u w:val="single"/>
                <w14:textFill>
                  <w14:solidFill>
                    <w14:schemeClr w14:val="tx1">
                      <w14:lumMod w14:val="95000"/>
                      <w14:lumOff w14:val="5000"/>
                    </w14:schemeClr>
                  </w14:solidFill>
                </w14:textFill>
              </w:rPr>
              <w:t>，</w:t>
            </w:r>
            <w:r>
              <w:rPr>
                <w:rFonts w:hint="eastAsia"/>
                <w:color w:val="0D0D0D" w:themeColor="text1" w:themeTint="F2"/>
                <w:u w:val="single"/>
                <w14:textFill>
                  <w14:solidFill>
                    <w14:schemeClr w14:val="tx1">
                      <w14:lumMod w14:val="95000"/>
                      <w14:lumOff w14:val="5000"/>
                    </w14:schemeClr>
                  </w14:solidFill>
                </w14:textFill>
              </w:rPr>
              <w:t>总年产量为2000t，</w:t>
            </w:r>
            <w:r>
              <w:rPr>
                <w:rFonts w:hint="default"/>
                <w:color w:val="0D0D0D" w:themeColor="text1" w:themeTint="F2"/>
                <w:u w:val="single"/>
                <w14:textFill>
                  <w14:solidFill>
                    <w14:schemeClr w14:val="tx1">
                      <w14:lumMod w14:val="95000"/>
                      <w14:lumOff w14:val="5000"/>
                    </w14:schemeClr>
                  </w14:solidFill>
                </w14:textFill>
              </w:rPr>
              <w:t>则非甲烷总烃产生量产生量为</w:t>
            </w:r>
            <w:r>
              <w:rPr>
                <w:rFonts w:hint="eastAsia"/>
                <w:color w:val="0D0D0D" w:themeColor="text1" w:themeTint="F2"/>
                <w:u w:val="single"/>
                <w:lang w:eastAsia="zh-CN"/>
                <w14:textFill>
                  <w14:solidFill>
                    <w14:schemeClr w14:val="tx1">
                      <w14:lumMod w14:val="95000"/>
                      <w14:lumOff w14:val="5000"/>
                    </w14:schemeClr>
                  </w14:solidFill>
                </w14:textFill>
              </w:rPr>
              <w:t>0.7t/a</w:t>
            </w:r>
            <w:r>
              <w:rPr>
                <w:rFonts w:hint="eastAsia"/>
                <w:color w:val="0D0D0D" w:themeColor="text1" w:themeTint="F2"/>
                <w:u w:val="single"/>
                <w14:textFill>
                  <w14:solidFill>
                    <w14:schemeClr w14:val="tx1">
                      <w14:lumMod w14:val="95000"/>
                      <w14:lumOff w14:val="5000"/>
                    </w14:schemeClr>
                  </w14:solidFill>
                </w14:textFill>
              </w:rPr>
              <w:t>，项目造粒挤出有机废气经集气装置收集后通过</w:t>
            </w:r>
            <w:r>
              <w:rPr>
                <w:rFonts w:hint="eastAsia"/>
                <w:color w:val="0D0D0D" w:themeColor="text1" w:themeTint="F2"/>
                <w:u w:val="single"/>
                <w:lang w:eastAsia="zh-CN"/>
                <w14:textFill>
                  <w14:solidFill>
                    <w14:schemeClr w14:val="tx1">
                      <w14:lumMod w14:val="95000"/>
                      <w14:lumOff w14:val="5000"/>
                    </w14:schemeClr>
                  </w14:solidFill>
                </w14:textFill>
              </w:rPr>
              <w:t>二级活性炭</w:t>
            </w:r>
            <w:r>
              <w:rPr>
                <w:rFonts w:hint="eastAsia"/>
                <w:color w:val="0D0D0D" w:themeColor="text1" w:themeTint="F2"/>
                <w:u w:val="single"/>
                <w14:textFill>
                  <w14:solidFill>
                    <w14:schemeClr w14:val="tx1">
                      <w14:lumMod w14:val="95000"/>
                      <w14:lumOff w14:val="5000"/>
                    </w14:schemeClr>
                  </w14:solidFill>
                </w14:textFill>
              </w:rPr>
              <w:t>吸附装置处理后经 15m 排气筒高空排放。每个排放口废气产生量为</w:t>
            </w:r>
            <w:r>
              <w:rPr>
                <w:rFonts w:hint="eastAsia"/>
                <w:color w:val="0D0D0D" w:themeColor="text1" w:themeTint="F2"/>
                <w:u w:val="single"/>
                <w:lang w:val="en-US" w:eastAsia="zh-CN"/>
                <w14:textFill>
                  <w14:solidFill>
                    <w14:schemeClr w14:val="tx1">
                      <w14:lumMod w14:val="95000"/>
                      <w14:lumOff w14:val="5000"/>
                    </w14:schemeClr>
                  </w14:solidFill>
                </w14:textFill>
              </w:rPr>
              <w:t>0.35</w:t>
            </w:r>
            <w:r>
              <w:rPr>
                <w:rFonts w:hint="eastAsia"/>
                <w:color w:val="0D0D0D" w:themeColor="text1" w:themeTint="F2"/>
                <w:u w:val="single"/>
                <w14:textFill>
                  <w14:solidFill>
                    <w14:schemeClr w14:val="tx1">
                      <w14:lumMod w14:val="95000"/>
                      <w14:lumOff w14:val="5000"/>
                    </w14:schemeClr>
                  </w14:solidFill>
                </w14:textFill>
              </w:rPr>
              <w:t>t/a，产生速率</w:t>
            </w:r>
            <w:r>
              <w:rPr>
                <w:rFonts w:hint="eastAsia"/>
                <w:color w:val="0D0D0D" w:themeColor="text1" w:themeTint="F2"/>
                <w:u w:val="single"/>
                <w:lang w:eastAsia="zh-CN"/>
                <w14:textFill>
                  <w14:solidFill>
                    <w14:schemeClr w14:val="tx1">
                      <w14:lumMod w14:val="95000"/>
                      <w14:lumOff w14:val="5000"/>
                    </w14:schemeClr>
                  </w14:solidFill>
                </w14:textFill>
              </w:rPr>
              <w:t>0.</w:t>
            </w:r>
            <w:r>
              <w:rPr>
                <w:rFonts w:hint="eastAsia"/>
                <w:color w:val="0D0D0D" w:themeColor="text1" w:themeTint="F2"/>
                <w:u w:val="single"/>
                <w:lang w:val="en-US" w:eastAsia="zh-CN"/>
                <w14:textFill>
                  <w14:solidFill>
                    <w14:schemeClr w14:val="tx1">
                      <w14:lumMod w14:val="95000"/>
                      <w14:lumOff w14:val="5000"/>
                    </w14:schemeClr>
                  </w14:solidFill>
                </w14:textFill>
              </w:rPr>
              <w:t>1823</w:t>
            </w:r>
            <w:r>
              <w:rPr>
                <w:rFonts w:hint="eastAsia"/>
                <w:color w:val="0D0D0D" w:themeColor="text1" w:themeTint="F2"/>
                <w:u w:val="single"/>
                <w14:textFill>
                  <w14:solidFill>
                    <w14:schemeClr w14:val="tx1">
                      <w14:lumMod w14:val="95000"/>
                      <w14:lumOff w14:val="5000"/>
                    </w14:schemeClr>
                  </w14:solidFill>
                </w14:textFill>
              </w:rPr>
              <w:t>kg/h</w:t>
            </w:r>
            <w:r>
              <w:rPr>
                <w:rFonts w:hint="default"/>
                <w:color w:val="0D0D0D" w:themeColor="text1" w:themeTint="F2"/>
                <w:u w:val="single"/>
                <w14:textFill>
                  <w14:solidFill>
                    <w14:schemeClr w14:val="tx1">
                      <w14:lumMod w14:val="95000"/>
                      <w14:lumOff w14:val="5000"/>
                    </w14:schemeClr>
                  </w14:solidFill>
                </w14:textFill>
              </w:rPr>
              <w:t>。</w:t>
            </w:r>
          </w:p>
          <w:p w14:paraId="5C9817EB">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eastAsia"/>
                <w:color w:val="0D0D0D" w:themeColor="text1" w:themeTint="F2"/>
                <w:u w:val="single"/>
                <w:lang w:eastAsia="zh-CN"/>
                <w14:textFill>
                  <w14:solidFill>
                    <w14:schemeClr w14:val="tx1">
                      <w14:lumMod w14:val="95000"/>
                      <w14:lumOff w14:val="5000"/>
                    </w14:schemeClr>
                  </w14:solidFill>
                </w14:textFill>
              </w:rPr>
              <w:t>二级活性炭</w:t>
            </w:r>
            <w:r>
              <w:rPr>
                <w:rFonts w:hint="eastAsia"/>
                <w:color w:val="0D0D0D" w:themeColor="text1" w:themeTint="F2"/>
                <w:u w:val="single"/>
                <w14:textFill>
                  <w14:solidFill>
                    <w14:schemeClr w14:val="tx1">
                      <w14:lumMod w14:val="95000"/>
                      <w14:lumOff w14:val="5000"/>
                    </w14:schemeClr>
                  </w14:solidFill>
                </w14:textFill>
              </w:rPr>
              <w:t>吸附装置净化效率为90%，风机风量为5000m</w:t>
            </w:r>
            <w:r>
              <w:rPr>
                <w:rFonts w:hint="eastAsia"/>
                <w:color w:val="0D0D0D" w:themeColor="text1" w:themeTint="F2"/>
                <w:u w:val="single"/>
                <w:vertAlign w:val="superscript"/>
                <w14:textFill>
                  <w14:solidFill>
                    <w14:schemeClr w14:val="tx1">
                      <w14:lumMod w14:val="95000"/>
                      <w14:lumOff w14:val="5000"/>
                    </w14:schemeClr>
                  </w14:solidFill>
                </w14:textFill>
              </w:rPr>
              <w:t>3</w:t>
            </w:r>
            <w:r>
              <w:rPr>
                <w:rFonts w:hint="eastAsia"/>
                <w:color w:val="0D0D0D" w:themeColor="text1" w:themeTint="F2"/>
                <w:u w:val="single"/>
                <w14:textFill>
                  <w14:solidFill>
                    <w14:schemeClr w14:val="tx1">
                      <w14:lumMod w14:val="95000"/>
                      <w14:lumOff w14:val="5000"/>
                    </w14:schemeClr>
                  </w14:solidFill>
                </w14:textFill>
              </w:rPr>
              <w:t>/h。项目有机废气应加强密闭措施，</w:t>
            </w:r>
            <w:r>
              <w:rPr>
                <w:rFonts w:hint="eastAsia"/>
                <w:color w:val="0D0D0D" w:themeColor="text1" w:themeTint="F2"/>
                <w:u w:val="single"/>
                <w:lang w:val="en-US" w:eastAsia="zh-CN"/>
                <w14:textFill>
                  <w14:solidFill>
                    <w14:schemeClr w14:val="tx1">
                      <w14:lumMod w14:val="95000"/>
                      <w14:lumOff w14:val="5000"/>
                    </w14:schemeClr>
                  </w14:solidFill>
                </w14:textFill>
              </w:rPr>
              <w:t>采用吸附性能较强的纤维活性炭等</w:t>
            </w:r>
            <w:r>
              <w:rPr>
                <w:rFonts w:hint="eastAsia"/>
                <w:color w:val="0D0D0D" w:themeColor="text1" w:themeTint="F2"/>
                <w:u w:val="single"/>
                <w14:textFill>
                  <w14:solidFill>
                    <w14:schemeClr w14:val="tx1">
                      <w14:lumMod w14:val="95000"/>
                      <w14:lumOff w14:val="5000"/>
                    </w14:schemeClr>
                  </w14:solidFill>
                </w14:textFill>
              </w:rPr>
              <w:t>，并</w:t>
            </w:r>
            <w:r>
              <w:rPr>
                <w:rFonts w:hint="eastAsia"/>
                <w:color w:val="0D0D0D" w:themeColor="text1" w:themeTint="F2"/>
                <w:u w:val="single"/>
                <w:lang w:val="en-US" w:eastAsia="zh-CN"/>
                <w14:textFill>
                  <w14:solidFill>
                    <w14:schemeClr w14:val="tx1">
                      <w14:lumMod w14:val="95000"/>
                      <w14:lumOff w14:val="5000"/>
                    </w14:schemeClr>
                  </w14:solidFill>
                </w14:textFill>
              </w:rPr>
              <w:t>定期巡查活性炭吸附情况，及时更换吸附饱和的活性炭</w:t>
            </w:r>
            <w:r>
              <w:rPr>
                <w:rFonts w:hint="eastAsia"/>
                <w:color w:val="0D0D0D" w:themeColor="text1" w:themeTint="F2"/>
                <w:u w:val="single"/>
                <w14:textFill>
                  <w14:solidFill>
                    <w14:schemeClr w14:val="tx1">
                      <w14:lumMod w14:val="95000"/>
                      <w14:lumOff w14:val="5000"/>
                    </w14:schemeClr>
                  </w14:solidFill>
                </w14:textFill>
              </w:rPr>
              <w:t>，保证活性炭的吸附效率，提高废气处理设施的净化效率，确保废气处理效率大于等于90%。项目车间与设备因人员与原辅材料进出会造成废气外溢，故存在无组织排放，无组织排放量预计按10%计。</w:t>
            </w:r>
          </w:p>
          <w:p w14:paraId="51DA8071">
            <w:pPr>
              <w:keepNext w:val="0"/>
              <w:keepLines w:val="0"/>
              <w:suppressLineNumbers w:val="0"/>
              <w:adjustRightInd w:val="0"/>
              <w:snapToGrid w:val="0"/>
              <w:spacing w:before="0" w:beforeAutospacing="0" w:after="0" w:afterAutospacing="0"/>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表4-1  本项目大气污染物产生及排放情况一览表</w:t>
            </w:r>
          </w:p>
          <w:tbl>
            <w:tblPr>
              <w:tblStyle w:val="17"/>
              <w:tblW w:w="80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2"/>
              <w:gridCol w:w="433"/>
              <w:gridCol w:w="451"/>
              <w:gridCol w:w="443"/>
              <w:gridCol w:w="599"/>
              <w:gridCol w:w="595"/>
              <w:gridCol w:w="499"/>
              <w:gridCol w:w="551"/>
              <w:gridCol w:w="555"/>
              <w:gridCol w:w="399"/>
              <w:gridCol w:w="580"/>
              <w:gridCol w:w="595"/>
              <w:gridCol w:w="458"/>
              <w:gridCol w:w="595"/>
              <w:gridCol w:w="398"/>
              <w:gridCol w:w="543"/>
            </w:tblGrid>
            <w:tr w14:paraId="48B00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29" w:type="dxa"/>
                  <w:vMerge w:val="restart"/>
                  <w:tcBorders>
                    <w:tl2br w:val="nil"/>
                    <w:tr2bl w:val="nil"/>
                  </w:tcBorders>
                  <w:tcMar>
                    <w:top w:w="0" w:type="dxa"/>
                    <w:left w:w="0" w:type="dxa"/>
                    <w:bottom w:w="0" w:type="dxa"/>
                    <w:right w:w="0" w:type="dxa"/>
                  </w:tcMar>
                  <w:vAlign w:val="center"/>
                </w:tcPr>
                <w:p w14:paraId="467E425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排放</w:t>
                  </w:r>
                </w:p>
                <w:p w14:paraId="74C50FC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形式</w:t>
                  </w:r>
                </w:p>
              </w:tc>
              <w:tc>
                <w:tcPr>
                  <w:tcW w:w="446" w:type="dxa"/>
                  <w:vMerge w:val="restart"/>
                  <w:tcBorders>
                    <w:tl2br w:val="nil"/>
                    <w:tr2bl w:val="nil"/>
                  </w:tcBorders>
                  <w:tcMar>
                    <w:top w:w="0" w:type="dxa"/>
                    <w:left w:w="0" w:type="dxa"/>
                    <w:bottom w:w="0" w:type="dxa"/>
                    <w:right w:w="0" w:type="dxa"/>
                  </w:tcMar>
                  <w:vAlign w:val="center"/>
                </w:tcPr>
                <w:p w14:paraId="46FA1F6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工序</w:t>
                  </w:r>
                </w:p>
                <w:p w14:paraId="0493869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/生产线</w:t>
                  </w:r>
                </w:p>
              </w:tc>
              <w:tc>
                <w:tcPr>
                  <w:tcW w:w="464" w:type="dxa"/>
                  <w:vMerge w:val="restart"/>
                  <w:tcBorders>
                    <w:tl2br w:val="nil"/>
                    <w:tr2bl w:val="nil"/>
                  </w:tcBorders>
                  <w:tcMar>
                    <w:top w:w="0" w:type="dxa"/>
                    <w:left w:w="0" w:type="dxa"/>
                    <w:bottom w:w="0" w:type="dxa"/>
                    <w:right w:w="0" w:type="dxa"/>
                  </w:tcMar>
                  <w:vAlign w:val="center"/>
                </w:tcPr>
                <w:p w14:paraId="2A9E1B7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污染</w:t>
                  </w:r>
                </w:p>
                <w:p w14:paraId="0E90F70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物名</w:t>
                  </w:r>
                </w:p>
                <w:p w14:paraId="6A60B97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称</w:t>
                  </w:r>
                </w:p>
              </w:tc>
              <w:tc>
                <w:tcPr>
                  <w:tcW w:w="456" w:type="dxa"/>
                  <w:vMerge w:val="restart"/>
                  <w:tcBorders>
                    <w:tl2br w:val="nil"/>
                    <w:tr2bl w:val="nil"/>
                  </w:tcBorders>
                  <w:tcMar>
                    <w:top w:w="0" w:type="dxa"/>
                    <w:left w:w="0" w:type="dxa"/>
                    <w:bottom w:w="0" w:type="dxa"/>
                    <w:right w:w="0" w:type="dxa"/>
                  </w:tcMar>
                  <w:vAlign w:val="center"/>
                </w:tcPr>
                <w:p w14:paraId="1BB86E8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核</w:t>
                  </w:r>
                </w:p>
                <w:p w14:paraId="0D75693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算</w:t>
                  </w:r>
                </w:p>
                <w:p w14:paraId="6C524EF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方</w:t>
                  </w:r>
                </w:p>
                <w:p w14:paraId="2CABB6A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法</w:t>
                  </w:r>
                </w:p>
              </w:tc>
              <w:tc>
                <w:tcPr>
                  <w:tcW w:w="1642" w:type="dxa"/>
                  <w:gridSpan w:val="3"/>
                  <w:tcBorders>
                    <w:tl2br w:val="nil"/>
                    <w:tr2bl w:val="nil"/>
                  </w:tcBorders>
                  <w:tcMar>
                    <w:top w:w="0" w:type="dxa"/>
                    <w:left w:w="0" w:type="dxa"/>
                    <w:bottom w:w="0" w:type="dxa"/>
                    <w:right w:w="0" w:type="dxa"/>
                  </w:tcMar>
                  <w:vAlign w:val="center"/>
                </w:tcPr>
                <w:p w14:paraId="528B714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产生状况</w:t>
                  </w:r>
                </w:p>
              </w:tc>
              <w:tc>
                <w:tcPr>
                  <w:tcW w:w="1533" w:type="dxa"/>
                  <w:gridSpan w:val="3"/>
                  <w:tcBorders>
                    <w:tl2br w:val="nil"/>
                    <w:tr2bl w:val="nil"/>
                  </w:tcBorders>
                  <w:tcMar>
                    <w:top w:w="0" w:type="dxa"/>
                    <w:left w:w="0" w:type="dxa"/>
                    <w:bottom w:w="0" w:type="dxa"/>
                    <w:right w:w="0" w:type="dxa"/>
                  </w:tcMar>
                  <w:vAlign w:val="center"/>
                </w:tcPr>
                <w:p w14:paraId="4A864CC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治理措施</w:t>
                  </w:r>
                </w:p>
              </w:tc>
              <w:tc>
                <w:tcPr>
                  <w:tcW w:w="1599" w:type="dxa"/>
                  <w:gridSpan w:val="3"/>
                  <w:tcBorders>
                    <w:tl2br w:val="nil"/>
                    <w:tr2bl w:val="nil"/>
                  </w:tcBorders>
                  <w:tcMar>
                    <w:top w:w="0" w:type="dxa"/>
                    <w:left w:w="0" w:type="dxa"/>
                    <w:bottom w:w="0" w:type="dxa"/>
                    <w:right w:w="0" w:type="dxa"/>
                  </w:tcMar>
                  <w:vAlign w:val="center"/>
                </w:tcPr>
                <w:p w14:paraId="1D3C0B7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排放状况</w:t>
                  </w:r>
                </w:p>
              </w:tc>
              <w:tc>
                <w:tcPr>
                  <w:tcW w:w="1000" w:type="dxa"/>
                  <w:gridSpan w:val="2"/>
                  <w:tcBorders>
                    <w:tl2br w:val="nil"/>
                    <w:tr2bl w:val="nil"/>
                  </w:tcBorders>
                  <w:tcMar>
                    <w:top w:w="0" w:type="dxa"/>
                    <w:left w:w="0" w:type="dxa"/>
                    <w:bottom w:w="0" w:type="dxa"/>
                    <w:right w:w="0" w:type="dxa"/>
                  </w:tcMar>
                  <w:vAlign w:val="center"/>
                </w:tcPr>
                <w:p w14:paraId="238FBAC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执行标准</w:t>
                  </w:r>
                </w:p>
              </w:tc>
              <w:tc>
                <w:tcPr>
                  <w:tcW w:w="547" w:type="dxa"/>
                  <w:vMerge w:val="restart"/>
                  <w:tcBorders>
                    <w:tl2br w:val="nil"/>
                    <w:tr2bl w:val="nil"/>
                  </w:tcBorders>
                  <w:tcMar>
                    <w:top w:w="0" w:type="dxa"/>
                    <w:left w:w="0" w:type="dxa"/>
                    <w:bottom w:w="0" w:type="dxa"/>
                    <w:right w:w="0" w:type="dxa"/>
                  </w:tcMar>
                  <w:vAlign w:val="center"/>
                </w:tcPr>
                <w:p w14:paraId="5BFD3E2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排气</w:t>
                  </w:r>
                </w:p>
                <w:p w14:paraId="1D45700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筒编</w:t>
                  </w:r>
                </w:p>
                <w:p w14:paraId="0BE76F9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号</w:t>
                  </w:r>
                </w:p>
              </w:tc>
            </w:tr>
            <w:tr w14:paraId="16C52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329" w:type="dxa"/>
                  <w:vMerge w:val="continue"/>
                  <w:tcBorders>
                    <w:tl2br w:val="nil"/>
                    <w:tr2bl w:val="nil"/>
                  </w:tcBorders>
                  <w:tcMar>
                    <w:top w:w="0" w:type="dxa"/>
                    <w:left w:w="0" w:type="dxa"/>
                    <w:bottom w:w="0" w:type="dxa"/>
                    <w:right w:w="0" w:type="dxa"/>
                  </w:tcMar>
                  <w:vAlign w:val="center"/>
                </w:tcPr>
                <w:p w14:paraId="2353B67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p>
              </w:tc>
              <w:tc>
                <w:tcPr>
                  <w:tcW w:w="446" w:type="dxa"/>
                  <w:vMerge w:val="continue"/>
                  <w:tcBorders>
                    <w:tl2br w:val="nil"/>
                    <w:tr2bl w:val="nil"/>
                  </w:tcBorders>
                  <w:tcMar>
                    <w:top w:w="0" w:type="dxa"/>
                    <w:left w:w="0" w:type="dxa"/>
                    <w:bottom w:w="0" w:type="dxa"/>
                    <w:right w:w="0" w:type="dxa"/>
                  </w:tcMar>
                  <w:vAlign w:val="center"/>
                </w:tcPr>
                <w:p w14:paraId="5D8B727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p>
              </w:tc>
              <w:tc>
                <w:tcPr>
                  <w:tcW w:w="464" w:type="dxa"/>
                  <w:vMerge w:val="continue"/>
                  <w:tcBorders>
                    <w:tl2br w:val="nil"/>
                    <w:tr2bl w:val="nil"/>
                  </w:tcBorders>
                  <w:tcMar>
                    <w:top w:w="0" w:type="dxa"/>
                    <w:left w:w="0" w:type="dxa"/>
                    <w:bottom w:w="0" w:type="dxa"/>
                    <w:right w:w="0" w:type="dxa"/>
                  </w:tcMar>
                  <w:vAlign w:val="center"/>
                </w:tcPr>
                <w:p w14:paraId="49B3B99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p>
              </w:tc>
              <w:tc>
                <w:tcPr>
                  <w:tcW w:w="456" w:type="dxa"/>
                  <w:vMerge w:val="continue"/>
                  <w:tcBorders>
                    <w:tl2br w:val="nil"/>
                    <w:tr2bl w:val="nil"/>
                  </w:tcBorders>
                  <w:tcMar>
                    <w:top w:w="0" w:type="dxa"/>
                    <w:left w:w="0" w:type="dxa"/>
                    <w:bottom w:w="0" w:type="dxa"/>
                    <w:right w:w="0" w:type="dxa"/>
                  </w:tcMar>
                  <w:vAlign w:val="center"/>
                </w:tcPr>
                <w:p w14:paraId="0EE2C43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p>
              </w:tc>
              <w:tc>
                <w:tcPr>
                  <w:tcW w:w="604" w:type="dxa"/>
                  <w:tcBorders>
                    <w:tl2br w:val="nil"/>
                    <w:tr2bl w:val="nil"/>
                  </w:tcBorders>
                  <w:tcMar>
                    <w:top w:w="0" w:type="dxa"/>
                    <w:left w:w="0" w:type="dxa"/>
                    <w:bottom w:w="0" w:type="dxa"/>
                    <w:right w:w="0" w:type="dxa"/>
                  </w:tcMar>
                  <w:vAlign w:val="center"/>
                </w:tcPr>
                <w:p w14:paraId="2C8D87C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产生</w:t>
                  </w:r>
                </w:p>
                <w:p w14:paraId="4C9FDB4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浓度</w:t>
                  </w:r>
                </w:p>
                <w:p w14:paraId="2BAC0CC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mg/m³</w:t>
                  </w:r>
                </w:p>
              </w:tc>
              <w:tc>
                <w:tcPr>
                  <w:tcW w:w="535" w:type="dxa"/>
                  <w:tcBorders>
                    <w:tl2br w:val="nil"/>
                    <w:tr2bl w:val="nil"/>
                  </w:tcBorders>
                  <w:tcMar>
                    <w:top w:w="0" w:type="dxa"/>
                    <w:left w:w="0" w:type="dxa"/>
                    <w:bottom w:w="0" w:type="dxa"/>
                    <w:right w:w="0" w:type="dxa"/>
                  </w:tcMar>
                  <w:vAlign w:val="center"/>
                </w:tcPr>
                <w:p w14:paraId="0273344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产生</w:t>
                  </w:r>
                </w:p>
                <w:p w14:paraId="18A8E5D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速率</w:t>
                  </w:r>
                </w:p>
                <w:p w14:paraId="2286AB2D">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kg/h</w:t>
                  </w:r>
                </w:p>
              </w:tc>
              <w:tc>
                <w:tcPr>
                  <w:tcW w:w="503" w:type="dxa"/>
                  <w:tcBorders>
                    <w:tl2br w:val="nil"/>
                    <w:tr2bl w:val="nil"/>
                  </w:tcBorders>
                  <w:tcMar>
                    <w:top w:w="0" w:type="dxa"/>
                    <w:left w:w="0" w:type="dxa"/>
                    <w:bottom w:w="0" w:type="dxa"/>
                    <w:right w:w="0" w:type="dxa"/>
                  </w:tcMar>
                  <w:vAlign w:val="center"/>
                </w:tcPr>
                <w:p w14:paraId="236192B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产生</w:t>
                  </w:r>
                </w:p>
                <w:p w14:paraId="71459D1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量t/a</w:t>
                  </w:r>
                </w:p>
              </w:tc>
              <w:tc>
                <w:tcPr>
                  <w:tcW w:w="569" w:type="dxa"/>
                  <w:tcBorders>
                    <w:tl2br w:val="nil"/>
                    <w:tr2bl w:val="nil"/>
                  </w:tcBorders>
                  <w:tcMar>
                    <w:top w:w="0" w:type="dxa"/>
                    <w:left w:w="0" w:type="dxa"/>
                    <w:bottom w:w="0" w:type="dxa"/>
                    <w:right w:w="0" w:type="dxa"/>
                  </w:tcMar>
                  <w:vAlign w:val="center"/>
                </w:tcPr>
                <w:p w14:paraId="16A860D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污染</w:t>
                  </w:r>
                </w:p>
                <w:p w14:paraId="5496BCF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设施治理工艺</w:t>
                  </w:r>
                </w:p>
              </w:tc>
              <w:tc>
                <w:tcPr>
                  <w:tcW w:w="564" w:type="dxa"/>
                  <w:tcBorders>
                    <w:tl2br w:val="nil"/>
                    <w:tr2bl w:val="nil"/>
                  </w:tcBorders>
                  <w:tcMar>
                    <w:top w:w="0" w:type="dxa"/>
                    <w:left w:w="0" w:type="dxa"/>
                    <w:bottom w:w="0" w:type="dxa"/>
                    <w:right w:w="0" w:type="dxa"/>
                  </w:tcMar>
                  <w:vAlign w:val="center"/>
                </w:tcPr>
                <w:p w14:paraId="35DB37ED">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处理</w:t>
                  </w:r>
                </w:p>
                <w:p w14:paraId="35FD58C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能力</w:t>
                  </w:r>
                </w:p>
                <w:p w14:paraId="5344011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m³/h</w:t>
                  </w:r>
                </w:p>
              </w:tc>
              <w:tc>
                <w:tcPr>
                  <w:tcW w:w="400" w:type="dxa"/>
                  <w:tcBorders>
                    <w:tl2br w:val="nil"/>
                    <w:tr2bl w:val="nil"/>
                  </w:tcBorders>
                  <w:tcMar>
                    <w:top w:w="0" w:type="dxa"/>
                    <w:left w:w="0" w:type="dxa"/>
                    <w:bottom w:w="0" w:type="dxa"/>
                    <w:right w:w="0" w:type="dxa"/>
                  </w:tcMar>
                  <w:vAlign w:val="center"/>
                </w:tcPr>
                <w:p w14:paraId="72EBBD8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去除</w:t>
                  </w:r>
                </w:p>
                <w:p w14:paraId="58D2D7E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效</w:t>
                  </w:r>
                </w:p>
                <w:p w14:paraId="2BB0CC0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率%</w:t>
                  </w:r>
                </w:p>
              </w:tc>
              <w:tc>
                <w:tcPr>
                  <w:tcW w:w="584" w:type="dxa"/>
                  <w:tcBorders>
                    <w:tl2br w:val="nil"/>
                    <w:tr2bl w:val="nil"/>
                  </w:tcBorders>
                  <w:tcMar>
                    <w:top w:w="0" w:type="dxa"/>
                    <w:left w:w="0" w:type="dxa"/>
                    <w:bottom w:w="0" w:type="dxa"/>
                    <w:right w:w="0" w:type="dxa"/>
                  </w:tcMar>
                  <w:vAlign w:val="center"/>
                </w:tcPr>
                <w:p w14:paraId="3890C51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排放</w:t>
                  </w:r>
                </w:p>
                <w:p w14:paraId="24E70B2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浓度</w:t>
                  </w:r>
                </w:p>
                <w:p w14:paraId="4EA3CFA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w w:val="90"/>
                      <w:sz w:val="18"/>
                      <w:szCs w:val="18"/>
                      <w:u w:val="single"/>
                      <w14:textFill>
                        <w14:solidFill>
                          <w14:schemeClr w14:val="tx1">
                            <w14:lumMod w14:val="95000"/>
                            <w14:lumOff w14:val="5000"/>
                          </w14:schemeClr>
                        </w14:solidFill>
                      </w14:textFill>
                    </w:rPr>
                    <w:t>mg/m³</w:t>
                  </w:r>
                </w:p>
              </w:tc>
              <w:tc>
                <w:tcPr>
                  <w:tcW w:w="555" w:type="dxa"/>
                  <w:tcBorders>
                    <w:tl2br w:val="nil"/>
                    <w:tr2bl w:val="nil"/>
                  </w:tcBorders>
                  <w:tcMar>
                    <w:top w:w="0" w:type="dxa"/>
                    <w:left w:w="0" w:type="dxa"/>
                    <w:bottom w:w="0" w:type="dxa"/>
                    <w:right w:w="0" w:type="dxa"/>
                  </w:tcMar>
                  <w:vAlign w:val="center"/>
                </w:tcPr>
                <w:p w14:paraId="7D62168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排放</w:t>
                  </w:r>
                </w:p>
                <w:p w14:paraId="37062EBA">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速率</w:t>
                  </w:r>
                </w:p>
                <w:p w14:paraId="033B63B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kg/h</w:t>
                  </w:r>
                </w:p>
              </w:tc>
              <w:tc>
                <w:tcPr>
                  <w:tcW w:w="460" w:type="dxa"/>
                  <w:tcBorders>
                    <w:tl2br w:val="nil"/>
                    <w:tr2bl w:val="nil"/>
                  </w:tcBorders>
                  <w:tcMar>
                    <w:top w:w="0" w:type="dxa"/>
                    <w:left w:w="0" w:type="dxa"/>
                    <w:bottom w:w="0" w:type="dxa"/>
                    <w:right w:w="0" w:type="dxa"/>
                  </w:tcMar>
                  <w:vAlign w:val="center"/>
                </w:tcPr>
                <w:p w14:paraId="186D74F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年排</w:t>
                  </w:r>
                </w:p>
                <w:p w14:paraId="3A2E046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放量</w:t>
                  </w:r>
                </w:p>
                <w:p w14:paraId="126AA80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t/a</w:t>
                  </w:r>
                </w:p>
              </w:tc>
              <w:tc>
                <w:tcPr>
                  <w:tcW w:w="600" w:type="dxa"/>
                  <w:tcBorders>
                    <w:tl2br w:val="nil"/>
                    <w:tr2bl w:val="nil"/>
                  </w:tcBorders>
                  <w:tcMar>
                    <w:top w:w="0" w:type="dxa"/>
                    <w:left w:w="0" w:type="dxa"/>
                    <w:bottom w:w="0" w:type="dxa"/>
                    <w:right w:w="0" w:type="dxa"/>
                  </w:tcMar>
                  <w:vAlign w:val="center"/>
                </w:tcPr>
                <w:p w14:paraId="20BCBD2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浓</w:t>
                  </w:r>
                </w:p>
                <w:p w14:paraId="03B16C3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度</w:t>
                  </w:r>
                </w:p>
                <w:p w14:paraId="48924FA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mg/m³</w:t>
                  </w:r>
                </w:p>
              </w:tc>
              <w:tc>
                <w:tcPr>
                  <w:tcW w:w="400" w:type="dxa"/>
                  <w:tcBorders>
                    <w:tl2br w:val="nil"/>
                    <w:tr2bl w:val="nil"/>
                  </w:tcBorders>
                  <w:tcMar>
                    <w:top w:w="0" w:type="dxa"/>
                    <w:left w:w="0" w:type="dxa"/>
                    <w:bottom w:w="0" w:type="dxa"/>
                    <w:right w:w="0" w:type="dxa"/>
                  </w:tcMar>
                  <w:vAlign w:val="center"/>
                </w:tcPr>
                <w:p w14:paraId="30069E4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速</w:t>
                  </w:r>
                </w:p>
                <w:p w14:paraId="08F3A14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率</w:t>
                  </w:r>
                </w:p>
                <w:p w14:paraId="057EE83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18"/>
                      <w:szCs w:val="18"/>
                      <w:u w:val="single"/>
                      <w14:textFill>
                        <w14:solidFill>
                          <w14:schemeClr w14:val="tx1">
                            <w14:lumMod w14:val="95000"/>
                            <w14:lumOff w14:val="5000"/>
                          </w14:schemeClr>
                        </w14:solidFill>
                      </w14:textFill>
                    </w:rPr>
                  </w:pPr>
                  <w:r>
                    <w:rPr>
                      <w:rFonts w:hint="default"/>
                      <w:b/>
                      <w:bCs/>
                      <w:color w:val="0D0D0D" w:themeColor="text1" w:themeTint="F2"/>
                      <w:sz w:val="18"/>
                      <w:szCs w:val="18"/>
                      <w:u w:val="single"/>
                      <w14:textFill>
                        <w14:solidFill>
                          <w14:schemeClr w14:val="tx1">
                            <w14:lumMod w14:val="95000"/>
                            <w14:lumOff w14:val="5000"/>
                          </w14:schemeClr>
                        </w14:solidFill>
                      </w14:textFill>
                    </w:rPr>
                    <w:t>kg/h</w:t>
                  </w:r>
                </w:p>
              </w:tc>
              <w:tc>
                <w:tcPr>
                  <w:tcW w:w="547" w:type="dxa"/>
                  <w:vMerge w:val="continue"/>
                  <w:tcBorders>
                    <w:tl2br w:val="nil"/>
                    <w:tr2bl w:val="nil"/>
                  </w:tcBorders>
                  <w:tcMar>
                    <w:top w:w="0" w:type="dxa"/>
                    <w:left w:w="0" w:type="dxa"/>
                    <w:bottom w:w="0" w:type="dxa"/>
                    <w:right w:w="0" w:type="dxa"/>
                  </w:tcMar>
                  <w:vAlign w:val="center"/>
                </w:tcPr>
                <w:p w14:paraId="709ECA56">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18"/>
                      <w:szCs w:val="18"/>
                      <w:u w:val="single"/>
                      <w14:textFill>
                        <w14:solidFill>
                          <w14:schemeClr w14:val="tx1">
                            <w14:lumMod w14:val="95000"/>
                            <w14:lumOff w14:val="5000"/>
                          </w14:schemeClr>
                        </w14:solidFill>
                      </w14:textFill>
                    </w:rPr>
                  </w:pPr>
                </w:p>
              </w:tc>
            </w:tr>
            <w:tr w14:paraId="642D9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329" w:type="dxa"/>
                  <w:vMerge w:val="restart"/>
                  <w:tcBorders>
                    <w:tl2br w:val="nil"/>
                    <w:tr2bl w:val="nil"/>
                  </w:tcBorders>
                  <w:tcMar>
                    <w:top w:w="0" w:type="dxa"/>
                    <w:left w:w="0" w:type="dxa"/>
                    <w:bottom w:w="0" w:type="dxa"/>
                    <w:right w:w="0" w:type="dxa"/>
                  </w:tcMar>
                  <w:vAlign w:val="center"/>
                </w:tcPr>
                <w:p w14:paraId="25A79EF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有组</w:t>
                  </w:r>
                </w:p>
                <w:p w14:paraId="2A8A060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织</w:t>
                  </w:r>
                </w:p>
              </w:tc>
              <w:tc>
                <w:tcPr>
                  <w:tcW w:w="446" w:type="dxa"/>
                  <w:vMerge w:val="restart"/>
                  <w:tcBorders>
                    <w:tl2br w:val="nil"/>
                    <w:tr2bl w:val="nil"/>
                  </w:tcBorders>
                  <w:tcMar>
                    <w:top w:w="0" w:type="dxa"/>
                    <w:left w:w="0" w:type="dxa"/>
                    <w:bottom w:w="0" w:type="dxa"/>
                    <w:right w:w="0" w:type="dxa"/>
                  </w:tcMar>
                  <w:vAlign w:val="center"/>
                </w:tcPr>
                <w:p w14:paraId="0C1713E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挤出</w:t>
                  </w:r>
                </w:p>
              </w:tc>
              <w:tc>
                <w:tcPr>
                  <w:tcW w:w="464" w:type="dxa"/>
                  <w:vMerge w:val="restart"/>
                  <w:tcBorders>
                    <w:tl2br w:val="nil"/>
                    <w:tr2bl w:val="nil"/>
                  </w:tcBorders>
                  <w:tcMar>
                    <w:top w:w="0" w:type="dxa"/>
                    <w:left w:w="0" w:type="dxa"/>
                    <w:bottom w:w="0" w:type="dxa"/>
                    <w:right w:w="0" w:type="dxa"/>
                  </w:tcMar>
                  <w:vAlign w:val="center"/>
                </w:tcPr>
                <w:p w14:paraId="6C62CC4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非甲</w:t>
                  </w:r>
                </w:p>
                <w:p w14:paraId="254366F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烷总</w:t>
                  </w:r>
                </w:p>
                <w:p w14:paraId="25D2850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烃</w:t>
                  </w:r>
                </w:p>
              </w:tc>
              <w:tc>
                <w:tcPr>
                  <w:tcW w:w="456" w:type="dxa"/>
                  <w:vMerge w:val="restart"/>
                  <w:tcBorders>
                    <w:tl2br w:val="nil"/>
                    <w:tr2bl w:val="nil"/>
                  </w:tcBorders>
                  <w:tcMar>
                    <w:top w:w="0" w:type="dxa"/>
                    <w:left w:w="0" w:type="dxa"/>
                    <w:bottom w:w="0" w:type="dxa"/>
                    <w:right w:w="0" w:type="dxa"/>
                  </w:tcMar>
                  <w:vAlign w:val="center"/>
                </w:tcPr>
                <w:p w14:paraId="184608D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产污</w:t>
                  </w:r>
                </w:p>
                <w:p w14:paraId="51CE6C9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系数</w:t>
                  </w:r>
                </w:p>
                <w:p w14:paraId="772884B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法</w:t>
                  </w:r>
                </w:p>
              </w:tc>
              <w:tc>
                <w:tcPr>
                  <w:tcW w:w="604" w:type="dxa"/>
                  <w:tcBorders>
                    <w:tl2br w:val="nil"/>
                    <w:tr2bl w:val="nil"/>
                  </w:tcBorders>
                  <w:tcMar>
                    <w:top w:w="0" w:type="dxa"/>
                    <w:left w:w="0" w:type="dxa"/>
                    <w:bottom w:w="0" w:type="dxa"/>
                    <w:right w:w="0" w:type="dxa"/>
                  </w:tcMar>
                  <w:vAlign w:val="center"/>
                </w:tcPr>
                <w:p w14:paraId="68785298">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18"/>
                      <w:szCs w:val="18"/>
                      <w:u w:val="single"/>
                      <w:lang w:val="en-US" w:eastAsia="zh-CN"/>
                      <w14:textFill>
                        <w14:solidFill>
                          <w14:schemeClr w14:val="tx1">
                            <w14:lumMod w14:val="95000"/>
                            <w14:lumOff w14:val="5000"/>
                          </w14:schemeClr>
                        </w14:solidFill>
                      </w14:textFill>
                    </w:rPr>
                  </w:pP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3.6458</w:t>
                  </w:r>
                </w:p>
              </w:tc>
              <w:tc>
                <w:tcPr>
                  <w:tcW w:w="535" w:type="dxa"/>
                  <w:tcBorders>
                    <w:tl2br w:val="nil"/>
                    <w:tr2bl w:val="nil"/>
                  </w:tcBorders>
                  <w:tcMar>
                    <w:top w:w="0" w:type="dxa"/>
                    <w:left w:w="0" w:type="dxa"/>
                    <w:bottom w:w="0" w:type="dxa"/>
                    <w:right w:w="0" w:type="dxa"/>
                  </w:tcMar>
                  <w:vAlign w:val="center"/>
                </w:tcPr>
                <w:p w14:paraId="6B0583A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lang w:val="en-US"/>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.1823</w:t>
                  </w:r>
                </w:p>
              </w:tc>
              <w:tc>
                <w:tcPr>
                  <w:tcW w:w="503" w:type="dxa"/>
                  <w:tcBorders>
                    <w:tl2br w:val="nil"/>
                    <w:tr2bl w:val="nil"/>
                  </w:tcBorders>
                  <w:tcMar>
                    <w:top w:w="0" w:type="dxa"/>
                    <w:left w:w="0" w:type="dxa"/>
                    <w:bottom w:w="0" w:type="dxa"/>
                    <w:right w:w="0" w:type="dxa"/>
                  </w:tcMar>
                  <w:vAlign w:val="center"/>
                </w:tcPr>
                <w:p w14:paraId="4D97C5B4">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18"/>
                      <w:szCs w:val="18"/>
                      <w:u w:val="single"/>
                      <w:lang w:val="en-US" w:eastAsia="zh-CN"/>
                      <w14:textFill>
                        <w14:solidFill>
                          <w14:schemeClr w14:val="tx1">
                            <w14:lumMod w14:val="95000"/>
                            <w14:lumOff w14:val="5000"/>
                          </w14:schemeClr>
                        </w14:solidFill>
                      </w14:textFill>
                    </w:rPr>
                  </w:pP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0.35</w:t>
                  </w:r>
                </w:p>
              </w:tc>
              <w:tc>
                <w:tcPr>
                  <w:tcW w:w="569" w:type="dxa"/>
                  <w:tcBorders>
                    <w:tl2br w:val="nil"/>
                    <w:tr2bl w:val="nil"/>
                  </w:tcBorders>
                  <w:tcMar>
                    <w:top w:w="0" w:type="dxa"/>
                    <w:left w:w="0" w:type="dxa"/>
                    <w:bottom w:w="0" w:type="dxa"/>
                    <w:right w:w="0" w:type="dxa"/>
                  </w:tcMar>
                  <w:vAlign w:val="center"/>
                </w:tcPr>
                <w:p w14:paraId="52885AF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二级活性炭</w:t>
                  </w:r>
                  <w:r>
                    <w:rPr>
                      <w:rFonts w:hint="default"/>
                      <w:color w:val="0D0D0D" w:themeColor="text1" w:themeTint="F2"/>
                      <w:sz w:val="18"/>
                      <w:szCs w:val="18"/>
                      <w:u w:val="single"/>
                      <w14:textFill>
                        <w14:solidFill>
                          <w14:schemeClr w14:val="tx1">
                            <w14:lumMod w14:val="95000"/>
                            <w14:lumOff w14:val="5000"/>
                          </w14:schemeClr>
                        </w14:solidFill>
                      </w14:textFill>
                    </w:rPr>
                    <w:t>吸附装置</w:t>
                  </w:r>
                </w:p>
              </w:tc>
              <w:tc>
                <w:tcPr>
                  <w:tcW w:w="564" w:type="dxa"/>
                  <w:tcBorders>
                    <w:tl2br w:val="nil"/>
                    <w:tr2bl w:val="nil"/>
                  </w:tcBorders>
                  <w:tcMar>
                    <w:top w:w="0" w:type="dxa"/>
                    <w:left w:w="0" w:type="dxa"/>
                    <w:bottom w:w="0" w:type="dxa"/>
                    <w:right w:w="0" w:type="dxa"/>
                  </w:tcMar>
                  <w:vAlign w:val="center"/>
                </w:tcPr>
                <w:p w14:paraId="54158D2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5000</w:t>
                  </w:r>
                </w:p>
              </w:tc>
              <w:tc>
                <w:tcPr>
                  <w:tcW w:w="400" w:type="dxa"/>
                  <w:tcBorders>
                    <w:tl2br w:val="nil"/>
                    <w:tr2bl w:val="nil"/>
                  </w:tcBorders>
                  <w:tcMar>
                    <w:top w:w="0" w:type="dxa"/>
                    <w:left w:w="0" w:type="dxa"/>
                    <w:bottom w:w="0" w:type="dxa"/>
                    <w:right w:w="0" w:type="dxa"/>
                  </w:tcMar>
                  <w:vAlign w:val="center"/>
                </w:tcPr>
                <w:p w14:paraId="59D483C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90</w:t>
                  </w: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84" w:type="dxa"/>
                  <w:tcBorders>
                    <w:tl2br w:val="nil"/>
                    <w:tr2bl w:val="nil"/>
                  </w:tcBorders>
                  <w:tcMar>
                    <w:top w:w="0" w:type="dxa"/>
                    <w:left w:w="0" w:type="dxa"/>
                    <w:bottom w:w="0" w:type="dxa"/>
                    <w:right w:w="0" w:type="dxa"/>
                  </w:tcMar>
                  <w:vAlign w:val="center"/>
                </w:tcPr>
                <w:p w14:paraId="48CF6F9C">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0.3281</w:t>
                  </w:r>
                </w:p>
              </w:tc>
              <w:tc>
                <w:tcPr>
                  <w:tcW w:w="555" w:type="dxa"/>
                  <w:tcBorders>
                    <w:tl2br w:val="nil"/>
                    <w:tr2bl w:val="nil"/>
                  </w:tcBorders>
                  <w:tcMar>
                    <w:top w:w="0" w:type="dxa"/>
                    <w:left w:w="0" w:type="dxa"/>
                    <w:bottom w:w="0" w:type="dxa"/>
                    <w:right w:w="0" w:type="dxa"/>
                  </w:tcMar>
                  <w:vAlign w:val="center"/>
                </w:tcPr>
                <w:p w14:paraId="58F98E1C">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0.0164</w:t>
                  </w:r>
                </w:p>
              </w:tc>
              <w:tc>
                <w:tcPr>
                  <w:tcW w:w="460" w:type="dxa"/>
                  <w:tcBorders>
                    <w:tl2br w:val="nil"/>
                    <w:tr2bl w:val="nil"/>
                  </w:tcBorders>
                  <w:tcMar>
                    <w:top w:w="0" w:type="dxa"/>
                    <w:left w:w="0" w:type="dxa"/>
                    <w:bottom w:w="0" w:type="dxa"/>
                    <w:right w:w="0" w:type="dxa"/>
                  </w:tcMar>
                  <w:vAlign w:val="center"/>
                </w:tcPr>
                <w:p w14:paraId="78CDAB39">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0.063</w:t>
                  </w:r>
                </w:p>
              </w:tc>
              <w:tc>
                <w:tcPr>
                  <w:tcW w:w="600" w:type="dxa"/>
                  <w:tcBorders>
                    <w:tl2br w:val="nil"/>
                    <w:tr2bl w:val="nil"/>
                  </w:tcBorders>
                  <w:tcMar>
                    <w:top w:w="0" w:type="dxa"/>
                    <w:left w:w="0" w:type="dxa"/>
                    <w:bottom w:w="0" w:type="dxa"/>
                    <w:right w:w="0" w:type="dxa"/>
                  </w:tcMar>
                  <w:vAlign w:val="center"/>
                </w:tcPr>
                <w:p w14:paraId="052EAED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60</w:t>
                  </w:r>
                </w:p>
              </w:tc>
              <w:tc>
                <w:tcPr>
                  <w:tcW w:w="400" w:type="dxa"/>
                  <w:tcBorders>
                    <w:tl2br w:val="nil"/>
                    <w:tr2bl w:val="nil"/>
                  </w:tcBorders>
                  <w:tcMar>
                    <w:top w:w="0" w:type="dxa"/>
                    <w:left w:w="0" w:type="dxa"/>
                    <w:bottom w:w="0" w:type="dxa"/>
                    <w:right w:w="0" w:type="dxa"/>
                  </w:tcMar>
                  <w:vAlign w:val="center"/>
                </w:tcPr>
                <w:p w14:paraId="6AF6D8D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47" w:type="dxa"/>
                  <w:tcBorders>
                    <w:tl2br w:val="nil"/>
                    <w:tr2bl w:val="nil"/>
                  </w:tcBorders>
                  <w:tcMar>
                    <w:top w:w="0" w:type="dxa"/>
                    <w:left w:w="0" w:type="dxa"/>
                    <w:bottom w:w="0" w:type="dxa"/>
                    <w:right w:w="0" w:type="dxa"/>
                  </w:tcMar>
                  <w:vAlign w:val="center"/>
                </w:tcPr>
                <w:p w14:paraId="1AEA267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DA</w:t>
                  </w:r>
                </w:p>
                <w:p w14:paraId="23D2AC6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001</w:t>
                  </w:r>
                  <w:r>
                    <w:rPr>
                      <w:rFonts w:hint="eastAsia"/>
                      <w:color w:val="0D0D0D" w:themeColor="text1" w:themeTint="F2"/>
                      <w:sz w:val="18"/>
                      <w:szCs w:val="18"/>
                      <w:u w:val="single"/>
                      <w14:textFill>
                        <w14:solidFill>
                          <w14:schemeClr w14:val="tx1">
                            <w14:lumMod w14:val="95000"/>
                            <w14:lumOff w14:val="5000"/>
                          </w14:schemeClr>
                        </w14:solidFill>
                      </w14:textFill>
                    </w:rPr>
                    <w:t>，排气筒15m</w:t>
                  </w:r>
                </w:p>
              </w:tc>
            </w:tr>
            <w:tr w14:paraId="0215D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329" w:type="dxa"/>
                  <w:vMerge w:val="continue"/>
                  <w:tcBorders>
                    <w:tl2br w:val="nil"/>
                    <w:tr2bl w:val="nil"/>
                  </w:tcBorders>
                  <w:tcMar>
                    <w:top w:w="0" w:type="dxa"/>
                    <w:left w:w="0" w:type="dxa"/>
                    <w:bottom w:w="0" w:type="dxa"/>
                    <w:right w:w="0" w:type="dxa"/>
                  </w:tcMar>
                  <w:vAlign w:val="center"/>
                </w:tcPr>
                <w:p w14:paraId="44B274E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46" w:type="dxa"/>
                  <w:vMerge w:val="continue"/>
                  <w:tcBorders>
                    <w:tl2br w:val="nil"/>
                    <w:tr2bl w:val="nil"/>
                  </w:tcBorders>
                  <w:tcMar>
                    <w:top w:w="0" w:type="dxa"/>
                    <w:left w:w="0" w:type="dxa"/>
                    <w:bottom w:w="0" w:type="dxa"/>
                    <w:right w:w="0" w:type="dxa"/>
                  </w:tcMar>
                  <w:vAlign w:val="center"/>
                </w:tcPr>
                <w:p w14:paraId="0D3BBD1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64" w:type="dxa"/>
                  <w:vMerge w:val="continue"/>
                  <w:tcBorders>
                    <w:tl2br w:val="nil"/>
                    <w:tr2bl w:val="nil"/>
                  </w:tcBorders>
                  <w:tcMar>
                    <w:top w:w="0" w:type="dxa"/>
                    <w:left w:w="0" w:type="dxa"/>
                    <w:bottom w:w="0" w:type="dxa"/>
                    <w:right w:w="0" w:type="dxa"/>
                  </w:tcMar>
                  <w:vAlign w:val="center"/>
                </w:tcPr>
                <w:p w14:paraId="47D2599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56" w:type="dxa"/>
                  <w:vMerge w:val="continue"/>
                  <w:tcBorders>
                    <w:tl2br w:val="nil"/>
                    <w:tr2bl w:val="nil"/>
                  </w:tcBorders>
                  <w:tcMar>
                    <w:top w:w="0" w:type="dxa"/>
                    <w:left w:w="0" w:type="dxa"/>
                    <w:bottom w:w="0" w:type="dxa"/>
                    <w:right w:w="0" w:type="dxa"/>
                  </w:tcMar>
                  <w:vAlign w:val="center"/>
                </w:tcPr>
                <w:p w14:paraId="6BC4238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604" w:type="dxa"/>
                  <w:tcBorders>
                    <w:tl2br w:val="nil"/>
                    <w:tr2bl w:val="nil"/>
                  </w:tcBorders>
                  <w:tcMar>
                    <w:top w:w="0" w:type="dxa"/>
                    <w:left w:w="0" w:type="dxa"/>
                    <w:bottom w:w="0" w:type="dxa"/>
                    <w:right w:w="0" w:type="dxa"/>
                  </w:tcMar>
                  <w:vAlign w:val="center"/>
                </w:tcPr>
                <w:p w14:paraId="5E94409E">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3.6458</w:t>
                  </w:r>
                </w:p>
              </w:tc>
              <w:tc>
                <w:tcPr>
                  <w:tcW w:w="535" w:type="dxa"/>
                  <w:tcBorders>
                    <w:tl2br w:val="nil"/>
                    <w:tr2bl w:val="nil"/>
                  </w:tcBorders>
                  <w:tcMar>
                    <w:top w:w="0" w:type="dxa"/>
                    <w:left w:w="0" w:type="dxa"/>
                    <w:bottom w:w="0" w:type="dxa"/>
                    <w:right w:w="0" w:type="dxa"/>
                  </w:tcMar>
                  <w:vAlign w:val="center"/>
                </w:tcPr>
                <w:p w14:paraId="787FE55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0.1823</w:t>
                  </w:r>
                </w:p>
              </w:tc>
              <w:tc>
                <w:tcPr>
                  <w:tcW w:w="503" w:type="dxa"/>
                  <w:tcBorders>
                    <w:tl2br w:val="nil"/>
                    <w:tr2bl w:val="nil"/>
                  </w:tcBorders>
                  <w:tcMar>
                    <w:top w:w="0" w:type="dxa"/>
                    <w:left w:w="0" w:type="dxa"/>
                    <w:bottom w:w="0" w:type="dxa"/>
                    <w:right w:w="0" w:type="dxa"/>
                  </w:tcMar>
                  <w:vAlign w:val="center"/>
                </w:tcPr>
                <w:p w14:paraId="5D8ECCD7">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18"/>
                      <w:szCs w:val="18"/>
                      <w:u w:val="single"/>
                      <w:lang w:val="en-US" w:eastAsia="zh-CN"/>
                      <w14:textFill>
                        <w14:solidFill>
                          <w14:schemeClr w14:val="tx1">
                            <w14:lumMod w14:val="95000"/>
                            <w14:lumOff w14:val="5000"/>
                          </w14:schemeClr>
                        </w14:solidFill>
                      </w14:textFill>
                    </w:rPr>
                  </w:pP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0.35</w:t>
                  </w:r>
                </w:p>
              </w:tc>
              <w:tc>
                <w:tcPr>
                  <w:tcW w:w="569" w:type="dxa"/>
                  <w:tcBorders>
                    <w:tl2br w:val="nil"/>
                    <w:tr2bl w:val="nil"/>
                  </w:tcBorders>
                  <w:tcMar>
                    <w:top w:w="0" w:type="dxa"/>
                    <w:left w:w="0" w:type="dxa"/>
                    <w:bottom w:w="0" w:type="dxa"/>
                    <w:right w:w="0" w:type="dxa"/>
                  </w:tcMar>
                  <w:vAlign w:val="center"/>
                </w:tcPr>
                <w:p w14:paraId="4A554CD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二级活性炭</w:t>
                  </w:r>
                  <w:r>
                    <w:rPr>
                      <w:rFonts w:hint="default"/>
                      <w:color w:val="0D0D0D" w:themeColor="text1" w:themeTint="F2"/>
                      <w:sz w:val="18"/>
                      <w:szCs w:val="18"/>
                      <w:u w:val="single"/>
                      <w14:textFill>
                        <w14:solidFill>
                          <w14:schemeClr w14:val="tx1">
                            <w14:lumMod w14:val="95000"/>
                            <w14:lumOff w14:val="5000"/>
                          </w14:schemeClr>
                        </w14:solidFill>
                      </w14:textFill>
                    </w:rPr>
                    <w:t>吸附装置</w:t>
                  </w:r>
                </w:p>
              </w:tc>
              <w:tc>
                <w:tcPr>
                  <w:tcW w:w="564" w:type="dxa"/>
                  <w:tcBorders>
                    <w:tl2br w:val="nil"/>
                    <w:tr2bl w:val="nil"/>
                  </w:tcBorders>
                  <w:tcMar>
                    <w:top w:w="0" w:type="dxa"/>
                    <w:left w:w="0" w:type="dxa"/>
                    <w:bottom w:w="0" w:type="dxa"/>
                    <w:right w:w="0" w:type="dxa"/>
                  </w:tcMar>
                  <w:vAlign w:val="center"/>
                </w:tcPr>
                <w:p w14:paraId="4570B94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5</w:t>
                  </w:r>
                  <w:r>
                    <w:rPr>
                      <w:rFonts w:hint="eastAsia"/>
                      <w:color w:val="0D0D0D" w:themeColor="text1" w:themeTint="F2"/>
                      <w:sz w:val="18"/>
                      <w:szCs w:val="18"/>
                      <w:u w:val="single"/>
                      <w14:textFill>
                        <w14:solidFill>
                          <w14:schemeClr w14:val="tx1">
                            <w14:lumMod w14:val="95000"/>
                            <w14:lumOff w14:val="5000"/>
                          </w14:schemeClr>
                        </w14:solidFill>
                      </w14:textFill>
                    </w:rPr>
                    <w:t>0</w:t>
                  </w:r>
                  <w:r>
                    <w:rPr>
                      <w:rFonts w:hint="default"/>
                      <w:color w:val="0D0D0D" w:themeColor="text1" w:themeTint="F2"/>
                      <w:sz w:val="18"/>
                      <w:szCs w:val="18"/>
                      <w:u w:val="single"/>
                      <w14:textFill>
                        <w14:solidFill>
                          <w14:schemeClr w14:val="tx1">
                            <w14:lumMod w14:val="95000"/>
                            <w14:lumOff w14:val="5000"/>
                          </w14:schemeClr>
                        </w14:solidFill>
                      </w14:textFill>
                    </w:rPr>
                    <w:t>00</w:t>
                  </w:r>
                </w:p>
              </w:tc>
              <w:tc>
                <w:tcPr>
                  <w:tcW w:w="400" w:type="dxa"/>
                  <w:tcBorders>
                    <w:tl2br w:val="nil"/>
                    <w:tr2bl w:val="nil"/>
                  </w:tcBorders>
                  <w:tcMar>
                    <w:top w:w="0" w:type="dxa"/>
                    <w:left w:w="0" w:type="dxa"/>
                    <w:bottom w:w="0" w:type="dxa"/>
                    <w:right w:w="0" w:type="dxa"/>
                  </w:tcMar>
                  <w:vAlign w:val="center"/>
                </w:tcPr>
                <w:p w14:paraId="1081B4D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90%</w:t>
                  </w:r>
                </w:p>
              </w:tc>
              <w:tc>
                <w:tcPr>
                  <w:tcW w:w="584" w:type="dxa"/>
                  <w:tcBorders>
                    <w:tl2br w:val="nil"/>
                    <w:tr2bl w:val="nil"/>
                  </w:tcBorders>
                  <w:tcMar>
                    <w:top w:w="0" w:type="dxa"/>
                    <w:left w:w="0" w:type="dxa"/>
                    <w:bottom w:w="0" w:type="dxa"/>
                    <w:right w:w="0" w:type="dxa"/>
                  </w:tcMar>
                  <w:vAlign w:val="center"/>
                </w:tcPr>
                <w:p w14:paraId="5B0344DD">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0.3281</w:t>
                  </w:r>
                </w:p>
              </w:tc>
              <w:tc>
                <w:tcPr>
                  <w:tcW w:w="555" w:type="dxa"/>
                  <w:tcBorders>
                    <w:tl2br w:val="nil"/>
                    <w:tr2bl w:val="nil"/>
                  </w:tcBorders>
                  <w:tcMar>
                    <w:top w:w="0" w:type="dxa"/>
                    <w:left w:w="0" w:type="dxa"/>
                    <w:bottom w:w="0" w:type="dxa"/>
                    <w:right w:w="0" w:type="dxa"/>
                  </w:tcMar>
                  <w:vAlign w:val="center"/>
                </w:tcPr>
                <w:p w14:paraId="2775CB4C">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0.0164</w:t>
                  </w:r>
                </w:p>
              </w:tc>
              <w:tc>
                <w:tcPr>
                  <w:tcW w:w="460" w:type="dxa"/>
                  <w:tcBorders>
                    <w:tl2br w:val="nil"/>
                    <w:tr2bl w:val="nil"/>
                  </w:tcBorders>
                  <w:tcMar>
                    <w:top w:w="0" w:type="dxa"/>
                    <w:left w:w="0" w:type="dxa"/>
                    <w:bottom w:w="0" w:type="dxa"/>
                    <w:right w:w="0" w:type="dxa"/>
                  </w:tcMar>
                  <w:vAlign w:val="center"/>
                </w:tcPr>
                <w:p w14:paraId="6D04E37F">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0.063</w:t>
                  </w:r>
                </w:p>
              </w:tc>
              <w:tc>
                <w:tcPr>
                  <w:tcW w:w="600" w:type="dxa"/>
                  <w:tcBorders>
                    <w:tl2br w:val="nil"/>
                    <w:tr2bl w:val="nil"/>
                  </w:tcBorders>
                  <w:tcMar>
                    <w:top w:w="0" w:type="dxa"/>
                    <w:left w:w="0" w:type="dxa"/>
                    <w:bottom w:w="0" w:type="dxa"/>
                    <w:right w:w="0" w:type="dxa"/>
                  </w:tcMar>
                  <w:vAlign w:val="center"/>
                </w:tcPr>
                <w:p w14:paraId="6F98648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60</w:t>
                  </w:r>
                </w:p>
              </w:tc>
              <w:tc>
                <w:tcPr>
                  <w:tcW w:w="400" w:type="dxa"/>
                  <w:tcBorders>
                    <w:tl2br w:val="nil"/>
                    <w:tr2bl w:val="nil"/>
                  </w:tcBorders>
                  <w:tcMar>
                    <w:top w:w="0" w:type="dxa"/>
                    <w:left w:w="0" w:type="dxa"/>
                    <w:bottom w:w="0" w:type="dxa"/>
                    <w:right w:w="0" w:type="dxa"/>
                  </w:tcMar>
                  <w:vAlign w:val="center"/>
                </w:tcPr>
                <w:p w14:paraId="4454ECA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w:t>
                  </w:r>
                </w:p>
              </w:tc>
              <w:tc>
                <w:tcPr>
                  <w:tcW w:w="547" w:type="dxa"/>
                  <w:tcBorders>
                    <w:tl2br w:val="nil"/>
                    <w:tr2bl w:val="nil"/>
                  </w:tcBorders>
                  <w:tcMar>
                    <w:top w:w="0" w:type="dxa"/>
                    <w:left w:w="0" w:type="dxa"/>
                    <w:bottom w:w="0" w:type="dxa"/>
                    <w:right w:w="0" w:type="dxa"/>
                  </w:tcMar>
                  <w:vAlign w:val="center"/>
                </w:tcPr>
                <w:p w14:paraId="09078E4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DA</w:t>
                  </w:r>
                </w:p>
                <w:p w14:paraId="01E9D17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002排气筒15m</w:t>
                  </w:r>
                </w:p>
              </w:tc>
            </w:tr>
            <w:tr w14:paraId="7F9AB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9" w:type="dxa"/>
                  <w:vMerge w:val="restart"/>
                  <w:tcBorders>
                    <w:tl2br w:val="nil"/>
                    <w:tr2bl w:val="nil"/>
                  </w:tcBorders>
                  <w:tcMar>
                    <w:top w:w="0" w:type="dxa"/>
                    <w:left w:w="0" w:type="dxa"/>
                    <w:bottom w:w="0" w:type="dxa"/>
                    <w:right w:w="0" w:type="dxa"/>
                  </w:tcMar>
                  <w:vAlign w:val="center"/>
                </w:tcPr>
                <w:p w14:paraId="1A1B539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无组</w:t>
                  </w:r>
                </w:p>
                <w:p w14:paraId="2563A1B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织</w:t>
                  </w:r>
                </w:p>
                <w:p w14:paraId="7A3FF37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46" w:type="dxa"/>
                  <w:vMerge w:val="restart"/>
                  <w:tcBorders>
                    <w:tl2br w:val="nil"/>
                    <w:tr2bl w:val="nil"/>
                  </w:tcBorders>
                  <w:tcMar>
                    <w:top w:w="0" w:type="dxa"/>
                    <w:left w:w="0" w:type="dxa"/>
                    <w:bottom w:w="0" w:type="dxa"/>
                    <w:right w:w="0" w:type="dxa"/>
                  </w:tcMar>
                  <w:vAlign w:val="center"/>
                </w:tcPr>
                <w:p w14:paraId="026B176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挤出</w:t>
                  </w:r>
                </w:p>
              </w:tc>
              <w:tc>
                <w:tcPr>
                  <w:tcW w:w="464" w:type="dxa"/>
                  <w:vMerge w:val="restart"/>
                  <w:tcBorders>
                    <w:tl2br w:val="nil"/>
                    <w:tr2bl w:val="nil"/>
                  </w:tcBorders>
                  <w:tcMar>
                    <w:top w:w="0" w:type="dxa"/>
                    <w:left w:w="0" w:type="dxa"/>
                    <w:bottom w:w="0" w:type="dxa"/>
                    <w:right w:w="0" w:type="dxa"/>
                  </w:tcMar>
                  <w:vAlign w:val="center"/>
                </w:tcPr>
                <w:p w14:paraId="616CE2A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非甲</w:t>
                  </w:r>
                </w:p>
                <w:p w14:paraId="293F97D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烷总</w:t>
                  </w:r>
                </w:p>
                <w:p w14:paraId="07B0803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烃</w:t>
                  </w:r>
                </w:p>
              </w:tc>
              <w:tc>
                <w:tcPr>
                  <w:tcW w:w="456" w:type="dxa"/>
                  <w:vMerge w:val="restart"/>
                  <w:tcBorders>
                    <w:tl2br w:val="nil"/>
                    <w:tr2bl w:val="nil"/>
                  </w:tcBorders>
                  <w:tcMar>
                    <w:top w:w="0" w:type="dxa"/>
                    <w:left w:w="0" w:type="dxa"/>
                    <w:bottom w:w="0" w:type="dxa"/>
                    <w:right w:w="0" w:type="dxa"/>
                  </w:tcMar>
                  <w:vAlign w:val="center"/>
                </w:tcPr>
                <w:p w14:paraId="1933ED3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产污</w:t>
                  </w:r>
                </w:p>
                <w:p w14:paraId="7821118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系数法</w:t>
                  </w:r>
                </w:p>
              </w:tc>
              <w:tc>
                <w:tcPr>
                  <w:tcW w:w="604" w:type="dxa"/>
                  <w:tcBorders>
                    <w:tl2br w:val="nil"/>
                    <w:tr2bl w:val="nil"/>
                  </w:tcBorders>
                  <w:tcMar>
                    <w:top w:w="0" w:type="dxa"/>
                    <w:left w:w="0" w:type="dxa"/>
                    <w:bottom w:w="0" w:type="dxa"/>
                    <w:right w:w="0" w:type="dxa"/>
                  </w:tcMar>
                  <w:vAlign w:val="center"/>
                </w:tcPr>
                <w:p w14:paraId="27AA561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35" w:type="dxa"/>
                  <w:tcBorders>
                    <w:tl2br w:val="nil"/>
                    <w:tr2bl w:val="nil"/>
                  </w:tcBorders>
                  <w:tcMar>
                    <w:top w:w="0" w:type="dxa"/>
                    <w:left w:w="0" w:type="dxa"/>
                    <w:bottom w:w="0" w:type="dxa"/>
                    <w:right w:w="0" w:type="dxa"/>
                  </w:tcMar>
                  <w:vAlign w:val="center"/>
                </w:tcPr>
                <w:p w14:paraId="4CB669EE">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18"/>
                      <w:szCs w:val="18"/>
                      <w:u w:val="single"/>
                      <w:lang w:val="en-US"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1823</w:t>
                  </w:r>
                </w:p>
              </w:tc>
              <w:tc>
                <w:tcPr>
                  <w:tcW w:w="503" w:type="dxa"/>
                  <w:tcBorders>
                    <w:tl2br w:val="nil"/>
                    <w:tr2bl w:val="nil"/>
                  </w:tcBorders>
                  <w:tcMar>
                    <w:top w:w="0" w:type="dxa"/>
                    <w:left w:w="0" w:type="dxa"/>
                    <w:bottom w:w="0" w:type="dxa"/>
                    <w:right w:w="0" w:type="dxa"/>
                  </w:tcMar>
                  <w:vAlign w:val="center"/>
                </w:tcPr>
                <w:p w14:paraId="0D0AAFAC">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03</w:t>
                  </w:r>
                  <w:r>
                    <w:rPr>
                      <w:rFonts w:hint="eastAsia"/>
                      <w:color w:val="0D0D0D" w:themeColor="text1" w:themeTint="F2"/>
                      <w:sz w:val="18"/>
                      <w:szCs w:val="18"/>
                      <w:u w:val="single"/>
                      <w:lang w:eastAsia="zh-CN"/>
                      <w14:textFill>
                        <w14:solidFill>
                          <w14:schemeClr w14:val="tx1">
                            <w14:lumMod w14:val="95000"/>
                            <w14:lumOff w14:val="5000"/>
                          </w14:schemeClr>
                        </w14:solidFill>
                      </w14:textFill>
                    </w:rPr>
                    <w:t>5</w:t>
                  </w:r>
                </w:p>
              </w:tc>
              <w:tc>
                <w:tcPr>
                  <w:tcW w:w="569" w:type="dxa"/>
                  <w:tcBorders>
                    <w:tl2br w:val="nil"/>
                    <w:tr2bl w:val="nil"/>
                  </w:tcBorders>
                  <w:tcMar>
                    <w:top w:w="0" w:type="dxa"/>
                    <w:left w:w="0" w:type="dxa"/>
                    <w:bottom w:w="0" w:type="dxa"/>
                    <w:right w:w="0" w:type="dxa"/>
                  </w:tcMar>
                  <w:vAlign w:val="center"/>
                </w:tcPr>
                <w:p w14:paraId="6E0215A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64" w:type="dxa"/>
                  <w:tcBorders>
                    <w:tl2br w:val="nil"/>
                    <w:tr2bl w:val="nil"/>
                  </w:tcBorders>
                  <w:tcMar>
                    <w:top w:w="0" w:type="dxa"/>
                    <w:left w:w="0" w:type="dxa"/>
                    <w:bottom w:w="0" w:type="dxa"/>
                    <w:right w:w="0" w:type="dxa"/>
                  </w:tcMar>
                  <w:vAlign w:val="center"/>
                </w:tcPr>
                <w:p w14:paraId="61057C0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400" w:type="dxa"/>
                  <w:tcBorders>
                    <w:tl2br w:val="nil"/>
                    <w:tr2bl w:val="nil"/>
                  </w:tcBorders>
                  <w:tcMar>
                    <w:top w:w="0" w:type="dxa"/>
                    <w:left w:w="0" w:type="dxa"/>
                    <w:bottom w:w="0" w:type="dxa"/>
                    <w:right w:w="0" w:type="dxa"/>
                  </w:tcMar>
                  <w:vAlign w:val="center"/>
                </w:tcPr>
                <w:p w14:paraId="2A74537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84" w:type="dxa"/>
                  <w:tcBorders>
                    <w:tl2br w:val="nil"/>
                    <w:tr2bl w:val="nil"/>
                  </w:tcBorders>
                  <w:tcMar>
                    <w:top w:w="0" w:type="dxa"/>
                    <w:left w:w="0" w:type="dxa"/>
                    <w:bottom w:w="0" w:type="dxa"/>
                    <w:right w:w="0" w:type="dxa"/>
                  </w:tcMar>
                  <w:vAlign w:val="center"/>
                </w:tcPr>
                <w:p w14:paraId="4BB3C3A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55" w:type="dxa"/>
                  <w:tcBorders>
                    <w:tl2br w:val="nil"/>
                    <w:tr2bl w:val="nil"/>
                  </w:tcBorders>
                  <w:tcMar>
                    <w:top w:w="0" w:type="dxa"/>
                    <w:left w:w="0" w:type="dxa"/>
                    <w:bottom w:w="0" w:type="dxa"/>
                    <w:right w:w="0" w:type="dxa"/>
                  </w:tcMar>
                  <w:vAlign w:val="center"/>
                </w:tcPr>
                <w:p w14:paraId="4A66481E">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18"/>
                      <w:szCs w:val="18"/>
                      <w:u w:val="single"/>
                      <w:lang w:val="en-US"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1823</w:t>
                  </w:r>
                </w:p>
              </w:tc>
              <w:tc>
                <w:tcPr>
                  <w:tcW w:w="460" w:type="dxa"/>
                  <w:tcBorders>
                    <w:tl2br w:val="nil"/>
                    <w:tr2bl w:val="nil"/>
                  </w:tcBorders>
                  <w:tcMar>
                    <w:top w:w="0" w:type="dxa"/>
                    <w:left w:w="0" w:type="dxa"/>
                    <w:bottom w:w="0" w:type="dxa"/>
                    <w:right w:w="0" w:type="dxa"/>
                  </w:tcMar>
                  <w:vAlign w:val="center"/>
                </w:tcPr>
                <w:p w14:paraId="50E98E4C">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3</w:t>
                  </w:r>
                  <w:r>
                    <w:rPr>
                      <w:rFonts w:hint="eastAsia"/>
                      <w:color w:val="0D0D0D" w:themeColor="text1" w:themeTint="F2"/>
                      <w:sz w:val="18"/>
                      <w:szCs w:val="18"/>
                      <w:u w:val="single"/>
                      <w:lang w:eastAsia="zh-CN"/>
                      <w14:textFill>
                        <w14:solidFill>
                          <w14:schemeClr w14:val="tx1">
                            <w14:lumMod w14:val="95000"/>
                            <w14:lumOff w14:val="5000"/>
                          </w14:schemeClr>
                        </w14:solidFill>
                      </w14:textFill>
                    </w:rPr>
                    <w:t>5</w:t>
                  </w:r>
                </w:p>
              </w:tc>
              <w:tc>
                <w:tcPr>
                  <w:tcW w:w="600" w:type="dxa"/>
                  <w:tcBorders>
                    <w:tl2br w:val="nil"/>
                    <w:tr2bl w:val="nil"/>
                  </w:tcBorders>
                  <w:tcMar>
                    <w:top w:w="0" w:type="dxa"/>
                    <w:left w:w="0" w:type="dxa"/>
                    <w:bottom w:w="0" w:type="dxa"/>
                    <w:right w:w="0" w:type="dxa"/>
                  </w:tcMar>
                  <w:vAlign w:val="center"/>
                </w:tcPr>
                <w:p w14:paraId="2B04ECE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w:t>
                  </w:r>
                </w:p>
              </w:tc>
              <w:tc>
                <w:tcPr>
                  <w:tcW w:w="400" w:type="dxa"/>
                  <w:tcBorders>
                    <w:tl2br w:val="nil"/>
                    <w:tr2bl w:val="nil"/>
                  </w:tcBorders>
                  <w:tcMar>
                    <w:top w:w="0" w:type="dxa"/>
                    <w:left w:w="0" w:type="dxa"/>
                    <w:bottom w:w="0" w:type="dxa"/>
                    <w:right w:w="0" w:type="dxa"/>
                  </w:tcMar>
                  <w:vAlign w:val="center"/>
                </w:tcPr>
                <w:p w14:paraId="7702087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47" w:type="dxa"/>
                  <w:tcBorders>
                    <w:tl2br w:val="nil"/>
                    <w:tr2bl w:val="nil"/>
                  </w:tcBorders>
                  <w:tcMar>
                    <w:top w:w="0" w:type="dxa"/>
                    <w:left w:w="0" w:type="dxa"/>
                    <w:bottom w:w="0" w:type="dxa"/>
                    <w:right w:w="0" w:type="dxa"/>
                  </w:tcMar>
                  <w:vAlign w:val="center"/>
                </w:tcPr>
                <w:p w14:paraId="240C1BF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厂房一</w:t>
                  </w:r>
                </w:p>
              </w:tc>
            </w:tr>
            <w:tr w14:paraId="54532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29" w:type="dxa"/>
                  <w:vMerge w:val="continue"/>
                  <w:tcBorders>
                    <w:tl2br w:val="nil"/>
                    <w:tr2bl w:val="nil"/>
                  </w:tcBorders>
                  <w:tcMar>
                    <w:top w:w="0" w:type="dxa"/>
                    <w:left w:w="0" w:type="dxa"/>
                    <w:bottom w:w="0" w:type="dxa"/>
                    <w:right w:w="0" w:type="dxa"/>
                  </w:tcMar>
                  <w:vAlign w:val="center"/>
                </w:tcPr>
                <w:p w14:paraId="6DD91DE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46" w:type="dxa"/>
                  <w:vMerge w:val="continue"/>
                  <w:tcBorders>
                    <w:tl2br w:val="nil"/>
                    <w:tr2bl w:val="nil"/>
                  </w:tcBorders>
                  <w:tcMar>
                    <w:top w:w="0" w:type="dxa"/>
                    <w:left w:w="0" w:type="dxa"/>
                    <w:bottom w:w="0" w:type="dxa"/>
                    <w:right w:w="0" w:type="dxa"/>
                  </w:tcMar>
                  <w:vAlign w:val="center"/>
                </w:tcPr>
                <w:p w14:paraId="3D5D708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64" w:type="dxa"/>
                  <w:vMerge w:val="continue"/>
                  <w:tcBorders>
                    <w:tl2br w:val="nil"/>
                    <w:tr2bl w:val="nil"/>
                  </w:tcBorders>
                  <w:tcMar>
                    <w:top w:w="0" w:type="dxa"/>
                    <w:left w:w="0" w:type="dxa"/>
                    <w:bottom w:w="0" w:type="dxa"/>
                    <w:right w:w="0" w:type="dxa"/>
                  </w:tcMar>
                  <w:vAlign w:val="center"/>
                </w:tcPr>
                <w:p w14:paraId="44B3A34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456" w:type="dxa"/>
                  <w:vMerge w:val="continue"/>
                  <w:tcBorders>
                    <w:tl2br w:val="nil"/>
                    <w:tr2bl w:val="nil"/>
                  </w:tcBorders>
                  <w:tcMar>
                    <w:top w:w="0" w:type="dxa"/>
                    <w:left w:w="0" w:type="dxa"/>
                    <w:bottom w:w="0" w:type="dxa"/>
                    <w:right w:w="0" w:type="dxa"/>
                  </w:tcMar>
                  <w:vAlign w:val="center"/>
                </w:tcPr>
                <w:p w14:paraId="3A8B63E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p>
              </w:tc>
              <w:tc>
                <w:tcPr>
                  <w:tcW w:w="604" w:type="dxa"/>
                  <w:tcBorders>
                    <w:tl2br w:val="nil"/>
                    <w:tr2bl w:val="nil"/>
                  </w:tcBorders>
                  <w:tcMar>
                    <w:top w:w="0" w:type="dxa"/>
                    <w:left w:w="0" w:type="dxa"/>
                    <w:bottom w:w="0" w:type="dxa"/>
                    <w:right w:w="0" w:type="dxa"/>
                  </w:tcMar>
                  <w:vAlign w:val="center"/>
                </w:tcPr>
                <w:p w14:paraId="1085A7D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35" w:type="dxa"/>
                  <w:tcBorders>
                    <w:tl2br w:val="nil"/>
                    <w:tr2bl w:val="nil"/>
                  </w:tcBorders>
                  <w:tcMar>
                    <w:top w:w="0" w:type="dxa"/>
                    <w:left w:w="0" w:type="dxa"/>
                    <w:bottom w:w="0" w:type="dxa"/>
                    <w:right w:w="0" w:type="dxa"/>
                  </w:tcMar>
                  <w:vAlign w:val="center"/>
                </w:tcPr>
                <w:p w14:paraId="72837DD2">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18"/>
                      <w:szCs w:val="18"/>
                      <w:u w:val="single"/>
                      <w:lang w:val="en-US"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1823</w:t>
                  </w:r>
                </w:p>
              </w:tc>
              <w:tc>
                <w:tcPr>
                  <w:tcW w:w="503" w:type="dxa"/>
                  <w:tcBorders>
                    <w:tl2br w:val="nil"/>
                    <w:tr2bl w:val="nil"/>
                  </w:tcBorders>
                  <w:tcMar>
                    <w:top w:w="0" w:type="dxa"/>
                    <w:left w:w="0" w:type="dxa"/>
                    <w:bottom w:w="0" w:type="dxa"/>
                    <w:right w:w="0" w:type="dxa"/>
                  </w:tcMar>
                  <w:vAlign w:val="center"/>
                </w:tcPr>
                <w:p w14:paraId="397EE863">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3</w:t>
                  </w:r>
                  <w:r>
                    <w:rPr>
                      <w:rFonts w:hint="eastAsia"/>
                      <w:color w:val="0D0D0D" w:themeColor="text1" w:themeTint="F2"/>
                      <w:sz w:val="18"/>
                      <w:szCs w:val="18"/>
                      <w:u w:val="single"/>
                      <w:lang w:eastAsia="zh-CN"/>
                      <w14:textFill>
                        <w14:solidFill>
                          <w14:schemeClr w14:val="tx1">
                            <w14:lumMod w14:val="95000"/>
                            <w14:lumOff w14:val="5000"/>
                          </w14:schemeClr>
                        </w14:solidFill>
                      </w14:textFill>
                    </w:rPr>
                    <w:t>5</w:t>
                  </w:r>
                </w:p>
              </w:tc>
              <w:tc>
                <w:tcPr>
                  <w:tcW w:w="569" w:type="dxa"/>
                  <w:tcBorders>
                    <w:tl2br w:val="nil"/>
                    <w:tr2bl w:val="nil"/>
                  </w:tcBorders>
                  <w:tcMar>
                    <w:top w:w="0" w:type="dxa"/>
                    <w:left w:w="0" w:type="dxa"/>
                    <w:bottom w:w="0" w:type="dxa"/>
                    <w:right w:w="0" w:type="dxa"/>
                  </w:tcMar>
                  <w:vAlign w:val="center"/>
                </w:tcPr>
                <w:p w14:paraId="54A5E49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64" w:type="dxa"/>
                  <w:tcBorders>
                    <w:tl2br w:val="nil"/>
                    <w:tr2bl w:val="nil"/>
                  </w:tcBorders>
                  <w:tcMar>
                    <w:top w:w="0" w:type="dxa"/>
                    <w:left w:w="0" w:type="dxa"/>
                    <w:bottom w:w="0" w:type="dxa"/>
                    <w:right w:w="0" w:type="dxa"/>
                  </w:tcMar>
                  <w:vAlign w:val="center"/>
                </w:tcPr>
                <w:p w14:paraId="7B408C9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400" w:type="dxa"/>
                  <w:tcBorders>
                    <w:tl2br w:val="nil"/>
                    <w:tr2bl w:val="nil"/>
                  </w:tcBorders>
                  <w:tcMar>
                    <w:top w:w="0" w:type="dxa"/>
                    <w:left w:w="0" w:type="dxa"/>
                    <w:bottom w:w="0" w:type="dxa"/>
                    <w:right w:w="0" w:type="dxa"/>
                  </w:tcMar>
                  <w:vAlign w:val="center"/>
                </w:tcPr>
                <w:p w14:paraId="765F4F9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84" w:type="dxa"/>
                  <w:tcBorders>
                    <w:tl2br w:val="nil"/>
                    <w:tr2bl w:val="nil"/>
                  </w:tcBorders>
                  <w:tcMar>
                    <w:top w:w="0" w:type="dxa"/>
                    <w:left w:w="0" w:type="dxa"/>
                    <w:bottom w:w="0" w:type="dxa"/>
                    <w:right w:w="0" w:type="dxa"/>
                  </w:tcMar>
                  <w:vAlign w:val="center"/>
                </w:tcPr>
                <w:p w14:paraId="417DCEC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55" w:type="dxa"/>
                  <w:tcBorders>
                    <w:tl2br w:val="nil"/>
                    <w:tr2bl w:val="nil"/>
                  </w:tcBorders>
                  <w:tcMar>
                    <w:top w:w="0" w:type="dxa"/>
                    <w:left w:w="0" w:type="dxa"/>
                    <w:bottom w:w="0" w:type="dxa"/>
                    <w:right w:w="0" w:type="dxa"/>
                  </w:tcMar>
                  <w:vAlign w:val="center"/>
                </w:tcPr>
                <w:p w14:paraId="1273015D">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1823</w:t>
                  </w:r>
                </w:p>
              </w:tc>
              <w:tc>
                <w:tcPr>
                  <w:tcW w:w="460" w:type="dxa"/>
                  <w:tcBorders>
                    <w:tl2br w:val="nil"/>
                    <w:tr2bl w:val="nil"/>
                  </w:tcBorders>
                  <w:tcMar>
                    <w:top w:w="0" w:type="dxa"/>
                    <w:left w:w="0" w:type="dxa"/>
                    <w:bottom w:w="0" w:type="dxa"/>
                    <w:right w:w="0" w:type="dxa"/>
                  </w:tcMar>
                  <w:vAlign w:val="center"/>
                </w:tcPr>
                <w:p w14:paraId="6108086D">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sz w:val="18"/>
                      <w:szCs w:val="18"/>
                      <w:u w:val="single"/>
                      <w:lang w:eastAsia="zh-CN"/>
                      <w14:textFill>
                        <w14:solidFill>
                          <w14:schemeClr w14:val="tx1">
                            <w14:lumMod w14:val="95000"/>
                            <w14:lumOff w14:val="5000"/>
                          </w14:schemeClr>
                        </w14:solidFill>
                      </w14:textFill>
                    </w:rPr>
                  </w:pPr>
                  <w:r>
                    <w:rPr>
                      <w:rFonts w:hint="eastAsia"/>
                      <w:color w:val="0D0D0D" w:themeColor="text1" w:themeTint="F2"/>
                      <w:sz w:val="18"/>
                      <w:szCs w:val="18"/>
                      <w:u w:val="single"/>
                      <w:lang w:eastAsia="zh-CN"/>
                      <w14:textFill>
                        <w14:solidFill>
                          <w14:schemeClr w14:val="tx1">
                            <w14:lumMod w14:val="95000"/>
                            <w14:lumOff w14:val="5000"/>
                          </w14:schemeClr>
                        </w14:solidFill>
                      </w14:textFill>
                    </w:rPr>
                    <w:t>0.0</w:t>
                  </w:r>
                  <w:r>
                    <w:rPr>
                      <w:rFonts w:hint="eastAsia"/>
                      <w:color w:val="0D0D0D" w:themeColor="text1" w:themeTint="F2"/>
                      <w:sz w:val="18"/>
                      <w:szCs w:val="18"/>
                      <w:u w:val="single"/>
                      <w:lang w:val="en-US" w:eastAsia="zh-CN"/>
                      <w14:textFill>
                        <w14:solidFill>
                          <w14:schemeClr w14:val="tx1">
                            <w14:lumMod w14:val="95000"/>
                            <w14:lumOff w14:val="5000"/>
                          </w14:schemeClr>
                        </w14:solidFill>
                      </w14:textFill>
                    </w:rPr>
                    <w:t>3</w:t>
                  </w:r>
                  <w:r>
                    <w:rPr>
                      <w:rFonts w:hint="eastAsia"/>
                      <w:color w:val="0D0D0D" w:themeColor="text1" w:themeTint="F2"/>
                      <w:sz w:val="18"/>
                      <w:szCs w:val="18"/>
                      <w:u w:val="single"/>
                      <w:lang w:eastAsia="zh-CN"/>
                      <w14:textFill>
                        <w14:solidFill>
                          <w14:schemeClr w14:val="tx1">
                            <w14:lumMod w14:val="95000"/>
                            <w14:lumOff w14:val="5000"/>
                          </w14:schemeClr>
                        </w14:solidFill>
                      </w14:textFill>
                    </w:rPr>
                    <w:t>5</w:t>
                  </w:r>
                </w:p>
              </w:tc>
              <w:tc>
                <w:tcPr>
                  <w:tcW w:w="600" w:type="dxa"/>
                  <w:tcBorders>
                    <w:tl2br w:val="nil"/>
                    <w:tr2bl w:val="nil"/>
                  </w:tcBorders>
                  <w:tcMar>
                    <w:top w:w="0" w:type="dxa"/>
                    <w:left w:w="0" w:type="dxa"/>
                    <w:bottom w:w="0" w:type="dxa"/>
                    <w:right w:w="0" w:type="dxa"/>
                  </w:tcMar>
                  <w:vAlign w:val="center"/>
                </w:tcPr>
                <w:p w14:paraId="0C382DE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w:t>
                  </w:r>
                </w:p>
              </w:tc>
              <w:tc>
                <w:tcPr>
                  <w:tcW w:w="400" w:type="dxa"/>
                  <w:tcBorders>
                    <w:tl2br w:val="nil"/>
                    <w:tr2bl w:val="nil"/>
                  </w:tcBorders>
                  <w:tcMar>
                    <w:top w:w="0" w:type="dxa"/>
                    <w:left w:w="0" w:type="dxa"/>
                    <w:bottom w:w="0" w:type="dxa"/>
                    <w:right w:w="0" w:type="dxa"/>
                  </w:tcMar>
                  <w:vAlign w:val="center"/>
                </w:tcPr>
                <w:p w14:paraId="62464E8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default"/>
                      <w:color w:val="0D0D0D" w:themeColor="text1" w:themeTint="F2"/>
                      <w:sz w:val="18"/>
                      <w:szCs w:val="18"/>
                      <w:u w:val="single"/>
                      <w14:textFill>
                        <w14:solidFill>
                          <w14:schemeClr w14:val="tx1">
                            <w14:lumMod w14:val="95000"/>
                            <w14:lumOff w14:val="5000"/>
                          </w14:schemeClr>
                        </w14:solidFill>
                      </w14:textFill>
                    </w:rPr>
                    <w:t>--</w:t>
                  </w:r>
                </w:p>
              </w:tc>
              <w:tc>
                <w:tcPr>
                  <w:tcW w:w="547" w:type="dxa"/>
                  <w:tcBorders>
                    <w:tl2br w:val="nil"/>
                    <w:tr2bl w:val="nil"/>
                  </w:tcBorders>
                  <w:tcMar>
                    <w:top w:w="0" w:type="dxa"/>
                    <w:left w:w="0" w:type="dxa"/>
                    <w:bottom w:w="0" w:type="dxa"/>
                    <w:right w:w="0" w:type="dxa"/>
                  </w:tcMar>
                  <w:vAlign w:val="center"/>
                </w:tcPr>
                <w:p w14:paraId="3E40BB0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18"/>
                      <w:szCs w:val="18"/>
                      <w:u w:val="single"/>
                      <w14:textFill>
                        <w14:solidFill>
                          <w14:schemeClr w14:val="tx1">
                            <w14:lumMod w14:val="95000"/>
                            <w14:lumOff w14:val="5000"/>
                          </w14:schemeClr>
                        </w14:solidFill>
                      </w14:textFill>
                    </w:rPr>
                  </w:pPr>
                  <w:r>
                    <w:rPr>
                      <w:rFonts w:hint="eastAsia"/>
                      <w:color w:val="0D0D0D" w:themeColor="text1" w:themeTint="F2"/>
                      <w:sz w:val="18"/>
                      <w:szCs w:val="18"/>
                      <w:u w:val="single"/>
                      <w14:textFill>
                        <w14:solidFill>
                          <w14:schemeClr w14:val="tx1">
                            <w14:lumMod w14:val="95000"/>
                            <w14:lumOff w14:val="5000"/>
                          </w14:schemeClr>
                        </w14:solidFill>
                      </w14:textFill>
                    </w:rPr>
                    <w:t>厂房二</w:t>
                  </w:r>
                </w:p>
              </w:tc>
            </w:tr>
          </w:tbl>
          <w:p w14:paraId="1609E3D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p>
          <w:p w14:paraId="14764FA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表4-2  项目废气有组织排放口基本情况一览表</w:t>
            </w:r>
          </w:p>
          <w:tbl>
            <w:tblPr>
              <w:tblStyle w:val="17"/>
              <w:tblW w:w="79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02"/>
              <w:gridCol w:w="1499"/>
              <w:gridCol w:w="1370"/>
              <w:gridCol w:w="660"/>
              <w:gridCol w:w="670"/>
              <w:gridCol w:w="808"/>
              <w:gridCol w:w="847"/>
            </w:tblGrid>
            <w:tr w14:paraId="5AF0CB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40" w:type="dxa"/>
                  <w:vMerge w:val="restart"/>
                  <w:tcBorders>
                    <w:tl2br w:val="nil"/>
                    <w:tr2bl w:val="nil"/>
                  </w:tcBorders>
                  <w:tcMar>
                    <w:top w:w="0" w:type="dxa"/>
                    <w:left w:w="0" w:type="dxa"/>
                    <w:bottom w:w="0" w:type="dxa"/>
                    <w:right w:w="0" w:type="dxa"/>
                  </w:tcMar>
                  <w:vAlign w:val="center"/>
                </w:tcPr>
                <w:p w14:paraId="19D9808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排气筒编号</w:t>
                  </w:r>
                </w:p>
              </w:tc>
              <w:tc>
                <w:tcPr>
                  <w:tcW w:w="1302" w:type="dxa"/>
                  <w:vMerge w:val="restart"/>
                  <w:tcBorders>
                    <w:tl2br w:val="nil"/>
                    <w:tr2bl w:val="nil"/>
                  </w:tcBorders>
                  <w:tcMar>
                    <w:top w:w="0" w:type="dxa"/>
                    <w:left w:w="0" w:type="dxa"/>
                    <w:bottom w:w="0" w:type="dxa"/>
                    <w:right w:w="0" w:type="dxa"/>
                  </w:tcMar>
                  <w:vAlign w:val="center"/>
                </w:tcPr>
                <w:p w14:paraId="48244E8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污染物名称</w:t>
                  </w:r>
                </w:p>
              </w:tc>
              <w:tc>
                <w:tcPr>
                  <w:tcW w:w="2869" w:type="dxa"/>
                  <w:gridSpan w:val="2"/>
                  <w:tcBorders>
                    <w:tl2br w:val="nil"/>
                    <w:tr2bl w:val="nil"/>
                  </w:tcBorders>
                  <w:tcMar>
                    <w:top w:w="0" w:type="dxa"/>
                    <w:left w:w="0" w:type="dxa"/>
                    <w:bottom w:w="0" w:type="dxa"/>
                    <w:right w:w="0" w:type="dxa"/>
                  </w:tcMar>
                  <w:vAlign w:val="center"/>
                </w:tcPr>
                <w:p w14:paraId="33E54D3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排气筒底部中心坐标</w:t>
                  </w:r>
                </w:p>
              </w:tc>
              <w:tc>
                <w:tcPr>
                  <w:tcW w:w="660" w:type="dxa"/>
                  <w:vMerge w:val="restart"/>
                  <w:tcBorders>
                    <w:tl2br w:val="nil"/>
                    <w:tr2bl w:val="nil"/>
                  </w:tcBorders>
                  <w:tcMar>
                    <w:top w:w="0" w:type="dxa"/>
                    <w:left w:w="0" w:type="dxa"/>
                    <w:bottom w:w="0" w:type="dxa"/>
                    <w:right w:w="0" w:type="dxa"/>
                  </w:tcMar>
                  <w:vAlign w:val="center"/>
                </w:tcPr>
                <w:p w14:paraId="7ECFE4F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排气筒高度m</w:t>
                  </w:r>
                </w:p>
              </w:tc>
              <w:tc>
                <w:tcPr>
                  <w:tcW w:w="670" w:type="dxa"/>
                  <w:vMerge w:val="restart"/>
                  <w:tcBorders>
                    <w:tl2br w:val="nil"/>
                    <w:tr2bl w:val="nil"/>
                  </w:tcBorders>
                  <w:tcMar>
                    <w:top w:w="0" w:type="dxa"/>
                    <w:left w:w="0" w:type="dxa"/>
                    <w:bottom w:w="0" w:type="dxa"/>
                    <w:right w:w="0" w:type="dxa"/>
                  </w:tcMar>
                  <w:vAlign w:val="center"/>
                </w:tcPr>
                <w:p w14:paraId="0890859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排气筒内径m</w:t>
                  </w:r>
                </w:p>
              </w:tc>
              <w:tc>
                <w:tcPr>
                  <w:tcW w:w="808" w:type="dxa"/>
                  <w:vMerge w:val="restart"/>
                  <w:tcBorders>
                    <w:tl2br w:val="nil"/>
                    <w:tr2bl w:val="nil"/>
                  </w:tcBorders>
                  <w:tcMar>
                    <w:top w:w="0" w:type="dxa"/>
                    <w:left w:w="0" w:type="dxa"/>
                    <w:bottom w:w="0" w:type="dxa"/>
                    <w:right w:w="0" w:type="dxa"/>
                  </w:tcMar>
                  <w:vAlign w:val="center"/>
                </w:tcPr>
                <w:p w14:paraId="2B62D1C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烟气出口温度℃</w:t>
                  </w:r>
                </w:p>
              </w:tc>
              <w:tc>
                <w:tcPr>
                  <w:tcW w:w="847" w:type="dxa"/>
                  <w:vMerge w:val="restart"/>
                  <w:tcBorders>
                    <w:tl2br w:val="nil"/>
                    <w:tr2bl w:val="nil"/>
                  </w:tcBorders>
                  <w:tcMar>
                    <w:top w:w="0" w:type="dxa"/>
                    <w:left w:w="0" w:type="dxa"/>
                    <w:bottom w:w="0" w:type="dxa"/>
                    <w:right w:w="0" w:type="dxa"/>
                  </w:tcMar>
                  <w:vAlign w:val="center"/>
                </w:tcPr>
                <w:p w14:paraId="091738F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类型</w:t>
                  </w:r>
                </w:p>
              </w:tc>
            </w:tr>
            <w:tr w14:paraId="6347F9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40" w:type="dxa"/>
                  <w:vMerge w:val="continue"/>
                  <w:tcBorders>
                    <w:tl2br w:val="nil"/>
                    <w:tr2bl w:val="nil"/>
                  </w:tcBorders>
                  <w:tcMar>
                    <w:top w:w="0" w:type="dxa"/>
                    <w:left w:w="0" w:type="dxa"/>
                    <w:bottom w:w="0" w:type="dxa"/>
                    <w:right w:w="0" w:type="dxa"/>
                  </w:tcMar>
                  <w:vAlign w:val="center"/>
                </w:tcPr>
                <w:p w14:paraId="62AF2B5A">
                  <w:pPr>
                    <w:keepNext w:val="0"/>
                    <w:keepLines w:val="0"/>
                    <w:suppressLineNumbers w:val="0"/>
                    <w:spacing w:before="0" w:beforeAutospacing="0" w:after="0" w:afterAutospacing="0" w:line="240" w:lineRule="auto"/>
                    <w:ind w:left="0" w:right="0" w:firstLine="0" w:firstLineChars="0"/>
                    <w:rPr>
                      <w:rFonts w:hint="default"/>
                      <w:color w:val="0D0D0D" w:themeColor="text1" w:themeTint="F2"/>
                      <w:u w:val="single"/>
                      <w14:textFill>
                        <w14:solidFill>
                          <w14:schemeClr w14:val="tx1">
                            <w14:lumMod w14:val="95000"/>
                            <w14:lumOff w14:val="5000"/>
                          </w14:schemeClr>
                        </w14:solidFill>
                      </w14:textFill>
                    </w:rPr>
                  </w:pPr>
                </w:p>
              </w:tc>
              <w:tc>
                <w:tcPr>
                  <w:tcW w:w="1302" w:type="dxa"/>
                  <w:vMerge w:val="continue"/>
                  <w:tcBorders>
                    <w:tl2br w:val="nil"/>
                    <w:tr2bl w:val="nil"/>
                  </w:tcBorders>
                  <w:tcMar>
                    <w:top w:w="0" w:type="dxa"/>
                    <w:left w:w="0" w:type="dxa"/>
                    <w:bottom w:w="0" w:type="dxa"/>
                    <w:right w:w="0" w:type="dxa"/>
                  </w:tcMar>
                  <w:vAlign w:val="center"/>
                </w:tcPr>
                <w:p w14:paraId="751F09C3">
                  <w:pPr>
                    <w:keepNext w:val="0"/>
                    <w:keepLines w:val="0"/>
                    <w:suppressLineNumbers w:val="0"/>
                    <w:spacing w:before="0" w:beforeAutospacing="0" w:after="0" w:afterAutospacing="0" w:line="240" w:lineRule="auto"/>
                    <w:ind w:left="0" w:right="0" w:firstLine="0" w:firstLineChars="0"/>
                    <w:rPr>
                      <w:rFonts w:hint="default"/>
                      <w:color w:val="0D0D0D" w:themeColor="text1" w:themeTint="F2"/>
                      <w:u w:val="single"/>
                      <w14:textFill>
                        <w14:solidFill>
                          <w14:schemeClr w14:val="tx1">
                            <w14:lumMod w14:val="95000"/>
                            <w14:lumOff w14:val="5000"/>
                          </w14:schemeClr>
                        </w14:solidFill>
                      </w14:textFill>
                    </w:rPr>
                  </w:pPr>
                </w:p>
              </w:tc>
              <w:tc>
                <w:tcPr>
                  <w:tcW w:w="1499" w:type="dxa"/>
                  <w:tcBorders>
                    <w:tl2br w:val="nil"/>
                    <w:tr2bl w:val="nil"/>
                  </w:tcBorders>
                  <w:tcMar>
                    <w:top w:w="0" w:type="dxa"/>
                    <w:left w:w="0" w:type="dxa"/>
                    <w:bottom w:w="0" w:type="dxa"/>
                    <w:right w:w="0" w:type="dxa"/>
                  </w:tcMar>
                  <w:vAlign w:val="center"/>
                </w:tcPr>
                <w:p w14:paraId="42C6778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经度</w:t>
                  </w:r>
                </w:p>
              </w:tc>
              <w:tc>
                <w:tcPr>
                  <w:tcW w:w="1370" w:type="dxa"/>
                  <w:tcBorders>
                    <w:tl2br w:val="nil"/>
                    <w:tr2bl w:val="nil"/>
                  </w:tcBorders>
                  <w:tcMar>
                    <w:top w:w="0" w:type="dxa"/>
                    <w:left w:w="0" w:type="dxa"/>
                    <w:bottom w:w="0" w:type="dxa"/>
                    <w:right w:w="0" w:type="dxa"/>
                  </w:tcMar>
                  <w:vAlign w:val="center"/>
                </w:tcPr>
                <w:p w14:paraId="52E428E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纬度</w:t>
                  </w:r>
                </w:p>
              </w:tc>
              <w:tc>
                <w:tcPr>
                  <w:tcW w:w="660" w:type="dxa"/>
                  <w:vMerge w:val="continue"/>
                  <w:tcBorders>
                    <w:tl2br w:val="nil"/>
                    <w:tr2bl w:val="nil"/>
                  </w:tcBorders>
                  <w:tcMar>
                    <w:top w:w="0" w:type="dxa"/>
                    <w:left w:w="0" w:type="dxa"/>
                    <w:bottom w:w="0" w:type="dxa"/>
                    <w:right w:w="0" w:type="dxa"/>
                  </w:tcMar>
                  <w:vAlign w:val="center"/>
                </w:tcPr>
                <w:p w14:paraId="1602A607">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p>
              </w:tc>
              <w:tc>
                <w:tcPr>
                  <w:tcW w:w="670" w:type="dxa"/>
                  <w:vMerge w:val="continue"/>
                  <w:tcBorders>
                    <w:tl2br w:val="nil"/>
                    <w:tr2bl w:val="nil"/>
                  </w:tcBorders>
                  <w:tcMar>
                    <w:top w:w="0" w:type="dxa"/>
                    <w:left w:w="0" w:type="dxa"/>
                    <w:bottom w:w="0" w:type="dxa"/>
                    <w:right w:w="0" w:type="dxa"/>
                  </w:tcMar>
                  <w:vAlign w:val="center"/>
                </w:tcPr>
                <w:p w14:paraId="7EA8082C">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p>
              </w:tc>
              <w:tc>
                <w:tcPr>
                  <w:tcW w:w="808" w:type="dxa"/>
                  <w:vMerge w:val="continue"/>
                  <w:tcBorders>
                    <w:tl2br w:val="nil"/>
                    <w:tr2bl w:val="nil"/>
                  </w:tcBorders>
                  <w:tcMar>
                    <w:top w:w="0" w:type="dxa"/>
                    <w:left w:w="0" w:type="dxa"/>
                    <w:bottom w:w="0" w:type="dxa"/>
                    <w:right w:w="0" w:type="dxa"/>
                  </w:tcMar>
                  <w:vAlign w:val="center"/>
                </w:tcPr>
                <w:p w14:paraId="0F4E7194">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p>
              </w:tc>
              <w:tc>
                <w:tcPr>
                  <w:tcW w:w="847" w:type="dxa"/>
                  <w:vMerge w:val="continue"/>
                  <w:tcBorders>
                    <w:tl2br w:val="nil"/>
                    <w:tr2bl w:val="nil"/>
                  </w:tcBorders>
                  <w:tcMar>
                    <w:top w:w="0" w:type="dxa"/>
                    <w:left w:w="0" w:type="dxa"/>
                    <w:bottom w:w="0" w:type="dxa"/>
                    <w:right w:w="0" w:type="dxa"/>
                  </w:tcMar>
                  <w:vAlign w:val="center"/>
                </w:tcPr>
                <w:p w14:paraId="4F67FC54">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p>
              </w:tc>
            </w:tr>
            <w:tr w14:paraId="25EE3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l2br w:val="nil"/>
                    <w:tr2bl w:val="nil"/>
                  </w:tcBorders>
                  <w:tcMar>
                    <w:top w:w="0" w:type="dxa"/>
                    <w:left w:w="0" w:type="dxa"/>
                    <w:bottom w:w="0" w:type="dxa"/>
                    <w:right w:w="0" w:type="dxa"/>
                  </w:tcMar>
                  <w:vAlign w:val="center"/>
                </w:tcPr>
                <w:p w14:paraId="5B4A24F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DA001</w:t>
                  </w:r>
                </w:p>
              </w:tc>
              <w:tc>
                <w:tcPr>
                  <w:tcW w:w="1302" w:type="dxa"/>
                  <w:tcBorders>
                    <w:tl2br w:val="nil"/>
                    <w:tr2bl w:val="nil"/>
                  </w:tcBorders>
                  <w:tcMar>
                    <w:top w:w="0" w:type="dxa"/>
                    <w:left w:w="0" w:type="dxa"/>
                    <w:bottom w:w="0" w:type="dxa"/>
                    <w:right w:w="0" w:type="dxa"/>
                  </w:tcMar>
                  <w:vAlign w:val="center"/>
                </w:tcPr>
                <w:p w14:paraId="467A38E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非甲烷总烃</w:t>
                  </w:r>
                </w:p>
              </w:tc>
              <w:tc>
                <w:tcPr>
                  <w:tcW w:w="1499" w:type="dxa"/>
                  <w:tcBorders>
                    <w:tl2br w:val="nil"/>
                    <w:tr2bl w:val="nil"/>
                  </w:tcBorders>
                  <w:tcMar>
                    <w:top w:w="0" w:type="dxa"/>
                    <w:left w:w="0" w:type="dxa"/>
                    <w:bottom w:w="0" w:type="dxa"/>
                    <w:right w:w="0" w:type="dxa"/>
                  </w:tcMar>
                  <w:vAlign w:val="center"/>
                </w:tcPr>
                <w:p w14:paraId="59E6EAA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111°</w:t>
                  </w:r>
                  <w:r>
                    <w:rPr>
                      <w:rFonts w:hint="eastAsia"/>
                      <w:color w:val="0D0D0D" w:themeColor="text1" w:themeTint="F2"/>
                      <w:sz w:val="21"/>
                      <w:szCs w:val="21"/>
                      <w:u w:val="single"/>
                      <w14:textFill>
                        <w14:solidFill>
                          <w14:schemeClr w14:val="tx1">
                            <w14:lumMod w14:val="95000"/>
                            <w14:lumOff w14:val="5000"/>
                          </w14:schemeClr>
                        </w14:solidFill>
                      </w14:textFill>
                    </w:rPr>
                    <w:t>34</w:t>
                  </w:r>
                  <w:r>
                    <w:rPr>
                      <w:rFonts w:hint="default"/>
                      <w:color w:val="0D0D0D" w:themeColor="text1" w:themeTint="F2"/>
                      <w:sz w:val="21"/>
                      <w:szCs w:val="21"/>
                      <w:u w:val="single"/>
                      <w14:textFill>
                        <w14:solidFill>
                          <w14:schemeClr w14:val="tx1">
                            <w14:lumMod w14:val="95000"/>
                            <w14:lumOff w14:val="5000"/>
                          </w14:schemeClr>
                        </w14:solidFill>
                      </w14:textFill>
                    </w:rPr>
                    <w:t>'07.</w:t>
                  </w:r>
                  <w:r>
                    <w:rPr>
                      <w:rFonts w:hint="eastAsia"/>
                      <w:color w:val="0D0D0D" w:themeColor="text1" w:themeTint="F2"/>
                      <w:sz w:val="21"/>
                      <w:szCs w:val="21"/>
                      <w:u w:val="single"/>
                      <w14:textFill>
                        <w14:solidFill>
                          <w14:schemeClr w14:val="tx1">
                            <w14:lumMod w14:val="95000"/>
                            <w14:lumOff w14:val="5000"/>
                          </w14:schemeClr>
                        </w14:solidFill>
                      </w14:textFill>
                    </w:rPr>
                    <w:t>3108</w:t>
                  </w: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1370" w:type="dxa"/>
                  <w:tcBorders>
                    <w:tl2br w:val="nil"/>
                    <w:tr2bl w:val="nil"/>
                  </w:tcBorders>
                  <w:tcMar>
                    <w:top w:w="0" w:type="dxa"/>
                    <w:left w:w="0" w:type="dxa"/>
                    <w:bottom w:w="0" w:type="dxa"/>
                    <w:right w:w="0" w:type="dxa"/>
                  </w:tcMar>
                  <w:vAlign w:val="center"/>
                </w:tcPr>
                <w:p w14:paraId="0AC62ED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26°1</w:t>
                  </w:r>
                  <w:r>
                    <w:rPr>
                      <w:rFonts w:hint="eastAsia"/>
                      <w:color w:val="0D0D0D" w:themeColor="text1" w:themeTint="F2"/>
                      <w:sz w:val="21"/>
                      <w:szCs w:val="21"/>
                      <w:u w:val="single"/>
                      <w14:textFill>
                        <w14:solidFill>
                          <w14:schemeClr w14:val="tx1">
                            <w14:lumMod w14:val="95000"/>
                            <w14:lumOff w14:val="5000"/>
                          </w14:schemeClr>
                        </w14:solidFill>
                      </w14:textFill>
                    </w:rPr>
                    <w:t>1</w:t>
                  </w:r>
                  <w:r>
                    <w:rPr>
                      <w:rFonts w:hint="default"/>
                      <w:color w:val="0D0D0D" w:themeColor="text1" w:themeTint="F2"/>
                      <w:sz w:val="21"/>
                      <w:szCs w:val="21"/>
                      <w:u w:val="single"/>
                      <w14:textFill>
                        <w14:solidFill>
                          <w14:schemeClr w14:val="tx1">
                            <w14:lumMod w14:val="95000"/>
                            <w14:lumOff w14:val="5000"/>
                          </w14:schemeClr>
                        </w14:solidFill>
                      </w14:textFill>
                    </w:rPr>
                    <w:t>'58.</w:t>
                  </w:r>
                  <w:r>
                    <w:rPr>
                      <w:rFonts w:hint="eastAsia"/>
                      <w:color w:val="0D0D0D" w:themeColor="text1" w:themeTint="F2"/>
                      <w:sz w:val="21"/>
                      <w:szCs w:val="21"/>
                      <w:u w:val="single"/>
                      <w14:textFill>
                        <w14:solidFill>
                          <w14:schemeClr w14:val="tx1">
                            <w14:lumMod w14:val="95000"/>
                            <w14:lumOff w14:val="5000"/>
                          </w14:schemeClr>
                        </w14:solidFill>
                      </w14:textFill>
                    </w:rPr>
                    <w:t>2522</w:t>
                  </w: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660" w:type="dxa"/>
                  <w:tcBorders>
                    <w:tl2br w:val="nil"/>
                    <w:tr2bl w:val="nil"/>
                  </w:tcBorders>
                  <w:tcMar>
                    <w:top w:w="0" w:type="dxa"/>
                    <w:left w:w="0" w:type="dxa"/>
                    <w:bottom w:w="0" w:type="dxa"/>
                    <w:right w:w="0" w:type="dxa"/>
                  </w:tcMar>
                  <w:vAlign w:val="center"/>
                </w:tcPr>
                <w:p w14:paraId="6FFEC95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15</w:t>
                  </w:r>
                </w:p>
              </w:tc>
              <w:tc>
                <w:tcPr>
                  <w:tcW w:w="670" w:type="dxa"/>
                  <w:tcBorders>
                    <w:tl2br w:val="nil"/>
                    <w:tr2bl w:val="nil"/>
                  </w:tcBorders>
                  <w:tcMar>
                    <w:top w:w="0" w:type="dxa"/>
                    <w:left w:w="0" w:type="dxa"/>
                    <w:bottom w:w="0" w:type="dxa"/>
                    <w:right w:w="0" w:type="dxa"/>
                  </w:tcMar>
                  <w:vAlign w:val="center"/>
                </w:tcPr>
                <w:p w14:paraId="1C7ED80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0.3</w:t>
                  </w:r>
                </w:p>
              </w:tc>
              <w:tc>
                <w:tcPr>
                  <w:tcW w:w="808" w:type="dxa"/>
                  <w:tcBorders>
                    <w:tl2br w:val="nil"/>
                    <w:tr2bl w:val="nil"/>
                  </w:tcBorders>
                  <w:tcMar>
                    <w:top w:w="0" w:type="dxa"/>
                    <w:left w:w="0" w:type="dxa"/>
                    <w:bottom w:w="0" w:type="dxa"/>
                    <w:right w:w="0" w:type="dxa"/>
                  </w:tcMar>
                  <w:vAlign w:val="center"/>
                </w:tcPr>
                <w:p w14:paraId="4932AB6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25</w:t>
                  </w:r>
                </w:p>
              </w:tc>
              <w:tc>
                <w:tcPr>
                  <w:tcW w:w="847" w:type="dxa"/>
                  <w:tcBorders>
                    <w:tl2br w:val="nil"/>
                    <w:tr2bl w:val="nil"/>
                  </w:tcBorders>
                  <w:tcMar>
                    <w:top w:w="0" w:type="dxa"/>
                    <w:left w:w="0" w:type="dxa"/>
                    <w:bottom w:w="0" w:type="dxa"/>
                    <w:right w:w="0" w:type="dxa"/>
                  </w:tcMar>
                  <w:vAlign w:val="center"/>
                </w:tcPr>
                <w:p w14:paraId="37E6A25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一般排放口</w:t>
                  </w:r>
                </w:p>
              </w:tc>
            </w:tr>
            <w:tr w14:paraId="5189A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0" w:type="dxa"/>
                  <w:tcBorders>
                    <w:tl2br w:val="nil"/>
                    <w:tr2bl w:val="nil"/>
                  </w:tcBorders>
                  <w:tcMar>
                    <w:top w:w="0" w:type="dxa"/>
                    <w:left w:w="0" w:type="dxa"/>
                    <w:bottom w:w="0" w:type="dxa"/>
                    <w:right w:w="0" w:type="dxa"/>
                  </w:tcMar>
                  <w:vAlign w:val="center"/>
                </w:tcPr>
                <w:p w14:paraId="3F1DB3F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DA00</w:t>
                  </w:r>
                  <w:r>
                    <w:rPr>
                      <w:rFonts w:hint="eastAsia"/>
                      <w:color w:val="0D0D0D" w:themeColor="text1" w:themeTint="F2"/>
                      <w:sz w:val="21"/>
                      <w:szCs w:val="21"/>
                      <w:u w:val="single"/>
                      <w14:textFill>
                        <w14:solidFill>
                          <w14:schemeClr w14:val="tx1">
                            <w14:lumMod w14:val="95000"/>
                            <w14:lumOff w14:val="5000"/>
                          </w14:schemeClr>
                        </w14:solidFill>
                      </w14:textFill>
                    </w:rPr>
                    <w:t>2</w:t>
                  </w:r>
                </w:p>
              </w:tc>
              <w:tc>
                <w:tcPr>
                  <w:tcW w:w="1302" w:type="dxa"/>
                  <w:tcBorders>
                    <w:tl2br w:val="nil"/>
                    <w:tr2bl w:val="nil"/>
                  </w:tcBorders>
                  <w:tcMar>
                    <w:top w:w="0" w:type="dxa"/>
                    <w:left w:w="0" w:type="dxa"/>
                    <w:bottom w:w="0" w:type="dxa"/>
                    <w:right w:w="0" w:type="dxa"/>
                  </w:tcMar>
                  <w:vAlign w:val="center"/>
                </w:tcPr>
                <w:p w14:paraId="718DA20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非甲烷总烃</w:t>
                  </w:r>
                </w:p>
              </w:tc>
              <w:tc>
                <w:tcPr>
                  <w:tcW w:w="1499" w:type="dxa"/>
                  <w:tcBorders>
                    <w:tl2br w:val="nil"/>
                    <w:tr2bl w:val="nil"/>
                  </w:tcBorders>
                  <w:tcMar>
                    <w:top w:w="0" w:type="dxa"/>
                    <w:left w:w="0" w:type="dxa"/>
                    <w:bottom w:w="0" w:type="dxa"/>
                    <w:right w:w="0" w:type="dxa"/>
                  </w:tcMar>
                  <w:vAlign w:val="center"/>
                </w:tcPr>
                <w:p w14:paraId="618DF98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111°</w:t>
                  </w:r>
                  <w:r>
                    <w:rPr>
                      <w:rFonts w:hint="eastAsia"/>
                      <w:color w:val="0D0D0D" w:themeColor="text1" w:themeTint="F2"/>
                      <w:sz w:val="21"/>
                      <w:szCs w:val="21"/>
                      <w:u w:val="single"/>
                      <w14:textFill>
                        <w14:solidFill>
                          <w14:schemeClr w14:val="tx1">
                            <w14:lumMod w14:val="95000"/>
                            <w14:lumOff w14:val="5000"/>
                          </w14:schemeClr>
                        </w14:solidFill>
                      </w14:textFill>
                    </w:rPr>
                    <w:t>3</w:t>
                  </w:r>
                  <w:r>
                    <w:rPr>
                      <w:rFonts w:hint="default"/>
                      <w:color w:val="0D0D0D" w:themeColor="text1" w:themeTint="F2"/>
                      <w:sz w:val="21"/>
                      <w:szCs w:val="21"/>
                      <w:u w:val="single"/>
                      <w14:textFill>
                        <w14:solidFill>
                          <w14:schemeClr w14:val="tx1">
                            <w14:lumMod w14:val="95000"/>
                            <w14:lumOff w14:val="5000"/>
                          </w14:schemeClr>
                        </w14:solidFill>
                      </w14:textFill>
                    </w:rPr>
                    <w:t>4'</w:t>
                  </w:r>
                  <w:r>
                    <w:rPr>
                      <w:rFonts w:hint="eastAsia"/>
                      <w:color w:val="0D0D0D" w:themeColor="text1" w:themeTint="F2"/>
                      <w:sz w:val="21"/>
                      <w:szCs w:val="21"/>
                      <w:u w:val="single"/>
                      <w14:textFill>
                        <w14:solidFill>
                          <w14:schemeClr w14:val="tx1">
                            <w14:lumMod w14:val="95000"/>
                            <w14:lumOff w14:val="5000"/>
                          </w14:schemeClr>
                        </w14:solidFill>
                      </w14:textFill>
                    </w:rPr>
                    <w:t>10.9606</w:t>
                  </w: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1370" w:type="dxa"/>
                  <w:tcBorders>
                    <w:tl2br w:val="nil"/>
                    <w:tr2bl w:val="nil"/>
                  </w:tcBorders>
                  <w:tcMar>
                    <w:top w:w="0" w:type="dxa"/>
                    <w:left w:w="0" w:type="dxa"/>
                    <w:bottom w:w="0" w:type="dxa"/>
                    <w:right w:w="0" w:type="dxa"/>
                  </w:tcMar>
                  <w:vAlign w:val="center"/>
                </w:tcPr>
                <w:p w14:paraId="1EAB7EC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26°1</w:t>
                  </w:r>
                  <w:r>
                    <w:rPr>
                      <w:rFonts w:hint="eastAsia"/>
                      <w:color w:val="0D0D0D" w:themeColor="text1" w:themeTint="F2"/>
                      <w:sz w:val="21"/>
                      <w:szCs w:val="21"/>
                      <w:u w:val="single"/>
                      <w14:textFill>
                        <w14:solidFill>
                          <w14:schemeClr w14:val="tx1">
                            <w14:lumMod w14:val="95000"/>
                            <w14:lumOff w14:val="5000"/>
                          </w14:schemeClr>
                        </w14:solidFill>
                      </w14:textFill>
                    </w:rPr>
                    <w:t>1</w:t>
                  </w:r>
                  <w:r>
                    <w:rPr>
                      <w:rFonts w:hint="default"/>
                      <w:color w:val="0D0D0D" w:themeColor="text1" w:themeTint="F2"/>
                      <w:sz w:val="21"/>
                      <w:szCs w:val="21"/>
                      <w:u w:val="single"/>
                      <w14:textFill>
                        <w14:solidFill>
                          <w14:schemeClr w14:val="tx1">
                            <w14:lumMod w14:val="95000"/>
                            <w14:lumOff w14:val="5000"/>
                          </w14:schemeClr>
                        </w14:solidFill>
                      </w14:textFill>
                    </w:rPr>
                    <w:t>'58.</w:t>
                  </w:r>
                  <w:r>
                    <w:rPr>
                      <w:rFonts w:hint="eastAsia"/>
                      <w:color w:val="0D0D0D" w:themeColor="text1" w:themeTint="F2"/>
                      <w:sz w:val="21"/>
                      <w:szCs w:val="21"/>
                      <w:u w:val="single"/>
                      <w14:textFill>
                        <w14:solidFill>
                          <w14:schemeClr w14:val="tx1">
                            <w14:lumMod w14:val="95000"/>
                            <w14:lumOff w14:val="5000"/>
                          </w14:schemeClr>
                        </w14:solidFill>
                      </w14:textFill>
                    </w:rPr>
                    <w:t>9741</w:t>
                  </w: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660" w:type="dxa"/>
                  <w:tcBorders>
                    <w:tl2br w:val="nil"/>
                    <w:tr2bl w:val="nil"/>
                  </w:tcBorders>
                  <w:tcMar>
                    <w:top w:w="0" w:type="dxa"/>
                    <w:left w:w="0" w:type="dxa"/>
                    <w:bottom w:w="0" w:type="dxa"/>
                    <w:right w:w="0" w:type="dxa"/>
                  </w:tcMar>
                  <w:vAlign w:val="center"/>
                </w:tcPr>
                <w:p w14:paraId="342A4E2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15</w:t>
                  </w:r>
                </w:p>
              </w:tc>
              <w:tc>
                <w:tcPr>
                  <w:tcW w:w="670" w:type="dxa"/>
                  <w:tcBorders>
                    <w:tl2br w:val="nil"/>
                    <w:tr2bl w:val="nil"/>
                  </w:tcBorders>
                  <w:tcMar>
                    <w:top w:w="0" w:type="dxa"/>
                    <w:left w:w="0" w:type="dxa"/>
                    <w:bottom w:w="0" w:type="dxa"/>
                    <w:right w:w="0" w:type="dxa"/>
                  </w:tcMar>
                  <w:vAlign w:val="center"/>
                </w:tcPr>
                <w:p w14:paraId="56046C0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0.3</w:t>
                  </w:r>
                </w:p>
              </w:tc>
              <w:tc>
                <w:tcPr>
                  <w:tcW w:w="808" w:type="dxa"/>
                  <w:tcBorders>
                    <w:tl2br w:val="nil"/>
                    <w:tr2bl w:val="nil"/>
                  </w:tcBorders>
                  <w:tcMar>
                    <w:top w:w="0" w:type="dxa"/>
                    <w:left w:w="0" w:type="dxa"/>
                    <w:bottom w:w="0" w:type="dxa"/>
                    <w:right w:w="0" w:type="dxa"/>
                  </w:tcMar>
                  <w:vAlign w:val="center"/>
                </w:tcPr>
                <w:p w14:paraId="02B053A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25</w:t>
                  </w:r>
                </w:p>
              </w:tc>
              <w:tc>
                <w:tcPr>
                  <w:tcW w:w="847" w:type="dxa"/>
                  <w:tcBorders>
                    <w:tl2br w:val="nil"/>
                    <w:tr2bl w:val="nil"/>
                  </w:tcBorders>
                  <w:tcMar>
                    <w:top w:w="0" w:type="dxa"/>
                    <w:left w:w="0" w:type="dxa"/>
                    <w:bottom w:w="0" w:type="dxa"/>
                    <w:right w:w="0" w:type="dxa"/>
                  </w:tcMar>
                  <w:vAlign w:val="center"/>
                </w:tcPr>
                <w:p w14:paraId="4186201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一般排放口</w:t>
                  </w:r>
                </w:p>
              </w:tc>
            </w:tr>
          </w:tbl>
          <w:p w14:paraId="29D12F16">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2、废气影响分析</w:t>
            </w:r>
          </w:p>
          <w:p w14:paraId="59082BF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(1)有机废气</w:t>
            </w:r>
          </w:p>
          <w:p w14:paraId="298AAB4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根据工程分析，挤出有机废气经集气装置、</w:t>
            </w:r>
            <w:r>
              <w:rPr>
                <w:rFonts w:hint="eastAsia"/>
                <w:color w:val="0D0D0D" w:themeColor="text1" w:themeTint="F2"/>
                <w:u w:val="single"/>
                <w:lang w:eastAsia="zh-CN"/>
                <w14:textFill>
                  <w14:solidFill>
                    <w14:schemeClr w14:val="tx1">
                      <w14:lumMod w14:val="95000"/>
                      <w14:lumOff w14:val="5000"/>
                    </w14:schemeClr>
                  </w14:solidFill>
                </w14:textFill>
              </w:rPr>
              <w:t>二级活性炭</w:t>
            </w:r>
            <w:r>
              <w:rPr>
                <w:rFonts w:hint="default"/>
                <w:color w:val="0D0D0D" w:themeColor="text1" w:themeTint="F2"/>
                <w:u w:val="single"/>
                <w14:textFill>
                  <w14:solidFill>
                    <w14:schemeClr w14:val="tx1">
                      <w14:lumMod w14:val="95000"/>
                      <w14:lumOff w14:val="5000"/>
                    </w14:schemeClr>
                  </w14:solidFill>
                </w14:textFill>
              </w:rPr>
              <w:t>吸附装置处理后通过15m排气筒高空排放，非甲烷总烃排放量为</w:t>
            </w:r>
            <w:r>
              <w:rPr>
                <w:rFonts w:hint="eastAsia"/>
                <w:color w:val="0D0D0D" w:themeColor="text1" w:themeTint="F2"/>
                <w:u w:val="single"/>
                <w:lang w:eastAsia="zh-CN"/>
                <w14:textFill>
                  <w14:solidFill>
                    <w14:schemeClr w14:val="tx1">
                      <w14:lumMod w14:val="95000"/>
                      <w14:lumOff w14:val="5000"/>
                    </w14:schemeClr>
                  </w14:solidFill>
                </w14:textFill>
              </w:rPr>
              <w:t>0.063</w:t>
            </w:r>
            <w:r>
              <w:rPr>
                <w:rFonts w:hint="default"/>
                <w:color w:val="0D0D0D" w:themeColor="text1" w:themeTint="F2"/>
                <w:u w:val="single"/>
                <w14:textFill>
                  <w14:solidFill>
                    <w14:schemeClr w14:val="tx1">
                      <w14:lumMod w14:val="95000"/>
                      <w14:lumOff w14:val="5000"/>
                    </w14:schemeClr>
                  </w14:solidFill>
                </w14:textFill>
              </w:rPr>
              <w:t>t/a，排放浓度为</w:t>
            </w:r>
            <w:r>
              <w:rPr>
                <w:rFonts w:hint="eastAsia"/>
                <w:color w:val="0D0D0D" w:themeColor="text1" w:themeTint="F2"/>
                <w:u w:val="single"/>
                <w:lang w:eastAsia="zh-CN"/>
                <w14:textFill>
                  <w14:solidFill>
                    <w14:schemeClr w14:val="tx1">
                      <w14:lumMod w14:val="95000"/>
                      <w14:lumOff w14:val="5000"/>
                    </w14:schemeClr>
                  </w14:solidFill>
                </w14:textFill>
              </w:rPr>
              <w:t>0.3281</w:t>
            </w:r>
            <w:r>
              <w:rPr>
                <w:rFonts w:hint="default"/>
                <w:color w:val="0D0D0D" w:themeColor="text1" w:themeTint="F2"/>
                <w:u w:val="single"/>
                <w14:textFill>
                  <w14:solidFill>
                    <w14:schemeClr w14:val="tx1">
                      <w14:lumMod w14:val="95000"/>
                      <w14:lumOff w14:val="5000"/>
                    </w14:schemeClr>
                  </w14:solidFill>
                </w14:textFill>
              </w:rPr>
              <w:t>mg/m</w:t>
            </w:r>
            <w:r>
              <w:rPr>
                <w:rFonts w:hint="default"/>
                <w:color w:val="0D0D0D" w:themeColor="text1" w:themeTint="F2"/>
                <w:u w:val="single"/>
                <w:vertAlign w:val="superscript"/>
                <w14:textFill>
                  <w14:solidFill>
                    <w14:schemeClr w14:val="tx1">
                      <w14:lumMod w14:val="95000"/>
                      <w14:lumOff w14:val="5000"/>
                    </w14:schemeClr>
                  </w14:solidFill>
                </w14:textFill>
              </w:rPr>
              <w:t>3</w:t>
            </w:r>
            <w:r>
              <w:rPr>
                <w:rFonts w:hint="default"/>
                <w:color w:val="0D0D0D" w:themeColor="text1" w:themeTint="F2"/>
                <w:u w:val="single"/>
                <w14:textFill>
                  <w14:solidFill>
                    <w14:schemeClr w14:val="tx1">
                      <w14:lumMod w14:val="95000"/>
                      <w14:lumOff w14:val="5000"/>
                    </w14:schemeClr>
                  </w14:solidFill>
                </w14:textFill>
              </w:rPr>
              <w:t>，可符合《合成树脂工业污染物排放标准》（GB31572-2015）中表4大气污染物排放限值。</w:t>
            </w:r>
          </w:p>
          <w:p w14:paraId="47DA47EB">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(2)结论</w:t>
            </w:r>
          </w:p>
          <w:p w14:paraId="1C05DCE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经上述分析，项目排放废气均能达标排放。本项目区大气环境质量良好， SO</w:t>
            </w:r>
            <w:r>
              <w:rPr>
                <w:rFonts w:hint="default"/>
                <w:color w:val="0D0D0D" w:themeColor="text1" w:themeTint="F2"/>
                <w:u w:val="single"/>
                <w:vertAlign w:val="subscript"/>
                <w14:textFill>
                  <w14:solidFill>
                    <w14:schemeClr w14:val="tx1">
                      <w14:lumMod w14:val="95000"/>
                      <w14:lumOff w14:val="5000"/>
                    </w14:schemeClr>
                  </w14:solidFill>
                </w14:textFill>
              </w:rPr>
              <w:t>2</w:t>
            </w:r>
            <w:r>
              <w:rPr>
                <w:rFonts w:hint="default"/>
                <w:color w:val="0D0D0D" w:themeColor="text1" w:themeTint="F2"/>
                <w:u w:val="single"/>
                <w14:textFill>
                  <w14:solidFill>
                    <w14:schemeClr w14:val="tx1">
                      <w14:lumMod w14:val="95000"/>
                      <w14:lumOff w14:val="5000"/>
                    </w14:schemeClr>
                  </w14:solidFill>
                </w14:textFill>
              </w:rPr>
              <w:t>、NO</w:t>
            </w:r>
            <w:r>
              <w:rPr>
                <w:rFonts w:hint="default"/>
                <w:color w:val="0D0D0D" w:themeColor="text1" w:themeTint="F2"/>
                <w:u w:val="single"/>
                <w:vertAlign w:val="subscript"/>
                <w14:textFill>
                  <w14:solidFill>
                    <w14:schemeClr w14:val="tx1">
                      <w14:lumMod w14:val="95000"/>
                      <w14:lumOff w14:val="5000"/>
                    </w14:schemeClr>
                  </w14:solidFill>
                </w14:textFill>
              </w:rPr>
              <w:t>2</w:t>
            </w:r>
            <w:r>
              <w:rPr>
                <w:rFonts w:hint="default"/>
                <w:color w:val="0D0D0D" w:themeColor="text1" w:themeTint="F2"/>
                <w:u w:val="single"/>
                <w14:textFill>
                  <w14:solidFill>
                    <w14:schemeClr w14:val="tx1">
                      <w14:lumMod w14:val="95000"/>
                      <w14:lumOff w14:val="5000"/>
                    </w14:schemeClr>
                  </w14:solidFill>
                </w14:textFill>
              </w:rPr>
              <w:t>、PM</w:t>
            </w:r>
            <w:r>
              <w:rPr>
                <w:rFonts w:hint="default"/>
                <w:color w:val="0D0D0D" w:themeColor="text1" w:themeTint="F2"/>
                <w:u w:val="single"/>
                <w:vertAlign w:val="subscript"/>
                <w14:textFill>
                  <w14:solidFill>
                    <w14:schemeClr w14:val="tx1">
                      <w14:lumMod w14:val="95000"/>
                      <w14:lumOff w14:val="5000"/>
                    </w14:schemeClr>
                  </w14:solidFill>
                </w14:textFill>
              </w:rPr>
              <w:t>10</w:t>
            </w:r>
            <w:r>
              <w:rPr>
                <w:rFonts w:hint="default"/>
                <w:color w:val="0D0D0D" w:themeColor="text1" w:themeTint="F2"/>
                <w:u w:val="single"/>
                <w14:textFill>
                  <w14:solidFill>
                    <w14:schemeClr w14:val="tx1">
                      <w14:lumMod w14:val="95000"/>
                      <w14:lumOff w14:val="5000"/>
                    </w14:schemeClr>
                  </w14:solidFill>
                </w14:textFill>
              </w:rPr>
              <w:t xml:space="preserve"> 、PM</w:t>
            </w:r>
            <w:r>
              <w:rPr>
                <w:rFonts w:hint="default"/>
                <w:color w:val="0D0D0D" w:themeColor="text1" w:themeTint="F2"/>
                <w:u w:val="single"/>
                <w:vertAlign w:val="subscript"/>
                <w14:textFill>
                  <w14:solidFill>
                    <w14:schemeClr w14:val="tx1">
                      <w14:lumMod w14:val="95000"/>
                      <w14:lumOff w14:val="5000"/>
                    </w14:schemeClr>
                  </w14:solidFill>
                </w14:textFill>
              </w:rPr>
              <w:t>2.5</w:t>
            </w:r>
            <w:r>
              <w:rPr>
                <w:rFonts w:hint="default"/>
                <w:color w:val="0D0D0D" w:themeColor="text1" w:themeTint="F2"/>
                <w:u w:val="single"/>
                <w14:textFill>
                  <w14:solidFill>
                    <w14:schemeClr w14:val="tx1">
                      <w14:lumMod w14:val="95000"/>
                      <w14:lumOff w14:val="5000"/>
                    </w14:schemeClr>
                  </w14:solidFill>
                </w14:textFill>
              </w:rPr>
              <w:t>、CO、O</w:t>
            </w:r>
            <w:r>
              <w:rPr>
                <w:rFonts w:hint="default"/>
                <w:color w:val="0D0D0D" w:themeColor="text1" w:themeTint="F2"/>
                <w:u w:val="single"/>
                <w:vertAlign w:val="subscript"/>
                <w14:textFill>
                  <w14:solidFill>
                    <w14:schemeClr w14:val="tx1">
                      <w14:lumMod w14:val="95000"/>
                      <w14:lumOff w14:val="5000"/>
                    </w14:schemeClr>
                  </w14:solidFill>
                </w14:textFill>
              </w:rPr>
              <w:t>3</w:t>
            </w:r>
            <w:r>
              <w:rPr>
                <w:rFonts w:hint="default"/>
                <w:color w:val="0D0D0D" w:themeColor="text1" w:themeTint="F2"/>
                <w:u w:val="single"/>
                <w14:textFill>
                  <w14:solidFill>
                    <w14:schemeClr w14:val="tx1">
                      <w14:lumMod w14:val="95000"/>
                      <w14:lumOff w14:val="5000"/>
                    </w14:schemeClr>
                  </w14:solidFill>
                </w14:textFill>
              </w:rPr>
              <w:t>、TSP 等污染物符合《环境空气质量标准》(GB3095-2012)中的二级标准要求；非甲烷总烃排放浓度符合《合成树脂工业污染物排放标准》（GB31572-2015）中表4大气污染物排放限值；因此本项目建设对大气环境影响较小。</w:t>
            </w:r>
          </w:p>
          <w:p w14:paraId="27F7B420">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default"/>
                <w:b/>
                <w:color w:val="0D0D0D" w:themeColor="text1" w:themeTint="F2"/>
                <w:spacing w:val="-10"/>
                <w:szCs w:val="21"/>
                <w:u w:val="single"/>
                <w14:textFill>
                  <w14:solidFill>
                    <w14:schemeClr w14:val="tx1">
                      <w14:lumMod w14:val="95000"/>
                      <w14:lumOff w14:val="5000"/>
                    </w14:schemeClr>
                  </w14:solidFill>
                </w14:textFill>
              </w:rPr>
              <w:t>3、非正常工况分析</w:t>
            </w:r>
          </w:p>
          <w:p w14:paraId="64C60A49">
            <w:pPr>
              <w:keepNext w:val="0"/>
              <w:keepLines w:val="0"/>
              <w:suppressLineNumbers w:val="0"/>
              <w:adjustRightInd w:val="0"/>
              <w:snapToGrid w:val="0"/>
              <w:spacing w:before="0" w:beforeAutospacing="0" w:after="0" w:afterAutospacing="0"/>
              <w:ind w:left="0" w:right="0" w:firstLine="440"/>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default"/>
                <w:bCs/>
                <w:color w:val="0D0D0D" w:themeColor="text1" w:themeTint="F2"/>
                <w:spacing w:val="-10"/>
                <w:szCs w:val="21"/>
                <w:u w:val="single"/>
                <w14:textFill>
                  <w14:solidFill>
                    <w14:schemeClr w14:val="tx1">
                      <w14:lumMod w14:val="95000"/>
                      <w14:lumOff w14:val="5000"/>
                    </w14:schemeClr>
                  </w14:solidFill>
                </w14:textFill>
              </w:rPr>
              <w:t>非正常排放，发生故障情况主要有:如风管破裂、风机停止运转，事故持续时间以1h计。污染源非正常工况排放量核算表见下表。</w:t>
            </w:r>
          </w:p>
          <w:p w14:paraId="1C858A7B">
            <w:pPr>
              <w:keepNext w:val="0"/>
              <w:keepLines w:val="0"/>
              <w:suppressLineNumbers w:val="0"/>
              <w:adjustRightInd w:val="0"/>
              <w:snapToGrid w:val="0"/>
              <w:spacing w:before="0" w:beforeAutospacing="0" w:after="0" w:afterAutospacing="0"/>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表4-3  非正常排放污染物参数一览表</w:t>
            </w:r>
          </w:p>
          <w:tbl>
            <w:tblPr>
              <w:tblStyle w:val="17"/>
              <w:tblW w:w="79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1262"/>
              <w:gridCol w:w="1645"/>
              <w:gridCol w:w="1400"/>
              <w:gridCol w:w="1403"/>
              <w:gridCol w:w="1143"/>
            </w:tblGrid>
            <w:tr w14:paraId="068AB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142" w:type="dxa"/>
                  <w:tcBorders>
                    <w:tl2br w:val="nil"/>
                    <w:tr2bl w:val="nil"/>
                  </w:tcBorders>
                  <w:vAlign w:val="center"/>
                </w:tcPr>
                <w:p w14:paraId="4A1E631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非正常排放</w:t>
                  </w:r>
                  <w:r>
                    <w:rPr>
                      <w:rFonts w:hint="eastAsia"/>
                      <w:b/>
                      <w:color w:val="0D0D0D" w:themeColor="text1" w:themeTint="F2"/>
                      <w:spacing w:val="-10"/>
                      <w:sz w:val="21"/>
                      <w:szCs w:val="21"/>
                      <w:u w:val="single"/>
                      <w14:textFill>
                        <w14:solidFill>
                          <w14:schemeClr w14:val="tx1">
                            <w14:lumMod w14:val="95000"/>
                            <w14:lumOff w14:val="5000"/>
                          </w14:schemeClr>
                        </w14:solidFill>
                      </w14:textFill>
                    </w:rPr>
                    <w:t>情况</w:t>
                  </w:r>
                </w:p>
              </w:tc>
              <w:tc>
                <w:tcPr>
                  <w:tcW w:w="1262" w:type="dxa"/>
                  <w:tcBorders>
                    <w:tl2br w:val="nil"/>
                    <w:tr2bl w:val="nil"/>
                  </w:tcBorders>
                  <w:vAlign w:val="center"/>
                </w:tcPr>
                <w:p w14:paraId="0ACCD52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污染物</w:t>
                  </w:r>
                </w:p>
              </w:tc>
              <w:tc>
                <w:tcPr>
                  <w:tcW w:w="1645" w:type="dxa"/>
                  <w:tcBorders>
                    <w:tl2br w:val="nil"/>
                    <w:tr2bl w:val="nil"/>
                  </w:tcBorders>
                  <w:vAlign w:val="center"/>
                </w:tcPr>
                <w:p w14:paraId="6F1A2AE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排放量</w:t>
                  </w:r>
                </w:p>
                <w:p w14:paraId="59ECFC2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（kg</w:t>
                  </w:r>
                  <w:r>
                    <w:rPr>
                      <w:rFonts w:hint="eastAsia"/>
                      <w:b/>
                      <w:color w:val="0D0D0D" w:themeColor="text1" w:themeTint="F2"/>
                      <w:spacing w:val="-10"/>
                      <w:sz w:val="21"/>
                      <w:szCs w:val="21"/>
                      <w:u w:val="single"/>
                      <w14:textFill>
                        <w14:solidFill>
                          <w14:schemeClr w14:val="tx1">
                            <w14:lumMod w14:val="95000"/>
                            <w14:lumOff w14:val="5000"/>
                          </w14:schemeClr>
                        </w14:solidFill>
                      </w14:textFill>
                    </w:rPr>
                    <w:t>/h</w:t>
                  </w:r>
                  <w:r>
                    <w:rPr>
                      <w:rFonts w:hint="default"/>
                      <w:b/>
                      <w:color w:val="0D0D0D" w:themeColor="text1" w:themeTint="F2"/>
                      <w:spacing w:val="-10"/>
                      <w:sz w:val="21"/>
                      <w:szCs w:val="21"/>
                      <w:u w:val="single"/>
                      <w14:textFill>
                        <w14:solidFill>
                          <w14:schemeClr w14:val="tx1">
                            <w14:lumMod w14:val="95000"/>
                            <w14:lumOff w14:val="5000"/>
                          </w14:schemeClr>
                        </w14:solidFill>
                      </w14:textFill>
                    </w:rPr>
                    <w:t>）</w:t>
                  </w:r>
                </w:p>
              </w:tc>
              <w:tc>
                <w:tcPr>
                  <w:tcW w:w="1400" w:type="dxa"/>
                  <w:tcBorders>
                    <w:tl2br w:val="nil"/>
                    <w:tr2bl w:val="nil"/>
                  </w:tcBorders>
                  <w:vAlign w:val="center"/>
                </w:tcPr>
                <w:p w14:paraId="7391E6A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单次持续时间</w:t>
                  </w:r>
                  <w:r>
                    <w:rPr>
                      <w:rFonts w:hint="eastAsia"/>
                      <w:b/>
                      <w:color w:val="0D0D0D" w:themeColor="text1" w:themeTint="F2"/>
                      <w:spacing w:val="-10"/>
                      <w:sz w:val="21"/>
                      <w:szCs w:val="21"/>
                      <w:u w:val="single"/>
                      <w14:textFill>
                        <w14:solidFill>
                          <w14:schemeClr w14:val="tx1">
                            <w14:lumMod w14:val="95000"/>
                            <w14:lumOff w14:val="5000"/>
                          </w14:schemeClr>
                        </w14:solidFill>
                      </w14:textFill>
                    </w:rPr>
                    <w:t>(</w:t>
                  </w:r>
                  <w:r>
                    <w:rPr>
                      <w:rFonts w:hint="default"/>
                      <w:b/>
                      <w:color w:val="0D0D0D" w:themeColor="text1" w:themeTint="F2"/>
                      <w:spacing w:val="-10"/>
                      <w:sz w:val="21"/>
                      <w:szCs w:val="21"/>
                      <w:u w:val="single"/>
                      <w14:textFill>
                        <w14:solidFill>
                          <w14:schemeClr w14:val="tx1">
                            <w14:lumMod w14:val="95000"/>
                            <w14:lumOff w14:val="5000"/>
                          </w14:schemeClr>
                        </w14:solidFill>
                      </w14:textFill>
                    </w:rPr>
                    <w:t>h</w:t>
                  </w:r>
                  <w:r>
                    <w:rPr>
                      <w:rFonts w:hint="eastAsia"/>
                      <w:b/>
                      <w:color w:val="0D0D0D" w:themeColor="text1" w:themeTint="F2"/>
                      <w:spacing w:val="-10"/>
                      <w:sz w:val="21"/>
                      <w:szCs w:val="21"/>
                      <w:u w:val="single"/>
                      <w14:textFill>
                        <w14:solidFill>
                          <w14:schemeClr w14:val="tx1">
                            <w14:lumMod w14:val="95000"/>
                            <w14:lumOff w14:val="5000"/>
                          </w14:schemeClr>
                        </w14:solidFill>
                      </w14:textFill>
                    </w:rPr>
                    <w:t>/次）</w:t>
                  </w:r>
                </w:p>
              </w:tc>
              <w:tc>
                <w:tcPr>
                  <w:tcW w:w="1403" w:type="dxa"/>
                  <w:tcBorders>
                    <w:tl2br w:val="nil"/>
                    <w:tr2bl w:val="nil"/>
                  </w:tcBorders>
                  <w:vAlign w:val="center"/>
                </w:tcPr>
                <w:p w14:paraId="3F49FB3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年发生频次</w:t>
                  </w:r>
                </w:p>
              </w:tc>
              <w:tc>
                <w:tcPr>
                  <w:tcW w:w="1143" w:type="dxa"/>
                  <w:tcBorders>
                    <w:tl2br w:val="nil"/>
                    <w:tr2bl w:val="nil"/>
                  </w:tcBorders>
                  <w:vAlign w:val="center"/>
                </w:tcPr>
                <w:p w14:paraId="143669E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措施</w:t>
                  </w:r>
                </w:p>
              </w:tc>
            </w:tr>
            <w:tr w14:paraId="24580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42" w:type="dxa"/>
                  <w:tcBorders>
                    <w:tl2br w:val="nil"/>
                    <w:tr2bl w:val="nil"/>
                  </w:tcBorders>
                  <w:vAlign w:val="center"/>
                </w:tcPr>
                <w:p w14:paraId="1256CC1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eastAsia"/>
                      <w:bCs/>
                      <w:color w:val="0D0D0D" w:themeColor="text1" w:themeTint="F2"/>
                      <w:spacing w:val="-10"/>
                      <w:sz w:val="21"/>
                      <w:szCs w:val="21"/>
                      <w:u w:val="single"/>
                      <w14:textFill>
                        <w14:solidFill>
                          <w14:schemeClr w14:val="tx1">
                            <w14:lumMod w14:val="95000"/>
                            <w14:lumOff w14:val="5000"/>
                          </w14:schemeClr>
                        </w14:solidFill>
                      </w14:textFill>
                    </w:rPr>
                    <w:t>无组织</w:t>
                  </w:r>
                  <w:r>
                    <w:rPr>
                      <w:rFonts w:hint="default"/>
                      <w:bCs/>
                      <w:color w:val="0D0D0D" w:themeColor="text1" w:themeTint="F2"/>
                      <w:spacing w:val="-10"/>
                      <w:sz w:val="21"/>
                      <w:szCs w:val="21"/>
                      <w:u w:val="single"/>
                      <w14:textFill>
                        <w14:solidFill>
                          <w14:schemeClr w14:val="tx1">
                            <w14:lumMod w14:val="95000"/>
                            <w14:lumOff w14:val="5000"/>
                          </w14:schemeClr>
                        </w14:solidFill>
                      </w14:textFill>
                    </w:rPr>
                    <w:t xml:space="preserve"> </w:t>
                  </w:r>
                </w:p>
              </w:tc>
              <w:tc>
                <w:tcPr>
                  <w:tcW w:w="1262" w:type="dxa"/>
                  <w:tcBorders>
                    <w:tl2br w:val="nil"/>
                    <w:tr2bl w:val="nil"/>
                  </w:tcBorders>
                  <w:vAlign w:val="center"/>
                </w:tcPr>
                <w:p w14:paraId="26E017F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非甲烷总烃</w:t>
                  </w:r>
                </w:p>
              </w:tc>
              <w:tc>
                <w:tcPr>
                  <w:tcW w:w="1645" w:type="dxa"/>
                  <w:tcBorders>
                    <w:tl2br w:val="nil"/>
                    <w:tr2bl w:val="nil"/>
                  </w:tcBorders>
                  <w:vAlign w:val="center"/>
                </w:tcPr>
                <w:p w14:paraId="7E038257">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eastAsia="宋体"/>
                      <w:bCs/>
                      <w:color w:val="0D0D0D" w:themeColor="text1" w:themeTint="F2"/>
                      <w:spacing w:val="-10"/>
                      <w:sz w:val="21"/>
                      <w:szCs w:val="21"/>
                      <w:u w:val="single"/>
                      <w:lang w:eastAsia="zh-CN"/>
                      <w14:textFill>
                        <w14:solidFill>
                          <w14:schemeClr w14:val="tx1">
                            <w14:lumMod w14:val="95000"/>
                            <w14:lumOff w14:val="5000"/>
                          </w14:schemeClr>
                        </w14:solidFill>
                      </w14:textFill>
                    </w:rPr>
                  </w:pPr>
                  <w:r>
                    <w:rPr>
                      <w:rFonts w:hint="eastAsia"/>
                      <w:bCs/>
                      <w:color w:val="0D0D0D" w:themeColor="text1" w:themeTint="F2"/>
                      <w:spacing w:val="-10"/>
                      <w:sz w:val="21"/>
                      <w:szCs w:val="21"/>
                      <w:u w:val="single"/>
                      <w:lang w:eastAsia="zh-CN"/>
                      <w14:textFill>
                        <w14:solidFill>
                          <w14:schemeClr w14:val="tx1">
                            <w14:lumMod w14:val="95000"/>
                            <w14:lumOff w14:val="5000"/>
                          </w14:schemeClr>
                        </w14:solidFill>
                      </w14:textFill>
                    </w:rPr>
                    <w:t>0.026</w:t>
                  </w:r>
                </w:p>
              </w:tc>
              <w:tc>
                <w:tcPr>
                  <w:tcW w:w="1400" w:type="dxa"/>
                  <w:tcBorders>
                    <w:tl2br w:val="nil"/>
                    <w:tr2bl w:val="nil"/>
                  </w:tcBorders>
                  <w:vAlign w:val="center"/>
                </w:tcPr>
                <w:p w14:paraId="67AC453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eastAsia"/>
                      <w:bCs/>
                      <w:color w:val="0D0D0D" w:themeColor="text1" w:themeTint="F2"/>
                      <w:spacing w:val="-10"/>
                      <w:sz w:val="21"/>
                      <w:szCs w:val="21"/>
                      <w:u w:val="single"/>
                      <w14:textFill>
                        <w14:solidFill>
                          <w14:schemeClr w14:val="tx1">
                            <w14:lumMod w14:val="95000"/>
                            <w14:lumOff w14:val="5000"/>
                          </w14:schemeClr>
                        </w14:solidFill>
                      </w14:textFill>
                    </w:rPr>
                    <w:t>1</w:t>
                  </w:r>
                </w:p>
              </w:tc>
              <w:tc>
                <w:tcPr>
                  <w:tcW w:w="1403" w:type="dxa"/>
                  <w:tcBorders>
                    <w:tl2br w:val="nil"/>
                    <w:tr2bl w:val="nil"/>
                  </w:tcBorders>
                  <w:vAlign w:val="center"/>
                </w:tcPr>
                <w:p w14:paraId="56E8CB9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eastAsia"/>
                      <w:bCs/>
                      <w:color w:val="0D0D0D" w:themeColor="text1" w:themeTint="F2"/>
                      <w:spacing w:val="-10"/>
                      <w:sz w:val="21"/>
                      <w:szCs w:val="21"/>
                      <w:u w:val="single"/>
                      <w14:textFill>
                        <w14:solidFill>
                          <w14:schemeClr w14:val="tx1">
                            <w14:lumMod w14:val="95000"/>
                            <w14:lumOff w14:val="5000"/>
                          </w14:schemeClr>
                        </w14:solidFill>
                      </w14:textFill>
                    </w:rPr>
                    <w:t>1</w:t>
                  </w:r>
                </w:p>
              </w:tc>
              <w:tc>
                <w:tcPr>
                  <w:tcW w:w="1143" w:type="dxa"/>
                  <w:tcBorders>
                    <w:tl2br w:val="nil"/>
                    <w:tr2bl w:val="nil"/>
                  </w:tcBorders>
                  <w:vAlign w:val="center"/>
                </w:tcPr>
                <w:p w14:paraId="3BD6391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及时停止设备运行，进行维修</w:t>
                  </w:r>
                </w:p>
              </w:tc>
            </w:tr>
          </w:tbl>
          <w:p w14:paraId="6128901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为避免污染防治设施发生非正常运行情况，建设单位应按要求记录污染治理设施运行管理信息，定期检查。</w:t>
            </w:r>
          </w:p>
          <w:p w14:paraId="6C2D6599">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default"/>
                <w:b/>
                <w:color w:val="0D0D0D" w:themeColor="text1" w:themeTint="F2"/>
                <w:spacing w:val="-10"/>
                <w:szCs w:val="21"/>
                <w:u w:val="single"/>
                <w14:textFill>
                  <w14:solidFill>
                    <w14:schemeClr w14:val="tx1">
                      <w14:lumMod w14:val="95000"/>
                      <w14:lumOff w14:val="5000"/>
                    </w14:schemeClr>
                  </w14:solidFill>
                </w14:textFill>
              </w:rPr>
              <w:t>4、废气治理措施及可行性简要分析</w:t>
            </w:r>
          </w:p>
          <w:p w14:paraId="249FA036">
            <w:pPr>
              <w:keepNext w:val="0"/>
              <w:keepLines w:val="0"/>
              <w:suppressLineNumbers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u w:val="single"/>
                <w14:textFill>
                  <w14:solidFill>
                    <w14:schemeClr w14:val="tx1">
                      <w14:lumMod w14:val="95000"/>
                      <w14:lumOff w14:val="5000"/>
                    </w14:schemeClr>
                  </w14:solidFill>
                </w14:textFill>
              </w:rPr>
              <w:t>（1）废气治理措施汇总</w:t>
            </w:r>
          </w:p>
          <w:p w14:paraId="1AD1F46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项目运营期废气具体治理措施汇总如下：</w:t>
            </w:r>
          </w:p>
          <w:p w14:paraId="0399395C">
            <w:pPr>
              <w:keepNext w:val="0"/>
              <w:keepLines w:val="0"/>
              <w:suppressLineNumbers w:val="0"/>
              <w:spacing w:before="0" w:beforeAutospacing="0" w:after="0" w:afterAutospacing="0"/>
              <w:ind w:left="0" w:right="0" w:firstLine="0" w:firstLineChars="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14:textFill>
                  <w14:solidFill>
                    <w14:schemeClr w14:val="tx1">
                      <w14:lumMod w14:val="95000"/>
                      <w14:lumOff w14:val="5000"/>
                    </w14:schemeClr>
                  </w14:solidFill>
                </w14:textFill>
              </w:rPr>
              <mc:AlternateContent>
                <mc:Choice Requires="wps">
                  <w:drawing>
                    <wp:anchor distT="0" distB="0" distL="114300" distR="114300" simplePos="0" relativeHeight="251664384" behindDoc="0" locked="0" layoutInCell="1" allowOverlap="1">
                      <wp:simplePos x="0" y="0"/>
                      <wp:positionH relativeFrom="column">
                        <wp:posOffset>3498215</wp:posOffset>
                      </wp:positionH>
                      <wp:positionV relativeFrom="paragraph">
                        <wp:posOffset>955675</wp:posOffset>
                      </wp:positionV>
                      <wp:extent cx="587375" cy="5715"/>
                      <wp:effectExtent l="0" t="37465" r="9525" b="33020"/>
                      <wp:wrapNone/>
                      <wp:docPr id="55" name="直接箭头连接符 17"/>
                      <wp:cNvGraphicFramePr/>
                      <a:graphic xmlns:a="http://schemas.openxmlformats.org/drawingml/2006/main">
                        <a:graphicData uri="http://schemas.microsoft.com/office/word/2010/wordprocessingShape">
                          <wps:wsp>
                            <wps:cNvCnPr/>
                            <wps:spPr>
                              <a:xfrm flipV="1">
                                <a:off x="0" y="0"/>
                                <a:ext cx="587375" cy="5715"/>
                              </a:xfrm>
                              <a:prstGeom prst="straightConnector1">
                                <a:avLst/>
                              </a:prstGeom>
                              <a:noFill/>
                              <a:ln w="12700" cap="flat" cmpd="sng" algn="ctr">
                                <a:solidFill>
                                  <a:sysClr val="windowText" lastClr="000000">
                                    <a:lumMod val="95000"/>
                                    <a:lumOff val="5000"/>
                                  </a:sysClr>
                                </a:solidFill>
                                <a:prstDash val="solid"/>
                                <a:miter lim="800000"/>
                                <a:tailEnd type="triangle"/>
                              </a:ln>
                              <a:effectLst/>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17" o:spid="_x0000_s1026" o:spt="32" type="#_x0000_t32" style="position:absolute;left:0pt;flip:y;margin-left:275.45pt;margin-top:75.25pt;height:0.45pt;width:46.25pt;z-index:251664384;mso-width-relative:page;mso-height-relative:page;" filled="f" stroked="t" coordsize="21600,21600" o:gfxdata="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5i8lbYAAAACwEAAA8AAAAAAAAAAQAgAAAAIgAAAGRycy9k&#10;b3ducmV2LnhtbFBLAQIUABQAAAAIAIdO4kBRhuUnOwIAAEkEAAAOAAAAAAAAAAEAIAAAACcBAABk&#10;cnMvZTJvRG9jLnhtbFBLBQYAAAAABgAGAFkBAADUBQAAAAA=&#10;">
                      <v:fill on="f" focussize="0,0"/>
                      <v:stroke weight="1pt" color="#0D0D0D [3060]" miterlimit="8" joinstyle="miter" endarrow="block"/>
                      <v:imagedata o:title=""/>
                      <o:lock v:ext="edit" aspectratio="f"/>
                    </v:shape>
                  </w:pict>
                </mc:Fallback>
              </mc:AlternateContent>
            </w:r>
            <w:r>
              <w:rPr>
                <w:rFonts w:hint="default"/>
                <w:color w:val="0D0D0D" w:themeColor="text1" w:themeTint="F2"/>
                <w14:textFill>
                  <w14:solidFill>
                    <w14:schemeClr w14:val="tx1">
                      <w14:lumMod w14:val="95000"/>
                      <w14:lumOff w14:val="5000"/>
                    </w14:schemeClr>
                  </w14:solidFill>
                </w14:textFill>
              </w:rPr>
              <mc:AlternateContent>
                <mc:Choice Requires="wps">
                  <w:drawing>
                    <wp:anchor distT="0" distB="0" distL="114300" distR="114300" simplePos="0" relativeHeight="251663360" behindDoc="0" locked="0" layoutInCell="1" allowOverlap="1">
                      <wp:simplePos x="0" y="0"/>
                      <wp:positionH relativeFrom="column">
                        <wp:posOffset>3518535</wp:posOffset>
                      </wp:positionH>
                      <wp:positionV relativeFrom="paragraph">
                        <wp:posOffset>984250</wp:posOffset>
                      </wp:positionV>
                      <wp:extent cx="499745" cy="216535"/>
                      <wp:effectExtent l="0" t="0" r="8255" b="12065"/>
                      <wp:wrapNone/>
                      <wp:docPr id="33" name="文本框 20"/>
                      <wp:cNvGraphicFramePr/>
                      <a:graphic xmlns:a="http://schemas.openxmlformats.org/drawingml/2006/main">
                        <a:graphicData uri="http://schemas.microsoft.com/office/word/2010/wordprocessingShape">
                          <wps:wsp>
                            <wps:cNvSpPr txBox="1"/>
                            <wps:spPr>
                              <a:xfrm>
                                <a:off x="0" y="0"/>
                                <a:ext cx="499296" cy="21677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40356B">
                                  <w:pPr>
                                    <w:ind w:firstLine="0" w:firstLineChars="0"/>
                                    <w:jc w:val="center"/>
                                    <w:rPr>
                                      <w:b/>
                                      <w:bCs/>
                                      <w:sz w:val="21"/>
                                      <w:szCs w:val="21"/>
                                    </w:rPr>
                                  </w:pPr>
                                  <w:r>
                                    <w:rPr>
                                      <w:rFonts w:hint="eastAsia"/>
                                      <w:b/>
                                      <w:bCs/>
                                      <w:sz w:val="21"/>
                                      <w:szCs w:val="21"/>
                                    </w:rPr>
                                    <w:t>90%</w:t>
                                  </w:r>
                                </w:p>
                              </w:txbxContent>
                            </wps:txbx>
                            <wps:bodyPr rot="0" spcFirstLastPara="0" vertOverflow="overflow" horzOverflow="overflow" vert="horz" wrap="square" lIns="3600" tIns="3600" rIns="3600" bIns="3600" numCol="1" spcCol="0" rtlCol="0" fromWordArt="0" anchor="ctr" anchorCtr="0" forceAA="0" compatLnSpc="1">
                              <a:noAutofit/>
                            </wps:bodyPr>
                          </wps:wsp>
                        </a:graphicData>
                      </a:graphic>
                    </wp:anchor>
                  </w:drawing>
                </mc:Choice>
                <mc:Fallback>
                  <w:pict>
                    <v:shape id="文本框 20" o:spid="_x0000_s1026" o:spt="202" type="#_x0000_t202" style="position:absolute;left:0pt;margin-left:277.05pt;margin-top:77.5pt;height:17.05pt;width:39.35pt;z-index:251663360;v-text-anchor:middle;mso-width-relative:page;mso-height-relative:page;" fillcolor="#FFFFFF [3201]" filled="t" stroked="f" coordsize="21600,21600" o:gfxdata="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3PnlidkAAAALAQAA&#10;DwAAAAAAAAABACAAAAAiAAAAZHJzL2Rvd25yZXYueG1sUEsBAhQAFAAAAAgAh07iQHtnIqFRAgAA&#10;nAQAAA4AAAAAAAAAAQAgAAAAKAEAAGRycy9lMm9Eb2MueG1sUEsFBgAAAAAGAAYAWQEAAOsFAAAA&#10;AA==&#10;">
                      <v:fill on="t" focussize="0,0"/>
                      <v:stroke on="f" weight="0.5pt"/>
                      <v:imagedata o:title=""/>
                      <o:lock v:ext="edit" aspectratio="f"/>
                      <v:textbox inset="0.1mm,0.1mm,0.1mm,0.1mm">
                        <w:txbxContent>
                          <w:p w14:paraId="6440356B">
                            <w:pPr>
                              <w:ind w:firstLine="0" w:firstLineChars="0"/>
                              <w:jc w:val="center"/>
                              <w:rPr>
                                <w:b/>
                                <w:bCs/>
                                <w:sz w:val="21"/>
                                <w:szCs w:val="21"/>
                              </w:rPr>
                            </w:pPr>
                            <w:r>
                              <w:rPr>
                                <w:rFonts w:hint="eastAsia"/>
                                <w:b/>
                                <w:bCs/>
                                <w:sz w:val="21"/>
                                <w:szCs w:val="21"/>
                              </w:rPr>
                              <w:t>90%</w:t>
                            </w:r>
                          </w:p>
                        </w:txbxContent>
                      </v:textbox>
                    </v:shape>
                  </w:pict>
                </mc:Fallback>
              </mc:AlternateContent>
            </w:r>
            <w:r>
              <w:rPr>
                <w:rFonts w:hint="default"/>
                <w:color w:val="0D0D0D" w:themeColor="text1" w:themeTint="F2"/>
                <w:u w:val="single"/>
                <w14:textFill>
                  <w14:solidFill>
                    <w14:schemeClr w14:val="tx1">
                      <w14:lumMod w14:val="95000"/>
                      <w14:lumOff w14:val="5000"/>
                    </w14:schemeClr>
                  </w14:solidFill>
                </w14:textFill>
              </w:rPr>
              <mc:AlternateContent>
                <mc:Choice Requires="wpg">
                  <w:drawing>
                    <wp:inline distT="0" distB="0" distL="114300" distR="114300">
                      <wp:extent cx="5016500" cy="1239520"/>
                      <wp:effectExtent l="0" t="0" r="71120" b="29845"/>
                      <wp:docPr id="65" name="组合 65"/>
                      <wp:cNvGraphicFramePr/>
                      <a:graphic xmlns:a="http://schemas.openxmlformats.org/drawingml/2006/main">
                        <a:graphicData uri="http://schemas.microsoft.com/office/word/2010/wordprocessingGroup">
                          <wpg:wgp>
                            <wpg:cNvGrpSpPr/>
                            <wpg:grpSpPr>
                              <a:xfrm>
                                <a:off x="0" y="0"/>
                                <a:ext cx="5016500" cy="1239520"/>
                                <a:chOff x="5947" y="12710"/>
                                <a:chExt cx="8741" cy="2270"/>
                              </a:xfrm>
                            </wpg:grpSpPr>
                            <wps:wsp>
                              <wps:cNvPr id="34" name="文本框 7"/>
                              <wps:cNvSpPr txBox="1"/>
                              <wps:spPr>
                                <a:xfrm>
                                  <a:off x="5947" y="14063"/>
                                  <a:ext cx="1461" cy="7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5ABC2A">
                                    <w:pPr>
                                      <w:spacing w:line="240" w:lineRule="auto"/>
                                      <w:ind w:firstLine="0" w:firstLineChars="0"/>
                                      <w:jc w:val="center"/>
                                      <w:rPr>
                                        <w:b/>
                                        <w:bCs/>
                                        <w:sz w:val="21"/>
                                        <w:szCs w:val="21"/>
                                      </w:rPr>
                                    </w:pPr>
                                    <w:r>
                                      <w:rPr>
                                        <w:rFonts w:hint="eastAsia"/>
                                        <w:b/>
                                        <w:bCs/>
                                        <w:sz w:val="21"/>
                                        <w:szCs w:val="21"/>
                                      </w:rPr>
                                      <w:t>挤出废气</w:t>
                                    </w:r>
                                  </w:p>
                                </w:txbxContent>
                              </wps:txbx>
                              <wps:bodyPr rot="0" spcFirstLastPara="0" vertOverflow="overflow" horzOverflow="overflow" vert="horz" wrap="square" lIns="0" tIns="0" rIns="0" bIns="0" numCol="1" spcCol="0" rtlCol="0" fromWordArt="0" anchor="ctr" anchorCtr="0" forceAA="0" compatLnSpc="1">
                                <a:noAutofit/>
                              </wps:bodyPr>
                            </wps:wsp>
                            <wps:wsp>
                              <wps:cNvPr id="35" name="文本框 8"/>
                              <wps:cNvSpPr txBox="1"/>
                              <wps:spPr>
                                <a:xfrm>
                                  <a:off x="7992" y="14063"/>
                                  <a:ext cx="1367" cy="7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893B5A">
                                    <w:pPr>
                                      <w:spacing w:line="240" w:lineRule="auto"/>
                                      <w:ind w:firstLine="0" w:firstLineChars="0"/>
                                      <w:jc w:val="center"/>
                                      <w:rPr>
                                        <w:b/>
                                        <w:bCs/>
                                        <w:sz w:val="21"/>
                                        <w:szCs w:val="21"/>
                                      </w:rPr>
                                    </w:pPr>
                                    <w:r>
                                      <w:rPr>
                                        <w:rFonts w:hint="eastAsia"/>
                                        <w:b/>
                                        <w:bCs/>
                                        <w:sz w:val="21"/>
                                        <w:szCs w:val="21"/>
                                      </w:rPr>
                                      <w:t>集气罩</w:t>
                                    </w:r>
                                  </w:p>
                                </w:txbxContent>
                              </wps:txbx>
                              <wps:bodyPr rot="0" spcFirstLastPara="0" vertOverflow="overflow" horzOverflow="overflow" vert="horz" wrap="square" lIns="0" tIns="0" rIns="0" bIns="0" numCol="1" spcCol="0" rtlCol="0" fromWordArt="0" anchor="ctr" anchorCtr="0" forceAA="0" compatLnSpc="1">
                                <a:noAutofit/>
                              </wps:bodyPr>
                            </wps:wsp>
                            <wps:wsp>
                              <wps:cNvPr id="36" name="文本框 6"/>
                              <wps:cNvSpPr txBox="1"/>
                              <wps:spPr>
                                <a:xfrm>
                                  <a:off x="8075" y="12710"/>
                                  <a:ext cx="1412" cy="6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264F1A">
                                    <w:pPr>
                                      <w:ind w:firstLine="0" w:firstLineChars="0"/>
                                      <w:jc w:val="center"/>
                                      <w:rPr>
                                        <w:b/>
                                        <w:bCs/>
                                        <w:sz w:val="21"/>
                                        <w:szCs w:val="21"/>
                                      </w:rPr>
                                    </w:pPr>
                                    <w:r>
                                      <w:rPr>
                                        <w:rFonts w:hint="eastAsia"/>
                                        <w:b/>
                                        <w:bCs/>
                                        <w:sz w:val="21"/>
                                        <w:szCs w:val="21"/>
                                      </w:rPr>
                                      <w:t>无组织排放</w:t>
                                    </w:r>
                                  </w:p>
                                </w:txbxContent>
                              </wps:txbx>
                              <wps:bodyPr rot="0" spcFirstLastPara="0" vertOverflow="overflow" horzOverflow="overflow" vert="horz" wrap="square" lIns="3600" tIns="3600" rIns="3600" bIns="3600" numCol="1" spcCol="0" rtlCol="0" fromWordArt="0" anchor="ctr" anchorCtr="0" forceAA="0" compatLnSpc="1">
                                <a:noAutofit/>
                              </wps:bodyPr>
                            </wps:wsp>
                            <wps:wsp>
                              <wps:cNvPr id="37" name="文本框 9"/>
                              <wps:cNvSpPr txBox="1"/>
                              <wps:spPr>
                                <a:xfrm>
                                  <a:off x="10522" y="14062"/>
                                  <a:ext cx="1508" cy="7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75F427">
                                    <w:pPr>
                                      <w:spacing w:line="240" w:lineRule="auto"/>
                                      <w:ind w:firstLine="0" w:firstLineChars="0"/>
                                      <w:jc w:val="center"/>
                                      <w:rPr>
                                        <w:b/>
                                        <w:bCs/>
                                        <w:sz w:val="21"/>
                                        <w:szCs w:val="21"/>
                                      </w:rPr>
                                    </w:pPr>
                                    <w:r>
                                      <w:rPr>
                                        <w:rFonts w:hint="eastAsia"/>
                                        <w:b/>
                                        <w:bCs/>
                                        <w:sz w:val="21"/>
                                        <w:szCs w:val="21"/>
                                      </w:rPr>
                                      <w:t>UV光氧+活</w:t>
                                    </w:r>
                                  </w:p>
                                  <w:p w14:paraId="07245CFB">
                                    <w:pPr>
                                      <w:spacing w:line="240" w:lineRule="auto"/>
                                      <w:ind w:firstLine="0" w:firstLineChars="0"/>
                                      <w:jc w:val="center"/>
                                      <w:rPr>
                                        <w:b/>
                                        <w:bCs/>
                                        <w:sz w:val="21"/>
                                        <w:szCs w:val="21"/>
                                      </w:rPr>
                                    </w:pPr>
                                    <w:r>
                                      <w:rPr>
                                        <w:rFonts w:hint="eastAsia"/>
                                        <w:b/>
                                        <w:bCs/>
                                        <w:sz w:val="21"/>
                                        <w:szCs w:val="21"/>
                                      </w:rPr>
                                      <w:t>性炭吸附</w:t>
                                    </w:r>
                                  </w:p>
                                </w:txbxContent>
                              </wps:txbx>
                              <wps:bodyPr rot="0" spcFirstLastPara="0" vertOverflow="overflow" horzOverflow="overflow" vert="horz" wrap="square" lIns="0" tIns="0" rIns="0" bIns="0" numCol="1" spcCol="0" rtlCol="0" fromWordArt="0" anchor="t" anchorCtr="0" forceAA="0" compatLnSpc="1">
                                <a:noAutofit/>
                              </wps:bodyPr>
                            </wps:wsp>
                            <wps:wsp>
                              <wps:cNvPr id="38" name="文本框 11"/>
                              <wps:cNvSpPr txBox="1"/>
                              <wps:spPr>
                                <a:xfrm>
                                  <a:off x="13066" y="14063"/>
                                  <a:ext cx="1622" cy="7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EE0648">
                                    <w:pPr>
                                      <w:spacing w:line="240" w:lineRule="auto"/>
                                      <w:ind w:firstLine="0" w:firstLineChars="0"/>
                                      <w:jc w:val="center"/>
                                      <w:rPr>
                                        <w:b/>
                                        <w:bCs/>
                                        <w:sz w:val="21"/>
                                        <w:szCs w:val="21"/>
                                      </w:rPr>
                                    </w:pPr>
                                    <w:r>
                                      <w:rPr>
                                        <w:rFonts w:hint="eastAsia"/>
                                        <w:b/>
                                        <w:bCs/>
                                        <w:sz w:val="21"/>
                                        <w:szCs w:val="21"/>
                                      </w:rPr>
                                      <w:t>DA001排气筒(15m)</w:t>
                                    </w:r>
                                  </w:p>
                                  <w:p w14:paraId="0B739C80">
                                    <w:pPr>
                                      <w:ind w:firstLine="0" w:firstLineChars="0"/>
                                      <w:jc w:val="center"/>
                                    </w:pPr>
                                  </w:p>
                                  <w:p w14:paraId="6D4791A5">
                                    <w:pPr>
                                      <w:ind w:firstLine="0" w:firstLineChars="0"/>
                                      <w:jc w:val="center"/>
                                    </w:pPr>
                                    <w:r>
                                      <w:rPr>
                                        <w:rFonts w:hint="eastAsia"/>
                                      </w:rPr>
                                      <w:t>(15m)</w:t>
                                    </w:r>
                                  </w:p>
                                </w:txbxContent>
                              </wps:txbx>
                              <wps:bodyPr rot="0" spcFirstLastPara="0" vertOverflow="overflow" horzOverflow="overflow" vert="horz" wrap="square" lIns="0" tIns="0" rIns="0" bIns="0" numCol="1" spcCol="0" rtlCol="0" fromWordArt="0" anchor="b" anchorCtr="0" forceAA="0" compatLnSpc="1">
                                <a:noAutofit/>
                              </wps:bodyPr>
                            </wps:wsp>
                            <wps:wsp>
                              <wps:cNvPr id="53" name="文本框 19"/>
                              <wps:cNvSpPr txBox="1"/>
                              <wps:spPr>
                                <a:xfrm>
                                  <a:off x="12050" y="13942"/>
                                  <a:ext cx="1021" cy="4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4DCE1">
                                    <w:pPr>
                                      <w:ind w:firstLine="0" w:firstLineChars="0"/>
                                      <w:jc w:val="center"/>
                                      <w:rPr>
                                        <w:b/>
                                        <w:bCs/>
                                        <w:sz w:val="21"/>
                                        <w:szCs w:val="21"/>
                                      </w:rPr>
                                    </w:pPr>
                                    <w:r>
                                      <w:rPr>
                                        <w:rFonts w:hint="eastAsia"/>
                                        <w:b/>
                                        <w:bCs/>
                                        <w:sz w:val="21"/>
                                        <w:szCs w:val="21"/>
                                      </w:rPr>
                                      <w:t>处理效率</w:t>
                                    </w:r>
                                  </w:p>
                                </w:txbxContent>
                              </wps:txbx>
                              <wps:bodyPr rot="0" spcFirstLastPara="0" vertOverflow="overflow" horzOverflow="overflow" vert="horz" wrap="square" lIns="3600" tIns="3600" rIns="3600" bIns="3600" numCol="1" spcCol="0" rtlCol="0" fromWordArt="0" anchor="t" anchorCtr="0" forceAA="0" compatLnSpc="1">
                                <a:noAutofit/>
                              </wps:bodyPr>
                            </wps:wsp>
                            <wps:wsp>
                              <wps:cNvPr id="44" name="文本框 12"/>
                              <wps:cNvSpPr txBox="1"/>
                              <wps:spPr>
                                <a:xfrm>
                                  <a:off x="6762" y="13025"/>
                                  <a:ext cx="1232" cy="5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3150A5">
                                    <w:pPr>
                                      <w:ind w:firstLine="0" w:firstLineChars="0"/>
                                      <w:rPr>
                                        <w:b/>
                                        <w:bCs/>
                                        <w:sz w:val="21"/>
                                        <w:szCs w:val="21"/>
                                      </w:rPr>
                                    </w:pPr>
                                    <w:r>
                                      <w:rPr>
                                        <w:rFonts w:hint="eastAsia"/>
                                        <w:b/>
                                        <w:bCs/>
                                        <w:sz w:val="21"/>
                                        <w:szCs w:val="21"/>
                                      </w:rPr>
                                      <w:t>末收集10%</w:t>
                                    </w:r>
                                  </w:p>
                                </w:txbxContent>
                              </wps:txbx>
                              <wps:bodyPr rot="0" spcFirstLastPara="0" vertOverflow="overflow" horzOverflow="overflow" vert="horz" wrap="square" lIns="3600" tIns="3600" rIns="3600" bIns="3600" numCol="1" spcCol="0" rtlCol="0" fromWordArt="0" anchor="t" anchorCtr="0" forceAA="0" compatLnSpc="1">
                                <a:noAutofit/>
                              </wps:bodyPr>
                            </wps:wsp>
                            <wps:wsp>
                              <wps:cNvPr id="54" name="文本框 20"/>
                              <wps:cNvSpPr txBox="1"/>
                              <wps:spPr>
                                <a:xfrm>
                                  <a:off x="9489" y="14583"/>
                                  <a:ext cx="870" cy="39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EF2F4CE">
                                    <w:pPr>
                                      <w:ind w:firstLine="0" w:firstLineChars="0"/>
                                      <w:jc w:val="center"/>
                                      <w:rPr>
                                        <w:b/>
                                        <w:bCs/>
                                        <w:sz w:val="21"/>
                                        <w:szCs w:val="21"/>
                                      </w:rPr>
                                    </w:pPr>
                                    <w:r>
                                      <w:rPr>
                                        <w:rFonts w:hint="eastAsia"/>
                                        <w:b/>
                                        <w:bCs/>
                                        <w:sz w:val="21"/>
                                        <w:szCs w:val="21"/>
                                      </w:rPr>
                                      <w:t>90%</w:t>
                                    </w:r>
                                  </w:p>
                                </w:txbxContent>
                              </wps:txbx>
                              <wps:bodyPr rot="0" spcFirstLastPara="0" vertOverflow="overflow" horzOverflow="overflow" vert="horz" wrap="square" lIns="3600" tIns="3600" rIns="3600" bIns="3600" numCol="1" spcCol="0" rtlCol="0" fromWordArt="0" anchor="ctr" anchorCtr="0" forceAA="0" compatLnSpc="1">
                                <a:noAutofit/>
                              </wps:bodyPr>
                            </wps:wsp>
                            <wps:wsp>
                              <wps:cNvPr id="52" name="文本框 18"/>
                              <wps:cNvSpPr txBox="1"/>
                              <wps:spPr>
                                <a:xfrm>
                                  <a:off x="9489" y="13989"/>
                                  <a:ext cx="953" cy="4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8BACA05">
                                    <w:pPr>
                                      <w:ind w:firstLine="0" w:firstLineChars="0"/>
                                      <w:jc w:val="center"/>
                                      <w:rPr>
                                        <w:b/>
                                        <w:bCs/>
                                        <w:sz w:val="21"/>
                                        <w:szCs w:val="21"/>
                                      </w:rPr>
                                    </w:pPr>
                                    <w:r>
                                      <w:rPr>
                                        <w:rFonts w:hint="eastAsia"/>
                                        <w:b/>
                                        <w:bCs/>
                                        <w:sz w:val="21"/>
                                        <w:szCs w:val="21"/>
                                      </w:rPr>
                                      <w:t>收集效率</w:t>
                                    </w:r>
                                  </w:p>
                                </w:txbxContent>
                              </wps:txbx>
                              <wps:bodyPr rot="0" spcFirstLastPara="0" vertOverflow="overflow" horzOverflow="overflow" vert="horz" wrap="square" lIns="3600" tIns="3600" rIns="3600" bIns="3600" numCol="1" spcCol="0" rtlCol="0" fromWordArt="0" anchor="t" anchorCtr="0" forceAA="0" compatLnSpc="1">
                                <a:noAutofit/>
                              </wps:bodyPr>
                            </wps:wsp>
                            <wps:wsp>
                              <wps:cNvPr id="51" name="直接箭头连接符 17"/>
                              <wps:cNvCnPr/>
                              <wps:spPr>
                                <a:xfrm>
                                  <a:off x="7385" y="14460"/>
                                  <a:ext cx="567" cy="1"/>
                                </a:xfrm>
                                <a:prstGeom prst="straightConnector1">
                                  <a:avLst/>
                                </a:prstGeom>
                                <a:noFill/>
                                <a:ln w="12700" cap="flat" cmpd="sng" algn="ctr">
                                  <a:solidFill>
                                    <a:sysClr val="windowText" lastClr="000000">
                                      <a:lumMod val="95000"/>
                                      <a:lumOff val="5000"/>
                                    </a:sysClr>
                                  </a:solidFill>
                                  <a:prstDash val="solid"/>
                                  <a:miter lim="800000"/>
                                  <a:tailEnd type="triangle"/>
                                </a:ln>
                                <a:effectLst/>
                              </wps:spPr>
                              <wps:style>
                                <a:lnRef idx="2">
                                  <a:schemeClr val="accent1"/>
                                </a:lnRef>
                                <a:fillRef idx="0">
                                  <a:srgbClr val="FFFFFF"/>
                                </a:fillRef>
                                <a:effectRef idx="0">
                                  <a:srgbClr val="FFFFFF"/>
                                </a:effectRef>
                                <a:fontRef idx="minor">
                                  <a:schemeClr val="tx1"/>
                                </a:fontRef>
                              </wps:style>
                              <wps:bodyPr/>
                            </wps:wsp>
                            <wps:wsp>
                              <wps:cNvPr id="49" name="直接箭头连接符 17"/>
                              <wps:cNvCnPr>
                                <a:endCxn id="36" idx="1"/>
                              </wps:cNvCnPr>
                              <wps:spPr>
                                <a:xfrm flipV="1">
                                  <a:off x="9360" y="14458"/>
                                  <a:ext cx="1162" cy="4"/>
                                </a:xfrm>
                                <a:prstGeom prst="straightConnector1">
                                  <a:avLst/>
                                </a:prstGeom>
                                <a:noFill/>
                                <a:ln w="12700" cap="flat" cmpd="sng" algn="ctr">
                                  <a:solidFill>
                                    <a:sysClr val="windowText" lastClr="000000">
                                      <a:lumMod val="95000"/>
                                      <a:lumOff val="5000"/>
                                    </a:sysClr>
                                  </a:solidFill>
                                  <a:prstDash val="solid"/>
                                  <a:miter lim="800000"/>
                                  <a:tailEnd type="triangle"/>
                                </a:ln>
                                <a:effectLst/>
                              </wps:spPr>
                              <wps:style>
                                <a:lnRef idx="2">
                                  <a:schemeClr val="accent1"/>
                                </a:lnRef>
                                <a:fillRef idx="0">
                                  <a:srgbClr val="FFFFFF"/>
                                </a:fillRef>
                                <a:effectRef idx="0">
                                  <a:srgbClr val="FFFFFF"/>
                                </a:effectRef>
                                <a:fontRef idx="minor">
                                  <a:schemeClr val="tx1"/>
                                </a:fontRef>
                              </wps:style>
                              <wps:bodyPr/>
                            </wps:wsp>
                            <wps:wsp>
                              <wps:cNvPr id="50" name="直接箭头连接符 17"/>
                              <wps:cNvCnPr>
                                <a:endCxn id="37" idx="1"/>
                              </wps:cNvCnPr>
                              <wps:spPr>
                                <a:xfrm flipV="1">
                                  <a:off x="9496" y="14460"/>
                                  <a:ext cx="1026" cy="5"/>
                                </a:xfrm>
                                <a:prstGeom prst="straightConnector1">
                                  <a:avLst/>
                                </a:prstGeom>
                                <a:noFill/>
                                <a:ln w="12700" cap="flat" cmpd="sng" algn="ctr">
                                  <a:solidFill>
                                    <a:sysClr val="windowText" lastClr="000000">
                                      <a:lumMod val="95000"/>
                                      <a:lumOff val="5000"/>
                                    </a:sysClr>
                                  </a:solidFill>
                                  <a:prstDash val="solid"/>
                                  <a:miter lim="800000"/>
                                  <a:tailEnd type="triangle"/>
                                </a:ln>
                                <a:effectLst/>
                              </wps:spPr>
                              <wps:style>
                                <a:lnRef idx="2">
                                  <a:schemeClr val="accent1"/>
                                </a:lnRef>
                                <a:fillRef idx="0">
                                  <a:srgbClr val="FFFFFF"/>
                                </a:fillRef>
                                <a:effectRef idx="0">
                                  <a:srgbClr val="FFFFFF"/>
                                </a:effectRef>
                                <a:fontRef idx="minor">
                                  <a:schemeClr val="tx1"/>
                                </a:fontRef>
                              </wps:style>
                              <wps:bodyPr/>
                            </wps:wsp>
                            <wps:wsp>
                              <wps:cNvPr id="58" name="肘形连接符 28"/>
                              <wps:cNvCnPr/>
                              <wps:spPr>
                                <a:xfrm rot="16200000">
                                  <a:off x="6698" y="12848"/>
                                  <a:ext cx="1214" cy="1255"/>
                                </a:xfrm>
                                <a:prstGeom prst="bentConnector2">
                                  <a:avLst/>
                                </a:prstGeom>
                                <a:ln>
                                  <a:solidFill>
                                    <a:schemeClr val="tx1">
                                      <a:lumMod val="95000"/>
                                      <a:lumOff val="5000"/>
                                    </a:schemeClr>
                                  </a:solidFill>
                                  <a:tailEnd type="arrow"/>
                                </a:ln>
                              </wps:spPr>
                              <wps:style>
                                <a:lnRef idx="2">
                                  <a:schemeClr val="accent1"/>
                                </a:lnRef>
                                <a:fillRef idx="0">
                                  <a:srgbClr val="FFFFFF"/>
                                </a:fillRef>
                                <a:effectRef idx="0">
                                  <a:srgbClr val="FFFFFF"/>
                                </a:effectRef>
                                <a:fontRef idx="minor">
                                  <a:schemeClr val="tx1"/>
                                </a:fontRef>
                              </wps:style>
                              <wps:bodyPr/>
                            </wps:wsp>
                          </wpg:wgp>
                        </a:graphicData>
                      </a:graphic>
                    </wp:inline>
                  </w:drawing>
                </mc:Choice>
                <mc:Fallback>
                  <w:pict>
                    <v:group id="_x0000_s1026" o:spid="_x0000_s1026" o:spt="203" style="height:97.6pt;width:395pt;" coordorigin="5947,12710" coordsize="8741,2270" o:gfxdata="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">
                      <o:lock v:ext="edit" aspectratio="f"/>
                      <v:shape id="文本框 7" o:spid="_x0000_s1026" o:spt="202" type="#_x0000_t202" style="position:absolute;left:5947;top:14063;height:794;width:1461;v-text-anchor:middle;" fillcolor="#FFFFFF [3201]" filled="t" stroked="t" coordsize="21600,21600" o:gfxdata="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AvyCrsAAADb&#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0mm,0mm,0mm,0mm">
                          <w:txbxContent>
                            <w:p w14:paraId="685ABC2A">
                              <w:pPr>
                                <w:spacing w:line="240" w:lineRule="auto"/>
                                <w:ind w:firstLine="0" w:firstLineChars="0"/>
                                <w:jc w:val="center"/>
                                <w:rPr>
                                  <w:b/>
                                  <w:bCs/>
                                  <w:sz w:val="21"/>
                                  <w:szCs w:val="21"/>
                                </w:rPr>
                              </w:pPr>
                              <w:r>
                                <w:rPr>
                                  <w:rFonts w:hint="eastAsia"/>
                                  <w:b/>
                                  <w:bCs/>
                                  <w:sz w:val="21"/>
                                  <w:szCs w:val="21"/>
                                </w:rPr>
                                <w:t>挤出废气</w:t>
                              </w:r>
                            </w:p>
                          </w:txbxContent>
                        </v:textbox>
                      </v:shape>
                      <v:shape id="文本框 8" o:spid="_x0000_s1026" o:spt="202" type="#_x0000_t202" style="position:absolute;left:7992;top:14063;height:794;width:1367;v-text-anchor:middle;" fillcolor="#FFFFFF [3201]" filled="t" stroked="t" coordsize="21600,21600" o:gfxdata="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0dXkbsAAADb&#10;AAAADwAAAAAAAAABACAAAAAiAAAAZHJzL2Rvd25yZXYueG1sUEsBAhQAFAAAAAgAh07iQDMvBZ47&#10;AAAAOQAAABAAAAAAAAAAAQAgAAAACgEAAGRycy9zaGFwZXhtbC54bWxQSwUGAAAAAAYABgBbAQAA&#10;tAMAAAAA&#10;">
                        <v:fill on="t" focussize="0,0"/>
                        <v:stroke weight="0.5pt" color="#000000 [3204]" joinstyle="round"/>
                        <v:imagedata o:title=""/>
                        <o:lock v:ext="edit" aspectratio="f"/>
                        <v:textbox inset="0mm,0mm,0mm,0mm">
                          <w:txbxContent>
                            <w:p w14:paraId="7B893B5A">
                              <w:pPr>
                                <w:spacing w:line="240" w:lineRule="auto"/>
                                <w:ind w:firstLine="0" w:firstLineChars="0"/>
                                <w:jc w:val="center"/>
                                <w:rPr>
                                  <w:b/>
                                  <w:bCs/>
                                  <w:sz w:val="21"/>
                                  <w:szCs w:val="21"/>
                                </w:rPr>
                              </w:pPr>
                              <w:r>
                                <w:rPr>
                                  <w:rFonts w:hint="eastAsia"/>
                                  <w:b/>
                                  <w:bCs/>
                                  <w:sz w:val="21"/>
                                  <w:szCs w:val="21"/>
                                </w:rPr>
                                <w:t>集气罩</w:t>
                              </w:r>
                            </w:p>
                          </w:txbxContent>
                        </v:textbox>
                      </v:shape>
                      <v:shape id="文本框 6" o:spid="_x0000_s1026" o:spt="202" type="#_x0000_t202" style="position:absolute;left:8075;top:12710;height:684;width:1412;v-text-anchor:middle;" fillcolor="#FFFFFF [3201]" filled="t" stroked="t" coordsize="21600,21600" o:gfxdata="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jBXOC/&#10;AAAA2wAAAA8AAAAAAAAAAQAgAAAAIgAAAGRycy9kb3ducmV2LnhtbFBLAQIUABQAAAAIAIdO4kAz&#10;LwWeOwAAADkAAAAQAAAAAAAAAAEAIAAAAA4BAABkcnMvc2hhcGV4bWwueG1sUEsFBgAAAAAGAAYA&#10;WwEAALgDAAAAAA==&#10;">
                        <v:fill on="t" focussize="0,0"/>
                        <v:stroke weight="0.5pt" color="#000000 [3204]" joinstyle="round"/>
                        <v:imagedata o:title=""/>
                        <o:lock v:ext="edit" aspectratio="f"/>
                        <v:textbox inset="0.1mm,0.1mm,0.1mm,0.1mm">
                          <w:txbxContent>
                            <w:p w14:paraId="33264F1A">
                              <w:pPr>
                                <w:ind w:firstLine="0" w:firstLineChars="0"/>
                                <w:jc w:val="center"/>
                                <w:rPr>
                                  <w:b/>
                                  <w:bCs/>
                                  <w:sz w:val="21"/>
                                  <w:szCs w:val="21"/>
                                </w:rPr>
                              </w:pPr>
                              <w:r>
                                <w:rPr>
                                  <w:rFonts w:hint="eastAsia"/>
                                  <w:b/>
                                  <w:bCs/>
                                  <w:sz w:val="21"/>
                                  <w:szCs w:val="21"/>
                                </w:rPr>
                                <w:t>无组织排放</w:t>
                              </w:r>
                            </w:p>
                          </w:txbxContent>
                        </v:textbox>
                      </v:shape>
                      <v:shape id="文本框 9" o:spid="_x0000_s1026" o:spt="202" type="#_x0000_t202" style="position:absolute;left:10522;top:14062;height:794;width:1508;" fillcolor="#FFFFFF [3201]" filled="t" stroked="t" coordsize="21600,21600" o:gfxdata="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7EG74A&#10;AADbAAAADwAAAAAAAAABACAAAAAiAAAAZHJzL2Rvd25yZXYueG1sUEsBAhQAFAAAAAgAh07iQDMv&#10;BZ47AAAAOQAAABAAAAAAAAAAAQAgAAAADQEAAGRycy9zaGFwZXhtbC54bWxQSwUGAAAAAAYABgBb&#10;AQAAtwMAAAAA&#10;">
                        <v:fill on="t" focussize="0,0"/>
                        <v:stroke weight="0.5pt" color="#000000 [3204]" joinstyle="round"/>
                        <v:imagedata o:title=""/>
                        <o:lock v:ext="edit" aspectratio="f"/>
                        <v:textbox inset="0mm,0mm,0mm,0mm">
                          <w:txbxContent>
                            <w:p w14:paraId="4B75F427">
                              <w:pPr>
                                <w:spacing w:line="240" w:lineRule="auto"/>
                                <w:ind w:firstLine="0" w:firstLineChars="0"/>
                                <w:jc w:val="center"/>
                                <w:rPr>
                                  <w:b/>
                                  <w:bCs/>
                                  <w:sz w:val="21"/>
                                  <w:szCs w:val="21"/>
                                </w:rPr>
                              </w:pPr>
                              <w:r>
                                <w:rPr>
                                  <w:rFonts w:hint="eastAsia"/>
                                  <w:b/>
                                  <w:bCs/>
                                  <w:sz w:val="21"/>
                                  <w:szCs w:val="21"/>
                                </w:rPr>
                                <w:t>UV光氧+活</w:t>
                              </w:r>
                            </w:p>
                            <w:p w14:paraId="07245CFB">
                              <w:pPr>
                                <w:spacing w:line="240" w:lineRule="auto"/>
                                <w:ind w:firstLine="0" w:firstLineChars="0"/>
                                <w:jc w:val="center"/>
                                <w:rPr>
                                  <w:b/>
                                  <w:bCs/>
                                  <w:sz w:val="21"/>
                                  <w:szCs w:val="21"/>
                                </w:rPr>
                              </w:pPr>
                              <w:r>
                                <w:rPr>
                                  <w:rFonts w:hint="eastAsia"/>
                                  <w:b/>
                                  <w:bCs/>
                                  <w:sz w:val="21"/>
                                  <w:szCs w:val="21"/>
                                </w:rPr>
                                <w:t>性炭吸附</w:t>
                              </w:r>
                            </w:p>
                          </w:txbxContent>
                        </v:textbox>
                      </v:shape>
                      <v:shape id="文本框 11" o:spid="_x0000_s1026" o:spt="202" type="#_x0000_t202" style="position:absolute;left:13066;top:14063;height:794;width:1622;v-text-anchor:bottom;" fillcolor="#FFFFFF [3201]" filled="t" stroked="t" coordsize="21600,21600" o:gfxdata="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7k75i2AAAA2wAAAA8A&#10;AAAAAAAAAQAgAAAAIgAAAGRycy9kb3ducmV2LnhtbFBLAQIUABQAAAAIAIdO4kAzLwWeOwAAADkA&#10;AAAQAAAAAAAAAAEAIAAAAAUBAABkcnMvc2hhcGV4bWwueG1sUEsFBgAAAAAGAAYAWwEAAK8DAAAA&#10;AA==&#10;">
                        <v:fill on="t" focussize="0,0"/>
                        <v:stroke weight="0.5pt" color="#000000 [3204]" joinstyle="round"/>
                        <v:imagedata o:title=""/>
                        <o:lock v:ext="edit" aspectratio="f"/>
                        <v:textbox inset="0mm,0mm,0mm,0mm">
                          <w:txbxContent>
                            <w:p w14:paraId="09EE0648">
                              <w:pPr>
                                <w:spacing w:line="240" w:lineRule="auto"/>
                                <w:ind w:firstLine="0" w:firstLineChars="0"/>
                                <w:jc w:val="center"/>
                                <w:rPr>
                                  <w:b/>
                                  <w:bCs/>
                                  <w:sz w:val="21"/>
                                  <w:szCs w:val="21"/>
                                </w:rPr>
                              </w:pPr>
                              <w:r>
                                <w:rPr>
                                  <w:rFonts w:hint="eastAsia"/>
                                  <w:b/>
                                  <w:bCs/>
                                  <w:sz w:val="21"/>
                                  <w:szCs w:val="21"/>
                                </w:rPr>
                                <w:t>DA001排气筒(15m)</w:t>
                              </w:r>
                            </w:p>
                            <w:p w14:paraId="0B739C80">
                              <w:pPr>
                                <w:ind w:firstLine="0" w:firstLineChars="0"/>
                                <w:jc w:val="center"/>
                              </w:pPr>
                            </w:p>
                            <w:p w14:paraId="6D4791A5">
                              <w:pPr>
                                <w:ind w:firstLine="0" w:firstLineChars="0"/>
                                <w:jc w:val="center"/>
                              </w:pPr>
                              <w:r>
                                <w:rPr>
                                  <w:rFonts w:hint="eastAsia"/>
                                </w:rPr>
                                <w:t>(15m)</w:t>
                              </w:r>
                            </w:p>
                          </w:txbxContent>
                        </v:textbox>
                      </v:shape>
                      <v:shape id="文本框 19" o:spid="_x0000_s1026" o:spt="202" type="#_x0000_t202" style="position:absolute;left:12050;top:13942;height:443;width:1021;" fillcolor="#FFFFFF [3201]" filled="t" stroked="f" coordsize="21600,21600" o:gfxdata="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j4sr4A&#10;AADbAAAADwAAAAAAAAABACAAAAAiAAAAZHJzL2Rvd25yZXYueG1sUEsBAhQAFAAAAAgAh07iQDMv&#10;BZ47AAAAOQAAABAAAAAAAAAAAQAgAAAADQEAAGRycy9zaGFwZXhtbC54bWxQSwUGAAAAAAYABgBb&#10;AQAAtwMAAAAA&#10;">
                        <v:fill on="t" focussize="0,0"/>
                        <v:stroke on="f" weight="0.5pt"/>
                        <v:imagedata o:title=""/>
                        <o:lock v:ext="edit" aspectratio="f"/>
                        <v:textbox inset="0.1mm,0.1mm,0.1mm,0.1mm">
                          <w:txbxContent>
                            <w:p w14:paraId="61D4DCE1">
                              <w:pPr>
                                <w:ind w:firstLine="0" w:firstLineChars="0"/>
                                <w:jc w:val="center"/>
                                <w:rPr>
                                  <w:b/>
                                  <w:bCs/>
                                  <w:sz w:val="21"/>
                                  <w:szCs w:val="21"/>
                                </w:rPr>
                              </w:pPr>
                              <w:r>
                                <w:rPr>
                                  <w:rFonts w:hint="eastAsia"/>
                                  <w:b/>
                                  <w:bCs/>
                                  <w:sz w:val="21"/>
                                  <w:szCs w:val="21"/>
                                </w:rPr>
                                <w:t>处理效率</w:t>
                              </w:r>
                            </w:p>
                          </w:txbxContent>
                        </v:textbox>
                      </v:shape>
                      <v:shape id="文本框 12" o:spid="_x0000_s1026" o:spt="202" type="#_x0000_t202" style="position:absolute;left:6762;top:13025;height:542;width:1232;" fillcolor="#FFFFFF [3201]" filled="t" stroked="f" coordsize="21600,21600" o:gfxdata="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CPYbvQAA&#10;ANsAAAAPAAAAAAAAAAEAIAAAACIAAABkcnMvZG93bnJldi54bWxQSwECFAAUAAAACACHTuJAMy8F&#10;njsAAAA5AAAAEAAAAAAAAAABACAAAAAMAQAAZHJzL3NoYXBleG1sLnhtbFBLBQYAAAAABgAGAFsB&#10;AAC2AwAAAAA=&#10;">
                        <v:fill on="t" focussize="0,0"/>
                        <v:stroke on="f" weight="0.5pt"/>
                        <v:imagedata o:title=""/>
                        <o:lock v:ext="edit" aspectratio="f"/>
                        <v:textbox inset="0.1mm,0.1mm,0.1mm,0.1mm">
                          <w:txbxContent>
                            <w:p w14:paraId="013150A5">
                              <w:pPr>
                                <w:ind w:firstLine="0" w:firstLineChars="0"/>
                                <w:rPr>
                                  <w:b/>
                                  <w:bCs/>
                                  <w:sz w:val="21"/>
                                  <w:szCs w:val="21"/>
                                </w:rPr>
                              </w:pPr>
                              <w:r>
                                <w:rPr>
                                  <w:rFonts w:hint="eastAsia"/>
                                  <w:b/>
                                  <w:bCs/>
                                  <w:sz w:val="21"/>
                                  <w:szCs w:val="21"/>
                                </w:rPr>
                                <w:t>末收集10%</w:t>
                              </w:r>
                            </w:p>
                          </w:txbxContent>
                        </v:textbox>
                      </v:shape>
                      <v:shape id="文本框 20" o:spid="_x0000_s1026" o:spt="202" type="#_x0000_t202" style="position:absolute;left:9489;top:14583;height:397;width:870;v-text-anchor:middle;" fillcolor="#FFFFFF [3201]" filled="t" stroked="f" coordsize="21600,21600" o:gfxdata="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cRxSr4A&#10;AADbAAAADwAAAAAAAAABACAAAAAiAAAAZHJzL2Rvd25yZXYueG1sUEsBAhQAFAAAAAgAh07iQDMv&#10;BZ47AAAAOQAAABAAAAAAAAAAAQAgAAAADQEAAGRycy9zaGFwZXhtbC54bWxQSwUGAAAAAAYABgBb&#10;AQAAtwMAAAAA&#10;">
                        <v:fill on="t" focussize="0,0"/>
                        <v:stroke on="f" weight="0.5pt"/>
                        <v:imagedata o:title=""/>
                        <o:lock v:ext="edit" aspectratio="f"/>
                        <v:textbox inset="0.1mm,0.1mm,0.1mm,0.1mm">
                          <w:txbxContent>
                            <w:p w14:paraId="0EF2F4CE">
                              <w:pPr>
                                <w:ind w:firstLine="0" w:firstLineChars="0"/>
                                <w:jc w:val="center"/>
                                <w:rPr>
                                  <w:b/>
                                  <w:bCs/>
                                  <w:sz w:val="21"/>
                                  <w:szCs w:val="21"/>
                                </w:rPr>
                              </w:pPr>
                              <w:r>
                                <w:rPr>
                                  <w:rFonts w:hint="eastAsia"/>
                                  <w:b/>
                                  <w:bCs/>
                                  <w:sz w:val="21"/>
                                  <w:szCs w:val="21"/>
                                </w:rPr>
                                <w:t>90%</w:t>
                              </w:r>
                            </w:p>
                          </w:txbxContent>
                        </v:textbox>
                      </v:shape>
                      <v:shape id="文本框 18" o:spid="_x0000_s1026" o:spt="202" type="#_x0000_t202" style="position:absolute;left:9489;top:13989;height:443;width:953;" fillcolor="#FFFFFF [3201]" filled="t" stroked="f" coordsize="21600,21600" o:gfxdata="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N0XSm8AAAA&#10;2wAAAA8AAAAAAAAAAQAgAAAAIgAAAGRycy9kb3ducmV2LnhtbFBLAQIUABQAAAAIAIdO4kAzLwWe&#10;OwAAADkAAAAQAAAAAAAAAAEAIAAAAAsBAABkcnMvc2hhcGV4bWwueG1sUEsFBgAAAAAGAAYAWwEA&#10;ALUDAAAAAA==&#10;">
                        <v:fill on="t" focussize="0,0"/>
                        <v:stroke on="f" weight="0.5pt"/>
                        <v:imagedata o:title=""/>
                        <o:lock v:ext="edit" aspectratio="f"/>
                        <v:textbox inset="0.1mm,0.1mm,0.1mm,0.1mm">
                          <w:txbxContent>
                            <w:p w14:paraId="18BACA05">
                              <w:pPr>
                                <w:ind w:firstLine="0" w:firstLineChars="0"/>
                                <w:jc w:val="center"/>
                                <w:rPr>
                                  <w:b/>
                                  <w:bCs/>
                                  <w:sz w:val="21"/>
                                  <w:szCs w:val="21"/>
                                </w:rPr>
                              </w:pPr>
                              <w:r>
                                <w:rPr>
                                  <w:rFonts w:hint="eastAsia"/>
                                  <w:b/>
                                  <w:bCs/>
                                  <w:sz w:val="21"/>
                                  <w:szCs w:val="21"/>
                                </w:rPr>
                                <w:t>收集效率</w:t>
                              </w:r>
                            </w:p>
                          </w:txbxContent>
                        </v:textbox>
                      </v:shape>
                      <v:shape id="直接箭头连接符 17" o:spid="_x0000_s1026" o:spt="32" type="#_x0000_t32" style="position:absolute;left:7385;top:14460;height:1;width:567;" filled="f" stroked="t" coordsize="21600,21600" o:gfxdata="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5+sCj&#10;wAAAANsAAAAPAAAAAAAAAAEAIAAAACIAAABkcnMvZG93bnJldi54bWxQSwECFAAUAAAACACHTuJA&#10;My8FnjsAAAA5AAAAEAAAAAAAAAABACAAAAAPAQAAZHJzL3NoYXBleG1sLnhtbFBLBQYAAAAABgAG&#10;AFsBAAC5AwAAAAA=&#10;">
                        <v:fill on="f" focussize="0,0"/>
                        <v:stroke weight="1pt" color="#0D0D0D [3060]" miterlimit="8" joinstyle="miter" endarrow="block"/>
                        <v:imagedata o:title=""/>
                        <o:lock v:ext="edit" aspectratio="f"/>
                      </v:shape>
                      <v:shape id="直接箭头连接符 17" o:spid="_x0000_s1026" o:spt="32" type="#_x0000_t32" style="position:absolute;left:9360;top:14458;flip:y;height:4;width:1162;" filled="f" stroked="t" coordsize="21600,21600" o:gfxdata="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JjQu8AAAA&#10;2wAAAA8AAAAAAAAAAQAgAAAAIgAAAGRycy9kb3ducmV2LnhtbFBLAQIUABQAAAAIAIdO4kAzLwWe&#10;OwAAADkAAAAQAAAAAAAAAAEAIAAAAAsBAABkcnMvc2hhcGV4bWwueG1sUEsFBgAAAAAGAAYAWwEA&#10;ALUDAAAAAA==&#10;">
                        <v:fill on="f" focussize="0,0"/>
                        <v:stroke weight="1pt" color="#0D0D0D [3060]" miterlimit="8" joinstyle="miter" endarrow="block"/>
                        <v:imagedata o:title=""/>
                        <o:lock v:ext="edit" aspectratio="f"/>
                      </v:shape>
                      <v:shape id="直接箭头连接符 17" o:spid="_x0000_s1026" o:spt="32" type="#_x0000_t32" style="position:absolute;left:9496;top:14460;flip:y;height:5;width:1026;" filled="f" stroked="t" coordsize="21600,21600" o:gfxdata="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lqsku2AAAA2wAAAA8A&#10;AAAAAAAAAQAgAAAAIgAAAGRycy9kb3ducmV2LnhtbFBLAQIUABQAAAAIAIdO4kAzLwWeOwAAADkA&#10;AAAQAAAAAAAAAAEAIAAAAAUBAABkcnMvc2hhcGV4bWwueG1sUEsFBgAAAAAGAAYAWwEAAK8DAAAA&#10;AA==&#10;">
                        <v:fill on="f" focussize="0,0"/>
                        <v:stroke weight="1pt" color="#0D0D0D [3060]" miterlimit="8" joinstyle="miter" endarrow="block"/>
                        <v:imagedata o:title=""/>
                        <o:lock v:ext="edit" aspectratio="f"/>
                      </v:shape>
                      <v:shape id="肘形连接符 28" o:spid="_x0000_s1026" o:spt="33" type="#_x0000_t33" style="position:absolute;left:6698;top:12848;height:1255;width:1214;rotation:-5898240f;" filled="f" stroked="t" coordsize="21600,21600" o:gfxdata="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jU+Ca5AAAA2wAA&#10;AA8AAAAAAAAAAQAgAAAAIgAAAGRycy9kb3ducmV2LnhtbFBLAQIUABQAAAAIAIdO4kAzLwWeOwAA&#10;ADkAAAAQAAAAAAAAAAEAIAAAAAgBAABkcnMvc2hhcGV4bWwueG1sUEsFBgAAAAAGAAYAWwEAALID&#10;AAAAAA==&#10;">
                        <v:fill on="f" focussize="0,0"/>
                        <v:stroke weight="1pt" color="#0D0D0D [3069]" miterlimit="8" joinstyle="miter" endarrow="open"/>
                        <v:imagedata o:title=""/>
                        <o:lock v:ext="edit" aspectratio="f"/>
                      </v:shape>
                      <w10:wrap type="none"/>
                      <w10:anchorlock/>
                    </v:group>
                  </w:pict>
                </mc:Fallback>
              </mc:AlternateContent>
            </w:r>
          </w:p>
          <w:p w14:paraId="283A2529">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图4-2 废气处理工艺流程图</w:t>
            </w:r>
          </w:p>
          <w:p w14:paraId="59B06C36">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集气罩收集效率可行性分析：</w:t>
            </w:r>
          </w:p>
          <w:p w14:paraId="6034370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根据《局部气管的捕集效率实验》（源自《通风除尘》），集气罩与污染源之间的距离对</w:t>
            </w:r>
            <w:r>
              <w:rPr>
                <w:rFonts w:hint="eastAsia"/>
                <w:color w:val="0D0D0D" w:themeColor="text1" w:themeTint="F2"/>
                <w:u w:val="single"/>
                <w14:textFill>
                  <w14:solidFill>
                    <w14:schemeClr w14:val="tx1">
                      <w14:lumMod w14:val="95000"/>
                      <w14:lumOff w14:val="5000"/>
                    </w14:schemeClr>
                  </w14:solidFill>
                </w14:textFill>
              </w:rPr>
              <w:t>收</w:t>
            </w:r>
            <w:r>
              <w:rPr>
                <w:rFonts w:hint="default"/>
                <w:color w:val="0D0D0D" w:themeColor="text1" w:themeTint="F2"/>
                <w:u w:val="single"/>
                <w14:textFill>
                  <w14:solidFill>
                    <w14:schemeClr w14:val="tx1">
                      <w14:lumMod w14:val="95000"/>
                      <w14:lumOff w14:val="5000"/>
                    </w14:schemeClr>
                  </w14:solidFill>
                </w14:textFill>
              </w:rPr>
              <w:t>集效率有极大的影响，集气罩与污染源距离从0.3m增为1.5m，集气罩的捕集效率从97.6%降为55.0%。本项目集气罩与污染源距离控制在0.5m以下，距集气罩开口面最远处的无组织排放位置控制风速不低于0.3m/s，集气罩收集废气效率可达90%以上。</w:t>
            </w:r>
          </w:p>
          <w:p w14:paraId="4E30A29F">
            <w:pPr>
              <w:keepNext w:val="0"/>
              <w:keepLines w:val="0"/>
              <w:suppressLineNumbers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u w:val="single"/>
                <w14:textFill>
                  <w14:solidFill>
                    <w14:schemeClr w14:val="tx1">
                      <w14:lumMod w14:val="95000"/>
                      <w14:lumOff w14:val="5000"/>
                    </w14:schemeClr>
                  </w14:solidFill>
                </w14:textFill>
              </w:rPr>
              <w:t>（2）废气排放防治措施可行性分析</w:t>
            </w:r>
          </w:p>
          <w:p w14:paraId="3ADB90BE">
            <w:pPr>
              <w:keepNext w:val="0"/>
              <w:keepLines w:val="0"/>
              <w:suppressLineNumbers w:val="0"/>
              <w:spacing w:before="0" w:beforeAutospacing="0" w:after="0" w:afterAutospacing="0"/>
              <w:ind w:left="0" w:right="0" w:firstLine="482"/>
              <w:rPr>
                <w:rFonts w:hint="default"/>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u w:val="single"/>
                <w14:textFill>
                  <w14:solidFill>
                    <w14:schemeClr w14:val="tx1">
                      <w14:lumMod w14:val="95000"/>
                      <w14:lumOff w14:val="5000"/>
                    </w14:schemeClr>
                  </w14:solidFill>
                </w14:textFill>
              </w:rPr>
              <w:t>活性炭吸附装置原理</w:t>
            </w:r>
            <w:r>
              <w:rPr>
                <w:rFonts w:hint="default"/>
                <w:color w:val="0D0D0D" w:themeColor="text1" w:themeTint="F2"/>
                <w:u w:val="single"/>
                <w14:textFill>
                  <w14:solidFill>
                    <w14:schemeClr w14:val="tx1">
                      <w14:lumMod w14:val="95000"/>
                      <w14:lumOff w14:val="5000"/>
                    </w14:schemeClr>
                  </w14:solidFill>
                </w14:textFill>
              </w:rPr>
              <w:t>：活性炭表面有大量微孔，其中绝大部分孔径小于500A（1A=10-10m），单位材料微孔的总内表面积称“比表面积”，可高达900-1100㎡/g，常被用来作为吸附有机废气的吸附剂。空气中的有害气体称“吸附质”，活性炭为“吸附剂”，由于分子间的引力，吸附质粘到微孔内表面，从而使空气得到净化。活性炭材料分颗粒炭、纤维炭，传统的颗粒活性炭有煤质炭、木质炭、椰壳炭、骨炭。在有机废气处理过程中，活性炭常被用来吸附烷烃、烯烃、芳香烃、酮、醛、氯代烃、酯等挥发性有机化合物（非甲烷总烃）。此外，活性炭具有孔径分布合理、吸附容量高、吸附速度快、机械强度大、在固定床中使用，气流阻力小、易于解吸和再生等优点，在宽浓度范围对大部分无机气体（如硫化物、氮氧化物等）和大多数有机蒸气、溶剂有较强的吸附能力。</w:t>
            </w:r>
          </w:p>
          <w:p w14:paraId="144CA0D8">
            <w:pPr>
              <w:keepNext w:val="0"/>
              <w:keepLines w:val="0"/>
              <w:widowControl/>
              <w:suppressLineNumbers w:val="0"/>
              <w:spacing w:before="0" w:beforeAutospacing="0" w:after="0" w:afterAutospacing="0"/>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表4-4  活性炭吸附的吸附原理和特点</w:t>
            </w:r>
          </w:p>
          <w:tbl>
            <w:tblPr>
              <w:tblStyle w:val="17"/>
              <w:tblW w:w="7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3284"/>
              <w:gridCol w:w="2796"/>
            </w:tblGrid>
            <w:tr w14:paraId="57957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869" w:type="dxa"/>
                  <w:vAlign w:val="center"/>
                </w:tcPr>
                <w:p w14:paraId="5AC32D7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吸附原理</w:t>
                  </w:r>
                </w:p>
              </w:tc>
              <w:tc>
                <w:tcPr>
                  <w:tcW w:w="3290" w:type="dxa"/>
                  <w:vAlign w:val="center"/>
                </w:tcPr>
                <w:p w14:paraId="0CB36A5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特点</w:t>
                  </w:r>
                </w:p>
              </w:tc>
              <w:tc>
                <w:tcPr>
                  <w:tcW w:w="2787" w:type="dxa"/>
                  <w:vAlign w:val="center"/>
                </w:tcPr>
                <w:p w14:paraId="5A039C71">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活性炭吸附内部示意简图</w:t>
                  </w:r>
                </w:p>
              </w:tc>
            </w:tr>
            <w:tr w14:paraId="2BB0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9" w:type="dxa"/>
                </w:tcPr>
                <w:p w14:paraId="1C55F922">
                  <w:pPr>
                    <w:keepNext w:val="0"/>
                    <w:keepLines w:val="0"/>
                    <w:widowControl/>
                    <w:suppressLineNumbers w:val="0"/>
                    <w:spacing w:before="0" w:beforeAutospacing="0" w:after="0" w:afterAutospacing="0" w:line="240" w:lineRule="auto"/>
                    <w:ind w:left="0" w:right="0" w:firstLine="0" w:firstLineChars="0"/>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活性炭（吸附剂）是一种非极性吸附剂，具有疏水性和亲有机物的性质，它能吸附绝大部分有机气体，如苯类、醛酮类、醇类、烃类等以及恶臭物质</w:t>
                  </w:r>
                </w:p>
              </w:tc>
              <w:tc>
                <w:tcPr>
                  <w:tcW w:w="3290" w:type="dxa"/>
                </w:tcPr>
                <w:p w14:paraId="29433BA9">
                  <w:pPr>
                    <w:keepNext w:val="0"/>
                    <w:keepLines w:val="0"/>
                    <w:widowControl/>
                    <w:suppressLineNumbers w:val="0"/>
                    <w:spacing w:before="0" w:beforeAutospacing="0" w:after="0" w:afterAutospacing="0" w:line="240" w:lineRule="auto"/>
                    <w:ind w:left="0" w:right="0" w:firstLine="0" w:firstLineChars="0"/>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活性炭具有较好的机械强度、耐磨损性能、稳定的再活性以及对强、碱、水、高温的适应性等。活性炭对气体的吸附具有广泛性，对有机气体、无机气体、大分子量、小分子量均有较好的吸附性能，特别适用于混合有机气体的吸附。由于其具有疏松多孔的结构，比表面积很大，对有机废气吸附效率也比较高</w:t>
                  </w:r>
                </w:p>
              </w:tc>
              <w:tc>
                <w:tcPr>
                  <w:tcW w:w="2787" w:type="dxa"/>
                </w:tcPr>
                <w:p w14:paraId="13547F9D">
                  <w:pPr>
                    <w:keepNext w:val="0"/>
                    <w:keepLines w:val="0"/>
                    <w:widowControl/>
                    <w:suppressLineNumbers w:val="0"/>
                    <w:spacing w:before="0" w:beforeAutospacing="0" w:after="0" w:afterAutospacing="0"/>
                    <w:ind w:left="0" w:right="0" w:firstLine="0" w:firstLineChars="0"/>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drawing>
                      <wp:inline distT="0" distB="0" distL="114300" distR="114300">
                        <wp:extent cx="1629410" cy="1317625"/>
                        <wp:effectExtent l="0" t="0" r="8890" b="317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9">
                                  <a:lum bright="-30000" contrast="48000"/>
                                </a:blip>
                                <a:stretch>
                                  <a:fillRect/>
                                </a:stretch>
                              </pic:blipFill>
                              <pic:spPr>
                                <a:xfrm>
                                  <a:off x="0" y="0"/>
                                  <a:ext cx="1629410" cy="1317625"/>
                                </a:xfrm>
                                <a:prstGeom prst="rect">
                                  <a:avLst/>
                                </a:prstGeom>
                                <a:noFill/>
                                <a:ln>
                                  <a:noFill/>
                                </a:ln>
                              </pic:spPr>
                            </pic:pic>
                          </a:graphicData>
                        </a:graphic>
                      </wp:inline>
                    </w:drawing>
                  </w:r>
                </w:p>
              </w:tc>
            </w:tr>
          </w:tbl>
          <w:p w14:paraId="2A4D81C0">
            <w:pPr>
              <w:keepNext w:val="0"/>
              <w:keepLines w:val="0"/>
              <w:suppressLineNumbers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u w:val="single"/>
                <w14:textFill>
                  <w14:solidFill>
                    <w14:schemeClr w14:val="tx1">
                      <w14:lumMod w14:val="95000"/>
                      <w14:lumOff w14:val="5000"/>
                    </w14:schemeClr>
                  </w14:solidFill>
                </w14:textFill>
              </w:rPr>
              <w:t>5、废气监测计划</w:t>
            </w:r>
          </w:p>
          <w:p w14:paraId="7A777B50">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依据《排污单位自行监测技术指南总则》（HJ819-2017）、《排污许可证申请与核发技术规范橡胶和塑料制品工业（HJ1122</w:t>
            </w:r>
            <w:r>
              <w:rPr>
                <w:rFonts w:hint="eastAsia"/>
                <w:color w:val="0D0D0D" w:themeColor="text1" w:themeTint="F2"/>
                <w:u w:val="single"/>
                <w:lang w:eastAsia="zh-CN"/>
                <w14:textFill>
                  <w14:solidFill>
                    <w14:schemeClr w14:val="tx1">
                      <w14:lumMod w14:val="95000"/>
                      <w14:lumOff w14:val="5000"/>
                    </w14:schemeClr>
                  </w14:solidFill>
                </w14:textFill>
              </w:rPr>
              <w:t>-</w:t>
            </w:r>
            <w:r>
              <w:rPr>
                <w:rFonts w:hint="default"/>
                <w:color w:val="0D0D0D" w:themeColor="text1" w:themeTint="F2"/>
                <w:u w:val="single"/>
                <w14:textFill>
                  <w14:solidFill>
                    <w14:schemeClr w14:val="tx1">
                      <w14:lumMod w14:val="95000"/>
                      <w14:lumOff w14:val="5000"/>
                    </w14:schemeClr>
                  </w14:solidFill>
                </w14:textFill>
              </w:rPr>
              <w:t>2020）》，全厂废气的日常监测计划建议见下表。</w:t>
            </w:r>
          </w:p>
          <w:p w14:paraId="54C2A0BA">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表4-5  项目废气监测计划一览表</w:t>
            </w:r>
          </w:p>
          <w:tbl>
            <w:tblPr>
              <w:tblStyle w:val="17"/>
              <w:tblW w:w="803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10"/>
              <w:gridCol w:w="1224"/>
              <w:gridCol w:w="1386"/>
              <w:gridCol w:w="1254"/>
              <w:gridCol w:w="2860"/>
            </w:tblGrid>
            <w:tr w14:paraId="0C0BC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14" w:type="dxa"/>
                  <w:gridSpan w:val="2"/>
                  <w:tcBorders>
                    <w:tl2br w:val="nil"/>
                    <w:tr2bl w:val="nil"/>
                  </w:tcBorders>
                  <w:vAlign w:val="center"/>
                </w:tcPr>
                <w:p w14:paraId="499CD25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spacing w:val="-10"/>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环境要素</w:t>
                  </w:r>
                </w:p>
              </w:tc>
              <w:tc>
                <w:tcPr>
                  <w:tcW w:w="1224" w:type="dxa"/>
                  <w:tcBorders>
                    <w:tl2br w:val="nil"/>
                    <w:tr2bl w:val="nil"/>
                  </w:tcBorders>
                  <w:vAlign w:val="center"/>
                </w:tcPr>
                <w:p w14:paraId="203F2EF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spacing w:val="-10"/>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监测位置</w:t>
                  </w:r>
                </w:p>
              </w:tc>
              <w:tc>
                <w:tcPr>
                  <w:tcW w:w="1386" w:type="dxa"/>
                  <w:tcBorders>
                    <w:tl2br w:val="nil"/>
                    <w:tr2bl w:val="nil"/>
                  </w:tcBorders>
                  <w:vAlign w:val="center"/>
                </w:tcPr>
                <w:p w14:paraId="32F9E39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spacing w:val="-10"/>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监测项目</w:t>
                  </w:r>
                </w:p>
              </w:tc>
              <w:tc>
                <w:tcPr>
                  <w:tcW w:w="1254" w:type="dxa"/>
                  <w:tcBorders>
                    <w:tl2br w:val="nil"/>
                    <w:tr2bl w:val="nil"/>
                  </w:tcBorders>
                  <w:vAlign w:val="center"/>
                </w:tcPr>
                <w:p w14:paraId="379D0F9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spacing w:val="-10"/>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监测频率</w:t>
                  </w:r>
                </w:p>
              </w:tc>
              <w:tc>
                <w:tcPr>
                  <w:tcW w:w="2860" w:type="dxa"/>
                  <w:tcBorders>
                    <w:tl2br w:val="nil"/>
                    <w:tr2bl w:val="nil"/>
                  </w:tcBorders>
                  <w:vAlign w:val="center"/>
                </w:tcPr>
                <w:p w14:paraId="1F6BF7B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
                      <w:bCs/>
                      <w:color w:val="0D0D0D" w:themeColor="text1" w:themeTint="F2"/>
                      <w:spacing w:val="-10"/>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执行标准</w:t>
                  </w:r>
                </w:p>
              </w:tc>
            </w:tr>
            <w:tr w14:paraId="7E261C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dxa"/>
                  <w:vMerge w:val="restart"/>
                  <w:tcBorders>
                    <w:tl2br w:val="nil"/>
                    <w:tr2bl w:val="nil"/>
                  </w:tcBorders>
                  <w:vAlign w:val="center"/>
                </w:tcPr>
                <w:p w14:paraId="3AB804F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废</w:t>
                  </w:r>
                </w:p>
                <w:p w14:paraId="40A3EB3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气</w:t>
                  </w:r>
                </w:p>
              </w:tc>
              <w:tc>
                <w:tcPr>
                  <w:tcW w:w="810" w:type="dxa"/>
                  <w:vMerge w:val="restart"/>
                  <w:tcBorders>
                    <w:tl2br w:val="nil"/>
                    <w:tr2bl w:val="nil"/>
                  </w:tcBorders>
                  <w:vAlign w:val="center"/>
                </w:tcPr>
                <w:p w14:paraId="6B84B67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有组织</w:t>
                  </w:r>
                </w:p>
              </w:tc>
              <w:tc>
                <w:tcPr>
                  <w:tcW w:w="1224" w:type="dxa"/>
                  <w:tcBorders>
                    <w:tl2br w:val="nil"/>
                    <w:tr2bl w:val="nil"/>
                  </w:tcBorders>
                  <w:vAlign w:val="center"/>
                </w:tcPr>
                <w:p w14:paraId="5D58C04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DA001</w:t>
                  </w:r>
                </w:p>
              </w:tc>
              <w:tc>
                <w:tcPr>
                  <w:tcW w:w="1386" w:type="dxa"/>
                  <w:vMerge w:val="restart"/>
                  <w:tcBorders>
                    <w:tl2br w:val="nil"/>
                    <w:tr2bl w:val="nil"/>
                  </w:tcBorders>
                  <w:vAlign w:val="center"/>
                </w:tcPr>
                <w:p w14:paraId="30D4735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非甲烷总烃</w:t>
                  </w:r>
                </w:p>
              </w:tc>
              <w:tc>
                <w:tcPr>
                  <w:tcW w:w="1254" w:type="dxa"/>
                  <w:vMerge w:val="restart"/>
                  <w:tcBorders>
                    <w:tl2br w:val="nil"/>
                    <w:tr2bl w:val="nil"/>
                  </w:tcBorders>
                  <w:vAlign w:val="center"/>
                </w:tcPr>
                <w:p w14:paraId="61591EB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每年一次</w:t>
                  </w:r>
                </w:p>
              </w:tc>
              <w:tc>
                <w:tcPr>
                  <w:tcW w:w="2860" w:type="dxa"/>
                  <w:vMerge w:val="restart"/>
                  <w:tcBorders>
                    <w:tl2br w:val="nil"/>
                    <w:tr2bl w:val="nil"/>
                  </w:tcBorders>
                  <w:vAlign w:val="center"/>
                </w:tcPr>
                <w:p w14:paraId="32FBBA4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《合成树脂工业污染物排放标准》（GB31572-2015）表5标准</w:t>
                  </w:r>
                </w:p>
              </w:tc>
            </w:tr>
            <w:tr w14:paraId="0AA1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04" w:type="dxa"/>
                  <w:vMerge w:val="continue"/>
                  <w:tcBorders>
                    <w:tl2br w:val="nil"/>
                    <w:tr2bl w:val="nil"/>
                  </w:tcBorders>
                  <w:vAlign w:val="center"/>
                </w:tcPr>
                <w:p w14:paraId="171855A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rPr>
                  </w:pPr>
                </w:p>
              </w:tc>
              <w:tc>
                <w:tcPr>
                  <w:tcW w:w="810" w:type="dxa"/>
                  <w:vMerge w:val="continue"/>
                  <w:tcBorders>
                    <w:tl2br w:val="nil"/>
                    <w:tr2bl w:val="nil"/>
                  </w:tcBorders>
                  <w:vAlign w:val="center"/>
                </w:tcPr>
                <w:p w14:paraId="1B9B54A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rPr>
                  </w:pPr>
                </w:p>
              </w:tc>
              <w:tc>
                <w:tcPr>
                  <w:tcW w:w="1224" w:type="dxa"/>
                  <w:tcBorders>
                    <w:tl2br w:val="nil"/>
                    <w:tr2bl w:val="nil"/>
                  </w:tcBorders>
                  <w:vAlign w:val="center"/>
                </w:tcPr>
                <w:p w14:paraId="310BEBE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eastAsia"/>
                      <w:bCs/>
                      <w:color w:val="0D0D0D" w:themeColor="text1" w:themeTint="F2"/>
                      <w:spacing w:val="-10"/>
                      <w:sz w:val="21"/>
                      <w:szCs w:val="21"/>
                      <w:u w:val="single"/>
                      <w14:textFill>
                        <w14:solidFill>
                          <w14:schemeClr w14:val="tx1">
                            <w14:lumMod w14:val="95000"/>
                            <w14:lumOff w14:val="5000"/>
                          </w14:schemeClr>
                        </w14:solidFill>
                      </w14:textFill>
                    </w:rPr>
                    <w:t>DA002</w:t>
                  </w:r>
                </w:p>
              </w:tc>
              <w:tc>
                <w:tcPr>
                  <w:tcW w:w="1386" w:type="dxa"/>
                  <w:vMerge w:val="continue"/>
                  <w:tcBorders>
                    <w:tl2br w:val="nil"/>
                    <w:tr2bl w:val="nil"/>
                  </w:tcBorders>
                  <w:vAlign w:val="center"/>
                </w:tcPr>
                <w:p w14:paraId="3165D73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p>
              </w:tc>
              <w:tc>
                <w:tcPr>
                  <w:tcW w:w="1254" w:type="dxa"/>
                  <w:vMerge w:val="continue"/>
                  <w:tcBorders>
                    <w:tl2br w:val="nil"/>
                    <w:tr2bl w:val="nil"/>
                  </w:tcBorders>
                  <w:vAlign w:val="center"/>
                </w:tcPr>
                <w:p w14:paraId="2AFDE16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p>
              </w:tc>
              <w:tc>
                <w:tcPr>
                  <w:tcW w:w="2860" w:type="dxa"/>
                  <w:vMerge w:val="continue"/>
                  <w:tcBorders>
                    <w:tl2br w:val="nil"/>
                    <w:tr2bl w:val="nil"/>
                  </w:tcBorders>
                  <w:vAlign w:val="center"/>
                </w:tcPr>
                <w:p w14:paraId="68BBE08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p>
              </w:tc>
            </w:tr>
            <w:tr w14:paraId="66A69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504" w:type="dxa"/>
                  <w:vMerge w:val="continue"/>
                  <w:tcBorders>
                    <w:tl2br w:val="nil"/>
                    <w:tr2bl w:val="nil"/>
                  </w:tcBorders>
                  <w:vAlign w:val="center"/>
                </w:tcPr>
                <w:p w14:paraId="7EE5BD4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p>
              </w:tc>
              <w:tc>
                <w:tcPr>
                  <w:tcW w:w="810" w:type="dxa"/>
                  <w:tcBorders>
                    <w:tl2br w:val="nil"/>
                    <w:tr2bl w:val="nil"/>
                  </w:tcBorders>
                  <w:vAlign w:val="center"/>
                </w:tcPr>
                <w:p w14:paraId="4E9BD00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无组织</w:t>
                  </w:r>
                </w:p>
              </w:tc>
              <w:tc>
                <w:tcPr>
                  <w:tcW w:w="1224" w:type="dxa"/>
                  <w:tcBorders>
                    <w:tl2br w:val="nil"/>
                    <w:tr2bl w:val="nil"/>
                  </w:tcBorders>
                  <w:vAlign w:val="center"/>
                </w:tcPr>
                <w:p w14:paraId="4A89221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厂界</w:t>
                  </w:r>
                </w:p>
              </w:tc>
              <w:tc>
                <w:tcPr>
                  <w:tcW w:w="1386" w:type="dxa"/>
                  <w:tcBorders>
                    <w:tl2br w:val="nil"/>
                    <w:tr2bl w:val="nil"/>
                  </w:tcBorders>
                  <w:vAlign w:val="center"/>
                </w:tcPr>
                <w:p w14:paraId="09EEB6D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非甲烷总烃</w:t>
                  </w:r>
                </w:p>
              </w:tc>
              <w:tc>
                <w:tcPr>
                  <w:tcW w:w="1254" w:type="dxa"/>
                  <w:vMerge w:val="continue"/>
                  <w:tcBorders>
                    <w:tl2br w:val="nil"/>
                    <w:tr2bl w:val="nil"/>
                  </w:tcBorders>
                  <w:vAlign w:val="center"/>
                </w:tcPr>
                <w:p w14:paraId="25E9E73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p>
              </w:tc>
              <w:tc>
                <w:tcPr>
                  <w:tcW w:w="2860" w:type="dxa"/>
                  <w:tcBorders>
                    <w:tl2br w:val="nil"/>
                    <w:tr2bl w:val="nil"/>
                  </w:tcBorders>
                  <w:vAlign w:val="center"/>
                </w:tcPr>
                <w:p w14:paraId="19582C4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bCs/>
                      <w:color w:val="0D0D0D" w:themeColor="text1" w:themeTint="F2"/>
                      <w:spacing w:val="-10"/>
                      <w:sz w:val="21"/>
                      <w:szCs w:val="21"/>
                      <w:u w:val="single"/>
                      <w14:textFill>
                        <w14:solidFill>
                          <w14:schemeClr w14:val="tx1">
                            <w14:lumMod w14:val="95000"/>
                            <w14:lumOff w14:val="5000"/>
                          </w14:schemeClr>
                        </w14:solidFill>
                      </w14:textFill>
                    </w:rPr>
                  </w:pPr>
                  <w:r>
                    <w:rPr>
                      <w:rFonts w:hint="default"/>
                      <w:bCs/>
                      <w:color w:val="0D0D0D" w:themeColor="text1" w:themeTint="F2"/>
                      <w:spacing w:val="-10"/>
                      <w:sz w:val="21"/>
                      <w:szCs w:val="21"/>
                      <w:u w:val="single"/>
                      <w14:textFill>
                        <w14:solidFill>
                          <w14:schemeClr w14:val="tx1">
                            <w14:lumMod w14:val="95000"/>
                            <w14:lumOff w14:val="5000"/>
                          </w14:schemeClr>
                        </w14:solidFill>
                      </w14:textFill>
                    </w:rPr>
                    <w:t>《大气污染物综合排放标准》（GB 16297-1996）</w:t>
                  </w:r>
                </w:p>
              </w:tc>
            </w:tr>
          </w:tbl>
          <w:p w14:paraId="20CC8B4C">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default"/>
                <w:b/>
                <w:color w:val="0D0D0D" w:themeColor="text1" w:themeTint="F2"/>
                <w:spacing w:val="-10"/>
                <w:szCs w:val="21"/>
                <w:u w:val="single"/>
                <w14:textFill>
                  <w14:solidFill>
                    <w14:schemeClr w14:val="tx1">
                      <w14:lumMod w14:val="95000"/>
                      <w14:lumOff w14:val="5000"/>
                    </w14:schemeClr>
                  </w14:solidFill>
                </w14:textFill>
              </w:rPr>
              <w:t>6、结论</w:t>
            </w:r>
          </w:p>
          <w:p w14:paraId="620899D4">
            <w:pPr>
              <w:keepNext w:val="0"/>
              <w:keepLines w:val="0"/>
              <w:suppressLineNumbers w:val="0"/>
              <w:adjustRightInd w:val="0"/>
              <w:snapToGrid w:val="0"/>
              <w:spacing w:before="0" w:beforeAutospacing="0" w:after="0" w:afterAutospacing="0"/>
              <w:ind w:left="0" w:right="0" w:firstLine="440"/>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default"/>
                <w:bCs/>
                <w:color w:val="0D0D0D" w:themeColor="text1" w:themeTint="F2"/>
                <w:spacing w:val="-10"/>
                <w:szCs w:val="21"/>
                <w:u w:val="single"/>
                <w14:textFill>
                  <w14:solidFill>
                    <w14:schemeClr w14:val="tx1">
                      <w14:lumMod w14:val="95000"/>
                      <w14:lumOff w14:val="5000"/>
                    </w14:schemeClr>
                  </w14:solidFill>
                </w14:textFill>
              </w:rPr>
              <w:t>综上，本项目废气经相关治理措施治理后，可达标排放，对周边环境影响</w:t>
            </w:r>
            <w:r>
              <w:rPr>
                <w:rFonts w:hint="eastAsia"/>
                <w:bCs/>
                <w:color w:val="0D0D0D" w:themeColor="text1" w:themeTint="F2"/>
                <w:spacing w:val="-10"/>
                <w:szCs w:val="21"/>
                <w:u w:val="single"/>
                <w14:textFill>
                  <w14:solidFill>
                    <w14:schemeClr w14:val="tx1">
                      <w14:lumMod w14:val="95000"/>
                      <w14:lumOff w14:val="5000"/>
                    </w14:schemeClr>
                  </w14:solidFill>
                </w14:textFill>
              </w:rPr>
              <w:t>小</w:t>
            </w:r>
            <w:r>
              <w:rPr>
                <w:rFonts w:hint="default"/>
                <w:bCs/>
                <w:color w:val="0D0D0D" w:themeColor="text1" w:themeTint="F2"/>
                <w:spacing w:val="-10"/>
                <w:szCs w:val="21"/>
                <w:u w:val="single"/>
                <w14:textFill>
                  <w14:solidFill>
                    <w14:schemeClr w14:val="tx1">
                      <w14:lumMod w14:val="95000"/>
                      <w14:lumOff w14:val="5000"/>
                    </w14:schemeClr>
                  </w14:solidFill>
                </w14:textFill>
              </w:rPr>
              <w:t>可接受，项目大气污染物防治措施可行。</w:t>
            </w:r>
          </w:p>
          <w:p w14:paraId="7F025532">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default"/>
                <w:b/>
                <w:color w:val="0D0D0D" w:themeColor="text1" w:themeTint="F2"/>
                <w:spacing w:val="-10"/>
                <w:szCs w:val="21"/>
                <w:u w:val="single"/>
                <w14:textFill>
                  <w14:solidFill>
                    <w14:schemeClr w14:val="tx1">
                      <w14:lumMod w14:val="95000"/>
                      <w14:lumOff w14:val="5000"/>
                    </w14:schemeClr>
                  </w14:solidFill>
                </w14:textFill>
              </w:rPr>
              <w:t>二、废水</w:t>
            </w:r>
          </w:p>
          <w:p w14:paraId="178B50AF">
            <w:pPr>
              <w:keepNext w:val="0"/>
              <w:keepLines w:val="0"/>
              <w:suppressLineNumbers w:val="0"/>
              <w:adjustRightInd w:val="0"/>
              <w:snapToGrid w:val="0"/>
              <w:spacing w:before="0" w:beforeAutospacing="0" w:after="0" w:afterAutospacing="0"/>
              <w:ind w:left="0" w:right="0" w:firstLine="442"/>
              <w:rPr>
                <w:rFonts w:hint="default"/>
                <w:b/>
                <w:color w:val="0D0D0D" w:themeColor="text1" w:themeTint="F2"/>
                <w:spacing w:val="-10"/>
                <w:szCs w:val="21"/>
                <w:u w:val="single"/>
                <w14:textFill>
                  <w14:solidFill>
                    <w14:schemeClr w14:val="tx1">
                      <w14:lumMod w14:val="95000"/>
                      <w14:lumOff w14:val="5000"/>
                    </w14:schemeClr>
                  </w14:solidFill>
                </w14:textFill>
              </w:rPr>
            </w:pPr>
            <w:r>
              <w:rPr>
                <w:rFonts w:hint="default"/>
                <w:b/>
                <w:color w:val="0D0D0D" w:themeColor="text1" w:themeTint="F2"/>
                <w:spacing w:val="-10"/>
                <w:szCs w:val="21"/>
                <w:u w:val="single"/>
                <w14:textFill>
                  <w14:solidFill>
                    <w14:schemeClr w14:val="tx1">
                      <w14:lumMod w14:val="95000"/>
                      <w14:lumOff w14:val="5000"/>
                    </w14:schemeClr>
                  </w14:solidFill>
                </w14:textFill>
              </w:rPr>
              <w:t>（1）</w:t>
            </w:r>
            <w:r>
              <w:rPr>
                <w:rFonts w:hint="eastAsia"/>
                <w:b/>
                <w:color w:val="0D0D0D" w:themeColor="text1" w:themeTint="F2"/>
                <w:spacing w:val="-10"/>
                <w:szCs w:val="21"/>
                <w:u w:val="single"/>
                <w14:textFill>
                  <w14:solidFill>
                    <w14:schemeClr w14:val="tx1">
                      <w14:lumMod w14:val="95000"/>
                      <w14:lumOff w14:val="5000"/>
                    </w14:schemeClr>
                  </w14:solidFill>
                </w14:textFill>
              </w:rPr>
              <w:t>污染源强</w:t>
            </w:r>
          </w:p>
          <w:p w14:paraId="56A3043E">
            <w:pPr>
              <w:keepNext w:val="0"/>
              <w:keepLines w:val="0"/>
              <w:suppressLineNumbers w:val="0"/>
              <w:adjustRightInd w:val="0"/>
              <w:snapToGrid w:val="0"/>
              <w:spacing w:before="0" w:beforeAutospacing="0" w:after="0" w:afterAutospacing="0"/>
              <w:ind w:left="0" w:right="0" w:firstLine="440"/>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default"/>
                <w:bCs/>
                <w:color w:val="0D0D0D" w:themeColor="text1" w:themeTint="F2"/>
                <w:spacing w:val="-10"/>
                <w:szCs w:val="21"/>
                <w:u w:val="single"/>
                <w14:textFill>
                  <w14:solidFill>
                    <w14:schemeClr w14:val="tx1">
                      <w14:lumMod w14:val="95000"/>
                      <w14:lumOff w14:val="5000"/>
                    </w14:schemeClr>
                  </w14:solidFill>
                </w14:textFill>
              </w:rPr>
              <w:t>1）生活用水</w:t>
            </w:r>
          </w:p>
          <w:p w14:paraId="46E6A0FB">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本项目员工为</w:t>
            </w:r>
            <w:r>
              <w:rPr>
                <w:rFonts w:hint="eastAsia"/>
                <w:color w:val="0D0D0D" w:themeColor="text1" w:themeTint="F2"/>
                <w:u w:val="single"/>
                <w14:textFill>
                  <w14:solidFill>
                    <w14:schemeClr w14:val="tx1">
                      <w14:lumMod w14:val="95000"/>
                      <w14:lumOff w14:val="5000"/>
                    </w14:schemeClr>
                  </w14:solidFill>
                </w14:textFill>
              </w:rPr>
              <w:t>8</w:t>
            </w:r>
            <w:r>
              <w:rPr>
                <w:rFonts w:hint="default"/>
                <w:color w:val="0D0D0D" w:themeColor="text1" w:themeTint="F2"/>
                <w:u w:val="single"/>
                <w14:textFill>
                  <w14:solidFill>
                    <w14:schemeClr w14:val="tx1">
                      <w14:lumMod w14:val="95000"/>
                      <w14:lumOff w14:val="5000"/>
                    </w14:schemeClr>
                  </w14:solidFill>
                </w14:textFill>
              </w:rPr>
              <w:t>人，用水量按150L/d•人计算，年工作240天</w:t>
            </w:r>
            <w:r>
              <w:rPr>
                <w:rFonts w:hint="eastAsia"/>
                <w:color w:val="0D0D0D" w:themeColor="text1" w:themeTint="F2"/>
                <w:u w:val="single"/>
                <w14:textFill>
                  <w14:solidFill>
                    <w14:schemeClr w14:val="tx1">
                      <w14:lumMod w14:val="95000"/>
                      <w14:lumOff w14:val="5000"/>
                    </w14:schemeClr>
                  </w14:solidFill>
                </w14:textFill>
              </w:rPr>
              <w:t>计</w:t>
            </w:r>
            <w:r>
              <w:rPr>
                <w:rFonts w:hint="default"/>
                <w:color w:val="0D0D0D" w:themeColor="text1" w:themeTint="F2"/>
                <w:u w:val="single"/>
                <w14:textFill>
                  <w14:solidFill>
                    <w14:schemeClr w14:val="tx1">
                      <w14:lumMod w14:val="95000"/>
                      <w14:lumOff w14:val="5000"/>
                    </w14:schemeClr>
                  </w14:solidFill>
                </w14:textFill>
              </w:rPr>
              <w:t>，生活用水量为</w:t>
            </w:r>
            <w:r>
              <w:rPr>
                <w:rFonts w:hint="eastAsia"/>
                <w:color w:val="0D0D0D" w:themeColor="text1" w:themeTint="F2"/>
                <w:u w:val="single"/>
                <w14:textFill>
                  <w14:solidFill>
                    <w14:schemeClr w14:val="tx1">
                      <w14:lumMod w14:val="95000"/>
                      <w14:lumOff w14:val="5000"/>
                    </w14:schemeClr>
                  </w14:solidFill>
                </w14:textFill>
              </w:rPr>
              <w:t>288</w:t>
            </w:r>
            <w:r>
              <w:rPr>
                <w:rFonts w:hint="default"/>
                <w:color w:val="0D0D0D" w:themeColor="text1" w:themeTint="F2"/>
                <w:u w:val="single"/>
                <w14:textFill>
                  <w14:solidFill>
                    <w14:schemeClr w14:val="tx1">
                      <w14:lumMod w14:val="95000"/>
                      <w14:lumOff w14:val="5000"/>
                    </w14:schemeClr>
                  </w14:solidFill>
                </w14:textFill>
              </w:rPr>
              <w:t>t/a，排污系数按0.8计，则生活污水产生量为</w:t>
            </w:r>
            <w:r>
              <w:rPr>
                <w:rFonts w:hint="eastAsia"/>
                <w:color w:val="0D0D0D" w:themeColor="text1" w:themeTint="F2"/>
                <w:u w:val="single"/>
                <w14:textFill>
                  <w14:solidFill>
                    <w14:schemeClr w14:val="tx1">
                      <w14:lumMod w14:val="95000"/>
                      <w14:lumOff w14:val="5000"/>
                    </w14:schemeClr>
                  </w14:solidFill>
                </w14:textFill>
              </w:rPr>
              <w:t>230.4</w:t>
            </w:r>
            <w:r>
              <w:rPr>
                <w:rFonts w:hint="default"/>
                <w:color w:val="0D0D0D" w:themeColor="text1" w:themeTint="F2"/>
                <w:u w:val="single"/>
                <w14:textFill>
                  <w14:solidFill>
                    <w14:schemeClr w14:val="tx1">
                      <w14:lumMod w14:val="95000"/>
                      <w14:lumOff w14:val="5000"/>
                    </w14:schemeClr>
                  </w14:solidFill>
                </w14:textFill>
              </w:rPr>
              <w:t>t/a。生活废水水质比较简单，主要污染物为COD、BOD</w:t>
            </w:r>
            <w:r>
              <w:rPr>
                <w:rFonts w:hint="default"/>
                <w:color w:val="0D0D0D" w:themeColor="text1" w:themeTint="F2"/>
                <w:u w:val="single"/>
                <w:vertAlign w:val="subscript"/>
                <w14:textFill>
                  <w14:solidFill>
                    <w14:schemeClr w14:val="tx1">
                      <w14:lumMod w14:val="95000"/>
                      <w14:lumOff w14:val="5000"/>
                    </w14:schemeClr>
                  </w14:solidFill>
                </w14:textFill>
              </w:rPr>
              <w:t>5</w:t>
            </w:r>
            <w:r>
              <w:rPr>
                <w:rFonts w:hint="default"/>
                <w:color w:val="0D0D0D" w:themeColor="text1" w:themeTint="F2"/>
                <w:u w:val="single"/>
                <w14:textFill>
                  <w14:solidFill>
                    <w14:schemeClr w14:val="tx1">
                      <w14:lumMod w14:val="95000"/>
                      <w14:lumOff w14:val="5000"/>
                    </w14:schemeClr>
                  </w14:solidFill>
                </w14:textFill>
              </w:rPr>
              <w:t>、SS、NH</w:t>
            </w:r>
            <w:r>
              <w:rPr>
                <w:rFonts w:hint="default"/>
                <w:color w:val="0D0D0D" w:themeColor="text1" w:themeTint="F2"/>
                <w:u w:val="single"/>
                <w:vertAlign w:val="subscript"/>
                <w14:textFill>
                  <w14:solidFill>
                    <w14:schemeClr w14:val="tx1">
                      <w14:lumMod w14:val="95000"/>
                      <w14:lumOff w14:val="5000"/>
                    </w14:schemeClr>
                  </w14:solidFill>
                </w14:textFill>
              </w:rPr>
              <w:t>3</w:t>
            </w:r>
            <w:r>
              <w:rPr>
                <w:rFonts w:hint="default"/>
                <w:color w:val="0D0D0D" w:themeColor="text1" w:themeTint="F2"/>
                <w:u w:val="single"/>
                <w14:textFill>
                  <w14:solidFill>
                    <w14:schemeClr w14:val="tx1">
                      <w14:lumMod w14:val="95000"/>
                      <w14:lumOff w14:val="5000"/>
                    </w14:schemeClr>
                  </w14:solidFill>
                </w14:textFill>
              </w:rPr>
              <w:t>-N、动植物油，其浓度分别为350mg/L、200mg/L、250mg/L、30mg/L、20mg/L，经化粪池收集预处理达到《污水综合排放标准》（GB8978-1996）表4中三级标准后经生活废水排放口（DW001）排入园区污水管网，进入零陵区鹿坪污水处理厂处理。不排至外环境，对周围地表水体无影响。生活水污染物产生及排放情况</w:t>
            </w:r>
            <w:r>
              <w:rPr>
                <w:rFonts w:hint="eastAsia"/>
                <w:color w:val="0D0D0D" w:themeColor="text1" w:themeTint="F2"/>
                <w:u w:val="single"/>
                <w14:textFill>
                  <w14:solidFill>
                    <w14:schemeClr w14:val="tx1">
                      <w14:lumMod w14:val="95000"/>
                      <w14:lumOff w14:val="5000"/>
                    </w14:schemeClr>
                  </w14:solidFill>
                </w14:textFill>
              </w:rPr>
              <w:t>见表4-6。</w:t>
            </w:r>
          </w:p>
          <w:p w14:paraId="18BA8A96">
            <w:pPr>
              <w:keepNext w:val="0"/>
              <w:keepLines w:val="0"/>
              <w:suppressLineNumbers w:val="0"/>
              <w:adjustRightInd w:val="0"/>
              <w:snapToGrid w:val="0"/>
              <w:spacing w:before="0" w:beforeAutospacing="0" w:after="0" w:afterAutospacing="0"/>
              <w:ind w:left="0" w:right="0" w:firstLine="0" w:firstLineChars="0"/>
              <w:jc w:val="center"/>
              <w:rPr>
                <w:rFonts w:hint="default"/>
                <w:b/>
                <w:color w:val="0D0D0D" w:themeColor="text1" w:themeTint="F2"/>
                <w:spacing w:val="-10"/>
                <w:sz w:val="21"/>
                <w:szCs w:val="21"/>
                <w:u w:val="single"/>
                <w14:textFill>
                  <w14:solidFill>
                    <w14:schemeClr w14:val="tx1">
                      <w14:lumMod w14:val="95000"/>
                      <w14:lumOff w14:val="5000"/>
                    </w14:schemeClr>
                  </w14:solidFill>
                </w14:textFill>
              </w:rPr>
            </w:pPr>
            <w:r>
              <w:rPr>
                <w:rFonts w:hint="default"/>
                <w:b/>
                <w:color w:val="0D0D0D" w:themeColor="text1" w:themeTint="F2"/>
                <w:spacing w:val="-10"/>
                <w:sz w:val="21"/>
                <w:szCs w:val="21"/>
                <w:u w:val="single"/>
                <w14:textFill>
                  <w14:solidFill>
                    <w14:schemeClr w14:val="tx1">
                      <w14:lumMod w14:val="95000"/>
                      <w14:lumOff w14:val="5000"/>
                    </w14:schemeClr>
                  </w14:solidFill>
                </w14:textFill>
              </w:rPr>
              <w:t xml:space="preserve">表4-6  </w:t>
            </w:r>
            <w:r>
              <w:rPr>
                <w:rFonts w:hint="eastAsia"/>
                <w:b/>
                <w:color w:val="0D0D0D" w:themeColor="text1" w:themeTint="F2"/>
                <w:spacing w:val="-10"/>
                <w:sz w:val="21"/>
                <w:szCs w:val="21"/>
                <w:u w:val="single"/>
                <w14:textFill>
                  <w14:solidFill>
                    <w14:schemeClr w14:val="tx1">
                      <w14:lumMod w14:val="95000"/>
                      <w14:lumOff w14:val="5000"/>
                    </w14:schemeClr>
                  </w14:solidFill>
                </w14:textFill>
              </w:rPr>
              <w:t>生活</w:t>
            </w:r>
            <w:r>
              <w:rPr>
                <w:rFonts w:hint="default"/>
                <w:b/>
                <w:color w:val="0D0D0D" w:themeColor="text1" w:themeTint="F2"/>
                <w:spacing w:val="-10"/>
                <w:sz w:val="21"/>
                <w:szCs w:val="21"/>
                <w:u w:val="single"/>
                <w14:textFill>
                  <w14:solidFill>
                    <w14:schemeClr w14:val="tx1">
                      <w14:lumMod w14:val="95000"/>
                      <w14:lumOff w14:val="5000"/>
                    </w14:schemeClr>
                  </w14:solidFill>
                </w14:textFill>
              </w:rPr>
              <w:t>水污染物产生及排放情况</w:t>
            </w:r>
          </w:p>
          <w:tbl>
            <w:tblPr>
              <w:tblStyle w:val="16"/>
              <w:tblW w:w="797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291"/>
              <w:gridCol w:w="1482"/>
              <w:gridCol w:w="2121"/>
              <w:gridCol w:w="1104"/>
              <w:gridCol w:w="1981"/>
            </w:tblGrid>
            <w:tr w14:paraId="1F6A0E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261" w:type="dxa"/>
                  <w:tcBorders>
                    <w:tl2br w:val="nil"/>
                    <w:tr2bl w:val="nil"/>
                  </w:tcBorders>
                  <w:vAlign w:val="center"/>
                </w:tcPr>
                <w:p w14:paraId="47636852">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b/>
                      <w:color w:val="0D0D0D" w:themeColor="text1" w:themeTint="F2"/>
                      <w:sz w:val="21"/>
                      <w:u w:val="single"/>
                      <w14:textFill>
                        <w14:solidFill>
                          <w14:schemeClr w14:val="tx1">
                            <w14:lumMod w14:val="95000"/>
                            <w14:lumOff w14:val="5000"/>
                          </w14:schemeClr>
                        </w14:solidFill>
                      </w14:textFill>
                    </w:rPr>
                  </w:pPr>
                  <w:r>
                    <w:rPr>
                      <w:rFonts w:hint="default"/>
                      <w:b/>
                      <w:color w:val="0D0D0D" w:themeColor="text1" w:themeTint="F2"/>
                      <w:sz w:val="21"/>
                      <w:u w:val="single"/>
                      <w14:textFill>
                        <w14:solidFill>
                          <w14:schemeClr w14:val="tx1">
                            <w14:lumMod w14:val="95000"/>
                            <w14:lumOff w14:val="5000"/>
                          </w14:schemeClr>
                        </w14:solidFill>
                      </w14:textFill>
                    </w:rPr>
                    <w:t>污染源</w:t>
                  </w:r>
                </w:p>
              </w:tc>
              <w:tc>
                <w:tcPr>
                  <w:tcW w:w="1490" w:type="dxa"/>
                  <w:tcBorders>
                    <w:tl2br w:val="nil"/>
                    <w:tr2bl w:val="nil"/>
                  </w:tcBorders>
                  <w:vAlign w:val="center"/>
                </w:tcPr>
                <w:p w14:paraId="4BA5E4BC">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b/>
                      <w:color w:val="0D0D0D" w:themeColor="text1" w:themeTint="F2"/>
                      <w:sz w:val="21"/>
                      <w:u w:val="single"/>
                      <w14:textFill>
                        <w14:solidFill>
                          <w14:schemeClr w14:val="tx1">
                            <w14:lumMod w14:val="95000"/>
                            <w14:lumOff w14:val="5000"/>
                          </w14:schemeClr>
                        </w14:solidFill>
                      </w14:textFill>
                    </w:rPr>
                  </w:pPr>
                  <w:r>
                    <w:rPr>
                      <w:rFonts w:hint="default"/>
                      <w:b/>
                      <w:color w:val="0D0D0D" w:themeColor="text1" w:themeTint="F2"/>
                      <w:sz w:val="21"/>
                      <w:u w:val="single"/>
                      <w14:textFill>
                        <w14:solidFill>
                          <w14:schemeClr w14:val="tx1">
                            <w14:lumMod w14:val="95000"/>
                            <w14:lumOff w14:val="5000"/>
                          </w14:schemeClr>
                        </w14:solidFill>
                      </w14:textFill>
                    </w:rPr>
                    <w:t>主要污染</w:t>
                  </w:r>
                  <w:r>
                    <w:rPr>
                      <w:rFonts w:hint="default"/>
                      <w:b/>
                      <w:color w:val="0D0D0D" w:themeColor="text1" w:themeTint="F2"/>
                      <w:w w:val="99"/>
                      <w:sz w:val="21"/>
                      <w:u w:val="single"/>
                      <w14:textFill>
                        <w14:solidFill>
                          <w14:schemeClr w14:val="tx1">
                            <w14:lumMod w14:val="95000"/>
                            <w14:lumOff w14:val="5000"/>
                          </w14:schemeClr>
                        </w14:solidFill>
                      </w14:textFill>
                    </w:rPr>
                    <w:t>物</w:t>
                  </w:r>
                </w:p>
              </w:tc>
              <w:tc>
                <w:tcPr>
                  <w:tcW w:w="2130" w:type="dxa"/>
                  <w:tcBorders>
                    <w:tl2br w:val="nil"/>
                    <w:tr2bl w:val="nil"/>
                  </w:tcBorders>
                  <w:vAlign w:val="center"/>
                </w:tcPr>
                <w:p w14:paraId="3644DD0F">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b/>
                      <w:color w:val="0D0D0D" w:themeColor="text1" w:themeTint="F2"/>
                      <w:sz w:val="21"/>
                      <w:u w:val="single"/>
                      <w14:textFill>
                        <w14:solidFill>
                          <w14:schemeClr w14:val="tx1">
                            <w14:lumMod w14:val="95000"/>
                            <w14:lumOff w14:val="5000"/>
                          </w14:schemeClr>
                        </w14:solidFill>
                      </w14:textFill>
                    </w:rPr>
                  </w:pPr>
                  <w:r>
                    <w:rPr>
                      <w:rFonts w:hint="default"/>
                      <w:b/>
                      <w:color w:val="0D0D0D" w:themeColor="text1" w:themeTint="F2"/>
                      <w:sz w:val="21"/>
                      <w:u w:val="single"/>
                      <w14:textFill>
                        <w14:solidFill>
                          <w14:schemeClr w14:val="tx1">
                            <w14:lumMod w14:val="95000"/>
                            <w14:lumOff w14:val="5000"/>
                          </w14:schemeClr>
                        </w14:solidFill>
                      </w14:textFill>
                    </w:rPr>
                    <w:t>产生浓度</w:t>
                  </w:r>
                  <w:r>
                    <w:rPr>
                      <w:rFonts w:hint="default" w:eastAsia="Times New Roman"/>
                      <w:b/>
                      <w:color w:val="0D0D0D" w:themeColor="text1" w:themeTint="F2"/>
                      <w:sz w:val="21"/>
                      <w:u w:val="single"/>
                      <w14:textFill>
                        <w14:solidFill>
                          <w14:schemeClr w14:val="tx1">
                            <w14:lumMod w14:val="95000"/>
                            <w14:lumOff w14:val="5000"/>
                          </w14:schemeClr>
                        </w14:solidFill>
                      </w14:textFill>
                    </w:rPr>
                    <w:t>/</w:t>
                  </w:r>
                  <w:r>
                    <w:rPr>
                      <w:rFonts w:hint="default"/>
                      <w:b/>
                      <w:color w:val="0D0D0D" w:themeColor="text1" w:themeTint="F2"/>
                      <w:sz w:val="21"/>
                      <w:u w:val="single"/>
                      <w14:textFill>
                        <w14:solidFill>
                          <w14:schemeClr w14:val="tx1">
                            <w14:lumMod w14:val="95000"/>
                            <w14:lumOff w14:val="5000"/>
                          </w14:schemeClr>
                        </w14:solidFill>
                      </w14:textFill>
                    </w:rPr>
                    <w:t>产生量</w:t>
                  </w:r>
                </w:p>
              </w:tc>
              <w:tc>
                <w:tcPr>
                  <w:tcW w:w="1110" w:type="dxa"/>
                  <w:tcBorders>
                    <w:tl2br w:val="nil"/>
                    <w:tr2bl w:val="nil"/>
                  </w:tcBorders>
                  <w:vAlign w:val="center"/>
                </w:tcPr>
                <w:p w14:paraId="0AE15D59">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b/>
                      <w:color w:val="0D0D0D" w:themeColor="text1" w:themeTint="F2"/>
                      <w:sz w:val="21"/>
                      <w:u w:val="single"/>
                      <w14:textFill>
                        <w14:solidFill>
                          <w14:schemeClr w14:val="tx1">
                            <w14:lumMod w14:val="95000"/>
                            <w14:lumOff w14:val="5000"/>
                          </w14:schemeClr>
                        </w14:solidFill>
                      </w14:textFill>
                    </w:rPr>
                  </w:pPr>
                  <w:r>
                    <w:rPr>
                      <w:rFonts w:hint="default"/>
                      <w:b/>
                      <w:color w:val="0D0D0D" w:themeColor="text1" w:themeTint="F2"/>
                      <w:sz w:val="21"/>
                      <w:u w:val="single"/>
                      <w14:textFill>
                        <w14:solidFill>
                          <w14:schemeClr w14:val="tx1">
                            <w14:lumMod w14:val="95000"/>
                            <w14:lumOff w14:val="5000"/>
                          </w14:schemeClr>
                        </w14:solidFill>
                      </w14:textFill>
                    </w:rPr>
                    <w:t>处理措施</w:t>
                  </w:r>
                </w:p>
              </w:tc>
              <w:tc>
                <w:tcPr>
                  <w:tcW w:w="1988" w:type="dxa"/>
                  <w:tcBorders>
                    <w:tl2br w:val="nil"/>
                    <w:tr2bl w:val="nil"/>
                  </w:tcBorders>
                  <w:vAlign w:val="center"/>
                </w:tcPr>
                <w:p w14:paraId="02C6CB18">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b/>
                      <w:color w:val="0D0D0D" w:themeColor="text1" w:themeTint="F2"/>
                      <w:sz w:val="21"/>
                      <w:u w:val="single"/>
                      <w14:textFill>
                        <w14:solidFill>
                          <w14:schemeClr w14:val="tx1">
                            <w14:lumMod w14:val="95000"/>
                            <w14:lumOff w14:val="5000"/>
                          </w14:schemeClr>
                        </w14:solidFill>
                      </w14:textFill>
                    </w:rPr>
                  </w:pPr>
                  <w:r>
                    <w:rPr>
                      <w:rFonts w:hint="default"/>
                      <w:b/>
                      <w:color w:val="0D0D0D" w:themeColor="text1" w:themeTint="F2"/>
                      <w:sz w:val="21"/>
                      <w:u w:val="single"/>
                      <w14:textFill>
                        <w14:solidFill>
                          <w14:schemeClr w14:val="tx1">
                            <w14:lumMod w14:val="95000"/>
                            <w14:lumOff w14:val="5000"/>
                          </w14:schemeClr>
                        </w14:solidFill>
                      </w14:textFill>
                    </w:rPr>
                    <w:t>出厂浓度</w:t>
                  </w:r>
                  <w:r>
                    <w:rPr>
                      <w:rFonts w:hint="default" w:eastAsia="Times New Roman"/>
                      <w:b/>
                      <w:color w:val="0D0D0D" w:themeColor="text1" w:themeTint="F2"/>
                      <w:sz w:val="21"/>
                      <w:u w:val="single"/>
                      <w14:textFill>
                        <w14:solidFill>
                          <w14:schemeClr w14:val="tx1">
                            <w14:lumMod w14:val="95000"/>
                            <w14:lumOff w14:val="5000"/>
                          </w14:schemeClr>
                        </w14:solidFill>
                      </w14:textFill>
                    </w:rPr>
                    <w:t>/</w:t>
                  </w:r>
                  <w:r>
                    <w:rPr>
                      <w:rFonts w:hint="default"/>
                      <w:b/>
                      <w:color w:val="0D0D0D" w:themeColor="text1" w:themeTint="F2"/>
                      <w:sz w:val="21"/>
                      <w:u w:val="single"/>
                      <w14:textFill>
                        <w14:solidFill>
                          <w14:schemeClr w14:val="tx1">
                            <w14:lumMod w14:val="95000"/>
                            <w14:lumOff w14:val="5000"/>
                          </w14:schemeClr>
                        </w14:solidFill>
                      </w14:textFill>
                    </w:rPr>
                    <w:t>出厂量</w:t>
                  </w:r>
                </w:p>
              </w:tc>
            </w:tr>
            <w:tr w14:paraId="4F2CC7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9" w:hRule="atLeast"/>
                <w:jc w:val="center"/>
              </w:trPr>
              <w:tc>
                <w:tcPr>
                  <w:tcW w:w="1261" w:type="dxa"/>
                  <w:vMerge w:val="restart"/>
                  <w:tcBorders>
                    <w:tl2br w:val="nil"/>
                    <w:tr2bl w:val="nil"/>
                  </w:tcBorders>
                  <w:tcMar>
                    <w:top w:w="0" w:type="dxa"/>
                    <w:left w:w="0" w:type="dxa"/>
                    <w:bottom w:w="0" w:type="dxa"/>
                    <w:right w:w="0" w:type="dxa"/>
                  </w:tcMar>
                  <w:vAlign w:val="center"/>
                </w:tcPr>
                <w:p w14:paraId="42AF49AA">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r>
                    <w:rPr>
                      <w:rFonts w:hint="default"/>
                      <w:color w:val="0D0D0D" w:themeColor="text1" w:themeTint="F2"/>
                      <w:sz w:val="21"/>
                      <w:u w:val="single"/>
                      <w14:textFill>
                        <w14:solidFill>
                          <w14:schemeClr w14:val="tx1">
                            <w14:lumMod w14:val="95000"/>
                            <w14:lumOff w14:val="5000"/>
                          </w14:schemeClr>
                        </w14:solidFill>
                      </w14:textFill>
                    </w:rPr>
                    <w:t>生活污水</w:t>
                  </w:r>
                </w:p>
                <w:p w14:paraId="59A9E3C3">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r>
                    <w:rPr>
                      <w:rFonts w:hint="default"/>
                      <w:color w:val="0D0D0D" w:themeColor="text1" w:themeTint="F2"/>
                      <w:sz w:val="21"/>
                      <w:u w:val="single"/>
                      <w14:textFill>
                        <w14:solidFill>
                          <w14:schemeClr w14:val="tx1">
                            <w14:lumMod w14:val="95000"/>
                            <w14:lumOff w14:val="5000"/>
                          </w14:schemeClr>
                        </w14:solidFill>
                      </w14:textFill>
                    </w:rPr>
                    <w:t>（</w:t>
                  </w:r>
                  <w:r>
                    <w:rPr>
                      <w:color w:val="0D0D0D" w:themeColor="text1" w:themeTint="F2"/>
                      <w:sz w:val="21"/>
                      <w:u w:val="single"/>
                      <w14:textFill>
                        <w14:solidFill>
                          <w14:schemeClr w14:val="tx1">
                            <w14:lumMod w14:val="95000"/>
                            <w14:lumOff w14:val="5000"/>
                          </w14:schemeClr>
                        </w14:solidFill>
                      </w14:textFill>
                    </w:rPr>
                    <w:t>230.4</w:t>
                  </w:r>
                  <w:r>
                    <w:rPr>
                      <w:rFonts w:hint="default"/>
                      <w:color w:val="0D0D0D" w:themeColor="text1" w:themeTint="F2"/>
                      <w:sz w:val="21"/>
                      <w:u w:val="single"/>
                      <w14:textFill>
                        <w14:solidFill>
                          <w14:schemeClr w14:val="tx1">
                            <w14:lumMod w14:val="95000"/>
                            <w14:lumOff w14:val="5000"/>
                          </w14:schemeClr>
                        </w14:solidFill>
                      </w14:textFill>
                    </w:rPr>
                    <w:t>m³</w:t>
                  </w:r>
                  <w:r>
                    <w:rPr>
                      <w:rFonts w:hint="default" w:eastAsia="Times New Roman"/>
                      <w:color w:val="0D0D0D" w:themeColor="text1" w:themeTint="F2"/>
                      <w:sz w:val="21"/>
                      <w:u w:val="single"/>
                      <w14:textFill>
                        <w14:solidFill>
                          <w14:schemeClr w14:val="tx1">
                            <w14:lumMod w14:val="95000"/>
                            <w14:lumOff w14:val="5000"/>
                          </w14:schemeClr>
                        </w14:solidFill>
                      </w14:textFill>
                    </w:rPr>
                    <w:t>/a</w:t>
                  </w:r>
                  <w:r>
                    <w:rPr>
                      <w:rFonts w:hint="default"/>
                      <w:color w:val="0D0D0D" w:themeColor="text1" w:themeTint="F2"/>
                      <w:sz w:val="21"/>
                      <w:u w:val="single"/>
                      <w14:textFill>
                        <w14:solidFill>
                          <w14:schemeClr w14:val="tx1">
                            <w14:lumMod w14:val="95000"/>
                            <w14:lumOff w14:val="5000"/>
                          </w14:schemeClr>
                        </w14:solidFill>
                      </w14:textFill>
                    </w:rPr>
                    <w:t>）</w:t>
                  </w:r>
                </w:p>
              </w:tc>
              <w:tc>
                <w:tcPr>
                  <w:tcW w:w="1490" w:type="dxa"/>
                  <w:tcBorders>
                    <w:tl2br w:val="nil"/>
                    <w:tr2bl w:val="nil"/>
                  </w:tcBorders>
                  <w:vAlign w:val="center"/>
                </w:tcPr>
                <w:p w14:paraId="659383FB">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COD</w:t>
                  </w:r>
                </w:p>
              </w:tc>
              <w:tc>
                <w:tcPr>
                  <w:tcW w:w="2130" w:type="dxa"/>
                  <w:tcBorders>
                    <w:tl2br w:val="nil"/>
                    <w:tr2bl w:val="nil"/>
                  </w:tcBorders>
                  <w:vAlign w:val="center"/>
                </w:tcPr>
                <w:p w14:paraId="673B33B6">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350mg/L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08064</w:t>
                  </w:r>
                  <w:r>
                    <w:rPr>
                      <w:rFonts w:hint="default" w:eastAsia="Times New Roman"/>
                      <w:color w:val="0D0D0D" w:themeColor="text1" w:themeTint="F2"/>
                      <w:sz w:val="21"/>
                      <w:u w:val="single"/>
                      <w14:textFill>
                        <w14:solidFill>
                          <w14:schemeClr w14:val="tx1">
                            <w14:lumMod w14:val="95000"/>
                            <w14:lumOff w14:val="5000"/>
                          </w14:schemeClr>
                        </w14:solidFill>
                      </w14:textFill>
                    </w:rPr>
                    <w:t>/a</w:t>
                  </w:r>
                </w:p>
              </w:tc>
              <w:tc>
                <w:tcPr>
                  <w:tcW w:w="1110" w:type="dxa"/>
                  <w:vMerge w:val="restart"/>
                  <w:tcBorders>
                    <w:tl2br w:val="nil"/>
                    <w:tr2bl w:val="nil"/>
                  </w:tcBorders>
                  <w:vAlign w:val="center"/>
                </w:tcPr>
                <w:p w14:paraId="653BACCC">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r>
                    <w:rPr>
                      <w:rFonts w:hint="default"/>
                      <w:color w:val="0D0D0D" w:themeColor="text1" w:themeTint="F2"/>
                      <w:sz w:val="21"/>
                      <w:u w:val="single"/>
                      <w14:textFill>
                        <w14:solidFill>
                          <w14:schemeClr w14:val="tx1">
                            <w14:lumMod w14:val="95000"/>
                            <w14:lumOff w14:val="5000"/>
                          </w14:schemeClr>
                        </w14:solidFill>
                      </w14:textFill>
                    </w:rPr>
                    <w:t>化粪池</w:t>
                  </w:r>
                  <w:r>
                    <w:rPr>
                      <w:rFonts w:hint="default" w:eastAsia="Times New Roman"/>
                      <w:color w:val="0D0D0D" w:themeColor="text1" w:themeTint="F2"/>
                      <w:sz w:val="21"/>
                      <w:u w:val="single"/>
                      <w14:textFill>
                        <w14:solidFill>
                          <w14:schemeClr w14:val="tx1">
                            <w14:lumMod w14:val="95000"/>
                            <w14:lumOff w14:val="5000"/>
                          </w14:schemeClr>
                        </w14:solidFill>
                      </w14:textFill>
                    </w:rPr>
                    <w:t>+</w:t>
                  </w:r>
                  <w:r>
                    <w:rPr>
                      <w:rFonts w:hint="default"/>
                      <w:color w:val="0D0D0D" w:themeColor="text1" w:themeTint="F2"/>
                      <w:sz w:val="21"/>
                      <w:u w:val="single"/>
                      <w14:textFill>
                        <w14:solidFill>
                          <w14:schemeClr w14:val="tx1">
                            <w14:lumMod w14:val="95000"/>
                            <w14:lumOff w14:val="5000"/>
                          </w14:schemeClr>
                        </w14:solidFill>
                      </w14:textFill>
                    </w:rPr>
                    <w:t>市政污水管网</w:t>
                  </w:r>
                </w:p>
              </w:tc>
              <w:tc>
                <w:tcPr>
                  <w:tcW w:w="1988" w:type="dxa"/>
                  <w:tcBorders>
                    <w:tl2br w:val="nil"/>
                    <w:tr2bl w:val="nil"/>
                  </w:tcBorders>
                  <w:vAlign w:val="center"/>
                </w:tcPr>
                <w:p w14:paraId="3D610C97">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200mg/L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46</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r>
            <w:tr w14:paraId="0FE880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1261" w:type="dxa"/>
                  <w:vMerge w:val="continue"/>
                  <w:tcBorders>
                    <w:tl2br w:val="nil"/>
                    <w:tr2bl w:val="nil"/>
                  </w:tcBorders>
                  <w:vAlign w:val="center"/>
                </w:tcPr>
                <w:p w14:paraId="03F65634">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p>
              </w:tc>
              <w:tc>
                <w:tcPr>
                  <w:tcW w:w="1490" w:type="dxa"/>
                  <w:tcBorders>
                    <w:tl2br w:val="nil"/>
                    <w:tr2bl w:val="nil"/>
                  </w:tcBorders>
                  <w:vAlign w:val="center"/>
                </w:tcPr>
                <w:p w14:paraId="1C55CE80">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r>
                    <w:rPr>
                      <w:rFonts w:hint="default"/>
                      <w:color w:val="0D0D0D" w:themeColor="text1" w:themeTint="F2"/>
                      <w:sz w:val="21"/>
                      <w:u w:val="single"/>
                      <w14:textFill>
                        <w14:solidFill>
                          <w14:schemeClr w14:val="tx1">
                            <w14:lumMod w14:val="95000"/>
                            <w14:lumOff w14:val="5000"/>
                          </w14:schemeClr>
                        </w14:solidFill>
                      </w14:textFill>
                    </w:rPr>
                    <w:t>氨氮</w:t>
                  </w:r>
                </w:p>
              </w:tc>
              <w:tc>
                <w:tcPr>
                  <w:tcW w:w="2130" w:type="dxa"/>
                  <w:tcBorders>
                    <w:tl2br w:val="nil"/>
                    <w:tr2bl w:val="nil"/>
                  </w:tcBorders>
                  <w:vAlign w:val="center"/>
                </w:tcPr>
                <w:p w14:paraId="22DFD487">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30mg/L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691</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c>
                <w:tcPr>
                  <w:tcW w:w="1110" w:type="dxa"/>
                  <w:vMerge w:val="continue"/>
                  <w:tcBorders>
                    <w:tl2br w:val="nil"/>
                    <w:tr2bl w:val="nil"/>
                  </w:tcBorders>
                  <w:vAlign w:val="center"/>
                </w:tcPr>
                <w:p w14:paraId="7FE8F237">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p>
              </w:tc>
              <w:tc>
                <w:tcPr>
                  <w:tcW w:w="1988" w:type="dxa"/>
                  <w:tcBorders>
                    <w:tl2br w:val="nil"/>
                    <w:tr2bl w:val="nil"/>
                  </w:tcBorders>
                  <w:vAlign w:val="center"/>
                </w:tcPr>
                <w:p w14:paraId="26A12A82">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30mg/L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69</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r>
            <w:tr w14:paraId="6C1E6B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68" w:hRule="atLeast"/>
                <w:jc w:val="center"/>
              </w:trPr>
              <w:tc>
                <w:tcPr>
                  <w:tcW w:w="1261" w:type="dxa"/>
                  <w:vMerge w:val="continue"/>
                  <w:tcBorders>
                    <w:tl2br w:val="nil"/>
                    <w:tr2bl w:val="nil"/>
                  </w:tcBorders>
                  <w:vAlign w:val="center"/>
                </w:tcPr>
                <w:p w14:paraId="65A55F20">
                  <w:pPr>
                    <w:pStyle w:val="7"/>
                    <w:keepNext w:val="0"/>
                    <w:keepLines w:val="0"/>
                    <w:suppressLineNumbers w:val="0"/>
                    <w:kinsoku w:val="0"/>
                    <w:overflowPunct w:val="0"/>
                    <w:spacing w:before="0" w:beforeAutospacing="0" w:after="0" w:afterAutospacing="0" w:line="240" w:lineRule="auto"/>
                    <w:ind w:left="0" w:right="0" w:firstLine="0" w:firstLineChars="0"/>
                    <w:jc w:val="center"/>
                    <w:rPr>
                      <w:rFonts w:hint="default" w:ascii="Times New Roman" w:hAnsi="Times New Roman"/>
                      <w:color w:val="0D0D0D" w:themeColor="text1" w:themeTint="F2"/>
                      <w:sz w:val="2"/>
                      <w:u w:val="single"/>
                      <w14:textFill>
                        <w14:solidFill>
                          <w14:schemeClr w14:val="tx1">
                            <w14:lumMod w14:val="95000"/>
                            <w14:lumOff w14:val="5000"/>
                          </w14:schemeClr>
                        </w14:solidFill>
                      </w14:textFill>
                    </w:rPr>
                  </w:pPr>
                </w:p>
              </w:tc>
              <w:tc>
                <w:tcPr>
                  <w:tcW w:w="1490" w:type="dxa"/>
                  <w:tcBorders>
                    <w:tl2br w:val="nil"/>
                    <w:tr2bl w:val="nil"/>
                  </w:tcBorders>
                  <w:vAlign w:val="center"/>
                </w:tcPr>
                <w:p w14:paraId="143F4697">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position w:val="2"/>
                      <w:sz w:val="21"/>
                      <w:u w:val="single"/>
                      <w:vertAlign w:val="subscript"/>
                      <w14:textFill>
                        <w14:solidFill>
                          <w14:schemeClr w14:val="tx1">
                            <w14:lumMod w14:val="95000"/>
                            <w14:lumOff w14:val="5000"/>
                          </w14:schemeClr>
                        </w14:solidFill>
                      </w14:textFill>
                    </w:rPr>
                  </w:pPr>
                  <w:r>
                    <w:rPr>
                      <w:rFonts w:hint="default" w:eastAsia="Times New Roman"/>
                      <w:color w:val="0D0D0D" w:themeColor="text1" w:themeTint="F2"/>
                      <w:position w:val="2"/>
                      <w:sz w:val="21"/>
                      <w:u w:val="single"/>
                      <w14:textFill>
                        <w14:solidFill>
                          <w14:schemeClr w14:val="tx1">
                            <w14:lumMod w14:val="95000"/>
                            <w14:lumOff w14:val="5000"/>
                          </w14:schemeClr>
                        </w14:solidFill>
                      </w14:textFill>
                    </w:rPr>
                    <w:t>BOD</w:t>
                  </w:r>
                  <w:r>
                    <w:rPr>
                      <w:rFonts w:hint="default" w:eastAsia="Times New Roman"/>
                      <w:color w:val="0D0D0D" w:themeColor="text1" w:themeTint="F2"/>
                      <w:position w:val="2"/>
                      <w:sz w:val="21"/>
                      <w:u w:val="single"/>
                      <w:vertAlign w:val="subscript"/>
                      <w14:textFill>
                        <w14:solidFill>
                          <w14:schemeClr w14:val="tx1">
                            <w14:lumMod w14:val="95000"/>
                            <w14:lumOff w14:val="5000"/>
                          </w14:schemeClr>
                        </w14:solidFill>
                      </w14:textFill>
                    </w:rPr>
                    <w:t>5</w:t>
                  </w:r>
                </w:p>
              </w:tc>
              <w:tc>
                <w:tcPr>
                  <w:tcW w:w="2130" w:type="dxa"/>
                  <w:tcBorders>
                    <w:tl2br w:val="nil"/>
                    <w:tr2bl w:val="nil"/>
                  </w:tcBorders>
                  <w:vAlign w:val="center"/>
                </w:tcPr>
                <w:p w14:paraId="5A83BAE9">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200mg/L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4608</w:t>
                  </w:r>
                  <w:r>
                    <w:rPr>
                      <w:rFonts w:hint="default"/>
                      <w:color w:val="0D0D0D" w:themeColor="text1" w:themeTint="F2"/>
                      <w:sz w:val="21"/>
                      <w:u w:val="single"/>
                      <w14:textFill>
                        <w14:solidFill>
                          <w14:schemeClr w14:val="tx1">
                            <w14:lumMod w14:val="95000"/>
                            <w14:lumOff w14:val="5000"/>
                          </w14:schemeClr>
                        </w14:solidFill>
                      </w14:textFill>
                    </w:rPr>
                    <w:t>t</w:t>
                  </w:r>
                  <w:r>
                    <w:rPr>
                      <w:rFonts w:hint="default" w:eastAsia="Times New Roman"/>
                      <w:color w:val="0D0D0D" w:themeColor="text1" w:themeTint="F2"/>
                      <w:sz w:val="21"/>
                      <w:u w:val="single"/>
                      <w14:textFill>
                        <w14:solidFill>
                          <w14:schemeClr w14:val="tx1">
                            <w14:lumMod w14:val="95000"/>
                            <w14:lumOff w14:val="5000"/>
                          </w14:schemeClr>
                        </w14:solidFill>
                      </w14:textFill>
                    </w:rPr>
                    <w:t>/a</w:t>
                  </w:r>
                </w:p>
              </w:tc>
              <w:tc>
                <w:tcPr>
                  <w:tcW w:w="1110" w:type="dxa"/>
                  <w:vMerge w:val="continue"/>
                  <w:tcBorders>
                    <w:tl2br w:val="nil"/>
                    <w:tr2bl w:val="nil"/>
                  </w:tcBorders>
                  <w:vAlign w:val="center"/>
                </w:tcPr>
                <w:p w14:paraId="0AA6755C">
                  <w:pPr>
                    <w:pStyle w:val="7"/>
                    <w:keepNext w:val="0"/>
                    <w:keepLines w:val="0"/>
                    <w:suppressLineNumbers w:val="0"/>
                    <w:kinsoku w:val="0"/>
                    <w:overflowPunct w:val="0"/>
                    <w:spacing w:before="0" w:beforeAutospacing="0" w:after="0" w:afterAutospacing="0" w:line="240" w:lineRule="auto"/>
                    <w:ind w:left="0" w:right="0" w:firstLine="0" w:firstLineChars="0"/>
                    <w:jc w:val="center"/>
                    <w:rPr>
                      <w:rFonts w:hint="default" w:ascii="Times New Roman" w:hAnsi="Times New Roman"/>
                      <w:color w:val="0D0D0D" w:themeColor="text1" w:themeTint="F2"/>
                      <w:sz w:val="2"/>
                      <w:u w:val="single"/>
                      <w14:textFill>
                        <w14:solidFill>
                          <w14:schemeClr w14:val="tx1">
                            <w14:lumMod w14:val="95000"/>
                            <w14:lumOff w14:val="5000"/>
                          </w14:schemeClr>
                        </w14:solidFill>
                      </w14:textFill>
                    </w:rPr>
                  </w:pPr>
                </w:p>
              </w:tc>
              <w:tc>
                <w:tcPr>
                  <w:tcW w:w="1988" w:type="dxa"/>
                  <w:tcBorders>
                    <w:tl2br w:val="nil"/>
                    <w:tr2bl w:val="nil"/>
                  </w:tcBorders>
                  <w:vAlign w:val="center"/>
                </w:tcPr>
                <w:p w14:paraId="2EF0EF70">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120mg/L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276</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r>
            <w:tr w14:paraId="443D9D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jc w:val="center"/>
              </w:trPr>
              <w:tc>
                <w:tcPr>
                  <w:tcW w:w="1261" w:type="dxa"/>
                  <w:vMerge w:val="continue"/>
                  <w:tcBorders>
                    <w:tl2br w:val="nil"/>
                    <w:tr2bl w:val="nil"/>
                  </w:tcBorders>
                  <w:vAlign w:val="center"/>
                </w:tcPr>
                <w:p w14:paraId="6602DF8F">
                  <w:pPr>
                    <w:pStyle w:val="7"/>
                    <w:keepNext w:val="0"/>
                    <w:keepLines w:val="0"/>
                    <w:suppressLineNumbers w:val="0"/>
                    <w:kinsoku w:val="0"/>
                    <w:overflowPunct w:val="0"/>
                    <w:spacing w:before="0" w:beforeAutospacing="0" w:after="0" w:afterAutospacing="0" w:line="240" w:lineRule="auto"/>
                    <w:ind w:left="0" w:right="0" w:firstLine="0" w:firstLineChars="0"/>
                    <w:jc w:val="center"/>
                    <w:rPr>
                      <w:rFonts w:hint="default" w:ascii="Times New Roman" w:hAnsi="Times New Roman"/>
                      <w:color w:val="0D0D0D" w:themeColor="text1" w:themeTint="F2"/>
                      <w:sz w:val="2"/>
                      <w:u w:val="single"/>
                      <w14:textFill>
                        <w14:solidFill>
                          <w14:schemeClr w14:val="tx1">
                            <w14:lumMod w14:val="95000"/>
                            <w14:lumOff w14:val="5000"/>
                          </w14:schemeClr>
                        </w14:solidFill>
                      </w14:textFill>
                    </w:rPr>
                  </w:pPr>
                </w:p>
              </w:tc>
              <w:tc>
                <w:tcPr>
                  <w:tcW w:w="1490" w:type="dxa"/>
                  <w:tcBorders>
                    <w:tl2br w:val="nil"/>
                    <w:tr2bl w:val="nil"/>
                  </w:tcBorders>
                  <w:vAlign w:val="center"/>
                </w:tcPr>
                <w:p w14:paraId="174769F6">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SS</w:t>
                  </w:r>
                </w:p>
              </w:tc>
              <w:tc>
                <w:tcPr>
                  <w:tcW w:w="2130" w:type="dxa"/>
                  <w:tcBorders>
                    <w:tl2br w:val="nil"/>
                    <w:tr2bl w:val="nil"/>
                  </w:tcBorders>
                  <w:vAlign w:val="center"/>
                </w:tcPr>
                <w:p w14:paraId="29B8C342">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250mg/L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576</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c>
                <w:tcPr>
                  <w:tcW w:w="1110" w:type="dxa"/>
                  <w:vMerge w:val="continue"/>
                  <w:tcBorders>
                    <w:tl2br w:val="nil"/>
                    <w:tr2bl w:val="nil"/>
                  </w:tcBorders>
                  <w:vAlign w:val="center"/>
                </w:tcPr>
                <w:p w14:paraId="302779FE">
                  <w:pPr>
                    <w:pStyle w:val="7"/>
                    <w:keepNext w:val="0"/>
                    <w:keepLines w:val="0"/>
                    <w:suppressLineNumbers w:val="0"/>
                    <w:kinsoku w:val="0"/>
                    <w:overflowPunct w:val="0"/>
                    <w:spacing w:before="0" w:beforeAutospacing="0" w:after="0" w:afterAutospacing="0" w:line="240" w:lineRule="auto"/>
                    <w:ind w:left="0" w:right="0" w:firstLine="0" w:firstLineChars="0"/>
                    <w:jc w:val="center"/>
                    <w:rPr>
                      <w:rFonts w:hint="default" w:ascii="Times New Roman" w:hAnsi="Times New Roman"/>
                      <w:color w:val="0D0D0D" w:themeColor="text1" w:themeTint="F2"/>
                      <w:sz w:val="2"/>
                      <w:u w:val="single"/>
                      <w14:textFill>
                        <w14:solidFill>
                          <w14:schemeClr w14:val="tx1">
                            <w14:lumMod w14:val="95000"/>
                            <w14:lumOff w14:val="5000"/>
                          </w14:schemeClr>
                        </w14:solidFill>
                      </w14:textFill>
                    </w:rPr>
                  </w:pPr>
                </w:p>
              </w:tc>
              <w:tc>
                <w:tcPr>
                  <w:tcW w:w="1988" w:type="dxa"/>
                  <w:tcBorders>
                    <w:tl2br w:val="nil"/>
                    <w:tr2bl w:val="nil"/>
                  </w:tcBorders>
                  <w:vAlign w:val="center"/>
                </w:tcPr>
                <w:p w14:paraId="757FD5E5">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100mg/L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23</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r>
            <w:tr w14:paraId="5EA59B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1261" w:type="dxa"/>
                  <w:vMerge w:val="continue"/>
                  <w:tcBorders>
                    <w:tl2br w:val="nil"/>
                    <w:tr2bl w:val="nil"/>
                  </w:tcBorders>
                  <w:vAlign w:val="center"/>
                </w:tcPr>
                <w:p w14:paraId="0AC1432C">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2"/>
                      <w:u w:val="single"/>
                      <w14:textFill>
                        <w14:solidFill>
                          <w14:schemeClr w14:val="tx1">
                            <w14:lumMod w14:val="95000"/>
                            <w14:lumOff w14:val="5000"/>
                          </w14:schemeClr>
                        </w14:solidFill>
                      </w14:textFill>
                    </w:rPr>
                  </w:pPr>
                </w:p>
              </w:tc>
              <w:tc>
                <w:tcPr>
                  <w:tcW w:w="1490" w:type="dxa"/>
                  <w:tcBorders>
                    <w:tl2br w:val="nil"/>
                    <w:tr2bl w:val="nil"/>
                  </w:tcBorders>
                  <w:vAlign w:val="center"/>
                </w:tcPr>
                <w:p w14:paraId="333A9619">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color w:val="0D0D0D" w:themeColor="text1" w:themeTint="F2"/>
                      <w:sz w:val="21"/>
                      <w:u w:val="single"/>
                      <w14:textFill>
                        <w14:solidFill>
                          <w14:schemeClr w14:val="tx1">
                            <w14:lumMod w14:val="95000"/>
                            <w14:lumOff w14:val="5000"/>
                          </w14:schemeClr>
                        </w14:solidFill>
                      </w14:textFill>
                    </w:rPr>
                  </w:pPr>
                  <w:r>
                    <w:rPr>
                      <w:rFonts w:hint="default"/>
                      <w:color w:val="0D0D0D" w:themeColor="text1" w:themeTint="F2"/>
                      <w:sz w:val="21"/>
                      <w:u w:val="single"/>
                      <w14:textFill>
                        <w14:solidFill>
                          <w14:schemeClr w14:val="tx1">
                            <w14:lumMod w14:val="95000"/>
                            <w14:lumOff w14:val="5000"/>
                          </w14:schemeClr>
                        </w14:solidFill>
                      </w14:textFill>
                    </w:rPr>
                    <w:t>动植物油</w:t>
                  </w:r>
                </w:p>
              </w:tc>
              <w:tc>
                <w:tcPr>
                  <w:tcW w:w="2130" w:type="dxa"/>
                  <w:tcBorders>
                    <w:tl2br w:val="nil"/>
                    <w:tr2bl w:val="nil"/>
                  </w:tcBorders>
                  <w:vAlign w:val="center"/>
                </w:tcPr>
                <w:p w14:paraId="699D0FE0">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20mg/L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0.0</w:t>
                  </w:r>
                  <w:r>
                    <w:rPr>
                      <w:rFonts w:hint="default"/>
                      <w:color w:val="0D0D0D" w:themeColor="text1" w:themeTint="F2"/>
                      <w:sz w:val="21"/>
                      <w:u w:val="single"/>
                      <w14:textFill>
                        <w14:solidFill>
                          <w14:schemeClr w14:val="tx1">
                            <w14:lumMod w14:val="95000"/>
                            <w14:lumOff w14:val="5000"/>
                          </w14:schemeClr>
                        </w14:solidFill>
                      </w14:textFill>
                    </w:rPr>
                    <w:t>0</w:t>
                  </w:r>
                  <w:r>
                    <w:rPr>
                      <w:color w:val="0D0D0D" w:themeColor="text1" w:themeTint="F2"/>
                      <w:sz w:val="21"/>
                      <w:u w:val="single"/>
                      <w14:textFill>
                        <w14:solidFill>
                          <w14:schemeClr w14:val="tx1">
                            <w14:lumMod w14:val="95000"/>
                            <w14:lumOff w14:val="5000"/>
                          </w14:schemeClr>
                        </w14:solidFill>
                      </w14:textFill>
                    </w:rPr>
                    <w:t>46</w:t>
                  </w:r>
                  <w:r>
                    <w:rPr>
                      <w:rFonts w:hint="default" w:eastAsia="Times New Roman"/>
                      <w:color w:val="0D0D0D" w:themeColor="text1" w:themeTint="F2"/>
                      <w:sz w:val="21"/>
                      <w:u w:val="single"/>
                      <w14:textFill>
                        <w14:solidFill>
                          <w14:schemeClr w14:val="tx1">
                            <w14:lumMod w14:val="95000"/>
                            <w14:lumOff w14:val="5000"/>
                          </w14:schemeClr>
                        </w14:solidFill>
                      </w14:textFill>
                    </w:rPr>
                    <w:t>t/a</w:t>
                  </w:r>
                </w:p>
              </w:tc>
              <w:tc>
                <w:tcPr>
                  <w:tcW w:w="1110" w:type="dxa"/>
                  <w:vMerge w:val="continue"/>
                  <w:tcBorders>
                    <w:tl2br w:val="nil"/>
                    <w:tr2bl w:val="nil"/>
                  </w:tcBorders>
                  <w:vAlign w:val="center"/>
                </w:tcPr>
                <w:p w14:paraId="4976F990">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2"/>
                      <w:u w:val="single"/>
                      <w14:textFill>
                        <w14:solidFill>
                          <w14:schemeClr w14:val="tx1">
                            <w14:lumMod w14:val="95000"/>
                            <w14:lumOff w14:val="5000"/>
                          </w14:schemeClr>
                        </w14:solidFill>
                      </w14:textFill>
                    </w:rPr>
                  </w:pPr>
                </w:p>
              </w:tc>
              <w:tc>
                <w:tcPr>
                  <w:tcW w:w="1988" w:type="dxa"/>
                  <w:tcBorders>
                    <w:tl2br w:val="nil"/>
                    <w:tr2bl w:val="nil"/>
                  </w:tcBorders>
                  <w:vAlign w:val="center"/>
                </w:tcPr>
                <w:p w14:paraId="7450E672">
                  <w:pPr>
                    <w:pStyle w:val="25"/>
                    <w:keepNext w:val="0"/>
                    <w:keepLines w:val="0"/>
                    <w:suppressLineNumbers w:val="0"/>
                    <w:kinsoku w:val="0"/>
                    <w:overflowPunct w:val="0"/>
                    <w:spacing w:before="0" w:beforeAutospacing="0" w:after="0" w:afterAutospacing="0" w:line="240" w:lineRule="auto"/>
                    <w:ind w:left="0" w:right="0" w:firstLine="0" w:firstLineChars="0"/>
                    <w:jc w:val="center"/>
                    <w:rPr>
                      <w:rFonts w:hint="default" w:eastAsia="Times New Roman"/>
                      <w:color w:val="0D0D0D" w:themeColor="text1" w:themeTint="F2"/>
                      <w:sz w:val="21"/>
                      <w:u w:val="single"/>
                      <w14:textFill>
                        <w14:solidFill>
                          <w14:schemeClr w14:val="tx1">
                            <w14:lumMod w14:val="95000"/>
                            <w14:lumOff w14:val="5000"/>
                          </w14:schemeClr>
                        </w14:solidFill>
                      </w14:textFill>
                    </w:rPr>
                  </w:pPr>
                  <w:r>
                    <w:rPr>
                      <w:rFonts w:hint="default" w:eastAsia="Times New Roman"/>
                      <w:color w:val="0D0D0D" w:themeColor="text1" w:themeTint="F2"/>
                      <w:sz w:val="21"/>
                      <w:u w:val="single"/>
                      <w14:textFill>
                        <w14:solidFill>
                          <w14:schemeClr w14:val="tx1">
                            <w14:lumMod w14:val="95000"/>
                            <w14:lumOff w14:val="5000"/>
                          </w14:schemeClr>
                        </w14:solidFill>
                      </w14:textFill>
                    </w:rPr>
                    <w:t>15mg/L</w:t>
                  </w:r>
                  <w:r>
                    <w:rPr>
                      <w:rFonts w:hint="default"/>
                      <w:color w:val="0D0D0D" w:themeColor="text1" w:themeTint="F2"/>
                      <w:sz w:val="21"/>
                      <w:u w:val="single"/>
                      <w14:textFill>
                        <w14:solidFill>
                          <w14:schemeClr w14:val="tx1">
                            <w14:lumMod w14:val="95000"/>
                            <w14:lumOff w14:val="5000"/>
                          </w14:schemeClr>
                        </w14:solidFill>
                      </w14:textFill>
                    </w:rPr>
                    <w:t>，</w:t>
                  </w:r>
                  <w:r>
                    <w:rPr>
                      <w:rFonts w:hint="default" w:eastAsia="Times New Roman"/>
                      <w:color w:val="0D0D0D" w:themeColor="text1" w:themeTint="F2"/>
                      <w:sz w:val="21"/>
                      <w:u w:val="single"/>
                      <w14:textFill>
                        <w14:solidFill>
                          <w14:schemeClr w14:val="tx1">
                            <w14:lumMod w14:val="95000"/>
                            <w14:lumOff w14:val="5000"/>
                          </w14:schemeClr>
                        </w14:solidFill>
                      </w14:textFill>
                    </w:rPr>
                    <w:t>0.</w:t>
                  </w:r>
                  <w:r>
                    <w:rPr>
                      <w:rFonts w:hint="default"/>
                      <w:color w:val="0D0D0D" w:themeColor="text1" w:themeTint="F2"/>
                      <w:sz w:val="21"/>
                      <w:u w:val="single"/>
                      <w14:textFill>
                        <w14:solidFill>
                          <w14:schemeClr w14:val="tx1">
                            <w14:lumMod w14:val="95000"/>
                            <w14:lumOff w14:val="5000"/>
                          </w14:schemeClr>
                        </w14:solidFill>
                      </w14:textFill>
                    </w:rPr>
                    <w:t>00</w:t>
                  </w:r>
                  <w:r>
                    <w:rPr>
                      <w:color w:val="0D0D0D" w:themeColor="text1" w:themeTint="F2"/>
                      <w:sz w:val="21"/>
                      <w:u w:val="single"/>
                      <w14:textFill>
                        <w14:solidFill>
                          <w14:schemeClr w14:val="tx1">
                            <w14:lumMod w14:val="95000"/>
                            <w14:lumOff w14:val="5000"/>
                          </w14:schemeClr>
                        </w14:solidFill>
                      </w14:textFill>
                    </w:rPr>
                    <w:t>34t</w:t>
                  </w:r>
                  <w:r>
                    <w:rPr>
                      <w:rFonts w:hint="default" w:eastAsia="Times New Roman"/>
                      <w:color w:val="0D0D0D" w:themeColor="text1" w:themeTint="F2"/>
                      <w:sz w:val="21"/>
                      <w:u w:val="single"/>
                      <w14:textFill>
                        <w14:solidFill>
                          <w14:schemeClr w14:val="tx1">
                            <w14:lumMod w14:val="95000"/>
                            <w14:lumOff w14:val="5000"/>
                          </w14:schemeClr>
                        </w14:solidFill>
                      </w14:textFill>
                    </w:rPr>
                    <w:t>/a</w:t>
                  </w:r>
                </w:p>
              </w:tc>
            </w:tr>
          </w:tbl>
          <w:p w14:paraId="123DE4D6">
            <w:pPr>
              <w:pStyle w:val="4"/>
              <w:keepNext w:val="0"/>
              <w:keepLines w:val="0"/>
              <w:suppressLineNumbers w:val="0"/>
              <w:kinsoku w:val="0"/>
              <w:overflowPunct w:val="0"/>
              <w:spacing w:before="0" w:beforeAutospacing="0" w:after="0" w:afterAutospacing="0"/>
              <w:ind w:left="0" w:right="0" w:firstLine="478"/>
              <w:rPr>
                <w:rFonts w:hint="default" w:eastAsia="宋体"/>
                <w:color w:val="0D0D0D" w:themeColor="text1" w:themeTint="F2"/>
                <w:w w:val="99"/>
                <w:szCs w:val="24"/>
                <w:u w:val="single"/>
                <w14:textFill>
                  <w14:solidFill>
                    <w14:schemeClr w14:val="tx1">
                      <w14:lumMod w14:val="95000"/>
                      <w14:lumOff w14:val="5000"/>
                    </w14:schemeClr>
                  </w14:solidFill>
                </w14:textFill>
              </w:rPr>
            </w:pPr>
            <w:r>
              <w:rPr>
                <w:rFonts w:hint="default" w:eastAsia="宋体"/>
                <w:color w:val="0D0D0D" w:themeColor="text1" w:themeTint="F2"/>
                <w:w w:val="99"/>
                <w:szCs w:val="24"/>
                <w:u w:val="single"/>
                <w14:textFill>
                  <w14:solidFill>
                    <w14:schemeClr w14:val="tx1">
                      <w14:lumMod w14:val="95000"/>
                      <w14:lumOff w14:val="5000"/>
                    </w14:schemeClr>
                  </w14:solidFill>
                </w14:textFill>
              </w:rPr>
              <w:t>2）生产废水</w:t>
            </w:r>
          </w:p>
          <w:p w14:paraId="6B80AC06">
            <w:pPr>
              <w:pStyle w:val="4"/>
              <w:keepNext w:val="0"/>
              <w:keepLines w:val="0"/>
              <w:suppressLineNumbers w:val="0"/>
              <w:kinsoku w:val="0"/>
              <w:overflowPunct w:val="0"/>
              <w:spacing w:before="0" w:beforeAutospacing="0" w:after="0" w:afterAutospacing="0"/>
              <w:ind w:left="0" w:right="0" w:firstLine="478"/>
              <w:rPr>
                <w:rFonts w:hint="default" w:eastAsia="宋体"/>
                <w:color w:val="0D0D0D" w:themeColor="text1" w:themeTint="F2"/>
                <w:w w:val="99"/>
                <w:szCs w:val="24"/>
                <w:u w:val="single"/>
                <w14:textFill>
                  <w14:solidFill>
                    <w14:schemeClr w14:val="tx1">
                      <w14:lumMod w14:val="95000"/>
                      <w14:lumOff w14:val="5000"/>
                    </w14:schemeClr>
                  </w14:solidFill>
                </w14:textFill>
              </w:rPr>
            </w:pPr>
            <w:r>
              <w:rPr>
                <w:rFonts w:hint="default" w:eastAsia="宋体"/>
                <w:color w:val="0D0D0D" w:themeColor="text1" w:themeTint="F2"/>
                <w:w w:val="99"/>
                <w:szCs w:val="24"/>
                <w:u w:val="single"/>
                <w14:textFill>
                  <w14:solidFill>
                    <w14:schemeClr w14:val="tx1">
                      <w14:lumMod w14:val="95000"/>
                      <w14:lumOff w14:val="5000"/>
                    </w14:schemeClr>
                  </w14:solidFill>
                </w14:textFill>
              </w:rPr>
              <w:t>本项目无生产废水</w:t>
            </w:r>
            <w:r>
              <w:rPr>
                <w:rFonts w:hint="eastAsia" w:eastAsia="宋体"/>
                <w:color w:val="0D0D0D" w:themeColor="text1" w:themeTint="F2"/>
                <w:w w:val="99"/>
                <w:szCs w:val="24"/>
                <w:u w:val="single"/>
                <w14:textFill>
                  <w14:solidFill>
                    <w14:schemeClr w14:val="tx1">
                      <w14:lumMod w14:val="95000"/>
                      <w14:lumOff w14:val="5000"/>
                    </w14:schemeClr>
                  </w14:solidFill>
                </w14:textFill>
              </w:rPr>
              <w:t>产生</w:t>
            </w:r>
            <w:r>
              <w:rPr>
                <w:rFonts w:hint="default" w:eastAsia="宋体"/>
                <w:color w:val="0D0D0D" w:themeColor="text1" w:themeTint="F2"/>
                <w:w w:val="99"/>
                <w:szCs w:val="24"/>
                <w:u w:val="single"/>
                <w14:textFill>
                  <w14:solidFill>
                    <w14:schemeClr w14:val="tx1">
                      <w14:lumMod w14:val="95000"/>
                      <w14:lumOff w14:val="5000"/>
                    </w14:schemeClr>
                  </w14:solidFill>
                </w14:textFill>
              </w:rPr>
              <w:t>。</w:t>
            </w:r>
          </w:p>
          <w:p w14:paraId="42544A8E">
            <w:pPr>
              <w:pStyle w:val="4"/>
              <w:keepNext w:val="0"/>
              <w:keepLines w:val="0"/>
              <w:suppressLineNumbers w:val="0"/>
              <w:kinsoku w:val="0"/>
              <w:overflowPunct w:val="0"/>
              <w:spacing w:before="0" w:beforeAutospacing="0" w:after="0" w:afterAutospacing="0"/>
              <w:ind w:left="0" w:right="0" w:firstLine="482"/>
              <w:rPr>
                <w:rFonts w:hint="default" w:ascii="宋体" w:hAnsi="宋体" w:eastAsia="宋体" w:cs="宋体"/>
                <w:color w:val="0D0D0D" w:themeColor="text1" w:themeTint="F2"/>
                <w:szCs w:val="24"/>
                <w:u w:val="singl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4"/>
                <w:u w:val="single"/>
                <w14:textFill>
                  <w14:solidFill>
                    <w14:schemeClr w14:val="tx1">
                      <w14:lumMod w14:val="95000"/>
                      <w14:lumOff w14:val="5000"/>
                    </w14:schemeClr>
                  </w14:solidFill>
                </w14:textFill>
              </w:rPr>
              <w:t>3）废水处理措施及可行性分析</w:t>
            </w:r>
          </w:p>
          <w:p w14:paraId="36BD047A">
            <w:pPr>
              <w:pStyle w:val="7"/>
              <w:keepNext w:val="0"/>
              <w:keepLines w:val="0"/>
              <w:suppressLineNumbers w:val="0"/>
              <w:kinsoku w:val="0"/>
              <w:overflowPunct w:val="0"/>
              <w:spacing w:before="0" w:beforeAutospacing="0" w:after="0" w:afterAutospacing="0"/>
              <w:ind w:left="0" w:right="0" w:firstLine="476"/>
              <w:rPr>
                <w:rFonts w:hint="default" w:ascii="Times New Roman" w:hAnsi="Times New Roman"/>
                <w:color w:val="0D0D0D" w:themeColor="text1" w:themeTint="F2"/>
                <w:u w:val="single"/>
                <w14:textFill>
                  <w14:solidFill>
                    <w14:schemeClr w14:val="tx1">
                      <w14:lumMod w14:val="95000"/>
                      <w14:lumOff w14:val="5000"/>
                    </w14:schemeClr>
                  </w14:solidFill>
                </w14:textFill>
              </w:rPr>
            </w:pPr>
            <w:r>
              <w:rPr>
                <w:rFonts w:hint="default" w:ascii="Times New Roman" w:hAnsi="Times New Roman"/>
                <w:color w:val="0D0D0D" w:themeColor="text1" w:themeTint="F2"/>
                <w:spacing w:val="-1"/>
                <w:u w:val="single"/>
                <w14:textFill>
                  <w14:solidFill>
                    <w14:schemeClr w14:val="tx1">
                      <w14:lumMod w14:val="95000"/>
                      <w14:lumOff w14:val="5000"/>
                    </w14:schemeClr>
                  </w14:solidFill>
                </w14:textFill>
              </w:rPr>
              <w:t>零陵区鹿坪污水处理厂位于零陵区萍州西路与湘江西路交汇处，占地面积约</w:t>
            </w:r>
            <w:r>
              <w:rPr>
                <w:rFonts w:hint="default" w:ascii="Times New Roman" w:hAnsi="Times New Roman" w:eastAsia="Times New Roman"/>
                <w:color w:val="0D0D0D" w:themeColor="text1" w:themeTint="F2"/>
                <w:spacing w:val="-1"/>
                <w:u w:val="single"/>
                <w14:textFill>
                  <w14:solidFill>
                    <w14:schemeClr w14:val="tx1">
                      <w14:lumMod w14:val="95000"/>
                      <w14:lumOff w14:val="5000"/>
                    </w14:schemeClr>
                  </w14:solidFill>
                </w14:textFill>
              </w:rPr>
              <w:t>40</w:t>
            </w:r>
            <w:r>
              <w:rPr>
                <w:rFonts w:hint="default" w:ascii="Times New Roman" w:hAnsi="Times New Roman"/>
                <w:color w:val="0D0D0D" w:themeColor="text1" w:themeTint="F2"/>
                <w:spacing w:val="-9"/>
                <w:u w:val="single"/>
                <w14:textFill>
                  <w14:solidFill>
                    <w14:schemeClr w14:val="tx1">
                      <w14:lumMod w14:val="95000"/>
                      <w14:lumOff w14:val="5000"/>
                    </w14:schemeClr>
                  </w14:solidFill>
                </w14:textFill>
              </w:rPr>
              <w:t>亩，项目投资约</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8700</w:t>
            </w:r>
            <w:r>
              <w:rPr>
                <w:rFonts w:hint="default" w:ascii="Times New Roman" w:hAnsi="Times New Roman"/>
                <w:color w:val="0D0D0D" w:themeColor="text1" w:themeTint="F2"/>
                <w:u w:val="single"/>
                <w14:textFill>
                  <w14:solidFill>
                    <w14:schemeClr w14:val="tx1">
                      <w14:lumMod w14:val="95000"/>
                      <w14:lumOff w14:val="5000"/>
                    </w14:schemeClr>
                  </w14:solidFill>
                </w14:textFill>
              </w:rPr>
              <w:t>万元。项目主要服务于零陵工业园区调扩区中的河西片</w:t>
            </w:r>
            <w:r>
              <w:rPr>
                <w:rFonts w:hint="default" w:ascii="Times New Roman" w:hAnsi="Times New Roman"/>
                <w:color w:val="0D0D0D" w:themeColor="text1" w:themeTint="F2"/>
                <w:spacing w:val="-5"/>
                <w:u w:val="single"/>
                <w14:textFill>
                  <w14:solidFill>
                    <w14:schemeClr w14:val="tx1">
                      <w14:lumMod w14:val="95000"/>
                      <w14:lumOff w14:val="5000"/>
                    </w14:schemeClr>
                  </w14:solidFill>
                </w14:textFill>
              </w:rPr>
              <w:t>区，连带收集潇湘大道、萍州西路、潇水西路及瑞翔大道西侧的污水。设计采用</w:t>
            </w:r>
            <w:r>
              <w:rPr>
                <w:rFonts w:hint="default" w:ascii="Times New Roman" w:hAnsi="Times New Roman" w:eastAsia="Times New Roman"/>
                <w:color w:val="0D0D0D" w:themeColor="text1" w:themeTint="F2"/>
                <w:spacing w:val="-5"/>
                <w:u w:val="single"/>
                <w14:textFill>
                  <w14:solidFill>
                    <w14:schemeClr w14:val="tx1">
                      <w14:lumMod w14:val="95000"/>
                      <w14:lumOff w14:val="5000"/>
                    </w14:schemeClr>
                  </w14:solidFill>
                </w14:textFill>
              </w:rPr>
              <w:t>AAO</w:t>
            </w:r>
            <w:r>
              <w:rPr>
                <w:rFonts w:hint="default" w:ascii="Times New Roman" w:hAnsi="Times New Roman"/>
                <w:color w:val="0D0D0D" w:themeColor="text1" w:themeTint="F2"/>
                <w:spacing w:val="-10"/>
                <w:u w:val="single"/>
                <w14:textFill>
                  <w14:solidFill>
                    <w14:schemeClr w14:val="tx1">
                      <w14:lumMod w14:val="95000"/>
                      <w14:lumOff w14:val="5000"/>
                    </w14:schemeClr>
                  </w14:solidFill>
                </w14:textFill>
              </w:rPr>
              <w:t>处理工艺，日处理污水</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2</w:t>
            </w:r>
            <w:r>
              <w:rPr>
                <w:rFonts w:hint="default" w:ascii="Times New Roman" w:hAnsi="Times New Roman"/>
                <w:color w:val="0D0D0D" w:themeColor="text1" w:themeTint="F2"/>
                <w:u w:val="single"/>
                <w14:textFill>
                  <w14:solidFill>
                    <w14:schemeClr w14:val="tx1">
                      <w14:lumMod w14:val="95000"/>
                      <w14:lumOff w14:val="5000"/>
                    </w14:schemeClr>
                  </w14:solidFill>
                </w14:textFill>
              </w:rPr>
              <w:t>万吨，出水水质达到《城镇污水处理厂污染物排</w:t>
            </w:r>
            <w:r>
              <w:rPr>
                <w:rFonts w:hint="default" w:ascii="Times New Roman" w:hAnsi="Times New Roman"/>
                <w:color w:val="0D0D0D" w:themeColor="text1" w:themeTint="F2"/>
                <w:spacing w:val="-6"/>
                <w:u w:val="single"/>
                <w14:textFill>
                  <w14:solidFill>
                    <w14:schemeClr w14:val="tx1">
                      <w14:lumMod w14:val="95000"/>
                      <w14:lumOff w14:val="5000"/>
                    </w14:schemeClr>
                  </w14:solidFill>
                </w14:textFill>
              </w:rPr>
              <w:t>放标准》</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(GB18918-2002)</w:t>
            </w:r>
            <w:r>
              <w:rPr>
                <w:rFonts w:hint="default" w:ascii="Times New Roman" w:hAnsi="Times New Roman"/>
                <w:color w:val="0D0D0D" w:themeColor="text1" w:themeTint="F2"/>
                <w:spacing w:val="-21"/>
                <w:u w:val="single"/>
                <w14:textFill>
                  <w14:solidFill>
                    <w14:schemeClr w14:val="tx1">
                      <w14:lumMod w14:val="95000"/>
                      <w14:lumOff w14:val="5000"/>
                    </w14:schemeClr>
                  </w14:solidFill>
                </w14:textFill>
              </w:rPr>
              <w:t>一级</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A</w:t>
            </w:r>
            <w:r>
              <w:rPr>
                <w:rFonts w:hint="default" w:ascii="Times New Roman" w:hAnsi="Times New Roman"/>
                <w:color w:val="0D0D0D" w:themeColor="text1" w:themeTint="F2"/>
                <w:spacing w:val="-8"/>
                <w:u w:val="single"/>
                <w14:textFill>
                  <w14:solidFill>
                    <w14:schemeClr w14:val="tx1">
                      <w14:lumMod w14:val="95000"/>
                      <w14:lumOff w14:val="5000"/>
                    </w14:schemeClr>
                  </w14:solidFill>
                </w14:textFill>
              </w:rPr>
              <w:t>标准后排入湘江。项目自</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2022</w:t>
            </w:r>
            <w:r>
              <w:rPr>
                <w:rFonts w:hint="default" w:ascii="Times New Roman" w:hAnsi="Times New Roman"/>
                <w:color w:val="0D0D0D" w:themeColor="text1" w:themeTint="F2"/>
                <w:spacing w:val="-31"/>
                <w:u w:val="single"/>
                <w14:textFill>
                  <w14:solidFill>
                    <w14:schemeClr w14:val="tx1">
                      <w14:lumMod w14:val="95000"/>
                      <w14:lumOff w14:val="5000"/>
                    </w14:schemeClr>
                  </w14:solidFill>
                </w14:textFill>
              </w:rPr>
              <w:t>年</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7</w:t>
            </w:r>
            <w:r>
              <w:rPr>
                <w:rFonts w:hint="default" w:ascii="Times New Roman" w:hAnsi="Times New Roman"/>
                <w:color w:val="0D0D0D" w:themeColor="text1" w:themeTint="F2"/>
                <w:spacing w:val="-3"/>
                <w:u w:val="single"/>
                <w14:textFill>
                  <w14:solidFill>
                    <w14:schemeClr w14:val="tx1">
                      <w14:lumMod w14:val="95000"/>
                      <w14:lumOff w14:val="5000"/>
                    </w14:schemeClr>
                  </w14:solidFill>
                </w14:textFill>
              </w:rPr>
              <w:t>月开工建设，</w:t>
            </w:r>
            <w:r>
              <w:rPr>
                <w:rFonts w:hint="default" w:ascii="Times New Roman" w:hAnsi="Times New Roman"/>
                <w:color w:val="0D0D0D" w:themeColor="text1" w:themeTint="F2"/>
                <w:spacing w:val="-13"/>
                <w:u w:val="single"/>
                <w14:textFill>
                  <w14:solidFill>
                    <w14:schemeClr w14:val="tx1">
                      <w14:lumMod w14:val="95000"/>
                      <w14:lumOff w14:val="5000"/>
                    </w14:schemeClr>
                  </w14:solidFill>
                </w14:textFill>
              </w:rPr>
              <w:t>目前土建和设备安装工程、单机调试、清水联调均已完成，实现通水节点目标，</w:t>
            </w:r>
            <w:r>
              <w:rPr>
                <w:rFonts w:hint="default" w:ascii="Times New Roman" w:hAnsi="Times New Roman"/>
                <w:color w:val="0D0D0D" w:themeColor="text1" w:themeTint="F2"/>
                <w:spacing w:val="-5"/>
                <w:u w:val="single"/>
                <w14:textFill>
                  <w14:solidFill>
                    <w14:schemeClr w14:val="tx1">
                      <w14:lumMod w14:val="95000"/>
                      <w14:lumOff w14:val="5000"/>
                    </w14:schemeClr>
                  </w14:solidFill>
                </w14:textFill>
              </w:rPr>
              <w:t>现进入试运行阶段，预计</w:t>
            </w:r>
            <w:r>
              <w:rPr>
                <w:rFonts w:hint="default" w:ascii="Times New Roman" w:hAnsi="Times New Roman" w:eastAsia="Times New Roman"/>
                <w:color w:val="0D0D0D" w:themeColor="text1" w:themeTint="F2"/>
                <w:u w:val="single"/>
                <w14:textFill>
                  <w14:solidFill>
                    <w14:schemeClr w14:val="tx1">
                      <w14:lumMod w14:val="95000"/>
                      <w14:lumOff w14:val="5000"/>
                    </w14:schemeClr>
                  </w14:solidFill>
                </w14:textFill>
              </w:rPr>
              <w:t>2024</w:t>
            </w:r>
            <w:r>
              <w:rPr>
                <w:rFonts w:hint="default" w:ascii="Times New Roman" w:hAnsi="Times New Roman"/>
                <w:color w:val="0D0D0D" w:themeColor="text1" w:themeTint="F2"/>
                <w:u w:val="single"/>
                <w14:textFill>
                  <w14:solidFill>
                    <w14:schemeClr w14:val="tx1">
                      <w14:lumMod w14:val="95000"/>
                      <w14:lumOff w14:val="5000"/>
                    </w14:schemeClr>
                  </w14:solidFill>
                </w14:textFill>
              </w:rPr>
              <w:t>年底正式投入运营。</w:t>
            </w:r>
          </w:p>
          <w:p w14:paraId="0C617C76">
            <w:pPr>
              <w:pStyle w:val="7"/>
              <w:keepNext w:val="0"/>
              <w:keepLines w:val="0"/>
              <w:suppressLineNumbers w:val="0"/>
              <w:kinsoku w:val="0"/>
              <w:overflowPunct w:val="0"/>
              <w:spacing w:before="0" w:beforeAutospacing="0" w:after="0" w:afterAutospacing="0"/>
              <w:ind w:left="0" w:right="0" w:firstLine="480"/>
              <w:rPr>
                <w:rFonts w:hint="default" w:ascii="Times New Roman" w:hAnsi="Times New Roman"/>
                <w:color w:val="0D0D0D" w:themeColor="text1" w:themeTint="F2"/>
                <w:u w:val="single"/>
                <w14:textFill>
                  <w14:solidFill>
                    <w14:schemeClr w14:val="tx1">
                      <w14:lumMod w14:val="95000"/>
                      <w14:lumOff w14:val="5000"/>
                    </w14:schemeClr>
                  </w14:solidFill>
                </w14:textFill>
              </w:rPr>
            </w:pPr>
            <w:r>
              <w:rPr>
                <w:rFonts w:hint="default" w:ascii="Times New Roman" w:hAnsi="Times New Roman"/>
                <w:color w:val="0D0D0D" w:themeColor="text1" w:themeTint="F2"/>
                <w:u w:val="single"/>
                <w14:textFill>
                  <w14:solidFill>
                    <w14:schemeClr w14:val="tx1">
                      <w14:lumMod w14:val="95000"/>
                      <w14:lumOff w14:val="5000"/>
                    </w14:schemeClr>
                  </w14:solidFill>
                </w14:textFill>
              </w:rPr>
              <w:t>项目位于零陵工业园内，属于零陵区鹿坪污水处理厂纳污范围内，项目生活污水经化粪池处理后排入零陵区鹿坪污水处理厂，对零陵区鹿坪污水处理厂的处</w:t>
            </w:r>
            <w:r>
              <w:rPr>
                <w:rFonts w:hint="default" w:ascii="Times New Roman" w:hAnsi="Times New Roman"/>
                <w:color w:val="0D0D0D" w:themeColor="text1" w:themeTint="F2"/>
                <w:spacing w:val="-4"/>
                <w:u w:val="single"/>
                <w14:textFill>
                  <w14:solidFill>
                    <w14:schemeClr w14:val="tx1">
                      <w14:lumMod w14:val="95000"/>
                      <w14:lumOff w14:val="5000"/>
                    </w14:schemeClr>
                  </w14:solidFill>
                </w14:textFill>
              </w:rPr>
              <w:t>理负荷影响不大，</w:t>
            </w:r>
            <w:r>
              <w:rPr>
                <w:rFonts w:ascii="Times New Roman" w:hAnsi="Times New Roman"/>
                <w:color w:val="0D0D0D" w:themeColor="text1" w:themeTint="F2"/>
                <w:spacing w:val="-4"/>
                <w:u w:val="single"/>
                <w14:textFill>
                  <w14:solidFill>
                    <w14:schemeClr w14:val="tx1">
                      <w14:lumMod w14:val="95000"/>
                      <w14:lumOff w14:val="5000"/>
                    </w14:schemeClr>
                  </w14:solidFill>
                </w14:textFill>
              </w:rPr>
              <w:t>生活污水</w:t>
            </w:r>
            <w:r>
              <w:rPr>
                <w:rFonts w:hint="default" w:ascii="Times New Roman" w:hAnsi="Times New Roman"/>
                <w:color w:val="0D0D0D" w:themeColor="text1" w:themeTint="F2"/>
                <w:spacing w:val="-4"/>
                <w:u w:val="single"/>
                <w14:textFill>
                  <w14:solidFill>
                    <w14:schemeClr w14:val="tx1">
                      <w14:lumMod w14:val="95000"/>
                      <w14:lumOff w14:val="5000"/>
                    </w14:schemeClr>
                  </w14:solidFill>
                </w14:textFill>
              </w:rPr>
              <w:t>经污水处理站处理后可达到零陵区鹿坪污水处理厂进</w:t>
            </w:r>
            <w:r>
              <w:rPr>
                <w:rFonts w:hint="default" w:ascii="Times New Roman" w:hAnsi="Times New Roman"/>
                <w:color w:val="0D0D0D" w:themeColor="text1" w:themeTint="F2"/>
                <w:spacing w:val="-5"/>
                <w:u w:val="single"/>
                <w14:textFill>
                  <w14:solidFill>
                    <w14:schemeClr w14:val="tx1">
                      <w14:lumMod w14:val="95000"/>
                      <w14:lumOff w14:val="5000"/>
                    </w14:schemeClr>
                  </w14:solidFill>
                </w14:textFill>
              </w:rPr>
              <w:t>水水质要求，因此本项目生活污水进入零陵区鹿坪污水处理厂处</w:t>
            </w:r>
            <w:r>
              <w:rPr>
                <w:rFonts w:hint="default" w:ascii="Times New Roman" w:hAnsi="Times New Roman"/>
                <w:color w:val="0D0D0D" w:themeColor="text1" w:themeTint="F2"/>
                <w:u w:val="single"/>
                <w14:textFill>
                  <w14:solidFill>
                    <w14:schemeClr w14:val="tx1">
                      <w14:lumMod w14:val="95000"/>
                      <w14:lumOff w14:val="5000"/>
                    </w14:schemeClr>
                  </w14:solidFill>
                </w14:textFill>
              </w:rPr>
              <w:t>理可行，且对零陵区鹿坪污水处理厂的水质和水量不会产生冲击影响。</w:t>
            </w:r>
          </w:p>
          <w:p w14:paraId="12F080EE">
            <w:pPr>
              <w:keepNext w:val="0"/>
              <w:keepLines w:val="0"/>
              <w:widowControl/>
              <w:suppressLineNumbers w:val="0"/>
              <w:spacing w:before="0" w:beforeAutospacing="0" w:after="0" w:afterAutospacing="0"/>
              <w:ind w:left="0" w:right="0" w:firstLine="482"/>
              <w:rPr>
                <w:rFonts w:hint="default"/>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（4）废水监测要求</w:t>
            </w:r>
          </w:p>
          <w:p w14:paraId="2F8ED792">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本项目监测要求见下表。</w:t>
            </w:r>
          </w:p>
          <w:p w14:paraId="15F0BCDB">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表4-7  废水污染源监测点位、监测指标及监测频次一览表</w:t>
            </w:r>
          </w:p>
          <w:tbl>
            <w:tblPr>
              <w:tblStyle w:val="17"/>
              <w:tblW w:w="80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249"/>
              <w:gridCol w:w="2348"/>
            </w:tblGrid>
            <w:tr w14:paraId="0EC77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421" w:type="dxa"/>
                  <w:tcBorders>
                    <w:tl2br w:val="nil"/>
                    <w:tr2bl w:val="nil"/>
                  </w:tcBorders>
                  <w:vAlign w:val="center"/>
                </w:tcPr>
                <w:p w14:paraId="4F89D59B">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监测点位</w:t>
                  </w:r>
                </w:p>
              </w:tc>
              <w:tc>
                <w:tcPr>
                  <w:tcW w:w="3249" w:type="dxa"/>
                  <w:tcBorders>
                    <w:tl2br w:val="nil"/>
                    <w:tr2bl w:val="nil"/>
                  </w:tcBorders>
                  <w:vAlign w:val="center"/>
                </w:tcPr>
                <w:p w14:paraId="75D4700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监测项目</w:t>
                  </w:r>
                </w:p>
              </w:tc>
              <w:tc>
                <w:tcPr>
                  <w:tcW w:w="2348" w:type="dxa"/>
                  <w:tcBorders>
                    <w:tl2br w:val="nil"/>
                    <w:tr2bl w:val="nil"/>
                  </w:tcBorders>
                  <w:vAlign w:val="center"/>
                </w:tcPr>
                <w:p w14:paraId="71DB8D45">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监测频次（间接排放）</w:t>
                  </w:r>
                </w:p>
              </w:tc>
            </w:tr>
            <w:tr w14:paraId="508A4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421" w:type="dxa"/>
                  <w:tcBorders>
                    <w:tl2br w:val="nil"/>
                    <w:tr2bl w:val="nil"/>
                  </w:tcBorders>
                  <w:vAlign w:val="center"/>
                </w:tcPr>
                <w:p w14:paraId="14EBA76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DW001生</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活污水</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排放口</w:t>
                  </w:r>
                </w:p>
              </w:tc>
              <w:tc>
                <w:tcPr>
                  <w:tcW w:w="3249" w:type="dxa"/>
                  <w:tcBorders>
                    <w:tl2br w:val="nil"/>
                    <w:tr2bl w:val="nil"/>
                  </w:tcBorders>
                  <w:vAlign w:val="center"/>
                </w:tcPr>
                <w:p w14:paraId="2F80BB4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pH、CODcr、SS、石油类</w:t>
                  </w:r>
                </w:p>
              </w:tc>
              <w:tc>
                <w:tcPr>
                  <w:tcW w:w="2348" w:type="dxa"/>
                  <w:tcBorders>
                    <w:tl2br w:val="nil"/>
                    <w:tr2bl w:val="nil"/>
                  </w:tcBorders>
                  <w:vAlign w:val="center"/>
                </w:tcPr>
                <w:p w14:paraId="789D95D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1次/年</w:t>
                  </w:r>
                </w:p>
              </w:tc>
            </w:tr>
          </w:tbl>
          <w:p w14:paraId="64C7F1EF">
            <w:pPr>
              <w:keepNext w:val="0"/>
              <w:keepLines w:val="0"/>
              <w:suppressLineNumbers w:val="0"/>
              <w:spacing w:before="0" w:beforeAutospacing="0" w:after="0" w:afterAutospacing="0"/>
              <w:ind w:left="0" w:right="0" w:firstLine="482"/>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u w:val="single"/>
                <w14:textFill>
                  <w14:solidFill>
                    <w14:schemeClr w14:val="tx1">
                      <w14:lumMod w14:val="95000"/>
                      <w14:lumOff w14:val="5000"/>
                    </w14:schemeClr>
                  </w14:solidFill>
                </w14:textFill>
              </w:rPr>
              <w:t>三、噪声</w:t>
            </w:r>
          </w:p>
          <w:p w14:paraId="65993A49">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（1）噪声源强分析</w:t>
            </w:r>
          </w:p>
          <w:p w14:paraId="425DE1E7">
            <w:pPr>
              <w:keepNext w:val="0"/>
              <w:keepLines w:val="0"/>
              <w:suppressLineNumbers w:val="0"/>
              <w:spacing w:before="0" w:beforeAutospacing="0" w:after="0" w:afterAutospacing="0"/>
              <w:ind w:left="0" w:right="0" w:firstLine="480"/>
              <w:rPr>
                <w:rFonts w:hint="default"/>
                <w:bCs/>
                <w:color w:val="0D0D0D" w:themeColor="text1" w:themeTint="F2"/>
                <w:spacing w:val="-10"/>
                <w:szCs w:val="21"/>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本项目噪声主要为挤出机、冷却塔、空压机等设备产生噪声，噪声源强在75~85dB(A)之间，经采取隔声、减振措施，噪声源经厂房建筑物衰减后，对厂界环境的影响很小。根据《环境影响评价技术导则声环境》（HJ2.4-2021）规定，本项目噪声评价工作等级为三级。室内外声源调查见下表</w:t>
            </w:r>
            <w:r>
              <w:rPr>
                <w:rFonts w:hint="default"/>
                <w:bCs/>
                <w:color w:val="0D0D0D" w:themeColor="text1" w:themeTint="F2"/>
                <w:spacing w:val="-10"/>
                <w:szCs w:val="21"/>
                <w:u w:val="single"/>
                <w14:textFill>
                  <w14:solidFill>
                    <w14:schemeClr w14:val="tx1">
                      <w14:lumMod w14:val="95000"/>
                      <w14:lumOff w14:val="5000"/>
                    </w14:schemeClr>
                  </w14:solidFill>
                </w14:textFill>
              </w:rPr>
              <w:t>。</w:t>
            </w:r>
          </w:p>
          <w:p w14:paraId="26B03D87">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表4--8  主要噪声源及噪声强度一览表</w:t>
            </w:r>
          </w:p>
          <w:tbl>
            <w:tblPr>
              <w:tblStyle w:val="17"/>
              <w:tblW w:w="803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1"/>
              <w:gridCol w:w="1597"/>
              <w:gridCol w:w="1339"/>
              <w:gridCol w:w="1339"/>
              <w:gridCol w:w="1340"/>
              <w:gridCol w:w="1340"/>
            </w:tblGrid>
            <w:tr w14:paraId="68A4C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081" w:type="dxa"/>
                  <w:tcBorders>
                    <w:tl2br w:val="nil"/>
                    <w:tr2bl w:val="nil"/>
                  </w:tcBorders>
                  <w:vAlign w:val="center"/>
                </w:tcPr>
                <w:p w14:paraId="5235190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噪声源</w:t>
                  </w:r>
                </w:p>
              </w:tc>
              <w:tc>
                <w:tcPr>
                  <w:tcW w:w="1597" w:type="dxa"/>
                  <w:tcBorders>
                    <w:tl2br w:val="nil"/>
                    <w:tr2bl w:val="nil"/>
                  </w:tcBorders>
                  <w:vAlign w:val="center"/>
                </w:tcPr>
                <w:p w14:paraId="5A0D986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噪声产生强</w:t>
                  </w:r>
                </w:p>
                <w:p w14:paraId="569C7B1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度dB（A）</w:t>
                  </w:r>
                </w:p>
              </w:tc>
              <w:tc>
                <w:tcPr>
                  <w:tcW w:w="1339" w:type="dxa"/>
                  <w:tcBorders>
                    <w:tl2br w:val="nil"/>
                    <w:tr2bl w:val="nil"/>
                  </w:tcBorders>
                  <w:vAlign w:val="center"/>
                </w:tcPr>
                <w:p w14:paraId="4C2BDD41">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降噪措施</w:t>
                  </w:r>
                </w:p>
              </w:tc>
              <w:tc>
                <w:tcPr>
                  <w:tcW w:w="1339" w:type="dxa"/>
                  <w:tcBorders>
                    <w:tl2br w:val="nil"/>
                    <w:tr2bl w:val="nil"/>
                  </w:tcBorders>
                  <w:vAlign w:val="center"/>
                </w:tcPr>
                <w:p w14:paraId="49D3D8A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降噪量dB（A）</w:t>
                  </w:r>
                </w:p>
              </w:tc>
              <w:tc>
                <w:tcPr>
                  <w:tcW w:w="1340" w:type="dxa"/>
                  <w:tcBorders>
                    <w:tl2br w:val="nil"/>
                    <w:tr2bl w:val="nil"/>
                  </w:tcBorders>
                  <w:vAlign w:val="center"/>
                </w:tcPr>
                <w:p w14:paraId="5F2BA14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噪声排放</w:t>
                  </w:r>
                </w:p>
                <w:p w14:paraId="27D6675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强度dB（A）</w:t>
                  </w:r>
                </w:p>
              </w:tc>
              <w:tc>
                <w:tcPr>
                  <w:tcW w:w="1340" w:type="dxa"/>
                  <w:tcBorders>
                    <w:tl2br w:val="nil"/>
                    <w:tr2bl w:val="nil"/>
                  </w:tcBorders>
                  <w:vAlign w:val="center"/>
                </w:tcPr>
                <w:p w14:paraId="6746A8C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噪声排放</w:t>
                  </w:r>
                </w:p>
                <w:p w14:paraId="1CC5BB0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持续时间</w:t>
                  </w:r>
                </w:p>
              </w:tc>
            </w:tr>
            <w:tr w14:paraId="559253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81" w:type="dxa"/>
                  <w:tcBorders>
                    <w:tl2br w:val="nil"/>
                    <w:tr2bl w:val="nil"/>
                  </w:tcBorders>
                  <w:vAlign w:val="center"/>
                </w:tcPr>
                <w:p w14:paraId="13B8238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生产设备</w:t>
                  </w:r>
                </w:p>
              </w:tc>
              <w:tc>
                <w:tcPr>
                  <w:tcW w:w="1597" w:type="dxa"/>
                  <w:tcBorders>
                    <w:tl2br w:val="nil"/>
                    <w:tr2bl w:val="nil"/>
                  </w:tcBorders>
                  <w:vAlign w:val="center"/>
                </w:tcPr>
                <w:p w14:paraId="1A3722E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70~80</w:t>
                  </w:r>
                </w:p>
              </w:tc>
              <w:tc>
                <w:tcPr>
                  <w:tcW w:w="1339" w:type="dxa"/>
                  <w:vMerge w:val="restart"/>
                  <w:tcBorders>
                    <w:tl2br w:val="nil"/>
                    <w:tr2bl w:val="nil"/>
                  </w:tcBorders>
                  <w:vAlign w:val="center"/>
                </w:tcPr>
                <w:p w14:paraId="5043726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消声减振、厂房隔声、距离衰减等</w:t>
                  </w:r>
                </w:p>
              </w:tc>
              <w:tc>
                <w:tcPr>
                  <w:tcW w:w="1339" w:type="dxa"/>
                  <w:tcBorders>
                    <w:tl2br w:val="nil"/>
                    <w:tr2bl w:val="nil"/>
                  </w:tcBorders>
                  <w:vAlign w:val="center"/>
                </w:tcPr>
                <w:p w14:paraId="4688BBE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25</w:t>
                  </w:r>
                </w:p>
              </w:tc>
              <w:tc>
                <w:tcPr>
                  <w:tcW w:w="1340" w:type="dxa"/>
                  <w:tcBorders>
                    <w:tl2br w:val="nil"/>
                    <w:tr2bl w:val="nil"/>
                  </w:tcBorders>
                  <w:vAlign w:val="center"/>
                </w:tcPr>
                <w:p w14:paraId="069C4DC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45~50</w:t>
                  </w:r>
                </w:p>
              </w:tc>
              <w:tc>
                <w:tcPr>
                  <w:tcW w:w="1340" w:type="dxa"/>
                  <w:tcBorders>
                    <w:tl2br w:val="nil"/>
                    <w:tr2bl w:val="nil"/>
                  </w:tcBorders>
                  <w:vAlign w:val="center"/>
                </w:tcPr>
                <w:p w14:paraId="3560971F">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1920h/a</w:t>
                  </w:r>
                </w:p>
              </w:tc>
            </w:tr>
            <w:tr w14:paraId="461D7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081" w:type="dxa"/>
                  <w:tcBorders>
                    <w:tl2br w:val="nil"/>
                    <w:tr2bl w:val="nil"/>
                  </w:tcBorders>
                  <w:vAlign w:val="center"/>
                </w:tcPr>
                <w:p w14:paraId="698EF50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风机</w:t>
                  </w:r>
                </w:p>
              </w:tc>
              <w:tc>
                <w:tcPr>
                  <w:tcW w:w="1597" w:type="dxa"/>
                  <w:tcBorders>
                    <w:tl2br w:val="nil"/>
                    <w:tr2bl w:val="nil"/>
                  </w:tcBorders>
                  <w:vAlign w:val="center"/>
                </w:tcPr>
                <w:p w14:paraId="2C5A6F5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75~85</w:t>
                  </w:r>
                </w:p>
              </w:tc>
              <w:tc>
                <w:tcPr>
                  <w:tcW w:w="1339" w:type="dxa"/>
                  <w:vMerge w:val="continue"/>
                  <w:tcBorders>
                    <w:tl2br w:val="nil"/>
                    <w:tr2bl w:val="nil"/>
                  </w:tcBorders>
                  <w:vAlign w:val="center"/>
                </w:tcPr>
                <w:p w14:paraId="246E7B75">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p>
              </w:tc>
              <w:tc>
                <w:tcPr>
                  <w:tcW w:w="1339" w:type="dxa"/>
                  <w:tcBorders>
                    <w:tl2br w:val="nil"/>
                    <w:tr2bl w:val="nil"/>
                  </w:tcBorders>
                  <w:vAlign w:val="center"/>
                </w:tcPr>
                <w:p w14:paraId="3D82EDFA">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25</w:t>
                  </w:r>
                </w:p>
              </w:tc>
              <w:tc>
                <w:tcPr>
                  <w:tcW w:w="1340" w:type="dxa"/>
                  <w:tcBorders>
                    <w:tl2br w:val="nil"/>
                    <w:tr2bl w:val="nil"/>
                  </w:tcBorders>
                  <w:vAlign w:val="center"/>
                </w:tcPr>
                <w:p w14:paraId="62F06BAE">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50~60</w:t>
                  </w:r>
                </w:p>
              </w:tc>
              <w:tc>
                <w:tcPr>
                  <w:tcW w:w="1340" w:type="dxa"/>
                  <w:tcBorders>
                    <w:tl2br w:val="nil"/>
                    <w:tr2bl w:val="nil"/>
                  </w:tcBorders>
                  <w:vAlign w:val="center"/>
                </w:tcPr>
                <w:p w14:paraId="3C5FE69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1920h/a</w:t>
                  </w:r>
                </w:p>
              </w:tc>
            </w:tr>
            <w:tr w14:paraId="7BB18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081" w:type="dxa"/>
                  <w:tcBorders>
                    <w:tl2br w:val="nil"/>
                    <w:tr2bl w:val="nil"/>
                  </w:tcBorders>
                  <w:vAlign w:val="center"/>
                </w:tcPr>
                <w:p w14:paraId="72C2C95F">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冷却塔</w:t>
                  </w:r>
                </w:p>
              </w:tc>
              <w:tc>
                <w:tcPr>
                  <w:tcW w:w="1597" w:type="dxa"/>
                  <w:tcBorders>
                    <w:tl2br w:val="nil"/>
                    <w:tr2bl w:val="nil"/>
                  </w:tcBorders>
                  <w:vAlign w:val="center"/>
                </w:tcPr>
                <w:p w14:paraId="35B447A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80~90</w:t>
                  </w:r>
                </w:p>
              </w:tc>
              <w:tc>
                <w:tcPr>
                  <w:tcW w:w="1339" w:type="dxa"/>
                  <w:vMerge w:val="continue"/>
                  <w:tcBorders>
                    <w:tl2br w:val="nil"/>
                    <w:tr2bl w:val="nil"/>
                  </w:tcBorders>
                  <w:vAlign w:val="center"/>
                </w:tcPr>
                <w:p w14:paraId="602CF115">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p>
              </w:tc>
              <w:tc>
                <w:tcPr>
                  <w:tcW w:w="1339" w:type="dxa"/>
                  <w:tcBorders>
                    <w:tl2br w:val="nil"/>
                    <w:tr2bl w:val="nil"/>
                  </w:tcBorders>
                  <w:vAlign w:val="center"/>
                </w:tcPr>
                <w:p w14:paraId="3729ADA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25</w:t>
                  </w:r>
                </w:p>
              </w:tc>
              <w:tc>
                <w:tcPr>
                  <w:tcW w:w="1340" w:type="dxa"/>
                  <w:tcBorders>
                    <w:tl2br w:val="nil"/>
                    <w:tr2bl w:val="nil"/>
                  </w:tcBorders>
                  <w:vAlign w:val="center"/>
                </w:tcPr>
                <w:p w14:paraId="54F80FF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55~65</w:t>
                  </w:r>
                </w:p>
              </w:tc>
              <w:tc>
                <w:tcPr>
                  <w:tcW w:w="1340" w:type="dxa"/>
                  <w:tcBorders>
                    <w:tl2br w:val="nil"/>
                    <w:tr2bl w:val="nil"/>
                  </w:tcBorders>
                  <w:vAlign w:val="center"/>
                </w:tcPr>
                <w:p w14:paraId="4B89ACA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1920h/a</w:t>
                  </w:r>
                </w:p>
              </w:tc>
            </w:tr>
          </w:tbl>
          <w:p w14:paraId="6418F521">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（2）噪声预测</w:t>
            </w:r>
          </w:p>
          <w:p w14:paraId="2C80E7CE">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1）噪声在空气中的理论衰减公式为：</w:t>
            </w:r>
          </w:p>
          <w:p w14:paraId="68498421">
            <w:pPr>
              <w:keepNext w:val="0"/>
              <w:keepLines w:val="0"/>
              <w:widowControl/>
              <w:suppressLineNumbers w:val="0"/>
              <w:spacing w:before="0" w:beforeAutospacing="0" w:after="0" w:afterAutospacing="0"/>
              <w:ind w:left="0" w:right="0" w:firstLine="0" w:firstLineChars="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LP=L</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w:t>
            </w:r>
            <w:r>
              <w:rPr>
                <w:rFonts w:hint="default"/>
                <w:color w:val="0D0D0D" w:themeColor="text1" w:themeTint="F2"/>
                <w:kern w:val="0"/>
                <w:u w:val="single"/>
                <w:lang w:bidi="ar"/>
                <w14:textFill>
                  <w14:solidFill>
                    <w14:schemeClr w14:val="tx1">
                      <w14:lumMod w14:val="95000"/>
                      <w14:lumOff w14:val="5000"/>
                    </w14:schemeClr>
                  </w14:solidFill>
                </w14:textFill>
              </w:rPr>
              <w:t>-20lg（r/r</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w:t>
            </w:r>
            <w:r>
              <w:rPr>
                <w:rFonts w:hint="default"/>
                <w:color w:val="0D0D0D" w:themeColor="text1" w:themeTint="F2"/>
                <w:kern w:val="0"/>
                <w:u w:val="single"/>
                <w:lang w:bidi="ar"/>
                <w14:textFill>
                  <w14:solidFill>
                    <w14:schemeClr w14:val="tx1">
                      <w14:lumMod w14:val="95000"/>
                      <w14:lumOff w14:val="5000"/>
                    </w14:schemeClr>
                  </w14:solidFill>
                </w14:textFill>
              </w:rPr>
              <w:t>）</w:t>
            </w:r>
          </w:p>
          <w:p w14:paraId="675ECBF7">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式中：Lp</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距声源r(m)处的噪声值，dB(A)；</w:t>
            </w:r>
          </w:p>
          <w:p w14:paraId="3AC3A4BD">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L</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距声源r</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w:t>
            </w:r>
            <w:r>
              <w:rPr>
                <w:rFonts w:hint="default"/>
                <w:color w:val="0D0D0D" w:themeColor="text1" w:themeTint="F2"/>
                <w:kern w:val="0"/>
                <w:u w:val="single"/>
                <w:lang w:bidi="ar"/>
                <w14:textFill>
                  <w14:solidFill>
                    <w14:schemeClr w14:val="tx1">
                      <w14:lumMod w14:val="95000"/>
                      <w14:lumOff w14:val="5000"/>
                    </w14:schemeClr>
                  </w14:solidFill>
                </w14:textFill>
              </w:rPr>
              <w:t>(m)处声源值，dB(A)；</w:t>
            </w:r>
          </w:p>
          <w:p w14:paraId="7E93B09C">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r</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测定声源时距离，m；</w:t>
            </w:r>
          </w:p>
          <w:p w14:paraId="02EB5B98">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r</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衰减距离，m；</w:t>
            </w:r>
          </w:p>
          <w:p w14:paraId="1A2580B5">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α</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空气中衰减系数。</w:t>
            </w:r>
            <w:r>
              <w:rPr>
                <w:rFonts w:hint="default"/>
                <w:color w:val="0D0D0D" w:themeColor="text1" w:themeTint="F2"/>
                <w:kern w:val="0"/>
                <w:sz w:val="18"/>
                <w:szCs w:val="18"/>
                <w:u w:val="single"/>
                <w:lang w:bidi="ar"/>
                <w14:textFill>
                  <w14:solidFill>
                    <w14:schemeClr w14:val="tx1">
                      <w14:lumMod w14:val="95000"/>
                      <w14:lumOff w14:val="5000"/>
                    </w14:schemeClr>
                  </w14:solidFill>
                </w14:textFill>
              </w:rPr>
              <w:t>39</w:t>
            </w:r>
          </w:p>
          <w:p w14:paraId="2BC752DC">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2）噪声叠加计算模式</w:t>
            </w:r>
          </w:p>
          <w:p w14:paraId="18C287C2">
            <w:pPr>
              <w:keepNext w:val="0"/>
              <w:keepLines w:val="0"/>
              <w:widowControl/>
              <w:suppressLineNumbers w:val="0"/>
              <w:spacing w:before="0" w:beforeAutospacing="0" w:after="0" w:afterAutospacing="0"/>
              <w:ind w:left="0" w:right="0" w:firstLine="0" w:firstLineChars="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Leq＝10lg∑（10</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0.1L1</w:t>
            </w:r>
            <w:r>
              <w:rPr>
                <w:rFonts w:hint="default"/>
                <w:color w:val="0D0D0D" w:themeColor="text1" w:themeTint="F2"/>
                <w:kern w:val="0"/>
                <w:u w:val="single"/>
                <w:lang w:bidi="ar"/>
                <w14:textFill>
                  <w14:solidFill>
                    <w14:schemeClr w14:val="tx1">
                      <w14:lumMod w14:val="95000"/>
                      <w14:lumOff w14:val="5000"/>
                    </w14:schemeClr>
                  </w14:solidFill>
                </w14:textFill>
              </w:rPr>
              <w:t>+10</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0.1L2</w:t>
            </w:r>
            <w:r>
              <w:rPr>
                <w:rFonts w:hint="default"/>
                <w:color w:val="0D0D0D" w:themeColor="text1" w:themeTint="F2"/>
                <w:kern w:val="0"/>
                <w:u w:val="single"/>
                <w:lang w:bidi="ar"/>
                <w14:textFill>
                  <w14:solidFill>
                    <w14:schemeClr w14:val="tx1">
                      <w14:lumMod w14:val="95000"/>
                      <w14:lumOff w14:val="5000"/>
                    </w14:schemeClr>
                  </w14:solidFill>
                </w14:textFill>
              </w:rPr>
              <w:t>+…10</w:t>
            </w:r>
            <w:r>
              <w:rPr>
                <w:rFonts w:hint="default"/>
                <w:color w:val="0D0D0D" w:themeColor="text1" w:themeTint="F2"/>
                <w:kern w:val="0"/>
                <w:sz w:val="15"/>
                <w:szCs w:val="15"/>
                <w:u w:val="single"/>
                <w:lang w:bidi="ar"/>
                <w14:textFill>
                  <w14:solidFill>
                    <w14:schemeClr w14:val="tx1">
                      <w14:lumMod w14:val="95000"/>
                      <w14:lumOff w14:val="5000"/>
                    </w14:schemeClr>
                  </w14:solidFill>
                </w14:textFill>
              </w:rPr>
              <w:t>0.1Li</w:t>
            </w:r>
            <w:r>
              <w:rPr>
                <w:rFonts w:hint="default"/>
                <w:color w:val="0D0D0D" w:themeColor="text1" w:themeTint="F2"/>
                <w:kern w:val="0"/>
                <w:u w:val="single"/>
                <w:lang w:bidi="ar"/>
                <w14:textFill>
                  <w14:solidFill>
                    <w14:schemeClr w14:val="tx1">
                      <w14:lumMod w14:val="95000"/>
                      <w14:lumOff w14:val="5000"/>
                    </w14:schemeClr>
                  </w14:solidFill>
                </w14:textFill>
              </w:rPr>
              <w:t>）</w:t>
            </w:r>
          </w:p>
          <w:p w14:paraId="79DEDC0A">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式中：Li</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其中单个噪声源的声级数，dB（A）；</w:t>
            </w:r>
          </w:p>
          <w:p w14:paraId="75AC5F2B">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Leq</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噪声源叠加后的值。</w:t>
            </w:r>
          </w:p>
          <w:p w14:paraId="70CBF86B">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若上式的几个噪声值均相同，可简化为：</w:t>
            </w:r>
          </w:p>
          <w:p w14:paraId="5C060E31">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L=Lp+10lgN</w:t>
            </w:r>
          </w:p>
          <w:p w14:paraId="6F5B483D">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式中：L</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噪声叠加后噪声值dB(A)；</w:t>
            </w:r>
          </w:p>
          <w:p w14:paraId="1BEF2F38">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Lp</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单个噪声值，dB(A)；</w:t>
            </w:r>
          </w:p>
          <w:p w14:paraId="41F32FEA">
            <w:pPr>
              <w:keepNext w:val="0"/>
              <w:keepLines w:val="0"/>
              <w:widowControl/>
              <w:suppressLineNumbers w:val="0"/>
              <w:spacing w:before="0" w:beforeAutospacing="0" w:after="0" w:afterAutospacing="0"/>
              <w:ind w:left="0" w:right="0" w:firstLine="1200" w:firstLineChars="50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N</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相同噪声值的个数。</w:t>
            </w:r>
          </w:p>
          <w:p w14:paraId="2982032B">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项目厂区内噪声源为生产设备产生的噪声，噪声在室外空间的传播，由于受到遮挡物的隔断，各种介质的吸收与反射，以及空气介质的吸收等物理作用而逐渐减弱。为了简化计算条件并能考虑到最不利因素，计算时只考虑噪声随距离的衰减，见下表4-9。</w:t>
            </w:r>
          </w:p>
          <w:p w14:paraId="7BC05652">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表4-9  厂界噪声排放值预测表单位：dB（A）</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607"/>
              <w:gridCol w:w="1607"/>
              <w:gridCol w:w="1607"/>
              <w:gridCol w:w="1608"/>
            </w:tblGrid>
            <w:tr w14:paraId="5DC8EC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07" w:type="dxa"/>
                  <w:tcBorders>
                    <w:tl2br w:val="nil"/>
                    <w:tr2bl w:val="nil"/>
                  </w:tcBorders>
                  <w:vAlign w:val="center"/>
                </w:tcPr>
                <w:p w14:paraId="1CBC6F7E">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监测点</w:t>
                  </w:r>
                </w:p>
              </w:tc>
              <w:tc>
                <w:tcPr>
                  <w:tcW w:w="1607" w:type="dxa"/>
                  <w:tcBorders>
                    <w:tl2br w:val="nil"/>
                    <w:tr2bl w:val="nil"/>
                  </w:tcBorders>
                  <w:vAlign w:val="center"/>
                </w:tcPr>
                <w:p w14:paraId="040DF73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厂界东侧</w:t>
                  </w:r>
                </w:p>
              </w:tc>
              <w:tc>
                <w:tcPr>
                  <w:tcW w:w="1607" w:type="dxa"/>
                  <w:tcBorders>
                    <w:tl2br w:val="nil"/>
                    <w:tr2bl w:val="nil"/>
                  </w:tcBorders>
                  <w:vAlign w:val="center"/>
                </w:tcPr>
                <w:p w14:paraId="26D2970F">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厂界南侧</w:t>
                  </w:r>
                </w:p>
              </w:tc>
              <w:tc>
                <w:tcPr>
                  <w:tcW w:w="1607" w:type="dxa"/>
                  <w:tcBorders>
                    <w:tl2br w:val="nil"/>
                    <w:tr2bl w:val="nil"/>
                  </w:tcBorders>
                  <w:vAlign w:val="center"/>
                </w:tcPr>
                <w:p w14:paraId="77F9E141">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厂界西侧</w:t>
                  </w:r>
                </w:p>
              </w:tc>
              <w:tc>
                <w:tcPr>
                  <w:tcW w:w="1608" w:type="dxa"/>
                  <w:tcBorders>
                    <w:tl2br w:val="nil"/>
                    <w:tr2bl w:val="nil"/>
                  </w:tcBorders>
                  <w:vAlign w:val="center"/>
                </w:tcPr>
                <w:p w14:paraId="48436D67">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厂界北侧</w:t>
                  </w:r>
                </w:p>
              </w:tc>
            </w:tr>
            <w:tr w14:paraId="34BC2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07" w:type="dxa"/>
                  <w:tcBorders>
                    <w:tl2br w:val="nil"/>
                    <w:tr2bl w:val="nil"/>
                  </w:tcBorders>
                  <w:vAlign w:val="center"/>
                </w:tcPr>
                <w:p w14:paraId="002F3D8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预测排放值</w:t>
                  </w:r>
                </w:p>
              </w:tc>
              <w:tc>
                <w:tcPr>
                  <w:tcW w:w="1607" w:type="dxa"/>
                  <w:tcBorders>
                    <w:tl2br w:val="nil"/>
                    <w:tr2bl w:val="nil"/>
                  </w:tcBorders>
                  <w:vAlign w:val="center"/>
                </w:tcPr>
                <w:p w14:paraId="2F58D56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32.3</w:t>
                  </w:r>
                </w:p>
              </w:tc>
              <w:tc>
                <w:tcPr>
                  <w:tcW w:w="1607" w:type="dxa"/>
                  <w:tcBorders>
                    <w:tl2br w:val="nil"/>
                    <w:tr2bl w:val="nil"/>
                  </w:tcBorders>
                  <w:vAlign w:val="center"/>
                </w:tcPr>
                <w:p w14:paraId="7DFF134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eastAsia"/>
                      <w:color w:val="0D0D0D" w:themeColor="text1" w:themeTint="F2"/>
                      <w:kern w:val="0"/>
                      <w:sz w:val="20"/>
                      <w:szCs w:val="20"/>
                      <w:u w:val="single"/>
                      <w:lang w:val="en-US" w:eastAsia="zh-CN" w:bidi="ar"/>
                      <w14:textFill>
                        <w14:solidFill>
                          <w14:schemeClr w14:val="tx1">
                            <w14:lumMod w14:val="95000"/>
                            <w14:lumOff w14:val="5000"/>
                          </w14:schemeClr>
                        </w14:solidFill>
                      </w14:textFill>
                    </w:rPr>
                    <w:t>32</w:t>
                  </w:r>
                  <w:r>
                    <w:rPr>
                      <w:rFonts w:hint="default"/>
                      <w:color w:val="0D0D0D" w:themeColor="text1" w:themeTint="F2"/>
                      <w:kern w:val="0"/>
                      <w:sz w:val="20"/>
                      <w:szCs w:val="20"/>
                      <w:u w:val="single"/>
                      <w:lang w:bidi="ar"/>
                      <w14:textFill>
                        <w14:solidFill>
                          <w14:schemeClr w14:val="tx1">
                            <w14:lumMod w14:val="95000"/>
                            <w14:lumOff w14:val="5000"/>
                          </w14:schemeClr>
                        </w14:solidFill>
                      </w14:textFill>
                    </w:rPr>
                    <w:t>.2</w:t>
                  </w:r>
                </w:p>
              </w:tc>
              <w:tc>
                <w:tcPr>
                  <w:tcW w:w="1607" w:type="dxa"/>
                  <w:tcBorders>
                    <w:tl2br w:val="nil"/>
                    <w:tr2bl w:val="nil"/>
                  </w:tcBorders>
                  <w:vAlign w:val="center"/>
                </w:tcPr>
                <w:p w14:paraId="3D936AA0">
                  <w:pPr>
                    <w:keepNext w:val="0"/>
                    <w:keepLines w:val="0"/>
                    <w:widowControl/>
                    <w:suppressLineNumbers w:val="0"/>
                    <w:spacing w:before="0" w:beforeAutospacing="0" w:after="0" w:afterAutospacing="0" w:line="240" w:lineRule="auto"/>
                    <w:ind w:left="0" w:right="0" w:firstLine="0" w:firstLineChars="0"/>
                    <w:jc w:val="center"/>
                    <w:rPr>
                      <w:rFonts w:hint="default" w:eastAsia="宋体"/>
                      <w:b/>
                      <w:bCs/>
                      <w:color w:val="0D0D0D" w:themeColor="text1" w:themeTint="F2"/>
                      <w:kern w:val="0"/>
                      <w:sz w:val="20"/>
                      <w:szCs w:val="2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sz w:val="20"/>
                      <w:szCs w:val="20"/>
                      <w:u w:val="single"/>
                      <w:lang w:val="en-US" w:eastAsia="zh-CN" w:bidi="ar"/>
                      <w14:textFill>
                        <w14:solidFill>
                          <w14:schemeClr w14:val="tx1">
                            <w14:lumMod w14:val="95000"/>
                            <w14:lumOff w14:val="5000"/>
                          </w14:schemeClr>
                        </w14:solidFill>
                      </w14:textFill>
                    </w:rPr>
                    <w:t>52.2</w:t>
                  </w:r>
                </w:p>
              </w:tc>
              <w:tc>
                <w:tcPr>
                  <w:tcW w:w="1608" w:type="dxa"/>
                  <w:tcBorders>
                    <w:tl2br w:val="nil"/>
                    <w:tr2bl w:val="nil"/>
                  </w:tcBorders>
                  <w:vAlign w:val="center"/>
                </w:tcPr>
                <w:p w14:paraId="5B6E624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38.8</w:t>
                  </w:r>
                </w:p>
              </w:tc>
            </w:tr>
            <w:tr w14:paraId="070F3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07" w:type="dxa"/>
                  <w:tcBorders>
                    <w:tl2br w:val="nil"/>
                    <w:tr2bl w:val="nil"/>
                  </w:tcBorders>
                  <w:vAlign w:val="center"/>
                </w:tcPr>
                <w:p w14:paraId="30523CE1">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标准值（昼）</w:t>
                  </w:r>
                </w:p>
              </w:tc>
              <w:tc>
                <w:tcPr>
                  <w:tcW w:w="1607" w:type="dxa"/>
                  <w:tcBorders>
                    <w:tl2br w:val="nil"/>
                    <w:tr2bl w:val="nil"/>
                  </w:tcBorders>
                  <w:vAlign w:val="center"/>
                </w:tcPr>
                <w:p w14:paraId="5DF642A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65</w:t>
                  </w:r>
                </w:p>
              </w:tc>
              <w:tc>
                <w:tcPr>
                  <w:tcW w:w="1607" w:type="dxa"/>
                  <w:tcBorders>
                    <w:tl2br w:val="nil"/>
                    <w:tr2bl w:val="nil"/>
                  </w:tcBorders>
                  <w:vAlign w:val="center"/>
                </w:tcPr>
                <w:p w14:paraId="4B68D6D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65</w:t>
                  </w:r>
                </w:p>
              </w:tc>
              <w:tc>
                <w:tcPr>
                  <w:tcW w:w="1607" w:type="dxa"/>
                  <w:tcBorders>
                    <w:tl2br w:val="nil"/>
                    <w:tr2bl w:val="nil"/>
                  </w:tcBorders>
                  <w:vAlign w:val="center"/>
                </w:tcPr>
                <w:p w14:paraId="1007CB55">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65</w:t>
                  </w:r>
                </w:p>
              </w:tc>
              <w:tc>
                <w:tcPr>
                  <w:tcW w:w="1608" w:type="dxa"/>
                  <w:tcBorders>
                    <w:tl2br w:val="nil"/>
                    <w:tr2bl w:val="nil"/>
                  </w:tcBorders>
                  <w:vAlign w:val="center"/>
                </w:tcPr>
                <w:p w14:paraId="161036B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65</w:t>
                  </w:r>
                </w:p>
              </w:tc>
            </w:tr>
            <w:tr w14:paraId="194061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607" w:type="dxa"/>
                  <w:tcBorders>
                    <w:tl2br w:val="nil"/>
                    <w:tr2bl w:val="nil"/>
                  </w:tcBorders>
                  <w:vAlign w:val="center"/>
                </w:tcPr>
                <w:p w14:paraId="6E59739B">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color w:val="0D0D0D" w:themeColor="text1" w:themeTint="F2"/>
                      <w:kern w:val="0"/>
                      <w:sz w:val="20"/>
                      <w:szCs w:val="20"/>
                      <w:u w:val="single"/>
                      <w:lang w:bidi="ar"/>
                      <w14:textFill>
                        <w14:solidFill>
                          <w14:schemeClr w14:val="tx1">
                            <w14:lumMod w14:val="95000"/>
                            <w14:lumOff w14:val="5000"/>
                          </w14:schemeClr>
                        </w14:solidFill>
                      </w14:textFill>
                    </w:rPr>
                    <w:t>标准值（夜）</w:t>
                  </w:r>
                </w:p>
              </w:tc>
              <w:tc>
                <w:tcPr>
                  <w:tcW w:w="1607" w:type="dxa"/>
                  <w:tcBorders>
                    <w:tl2br w:val="nil"/>
                    <w:tr2bl w:val="nil"/>
                  </w:tcBorders>
                  <w:vAlign w:val="center"/>
                </w:tcPr>
                <w:p w14:paraId="78B4F43F">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55</w:t>
                  </w:r>
                </w:p>
              </w:tc>
              <w:tc>
                <w:tcPr>
                  <w:tcW w:w="1607" w:type="dxa"/>
                  <w:tcBorders>
                    <w:tl2br w:val="nil"/>
                    <w:tr2bl w:val="nil"/>
                  </w:tcBorders>
                  <w:vAlign w:val="center"/>
                </w:tcPr>
                <w:p w14:paraId="510B074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55</w:t>
                  </w:r>
                </w:p>
              </w:tc>
              <w:tc>
                <w:tcPr>
                  <w:tcW w:w="1607" w:type="dxa"/>
                  <w:tcBorders>
                    <w:tl2br w:val="nil"/>
                    <w:tr2bl w:val="nil"/>
                  </w:tcBorders>
                  <w:vAlign w:val="center"/>
                </w:tcPr>
                <w:p w14:paraId="2F23FCE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55</w:t>
                  </w:r>
                </w:p>
              </w:tc>
              <w:tc>
                <w:tcPr>
                  <w:tcW w:w="1608" w:type="dxa"/>
                  <w:tcBorders>
                    <w:tl2br w:val="nil"/>
                    <w:tr2bl w:val="nil"/>
                  </w:tcBorders>
                  <w:vAlign w:val="center"/>
                </w:tcPr>
                <w:p w14:paraId="12A9DAE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t>55</w:t>
                  </w:r>
                </w:p>
              </w:tc>
            </w:tr>
          </w:tbl>
          <w:p w14:paraId="55EE4BC8">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综上所述，项目运营后，厂界噪声可达到《工业企业厂界环境噪声排放标准》（GB12348-2008）中的3类标准。</w:t>
            </w:r>
          </w:p>
          <w:p w14:paraId="31DE1FE2">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（3）采取的噪声污染防治措施及影响分析</w:t>
            </w:r>
          </w:p>
          <w:p w14:paraId="3179EDFB">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本项目采取的噪声控制措施如下：</w:t>
            </w:r>
          </w:p>
          <w:p w14:paraId="2DAB7799">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①设备选型上使用国内先进的低噪声设备，安装设备时采取基础减震、橡胶减震接头及减震垫等措施。</w:t>
            </w:r>
          </w:p>
          <w:p w14:paraId="2617F203">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②合理布置噪声源。在满足工艺要求的同时，将高噪声设备集中布设于车间中部，有效利用距离衰减。</w:t>
            </w:r>
          </w:p>
          <w:p w14:paraId="7FAC373A">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③利用厂房隔声。生产过程中加强厂房门窗的密闭作业，减少设备运行噪声无阻挡传播。</w:t>
            </w:r>
          </w:p>
          <w:p w14:paraId="0CCF999E">
            <w:pPr>
              <w:keepNext w:val="0"/>
              <w:keepLines w:val="0"/>
              <w:widowControl/>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（4）噪声对周边敏感点的影响分析</w:t>
            </w:r>
          </w:p>
          <w:p w14:paraId="13450B75">
            <w:pPr>
              <w:keepNext w:val="0"/>
              <w:keepLines w:val="0"/>
              <w:widowControl/>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本项目运行后，厂界噪声可达到《工业企业厂界环境噪声排放标准》（GB12348-2008）中的3类标准。项目周围附近50m范围内无敏感点，因此，项目运行后产生的设备噪声对周围环境影响较少。</w:t>
            </w:r>
          </w:p>
          <w:p w14:paraId="5AD53ECD">
            <w:pPr>
              <w:keepNext w:val="0"/>
              <w:keepLines w:val="0"/>
              <w:widowControl/>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（5）噪声污染源监测计划</w:t>
            </w:r>
          </w:p>
          <w:p w14:paraId="41D71A43">
            <w:pPr>
              <w:keepNext w:val="0"/>
              <w:keepLines w:val="0"/>
              <w:widowControl/>
              <w:suppressLineNumbers w:val="0"/>
              <w:spacing w:before="0" w:beforeAutospacing="0" w:after="0" w:afterAutospacing="0"/>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表4-10  噪声监测及监测频次</w:t>
            </w:r>
          </w:p>
          <w:tbl>
            <w:tblPr>
              <w:tblStyle w:val="17"/>
              <w:tblW w:w="7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484"/>
              <w:gridCol w:w="1100"/>
              <w:gridCol w:w="1110"/>
              <w:gridCol w:w="3208"/>
            </w:tblGrid>
            <w:tr w14:paraId="428D3C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4" w:hRule="atLeast"/>
                <w:jc w:val="center"/>
              </w:trPr>
              <w:tc>
                <w:tcPr>
                  <w:tcW w:w="1096" w:type="dxa"/>
                  <w:tcBorders>
                    <w:tl2br w:val="nil"/>
                    <w:tr2bl w:val="nil"/>
                  </w:tcBorders>
                  <w:vAlign w:val="center"/>
                </w:tcPr>
                <w:p w14:paraId="7417435E">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监测内容</w:t>
                  </w:r>
                </w:p>
              </w:tc>
              <w:tc>
                <w:tcPr>
                  <w:tcW w:w="1484" w:type="dxa"/>
                  <w:tcBorders>
                    <w:tl2br w:val="nil"/>
                    <w:tr2bl w:val="nil"/>
                  </w:tcBorders>
                  <w:vAlign w:val="center"/>
                </w:tcPr>
                <w:p w14:paraId="3B8074D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监测点位</w:t>
                  </w:r>
                </w:p>
              </w:tc>
              <w:tc>
                <w:tcPr>
                  <w:tcW w:w="1100" w:type="dxa"/>
                  <w:tcBorders>
                    <w:tl2br w:val="nil"/>
                    <w:tr2bl w:val="nil"/>
                  </w:tcBorders>
                  <w:vAlign w:val="center"/>
                </w:tcPr>
                <w:p w14:paraId="4A0F5A8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监测项目</w:t>
                  </w:r>
                </w:p>
              </w:tc>
              <w:tc>
                <w:tcPr>
                  <w:tcW w:w="1110" w:type="dxa"/>
                  <w:tcBorders>
                    <w:tl2br w:val="nil"/>
                    <w:tr2bl w:val="nil"/>
                  </w:tcBorders>
                  <w:vAlign w:val="center"/>
                </w:tcPr>
                <w:p w14:paraId="4A10177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监测频率</w:t>
                  </w:r>
                </w:p>
              </w:tc>
              <w:tc>
                <w:tcPr>
                  <w:tcW w:w="3208" w:type="dxa"/>
                  <w:tcBorders>
                    <w:tl2br w:val="nil"/>
                    <w:tr2bl w:val="nil"/>
                  </w:tcBorders>
                  <w:vAlign w:val="center"/>
                </w:tcPr>
                <w:p w14:paraId="66616C86">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执行标准</w:t>
                  </w:r>
                </w:p>
              </w:tc>
            </w:tr>
            <w:tr w14:paraId="637723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096" w:type="dxa"/>
                  <w:tcBorders>
                    <w:tl2br w:val="nil"/>
                    <w:tr2bl w:val="nil"/>
                  </w:tcBorders>
                  <w:vAlign w:val="center"/>
                </w:tcPr>
                <w:p w14:paraId="3F4E435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噪声</w:t>
                  </w:r>
                </w:p>
              </w:tc>
              <w:tc>
                <w:tcPr>
                  <w:tcW w:w="1484" w:type="dxa"/>
                  <w:tcBorders>
                    <w:tl2br w:val="nil"/>
                    <w:tr2bl w:val="nil"/>
                  </w:tcBorders>
                  <w:vAlign w:val="center"/>
                </w:tcPr>
                <w:p w14:paraId="387A286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厂区边界1m处</w:t>
                  </w:r>
                </w:p>
              </w:tc>
              <w:tc>
                <w:tcPr>
                  <w:tcW w:w="1100" w:type="dxa"/>
                  <w:tcBorders>
                    <w:tl2br w:val="nil"/>
                    <w:tr2bl w:val="nil"/>
                  </w:tcBorders>
                  <w:vAlign w:val="center"/>
                </w:tcPr>
                <w:p w14:paraId="416C384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Leq(A）</w:t>
                  </w:r>
                </w:p>
              </w:tc>
              <w:tc>
                <w:tcPr>
                  <w:tcW w:w="1110" w:type="dxa"/>
                  <w:tcBorders>
                    <w:tl2br w:val="nil"/>
                    <w:tr2bl w:val="nil"/>
                  </w:tcBorders>
                  <w:vAlign w:val="center"/>
                </w:tcPr>
                <w:p w14:paraId="6FB6EAB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1次/季度</w:t>
                  </w:r>
                </w:p>
              </w:tc>
              <w:tc>
                <w:tcPr>
                  <w:tcW w:w="3208" w:type="dxa"/>
                  <w:tcBorders>
                    <w:tl2br w:val="nil"/>
                    <w:tr2bl w:val="nil"/>
                  </w:tcBorders>
                  <w:vAlign w:val="center"/>
                </w:tcPr>
                <w:p w14:paraId="5757EEF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《工业企业边界环境噪声排放标准》（GB12348-2008）3类标准</w:t>
                  </w:r>
                </w:p>
              </w:tc>
            </w:tr>
          </w:tbl>
          <w:p w14:paraId="6CA9ABF6">
            <w:pPr>
              <w:keepNext w:val="0"/>
              <w:keepLines w:val="0"/>
              <w:suppressLineNumbers w:val="0"/>
              <w:spacing w:before="0" w:beforeAutospacing="0" w:after="0" w:afterAutospacing="0"/>
              <w:ind w:left="0" w:right="0" w:firstLine="482"/>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四、固体废物</w:t>
            </w:r>
          </w:p>
          <w:p w14:paraId="4436E20C">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本项目产生的固废主要为生活垃圾、废原料桶、废活性炭、废含油抹布等。</w:t>
            </w:r>
          </w:p>
          <w:p w14:paraId="088AAC92">
            <w:pPr>
              <w:keepNext w:val="0"/>
              <w:keepLines w:val="0"/>
              <w:suppressLineNumbers w:val="0"/>
              <w:spacing w:before="0" w:beforeAutospacing="0" w:after="0" w:afterAutospacing="0"/>
              <w:ind w:left="0" w:right="0" w:firstLine="482"/>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1、生活垃圾</w:t>
            </w:r>
            <w:r>
              <w:rPr>
                <w:rFonts w:hint="default"/>
                <w:color w:val="0D0D0D" w:themeColor="text1" w:themeTint="F2"/>
                <w:kern w:val="0"/>
                <w:u w:val="single"/>
                <w:lang w:bidi="ar"/>
                <w14:textFill>
                  <w14:solidFill>
                    <w14:schemeClr w14:val="tx1">
                      <w14:lumMod w14:val="95000"/>
                      <w14:lumOff w14:val="5000"/>
                    </w14:schemeClr>
                  </w14:solidFill>
                </w14:textFill>
              </w:rPr>
              <w:t>：</w:t>
            </w:r>
          </w:p>
          <w:p w14:paraId="4B0B1815">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本项目员工</w:t>
            </w:r>
            <w:r>
              <w:rPr>
                <w:rFonts w:hint="eastAsia"/>
                <w:color w:val="0D0D0D" w:themeColor="text1" w:themeTint="F2"/>
                <w:kern w:val="0"/>
                <w:u w:val="single"/>
                <w:lang w:bidi="ar"/>
                <w14:textFill>
                  <w14:solidFill>
                    <w14:schemeClr w14:val="tx1">
                      <w14:lumMod w14:val="95000"/>
                      <w14:lumOff w14:val="5000"/>
                    </w14:schemeClr>
                  </w14:solidFill>
                </w14:textFill>
              </w:rPr>
              <w:t>8</w:t>
            </w:r>
            <w:r>
              <w:rPr>
                <w:rFonts w:hint="default"/>
                <w:color w:val="0D0D0D" w:themeColor="text1" w:themeTint="F2"/>
                <w:kern w:val="0"/>
                <w:u w:val="single"/>
                <w:lang w:bidi="ar"/>
                <w14:textFill>
                  <w14:solidFill>
                    <w14:schemeClr w14:val="tx1">
                      <w14:lumMod w14:val="95000"/>
                      <w14:lumOff w14:val="5000"/>
                    </w14:schemeClr>
                  </w14:solidFill>
                </w14:textFill>
              </w:rPr>
              <w:t>人，生活垃圾产生量按照1kg/人·d计，年工作日240天，则生活垃圾产生量为</w:t>
            </w:r>
            <w:r>
              <w:rPr>
                <w:rFonts w:hint="eastAsia"/>
                <w:color w:val="0D0D0D" w:themeColor="text1" w:themeTint="F2"/>
                <w:kern w:val="0"/>
                <w:u w:val="single"/>
                <w:lang w:bidi="ar"/>
                <w14:textFill>
                  <w14:solidFill>
                    <w14:schemeClr w14:val="tx1">
                      <w14:lumMod w14:val="95000"/>
                      <w14:lumOff w14:val="5000"/>
                    </w14:schemeClr>
                  </w14:solidFill>
                </w14:textFill>
              </w:rPr>
              <w:t>1.92</w:t>
            </w:r>
            <w:r>
              <w:rPr>
                <w:rFonts w:hint="default"/>
                <w:color w:val="0D0D0D" w:themeColor="text1" w:themeTint="F2"/>
                <w:kern w:val="0"/>
                <w:u w:val="single"/>
                <w:lang w:bidi="ar"/>
                <w14:textFill>
                  <w14:solidFill>
                    <w14:schemeClr w14:val="tx1">
                      <w14:lumMod w14:val="95000"/>
                      <w14:lumOff w14:val="5000"/>
                    </w14:schemeClr>
                  </w14:solidFill>
                </w14:textFill>
              </w:rPr>
              <w:t>t/a，采取袋装化，先集中，后由环卫部门定时清运进行无害化处理，无外排。</w:t>
            </w:r>
          </w:p>
          <w:p w14:paraId="03A7BC91">
            <w:pPr>
              <w:keepNext w:val="0"/>
              <w:keepLines w:val="0"/>
              <w:suppressLineNumbers w:val="0"/>
              <w:spacing w:before="0" w:beforeAutospacing="0" w:after="0" w:afterAutospacing="0"/>
              <w:ind w:left="0" w:right="0" w:firstLine="482"/>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2、一般固废：</w:t>
            </w:r>
          </w:p>
          <w:p w14:paraId="54F9BF78">
            <w:pPr>
              <w:keepNext w:val="0"/>
              <w:keepLines w:val="0"/>
              <w:suppressLineNumbers w:val="0"/>
              <w:spacing w:before="0" w:beforeAutospacing="0" w:after="0" w:afterAutospacing="0"/>
              <w:ind w:left="0" w:right="0" w:firstLine="482"/>
              <w:rPr>
                <w:rFonts w:hint="eastAsia"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废原料桶：</w:t>
            </w:r>
            <w:r>
              <w:rPr>
                <w:rFonts w:hint="default"/>
                <w:color w:val="0D0D0D" w:themeColor="text1" w:themeTint="F2"/>
                <w:kern w:val="0"/>
                <w:u w:val="single"/>
                <w:lang w:bidi="ar"/>
                <w14:textFill>
                  <w14:solidFill>
                    <w14:schemeClr w14:val="tx1">
                      <w14:lumMod w14:val="95000"/>
                      <w14:lumOff w14:val="5000"/>
                    </w14:schemeClr>
                  </w14:solidFill>
                </w14:textFill>
              </w:rPr>
              <w:t>项目生产过程中会产生少量破损的原料桶。本项目原料聚脂多元醇的包装规格均为2</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0</w:t>
            </w:r>
            <w:r>
              <w:rPr>
                <w:rFonts w:hint="default"/>
                <w:color w:val="0D0D0D" w:themeColor="text1" w:themeTint="F2"/>
                <w:kern w:val="0"/>
                <w:u w:val="single"/>
                <w:lang w:bidi="ar"/>
                <w14:textFill>
                  <w14:solidFill>
                    <w14:schemeClr w14:val="tx1">
                      <w14:lumMod w14:val="95000"/>
                      <w14:lumOff w14:val="5000"/>
                    </w14:schemeClr>
                  </w14:solidFill>
                </w14:textFill>
              </w:rPr>
              <w:t>0kg/桶</w:t>
            </w:r>
            <w:r>
              <w:rPr>
                <w:rFonts w:hint="eastAsia"/>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聚氨酯树脂原辅料年使用量为1200t</w:t>
            </w:r>
            <w:r>
              <w:rPr>
                <w:rFonts w:hint="eastAsia"/>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产生6000个原料桶</w:t>
            </w:r>
            <w:r>
              <w:rPr>
                <w:rFonts w:hint="eastAsia"/>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原料丁二醇和多异氰酸酯的包装规格均为200kg/桶，年使用量为800t</w:t>
            </w:r>
            <w:r>
              <w:rPr>
                <w:rFonts w:hint="eastAsia"/>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产生4000个原料桶，产生每个原料桶约为5KG</w:t>
            </w:r>
            <w:r>
              <w:rPr>
                <w:rFonts w:hint="eastAsia"/>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产生量为50t/a。项目所使用的原料中转桶</w:t>
            </w:r>
            <w:r>
              <w:rPr>
                <w:rFonts w:hint="eastAsia"/>
                <w:color w:val="0D0D0D" w:themeColor="text1" w:themeTint="F2"/>
                <w:kern w:val="0"/>
                <w:u w:val="single"/>
                <w:lang w:bidi="ar"/>
                <w14:textFill>
                  <w14:solidFill>
                    <w14:schemeClr w14:val="tx1">
                      <w14:lumMod w14:val="95000"/>
                      <w14:lumOff w14:val="5000"/>
                    </w14:schemeClr>
                  </w14:solidFill>
                </w14:textFill>
              </w:rPr>
              <w:t>由</w:t>
            </w:r>
            <w:r>
              <w:rPr>
                <w:rFonts w:hint="default"/>
                <w:color w:val="0D0D0D" w:themeColor="text1" w:themeTint="F2"/>
                <w:kern w:val="0"/>
                <w:u w:val="single"/>
                <w:lang w:bidi="ar"/>
                <w14:textFill>
                  <w14:solidFill>
                    <w14:schemeClr w14:val="tx1">
                      <w14:lumMod w14:val="95000"/>
                      <w14:lumOff w14:val="5000"/>
                    </w14:schemeClr>
                  </w14:solidFill>
                </w14:textFill>
              </w:rPr>
              <w:t>供应商</w:t>
            </w:r>
            <w:r>
              <w:rPr>
                <w:rFonts w:hint="eastAsia"/>
                <w:color w:val="0D0D0D" w:themeColor="text1" w:themeTint="F2"/>
                <w:kern w:val="0"/>
                <w:u w:val="single"/>
                <w:lang w:bidi="ar"/>
                <w14:textFill>
                  <w14:solidFill>
                    <w14:schemeClr w14:val="tx1">
                      <w14:lumMod w14:val="95000"/>
                      <w14:lumOff w14:val="5000"/>
                    </w14:schemeClr>
                  </w14:solidFill>
                </w14:textFill>
              </w:rPr>
              <w:t>回收</w:t>
            </w:r>
            <w:r>
              <w:rPr>
                <w:rFonts w:hint="default"/>
                <w:color w:val="0D0D0D" w:themeColor="text1" w:themeTint="F2"/>
                <w:kern w:val="0"/>
                <w:u w:val="single"/>
                <w:lang w:bidi="ar"/>
                <w14:textFill>
                  <w14:solidFill>
                    <w14:schemeClr w14:val="tx1">
                      <w14:lumMod w14:val="95000"/>
                      <w14:lumOff w14:val="5000"/>
                    </w14:schemeClr>
                  </w14:solidFill>
                </w14:textFill>
              </w:rPr>
              <w:t>用于其原始用途</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p>
          <w:p w14:paraId="0C3352A9">
            <w:pPr>
              <w:keepNext w:val="0"/>
              <w:keepLines w:val="0"/>
              <w:suppressLineNumbers w:val="0"/>
              <w:spacing w:before="0" w:beforeAutospacing="0" w:after="0" w:afterAutospacing="0"/>
              <w:ind w:left="0" w:right="0" w:firstLine="482"/>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说明：</w:t>
            </w:r>
            <w:r>
              <w:rPr>
                <w:rFonts w:hint="default"/>
                <w:color w:val="0D0D0D" w:themeColor="text1" w:themeTint="F2"/>
                <w:kern w:val="0"/>
                <w:sz w:val="18"/>
                <w:szCs w:val="18"/>
                <w:u w:val="single"/>
                <w:lang w:bidi="ar"/>
                <w14:textFill>
                  <w14:solidFill>
                    <w14:schemeClr w14:val="tx1">
                      <w14:lumMod w14:val="95000"/>
                      <w14:lumOff w14:val="5000"/>
                    </w14:schemeClr>
                  </w14:solidFill>
                </w14:textFill>
              </w:rPr>
              <w:t>根据中华人民共和国环境保护部《固体废物鉴别标准通则》（GB34330-2017），6不作为固体废物管理的物质中6.1以下物质不作为固体废物管理：a)任何不需要修复和加工即可用于其原始用途的物质，或者在产生点经过修复和加工后满足国家、地方制定或行业通行的产品质量标准并且用于其原始用途的物质。项目所使用的原料中转桶不需要经过修复和加工即可交于供应商用于其原始用途，可不按固体废物处理。项目产生的原料中转桶经统一收集后由供应商上门回收，回收后作为原始用途。</w:t>
            </w:r>
          </w:p>
          <w:p w14:paraId="27F6DEBC">
            <w:pPr>
              <w:keepNext w:val="0"/>
              <w:keepLines w:val="0"/>
              <w:suppressLineNumbers w:val="0"/>
              <w:spacing w:before="0" w:beforeAutospacing="0" w:after="0" w:afterAutospacing="0"/>
              <w:ind w:left="0" w:right="0" w:firstLine="482"/>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3、危险废物</w:t>
            </w:r>
          </w:p>
          <w:p w14:paraId="44CB94C2">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①废活性炭：</w:t>
            </w:r>
            <w:r>
              <w:rPr>
                <w:rFonts w:hint="eastAsia"/>
                <w:color w:val="0D0D0D" w:themeColor="text1" w:themeTint="F2"/>
                <w:kern w:val="0"/>
                <w:u w:val="single"/>
                <w:lang w:eastAsia="zh-CN" w:bidi="ar"/>
                <w14:textFill>
                  <w14:solidFill>
                    <w14:schemeClr w14:val="tx1">
                      <w14:lumMod w14:val="95000"/>
                      <w14:lumOff w14:val="5000"/>
                    </w14:schemeClr>
                  </w14:solidFill>
                </w14:textFill>
              </w:rPr>
              <w:t>二级活性炭</w:t>
            </w:r>
            <w:r>
              <w:rPr>
                <w:rFonts w:hint="default"/>
                <w:color w:val="0D0D0D" w:themeColor="text1" w:themeTint="F2"/>
                <w:kern w:val="0"/>
                <w:u w:val="single"/>
                <w:lang w:bidi="ar"/>
                <w14:textFill>
                  <w14:solidFill>
                    <w14:schemeClr w14:val="tx1">
                      <w14:lumMod w14:val="95000"/>
                      <w14:lumOff w14:val="5000"/>
                    </w14:schemeClr>
                  </w14:solidFill>
                </w14:textFill>
              </w:rPr>
              <w:t>吸附装置对有机废气吸附一段时间饱和后，需要更换活性炭，交有资质单位处理，并执行危险废物转移联单。本评价中</w:t>
            </w:r>
            <w:r>
              <w:rPr>
                <w:rFonts w:hint="eastAsia"/>
                <w:color w:val="0D0D0D" w:themeColor="text1" w:themeTint="F2"/>
                <w:kern w:val="0"/>
                <w:u w:val="single"/>
                <w:lang w:eastAsia="zh-CN" w:bidi="ar"/>
                <w14:textFill>
                  <w14:solidFill>
                    <w14:schemeClr w14:val="tx1">
                      <w14:lumMod w14:val="95000"/>
                      <w14:lumOff w14:val="5000"/>
                    </w14:schemeClr>
                  </w14:solidFill>
                </w14:textFill>
              </w:rPr>
              <w:t>二级活性炭</w:t>
            </w:r>
            <w:r>
              <w:rPr>
                <w:rFonts w:hint="eastAsia"/>
                <w:color w:val="0D0D0D" w:themeColor="text1" w:themeTint="F2"/>
                <w:kern w:val="0"/>
                <w:u w:val="single"/>
                <w:lang w:bidi="ar"/>
                <w14:textFill>
                  <w14:solidFill>
                    <w14:schemeClr w14:val="tx1">
                      <w14:lumMod w14:val="95000"/>
                      <w14:lumOff w14:val="5000"/>
                    </w14:schemeClr>
                  </w14:solidFill>
                </w14:textFill>
              </w:rPr>
              <w:t>吸附</w:t>
            </w:r>
            <w:r>
              <w:rPr>
                <w:rFonts w:hint="default"/>
                <w:color w:val="0D0D0D" w:themeColor="text1" w:themeTint="F2"/>
                <w:kern w:val="0"/>
                <w:u w:val="single"/>
                <w:lang w:bidi="ar"/>
                <w14:textFill>
                  <w14:solidFill>
                    <w14:schemeClr w14:val="tx1">
                      <w14:lumMod w14:val="95000"/>
                      <w14:lumOff w14:val="5000"/>
                    </w14:schemeClr>
                  </w14:solidFill>
                </w14:textFill>
              </w:rPr>
              <w:t>装置串联后对有机废气的处理效率以</w:t>
            </w:r>
            <w:r>
              <w:rPr>
                <w:rFonts w:hint="eastAsia"/>
                <w:color w:val="0D0D0D" w:themeColor="text1" w:themeTint="F2"/>
                <w:kern w:val="0"/>
                <w:u w:val="single"/>
                <w:lang w:bidi="ar"/>
                <w14:textFill>
                  <w14:solidFill>
                    <w14:schemeClr w14:val="tx1">
                      <w14:lumMod w14:val="95000"/>
                      <w14:lumOff w14:val="5000"/>
                    </w14:schemeClr>
                  </w14:solidFill>
                </w14:textFill>
              </w:rPr>
              <w:t>9</w:t>
            </w:r>
            <w:r>
              <w:rPr>
                <w:rFonts w:hint="default"/>
                <w:color w:val="0D0D0D" w:themeColor="text1" w:themeTint="F2"/>
                <w:kern w:val="0"/>
                <w:u w:val="single"/>
                <w:lang w:bidi="ar"/>
                <w14:textFill>
                  <w14:solidFill>
                    <w14:schemeClr w14:val="tx1">
                      <w14:lumMod w14:val="95000"/>
                      <w14:lumOff w14:val="5000"/>
                    </w14:schemeClr>
                  </w14:solidFill>
                </w14:textFill>
              </w:rPr>
              <w:t>0%计。项目VOCs的收集量为</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0.63</w:t>
            </w:r>
            <w:r>
              <w:rPr>
                <w:rFonts w:hint="default"/>
                <w:color w:val="0D0D0D" w:themeColor="text1" w:themeTint="F2"/>
                <w:kern w:val="0"/>
                <w:u w:val="single"/>
                <w:lang w:bidi="ar"/>
                <w14:textFill>
                  <w14:solidFill>
                    <w14:schemeClr w14:val="tx1">
                      <w14:lumMod w14:val="95000"/>
                      <w14:lumOff w14:val="5000"/>
                    </w14:schemeClr>
                  </w14:solidFill>
                </w14:textFill>
              </w:rPr>
              <w:t>t/a，项目有机废气被活性炭吸附的VOCs量为</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0.567</w:t>
            </w:r>
            <w:r>
              <w:rPr>
                <w:rFonts w:hint="default"/>
                <w:color w:val="0D0D0D" w:themeColor="text1" w:themeTint="F2"/>
                <w:kern w:val="0"/>
                <w:u w:val="single"/>
                <w:lang w:bidi="ar"/>
                <w14:textFill>
                  <w14:solidFill>
                    <w14:schemeClr w14:val="tx1">
                      <w14:lumMod w14:val="95000"/>
                      <w14:lumOff w14:val="5000"/>
                    </w14:schemeClr>
                  </w14:solidFill>
                </w14:textFill>
              </w:rPr>
              <w:t>t/a。根据《现代涂装手册》（化学工业出版社，陈治良主编），活性炭对有机废气的吸附容量为0.25g/g，则本项目活性炭用量约</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2.268</w:t>
            </w:r>
            <w:r>
              <w:rPr>
                <w:rFonts w:hint="default"/>
                <w:color w:val="0D0D0D" w:themeColor="text1" w:themeTint="F2"/>
                <w:kern w:val="0"/>
                <w:u w:val="single"/>
                <w:lang w:bidi="ar"/>
                <w14:textFill>
                  <w14:solidFill>
                    <w14:schemeClr w14:val="tx1">
                      <w14:lumMod w14:val="95000"/>
                      <w14:lumOff w14:val="5000"/>
                    </w14:schemeClr>
                  </w14:solidFill>
                </w14:textFill>
              </w:rPr>
              <w:t>t/a，则本项目废活性炭产生量约为</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2.268</w:t>
            </w:r>
            <w:r>
              <w:rPr>
                <w:rFonts w:hint="default"/>
                <w:color w:val="0D0D0D" w:themeColor="text1" w:themeTint="F2"/>
                <w:kern w:val="0"/>
                <w:u w:val="single"/>
                <w:lang w:bidi="ar"/>
                <w14:textFill>
                  <w14:solidFill>
                    <w14:schemeClr w14:val="tx1">
                      <w14:lumMod w14:val="95000"/>
                      <w14:lumOff w14:val="5000"/>
                    </w14:schemeClr>
                  </w14:solidFill>
                </w14:textFill>
              </w:rPr>
              <w:t>t/a。又因项目废气处理设施（</w:t>
            </w:r>
            <w:r>
              <w:rPr>
                <w:rFonts w:hint="eastAsia"/>
                <w:color w:val="0D0D0D" w:themeColor="text1" w:themeTint="F2"/>
                <w:kern w:val="0"/>
                <w:u w:val="single"/>
                <w:lang w:eastAsia="zh-CN" w:bidi="ar"/>
                <w14:textFill>
                  <w14:solidFill>
                    <w14:schemeClr w14:val="tx1">
                      <w14:lumMod w14:val="95000"/>
                      <w14:lumOff w14:val="5000"/>
                    </w14:schemeClr>
                  </w14:solidFill>
                </w14:textFill>
              </w:rPr>
              <w:t>二级活性炭</w:t>
            </w:r>
            <w:r>
              <w:rPr>
                <w:rFonts w:hint="eastAsia"/>
                <w:color w:val="0D0D0D" w:themeColor="text1" w:themeTint="F2"/>
                <w:kern w:val="0"/>
                <w:u w:val="single"/>
                <w:lang w:bidi="ar"/>
                <w14:textFill>
                  <w14:solidFill>
                    <w14:schemeClr w14:val="tx1">
                      <w14:lumMod w14:val="95000"/>
                      <w14:lumOff w14:val="5000"/>
                    </w14:schemeClr>
                  </w14:solidFill>
                </w14:textFill>
              </w:rPr>
              <w:t>吸附</w:t>
            </w:r>
            <w:r>
              <w:rPr>
                <w:rFonts w:hint="default"/>
                <w:color w:val="0D0D0D" w:themeColor="text1" w:themeTint="F2"/>
                <w:kern w:val="0"/>
                <w:u w:val="single"/>
                <w:lang w:bidi="ar"/>
                <w14:textFill>
                  <w14:solidFill>
                    <w14:schemeClr w14:val="tx1">
                      <w14:lumMod w14:val="95000"/>
                      <w14:lumOff w14:val="5000"/>
                    </w14:schemeClr>
                  </w14:solidFill>
                </w14:textFill>
              </w:rPr>
              <w:t>装置）在经过一段时间的运行后，由于湖南天气潮湿等因素容易使活性炭受潮会影响吸附效果，需定期更换，故废活性炭的产生量如下表：</w:t>
            </w:r>
          </w:p>
          <w:p w14:paraId="5116B4BC">
            <w:pPr>
              <w:keepNext w:val="0"/>
              <w:keepLines w:val="0"/>
              <w:suppressLineNumbers w:val="0"/>
              <w:spacing w:before="0" w:beforeAutospacing="0" w:after="0" w:afterAutospacing="0"/>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表4-11  活性炭吸附装置主要技术参数</w:t>
            </w:r>
          </w:p>
          <w:tbl>
            <w:tblPr>
              <w:tblStyle w:val="17"/>
              <w:tblW w:w="807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4"/>
              <w:gridCol w:w="2643"/>
              <w:gridCol w:w="3261"/>
            </w:tblGrid>
            <w:tr w14:paraId="467C7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2174" w:type="dxa"/>
                  <w:tcBorders>
                    <w:tl2br w:val="nil"/>
                    <w:tr2bl w:val="nil"/>
                  </w:tcBorders>
                  <w:vAlign w:val="center"/>
                </w:tcPr>
                <w:p w14:paraId="6F207D7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废气治理设施</w:t>
                  </w:r>
                </w:p>
              </w:tc>
              <w:tc>
                <w:tcPr>
                  <w:tcW w:w="2643" w:type="dxa"/>
                  <w:tcBorders>
                    <w:tl2br w:val="nil"/>
                    <w:tr2bl w:val="nil"/>
                  </w:tcBorders>
                  <w:vAlign w:val="center"/>
                </w:tcPr>
                <w:p w14:paraId="4C7A3105">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主要指标</w:t>
                  </w:r>
                </w:p>
              </w:tc>
              <w:tc>
                <w:tcPr>
                  <w:tcW w:w="3261" w:type="dxa"/>
                  <w:tcBorders>
                    <w:tl2br w:val="nil"/>
                    <w:tr2bl w:val="nil"/>
                  </w:tcBorders>
                  <w:vAlign w:val="center"/>
                </w:tcPr>
                <w:p w14:paraId="06B77126">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参数</w:t>
                  </w:r>
                </w:p>
              </w:tc>
            </w:tr>
            <w:tr w14:paraId="4AA5F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74" w:type="dxa"/>
                  <w:vMerge w:val="restart"/>
                  <w:tcBorders>
                    <w:tl2br w:val="nil"/>
                    <w:tr2bl w:val="nil"/>
                  </w:tcBorders>
                  <w:vAlign w:val="center"/>
                </w:tcPr>
                <w:p w14:paraId="3078177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eastAsia="zh-CN" w:bidi="ar"/>
                      <w14:textFill>
                        <w14:solidFill>
                          <w14:schemeClr w14:val="tx1">
                            <w14:lumMod w14:val="95000"/>
                            <w14:lumOff w14:val="5000"/>
                          </w14:schemeClr>
                        </w14:solidFill>
                      </w14:textFill>
                    </w:rPr>
                    <w:t>二级活性炭</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吸附</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装置</w:t>
                  </w:r>
                </w:p>
              </w:tc>
              <w:tc>
                <w:tcPr>
                  <w:tcW w:w="2643" w:type="dxa"/>
                  <w:tcBorders>
                    <w:tl2br w:val="nil"/>
                    <w:tr2bl w:val="nil"/>
                  </w:tcBorders>
                  <w:vAlign w:val="center"/>
                </w:tcPr>
                <w:p w14:paraId="0A29594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单塔设计风量</w:t>
                  </w:r>
                </w:p>
              </w:tc>
              <w:tc>
                <w:tcPr>
                  <w:tcW w:w="3261" w:type="dxa"/>
                  <w:tcBorders>
                    <w:tl2br w:val="nil"/>
                    <w:tr2bl w:val="nil"/>
                  </w:tcBorders>
                  <w:vAlign w:val="center"/>
                </w:tcPr>
                <w:p w14:paraId="6F527D8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5000m³/h</w:t>
                  </w:r>
                </w:p>
              </w:tc>
            </w:tr>
            <w:tr w14:paraId="3D643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74" w:type="dxa"/>
                  <w:vMerge w:val="continue"/>
                  <w:tcBorders>
                    <w:tl2br w:val="nil"/>
                    <w:tr2bl w:val="nil"/>
                  </w:tcBorders>
                  <w:vAlign w:val="center"/>
                </w:tcPr>
                <w:p w14:paraId="5BC5A46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4841C22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活性炭层数</w:t>
                  </w:r>
                </w:p>
              </w:tc>
              <w:tc>
                <w:tcPr>
                  <w:tcW w:w="3261" w:type="dxa"/>
                  <w:tcBorders>
                    <w:tl2br w:val="nil"/>
                    <w:tr2bl w:val="nil"/>
                  </w:tcBorders>
                  <w:vAlign w:val="center"/>
                </w:tcPr>
                <w:p w14:paraId="1DC2938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L</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9</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00mm×W</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80</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0mm×H</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800</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mm，</w:t>
                  </w:r>
                </w:p>
                <w:p w14:paraId="4CA3A7A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共</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2</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层</w:t>
                  </w:r>
                </w:p>
              </w:tc>
            </w:tr>
            <w:tr w14:paraId="0F6FBC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74" w:type="dxa"/>
                  <w:vMerge w:val="continue"/>
                  <w:tcBorders>
                    <w:tl2br w:val="nil"/>
                    <w:tr2bl w:val="nil"/>
                  </w:tcBorders>
                  <w:vAlign w:val="center"/>
                </w:tcPr>
                <w:p w14:paraId="4011EB4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0A7CAE4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每层活性炭厚度</w:t>
                  </w:r>
                </w:p>
              </w:tc>
              <w:tc>
                <w:tcPr>
                  <w:tcW w:w="3261" w:type="dxa"/>
                  <w:tcBorders>
                    <w:tl2br w:val="nil"/>
                    <w:tr2bl w:val="nil"/>
                  </w:tcBorders>
                  <w:vAlign w:val="center"/>
                </w:tcPr>
                <w:p w14:paraId="6C36DAA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100mm</w:t>
                  </w:r>
                </w:p>
              </w:tc>
            </w:tr>
            <w:tr w14:paraId="4D71B4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174" w:type="dxa"/>
                  <w:vMerge w:val="continue"/>
                  <w:tcBorders>
                    <w:tl2br w:val="nil"/>
                    <w:tr2bl w:val="nil"/>
                  </w:tcBorders>
                  <w:vAlign w:val="center"/>
                </w:tcPr>
                <w:p w14:paraId="4C91B22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0C6D674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炭层气体流速</w:t>
                  </w:r>
                </w:p>
              </w:tc>
              <w:tc>
                <w:tcPr>
                  <w:tcW w:w="3261" w:type="dxa"/>
                  <w:tcBorders>
                    <w:tl2br w:val="nil"/>
                    <w:tr2bl w:val="nil"/>
                  </w:tcBorders>
                  <w:vAlign w:val="center"/>
                </w:tcPr>
                <w:p w14:paraId="5C1FDD1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1.085</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m/s</w:t>
                  </w:r>
                </w:p>
              </w:tc>
            </w:tr>
            <w:tr w14:paraId="48550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74" w:type="dxa"/>
                  <w:vMerge w:val="continue"/>
                  <w:tcBorders>
                    <w:tl2br w:val="nil"/>
                    <w:tr2bl w:val="nil"/>
                  </w:tcBorders>
                  <w:vAlign w:val="center"/>
                </w:tcPr>
                <w:p w14:paraId="1E241AE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6A29178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堆积密度</w:t>
                  </w:r>
                </w:p>
              </w:tc>
              <w:tc>
                <w:tcPr>
                  <w:tcW w:w="3261" w:type="dxa"/>
                  <w:tcBorders>
                    <w:tl2br w:val="nil"/>
                    <w:tr2bl w:val="nil"/>
                  </w:tcBorders>
                  <w:vAlign w:val="center"/>
                </w:tcPr>
                <w:p w14:paraId="4578DA2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0.4g/cm³</w:t>
                  </w:r>
                </w:p>
              </w:tc>
            </w:tr>
            <w:tr w14:paraId="14102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74" w:type="dxa"/>
                  <w:vMerge w:val="continue"/>
                  <w:tcBorders>
                    <w:tl2br w:val="nil"/>
                    <w:tr2bl w:val="nil"/>
                  </w:tcBorders>
                  <w:vAlign w:val="center"/>
                </w:tcPr>
                <w:p w14:paraId="01A2C84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5CEA3A8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单塔单次活性炭装填量</w:t>
                  </w:r>
                </w:p>
              </w:tc>
              <w:tc>
                <w:tcPr>
                  <w:tcW w:w="3261" w:type="dxa"/>
                  <w:tcBorders>
                    <w:tl2br w:val="nil"/>
                    <w:tr2bl w:val="nil"/>
                  </w:tcBorders>
                  <w:vAlign w:val="center"/>
                </w:tcPr>
                <w:p w14:paraId="20D4857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0.2304t</w:t>
                  </w:r>
                </w:p>
              </w:tc>
            </w:tr>
            <w:tr w14:paraId="3C2C77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74" w:type="dxa"/>
                  <w:vMerge w:val="continue"/>
                  <w:tcBorders>
                    <w:tl2br w:val="nil"/>
                    <w:tr2bl w:val="nil"/>
                  </w:tcBorders>
                  <w:vAlign w:val="center"/>
                </w:tcPr>
                <w:p w14:paraId="4A8FBC8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0741372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双塔单次活性炭总装填量</w:t>
                  </w:r>
                </w:p>
              </w:tc>
              <w:tc>
                <w:tcPr>
                  <w:tcW w:w="3261" w:type="dxa"/>
                  <w:tcBorders>
                    <w:tl2br w:val="nil"/>
                    <w:tr2bl w:val="nil"/>
                  </w:tcBorders>
                  <w:vAlign w:val="center"/>
                </w:tcPr>
                <w:p w14:paraId="6BEE9DE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0.4608t</w:t>
                  </w:r>
                </w:p>
              </w:tc>
            </w:tr>
            <w:tr w14:paraId="2C5D2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74" w:type="dxa"/>
                  <w:vMerge w:val="continue"/>
                  <w:tcBorders>
                    <w:tl2br w:val="nil"/>
                    <w:tr2bl w:val="nil"/>
                  </w:tcBorders>
                  <w:vAlign w:val="center"/>
                </w:tcPr>
                <w:p w14:paraId="10F5B40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3D07486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活性炭年更换次数</w:t>
                  </w:r>
                </w:p>
              </w:tc>
              <w:tc>
                <w:tcPr>
                  <w:tcW w:w="3261" w:type="dxa"/>
                  <w:tcBorders>
                    <w:tl2br w:val="nil"/>
                    <w:tr2bl w:val="nil"/>
                  </w:tcBorders>
                  <w:vAlign w:val="center"/>
                </w:tcPr>
                <w:p w14:paraId="5B71808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val="en-US" w:eastAsia="zh-CN" w:bidi="ar"/>
                      <w14:textFill>
                        <w14:solidFill>
                          <w14:schemeClr w14:val="tx1">
                            <w14:lumMod w14:val="95000"/>
                            <w14:lumOff w14:val="5000"/>
                          </w14:schemeClr>
                        </w14:solidFill>
                      </w14:textFill>
                    </w:rPr>
                    <w:t>5</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次</w:t>
                  </w:r>
                </w:p>
              </w:tc>
            </w:tr>
            <w:tr w14:paraId="42E798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74" w:type="dxa"/>
                  <w:vMerge w:val="continue"/>
                  <w:tcBorders>
                    <w:tl2br w:val="nil"/>
                    <w:tr2bl w:val="nil"/>
                  </w:tcBorders>
                  <w:vAlign w:val="center"/>
                </w:tcPr>
                <w:p w14:paraId="0CDE956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c>
                <w:tcPr>
                  <w:tcW w:w="2643" w:type="dxa"/>
                  <w:tcBorders>
                    <w:tl2br w:val="nil"/>
                    <w:tr2bl w:val="nil"/>
                  </w:tcBorders>
                  <w:vAlign w:val="center"/>
                </w:tcPr>
                <w:p w14:paraId="5215EB4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废活性炭量</w:t>
                  </w:r>
                </w:p>
              </w:tc>
              <w:tc>
                <w:tcPr>
                  <w:tcW w:w="3261" w:type="dxa"/>
                  <w:tcBorders>
                    <w:tl2br w:val="nil"/>
                    <w:tr2bl w:val="nil"/>
                  </w:tcBorders>
                  <w:vAlign w:val="center"/>
                </w:tcPr>
                <w:p w14:paraId="2DEEF2D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val="en-US" w:eastAsia="zh-CN" w:bidi="ar"/>
                      <w14:textFill>
                        <w14:solidFill>
                          <w14:schemeClr w14:val="tx1">
                            <w14:lumMod w14:val="95000"/>
                            <w14:lumOff w14:val="5000"/>
                          </w14:schemeClr>
                        </w14:solidFill>
                      </w14:textFill>
                    </w:rPr>
                    <w:t>2.268</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t/a</w:t>
                  </w:r>
                </w:p>
              </w:tc>
            </w:tr>
          </w:tbl>
          <w:p w14:paraId="49BFD733">
            <w:pPr>
              <w:keepNext w:val="0"/>
              <w:keepLines w:val="0"/>
              <w:suppressLineNumbers w:val="0"/>
              <w:spacing w:before="0" w:beforeAutospacing="0" w:after="0" w:afterAutospacing="0"/>
              <w:ind w:left="0" w:right="0" w:firstLine="42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注：碳层气体流速计算过程：5000m³/h÷（800mm×800mm）÷</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2</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÷3600≈</w:t>
            </w:r>
            <w:r>
              <w:rPr>
                <w:rFonts w:hint="eastAsia"/>
                <w:color w:val="0D0D0D" w:themeColor="text1" w:themeTint="F2"/>
                <w:kern w:val="0"/>
                <w:sz w:val="21"/>
                <w:szCs w:val="21"/>
                <w:u w:val="single"/>
                <w:lang w:bidi="ar"/>
                <w14:textFill>
                  <w14:solidFill>
                    <w14:schemeClr w14:val="tx1">
                      <w14:lumMod w14:val="95000"/>
                      <w14:lumOff w14:val="5000"/>
                    </w14:schemeClr>
                  </w14:solidFill>
                </w14:textFill>
              </w:rPr>
              <w:t>1.085</w:t>
            </w:r>
            <w:r>
              <w:rPr>
                <w:rFonts w:hint="default"/>
                <w:color w:val="0D0D0D" w:themeColor="text1" w:themeTint="F2"/>
                <w:kern w:val="0"/>
                <w:sz w:val="21"/>
                <w:szCs w:val="21"/>
                <w:u w:val="single"/>
                <w:lang w:bidi="ar"/>
                <w14:textFill>
                  <w14:solidFill>
                    <w14:schemeClr w14:val="tx1">
                      <w14:lumMod w14:val="95000"/>
                      <w14:lumOff w14:val="5000"/>
                    </w14:schemeClr>
                  </w14:solidFill>
                </w14:textFill>
              </w:rPr>
              <w:t>m/s。</w:t>
            </w:r>
          </w:p>
          <w:p w14:paraId="5FAFA222">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综上分析，则项目废活性炭产生量为</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2.268</w:t>
            </w:r>
            <w:r>
              <w:rPr>
                <w:rFonts w:hint="default"/>
                <w:color w:val="0D0D0D" w:themeColor="text1" w:themeTint="F2"/>
                <w:kern w:val="0"/>
                <w:u w:val="single"/>
                <w:lang w:bidi="ar"/>
                <w14:textFill>
                  <w14:solidFill>
                    <w14:schemeClr w14:val="tx1">
                      <w14:lumMod w14:val="95000"/>
                      <w14:lumOff w14:val="5000"/>
                    </w14:schemeClr>
                  </w14:solidFill>
                </w14:textFill>
              </w:rPr>
              <w:t>吨/年。按照《国家危险废物名录》(2021版)规定，废活性炭属于危险废物，危险废物的编号为HW49，废物代码为900-039-49。</w:t>
            </w:r>
          </w:p>
          <w:p w14:paraId="6FEBCDB0">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②废含油抹布：生产设备日常维护过程中产生废含油抹布约0.01t/a。</w:t>
            </w:r>
          </w:p>
          <w:p w14:paraId="443EC2E3">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③废润滑油：企业大致每年会对设备内空压机油进行更换，产生废油约0.03t/a。</w:t>
            </w:r>
          </w:p>
          <w:p w14:paraId="36C7524F">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④废油桶：生产设备日常维护使用原料，产生废油桶约0.005t/a。</w:t>
            </w:r>
          </w:p>
          <w:p w14:paraId="17AD845B">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表4-12  项目危险废物产生情况汇总表</w:t>
            </w:r>
          </w:p>
          <w:tbl>
            <w:tblPr>
              <w:tblStyle w:val="17"/>
              <w:tblW w:w="80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1"/>
              <w:gridCol w:w="779"/>
              <w:gridCol w:w="1149"/>
              <w:gridCol w:w="1148"/>
              <w:gridCol w:w="635"/>
              <w:gridCol w:w="706"/>
              <w:gridCol w:w="392"/>
              <w:gridCol w:w="764"/>
              <w:gridCol w:w="650"/>
              <w:gridCol w:w="729"/>
              <w:gridCol w:w="640"/>
            </w:tblGrid>
            <w:tr w14:paraId="0F41B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501" w:type="dxa"/>
                  <w:tcBorders>
                    <w:tl2br w:val="nil"/>
                    <w:tr2bl w:val="nil"/>
                  </w:tcBorders>
                  <w:tcMar>
                    <w:top w:w="0" w:type="dxa"/>
                    <w:left w:w="17" w:type="dxa"/>
                    <w:bottom w:w="0" w:type="dxa"/>
                    <w:right w:w="17" w:type="dxa"/>
                  </w:tcMar>
                  <w:vAlign w:val="center"/>
                </w:tcPr>
                <w:p w14:paraId="76BB60D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序号</w:t>
                  </w:r>
                </w:p>
              </w:tc>
              <w:tc>
                <w:tcPr>
                  <w:tcW w:w="779" w:type="dxa"/>
                  <w:tcBorders>
                    <w:tl2br w:val="nil"/>
                    <w:tr2bl w:val="nil"/>
                  </w:tcBorders>
                  <w:tcMar>
                    <w:top w:w="0" w:type="dxa"/>
                    <w:left w:w="17" w:type="dxa"/>
                    <w:bottom w:w="0" w:type="dxa"/>
                    <w:right w:w="17" w:type="dxa"/>
                  </w:tcMar>
                  <w:vAlign w:val="center"/>
                </w:tcPr>
                <w:p w14:paraId="0D7FD4E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名称</w:t>
                  </w:r>
                </w:p>
              </w:tc>
              <w:tc>
                <w:tcPr>
                  <w:tcW w:w="1149" w:type="dxa"/>
                  <w:tcBorders>
                    <w:tl2br w:val="nil"/>
                    <w:tr2bl w:val="nil"/>
                  </w:tcBorders>
                  <w:tcMar>
                    <w:top w:w="0" w:type="dxa"/>
                    <w:left w:w="17" w:type="dxa"/>
                    <w:bottom w:w="0" w:type="dxa"/>
                    <w:right w:w="17" w:type="dxa"/>
                  </w:tcMar>
                  <w:vAlign w:val="center"/>
                </w:tcPr>
                <w:p w14:paraId="7C177ADB">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废物类别</w:t>
                  </w:r>
                </w:p>
              </w:tc>
              <w:tc>
                <w:tcPr>
                  <w:tcW w:w="1148" w:type="dxa"/>
                  <w:tcBorders>
                    <w:tl2br w:val="nil"/>
                    <w:tr2bl w:val="nil"/>
                  </w:tcBorders>
                  <w:tcMar>
                    <w:top w:w="0" w:type="dxa"/>
                    <w:left w:w="17" w:type="dxa"/>
                    <w:bottom w:w="0" w:type="dxa"/>
                    <w:right w:w="17" w:type="dxa"/>
                  </w:tcMar>
                  <w:vAlign w:val="center"/>
                </w:tcPr>
                <w:p w14:paraId="2BD114B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废物代码</w:t>
                  </w:r>
                </w:p>
              </w:tc>
              <w:tc>
                <w:tcPr>
                  <w:tcW w:w="635" w:type="dxa"/>
                  <w:tcBorders>
                    <w:tl2br w:val="nil"/>
                    <w:tr2bl w:val="nil"/>
                  </w:tcBorders>
                  <w:tcMar>
                    <w:top w:w="0" w:type="dxa"/>
                    <w:left w:w="17" w:type="dxa"/>
                    <w:bottom w:w="0" w:type="dxa"/>
                    <w:right w:w="17" w:type="dxa"/>
                  </w:tcMar>
                  <w:vAlign w:val="center"/>
                </w:tcPr>
                <w:p w14:paraId="0F13FBA9">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产生量t/a</w:t>
                  </w:r>
                </w:p>
              </w:tc>
              <w:tc>
                <w:tcPr>
                  <w:tcW w:w="706" w:type="dxa"/>
                  <w:tcBorders>
                    <w:tl2br w:val="nil"/>
                    <w:tr2bl w:val="nil"/>
                  </w:tcBorders>
                  <w:tcMar>
                    <w:top w:w="0" w:type="dxa"/>
                    <w:left w:w="17" w:type="dxa"/>
                    <w:bottom w:w="0" w:type="dxa"/>
                    <w:right w:w="17" w:type="dxa"/>
                  </w:tcMar>
                  <w:vAlign w:val="center"/>
                </w:tcPr>
                <w:p w14:paraId="0CAA33B3">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产生工序</w:t>
                  </w:r>
                </w:p>
              </w:tc>
              <w:tc>
                <w:tcPr>
                  <w:tcW w:w="392" w:type="dxa"/>
                  <w:tcBorders>
                    <w:tl2br w:val="nil"/>
                    <w:tr2bl w:val="nil"/>
                  </w:tcBorders>
                  <w:tcMar>
                    <w:top w:w="0" w:type="dxa"/>
                    <w:left w:w="17" w:type="dxa"/>
                    <w:bottom w:w="0" w:type="dxa"/>
                    <w:right w:w="17" w:type="dxa"/>
                  </w:tcMar>
                  <w:vAlign w:val="center"/>
                </w:tcPr>
                <w:p w14:paraId="788E216E">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形态</w:t>
                  </w:r>
                </w:p>
              </w:tc>
              <w:tc>
                <w:tcPr>
                  <w:tcW w:w="764" w:type="dxa"/>
                  <w:tcBorders>
                    <w:tl2br w:val="nil"/>
                    <w:tr2bl w:val="nil"/>
                  </w:tcBorders>
                  <w:tcMar>
                    <w:top w:w="0" w:type="dxa"/>
                    <w:left w:w="17" w:type="dxa"/>
                    <w:bottom w:w="0" w:type="dxa"/>
                    <w:right w:w="17" w:type="dxa"/>
                  </w:tcMar>
                  <w:vAlign w:val="center"/>
                </w:tcPr>
                <w:p w14:paraId="7FA57D2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主要</w:t>
                  </w:r>
                </w:p>
                <w:p w14:paraId="0ABE6B14">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成分</w:t>
                  </w:r>
                </w:p>
              </w:tc>
              <w:tc>
                <w:tcPr>
                  <w:tcW w:w="650" w:type="dxa"/>
                  <w:tcBorders>
                    <w:tl2br w:val="nil"/>
                    <w:tr2bl w:val="nil"/>
                  </w:tcBorders>
                  <w:tcMar>
                    <w:top w:w="0" w:type="dxa"/>
                    <w:left w:w="17" w:type="dxa"/>
                    <w:bottom w:w="0" w:type="dxa"/>
                    <w:right w:w="17" w:type="dxa"/>
                  </w:tcMar>
                  <w:vAlign w:val="center"/>
                </w:tcPr>
                <w:p w14:paraId="461E9D2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有害</w:t>
                  </w:r>
                </w:p>
                <w:p w14:paraId="1F7EE40A">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成分</w:t>
                  </w:r>
                </w:p>
              </w:tc>
              <w:tc>
                <w:tcPr>
                  <w:tcW w:w="729" w:type="dxa"/>
                  <w:tcBorders>
                    <w:tl2br w:val="nil"/>
                    <w:tr2bl w:val="nil"/>
                  </w:tcBorders>
                  <w:tcMar>
                    <w:top w:w="0" w:type="dxa"/>
                    <w:left w:w="17" w:type="dxa"/>
                    <w:bottom w:w="0" w:type="dxa"/>
                    <w:right w:w="17" w:type="dxa"/>
                  </w:tcMar>
                  <w:vAlign w:val="center"/>
                </w:tcPr>
                <w:p w14:paraId="61FF206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危险</w:t>
                  </w:r>
                </w:p>
                <w:p w14:paraId="138C232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特性</w:t>
                  </w:r>
                </w:p>
              </w:tc>
              <w:tc>
                <w:tcPr>
                  <w:tcW w:w="640" w:type="dxa"/>
                  <w:tcBorders>
                    <w:tl2br w:val="nil"/>
                    <w:tr2bl w:val="nil"/>
                  </w:tcBorders>
                  <w:tcMar>
                    <w:left w:w="17" w:type="dxa"/>
                    <w:right w:w="17" w:type="dxa"/>
                  </w:tcMar>
                  <w:vAlign w:val="center"/>
                </w:tcPr>
                <w:p w14:paraId="022C9CE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处置</w:t>
                  </w:r>
                </w:p>
                <w:p w14:paraId="048C23B0">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方法</w:t>
                  </w:r>
                </w:p>
              </w:tc>
            </w:tr>
            <w:tr w14:paraId="0FB33A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01" w:type="dxa"/>
                  <w:tcBorders>
                    <w:tl2br w:val="nil"/>
                    <w:tr2bl w:val="nil"/>
                  </w:tcBorders>
                  <w:tcMar>
                    <w:top w:w="0" w:type="dxa"/>
                    <w:left w:w="17" w:type="dxa"/>
                    <w:bottom w:w="0" w:type="dxa"/>
                    <w:right w:w="17" w:type="dxa"/>
                  </w:tcMar>
                  <w:vAlign w:val="center"/>
                </w:tcPr>
                <w:p w14:paraId="67BA874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w:t>
                  </w:r>
                </w:p>
              </w:tc>
              <w:tc>
                <w:tcPr>
                  <w:tcW w:w="779" w:type="dxa"/>
                  <w:tcBorders>
                    <w:tl2br w:val="nil"/>
                    <w:tr2bl w:val="nil"/>
                  </w:tcBorders>
                  <w:tcMar>
                    <w:top w:w="0" w:type="dxa"/>
                    <w:left w:w="17" w:type="dxa"/>
                    <w:bottom w:w="0" w:type="dxa"/>
                    <w:right w:w="17" w:type="dxa"/>
                  </w:tcMar>
                  <w:vAlign w:val="center"/>
                </w:tcPr>
                <w:p w14:paraId="79E54A8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废润滑油</w:t>
                  </w:r>
                </w:p>
              </w:tc>
              <w:tc>
                <w:tcPr>
                  <w:tcW w:w="1149" w:type="dxa"/>
                  <w:tcBorders>
                    <w:tl2br w:val="nil"/>
                    <w:tr2bl w:val="nil"/>
                  </w:tcBorders>
                  <w:tcMar>
                    <w:top w:w="0" w:type="dxa"/>
                    <w:left w:w="17" w:type="dxa"/>
                    <w:bottom w:w="0" w:type="dxa"/>
                    <w:right w:w="17" w:type="dxa"/>
                  </w:tcMar>
                  <w:vAlign w:val="center"/>
                </w:tcPr>
                <w:p w14:paraId="6C6841E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HW08废矿物油与含矿物油废物</w:t>
                  </w:r>
                </w:p>
              </w:tc>
              <w:tc>
                <w:tcPr>
                  <w:tcW w:w="1148" w:type="dxa"/>
                  <w:tcBorders>
                    <w:tl2br w:val="nil"/>
                    <w:tr2bl w:val="nil"/>
                  </w:tcBorders>
                  <w:tcMar>
                    <w:top w:w="0" w:type="dxa"/>
                    <w:left w:w="17" w:type="dxa"/>
                    <w:bottom w:w="0" w:type="dxa"/>
                    <w:right w:w="17" w:type="dxa"/>
                  </w:tcMar>
                  <w:vAlign w:val="center"/>
                </w:tcPr>
                <w:p w14:paraId="76B6261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900-214-08</w:t>
                  </w:r>
                </w:p>
              </w:tc>
              <w:tc>
                <w:tcPr>
                  <w:tcW w:w="635" w:type="dxa"/>
                  <w:tcBorders>
                    <w:tl2br w:val="nil"/>
                    <w:tr2bl w:val="nil"/>
                  </w:tcBorders>
                  <w:tcMar>
                    <w:top w:w="0" w:type="dxa"/>
                    <w:left w:w="17" w:type="dxa"/>
                    <w:bottom w:w="0" w:type="dxa"/>
                    <w:right w:w="17" w:type="dxa"/>
                  </w:tcMar>
                  <w:vAlign w:val="center"/>
                </w:tcPr>
                <w:p w14:paraId="44E0507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0.03</w:t>
                  </w:r>
                </w:p>
              </w:tc>
              <w:tc>
                <w:tcPr>
                  <w:tcW w:w="706" w:type="dxa"/>
                  <w:tcBorders>
                    <w:tl2br w:val="nil"/>
                    <w:tr2bl w:val="nil"/>
                  </w:tcBorders>
                  <w:tcMar>
                    <w:top w:w="0" w:type="dxa"/>
                    <w:left w:w="17" w:type="dxa"/>
                    <w:bottom w:w="0" w:type="dxa"/>
                    <w:right w:w="17" w:type="dxa"/>
                  </w:tcMar>
                  <w:vAlign w:val="center"/>
                </w:tcPr>
                <w:p w14:paraId="6C7AE44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设备</w:t>
                  </w:r>
                </w:p>
                <w:p w14:paraId="419460D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维修</w:t>
                  </w:r>
                </w:p>
              </w:tc>
              <w:tc>
                <w:tcPr>
                  <w:tcW w:w="392" w:type="dxa"/>
                  <w:tcBorders>
                    <w:tl2br w:val="nil"/>
                    <w:tr2bl w:val="nil"/>
                  </w:tcBorders>
                  <w:tcMar>
                    <w:top w:w="0" w:type="dxa"/>
                    <w:left w:w="17" w:type="dxa"/>
                    <w:bottom w:w="0" w:type="dxa"/>
                    <w:right w:w="17" w:type="dxa"/>
                  </w:tcMar>
                  <w:vAlign w:val="center"/>
                </w:tcPr>
                <w:p w14:paraId="74540B6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液态</w:t>
                  </w:r>
                </w:p>
              </w:tc>
              <w:tc>
                <w:tcPr>
                  <w:tcW w:w="764" w:type="dxa"/>
                  <w:tcBorders>
                    <w:tl2br w:val="nil"/>
                    <w:tr2bl w:val="nil"/>
                  </w:tcBorders>
                  <w:tcMar>
                    <w:top w:w="0" w:type="dxa"/>
                    <w:left w:w="17" w:type="dxa"/>
                    <w:bottom w:w="0" w:type="dxa"/>
                    <w:right w:w="17" w:type="dxa"/>
                  </w:tcMar>
                  <w:vAlign w:val="center"/>
                </w:tcPr>
                <w:p w14:paraId="5746F69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润滑</w:t>
                  </w:r>
                </w:p>
                <w:p w14:paraId="586FD0D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油</w:t>
                  </w:r>
                </w:p>
              </w:tc>
              <w:tc>
                <w:tcPr>
                  <w:tcW w:w="650" w:type="dxa"/>
                  <w:tcBorders>
                    <w:tl2br w:val="nil"/>
                    <w:tr2bl w:val="nil"/>
                  </w:tcBorders>
                  <w:tcMar>
                    <w:top w:w="0" w:type="dxa"/>
                    <w:left w:w="17" w:type="dxa"/>
                    <w:bottom w:w="0" w:type="dxa"/>
                    <w:right w:w="17" w:type="dxa"/>
                  </w:tcMar>
                  <w:vAlign w:val="center"/>
                </w:tcPr>
                <w:p w14:paraId="54AC4A0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润滑</w:t>
                  </w:r>
                </w:p>
                <w:p w14:paraId="70A0108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油</w:t>
                  </w:r>
                </w:p>
              </w:tc>
              <w:tc>
                <w:tcPr>
                  <w:tcW w:w="729" w:type="dxa"/>
                  <w:tcBorders>
                    <w:tl2br w:val="nil"/>
                    <w:tr2bl w:val="nil"/>
                  </w:tcBorders>
                  <w:tcMar>
                    <w:top w:w="0" w:type="dxa"/>
                    <w:left w:w="17" w:type="dxa"/>
                    <w:bottom w:w="0" w:type="dxa"/>
                    <w:right w:w="17" w:type="dxa"/>
                  </w:tcMar>
                  <w:vAlign w:val="center"/>
                </w:tcPr>
                <w:p w14:paraId="47A626A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T/I</w:t>
                  </w:r>
                </w:p>
              </w:tc>
              <w:tc>
                <w:tcPr>
                  <w:tcW w:w="640" w:type="dxa"/>
                  <w:vMerge w:val="restart"/>
                  <w:tcBorders>
                    <w:tl2br w:val="nil"/>
                    <w:tr2bl w:val="nil"/>
                  </w:tcBorders>
                  <w:tcMar>
                    <w:top w:w="0" w:type="dxa"/>
                    <w:left w:w="17" w:type="dxa"/>
                    <w:bottom w:w="0" w:type="dxa"/>
                    <w:right w:w="17" w:type="dxa"/>
                  </w:tcMar>
                  <w:vAlign w:val="center"/>
                </w:tcPr>
                <w:p w14:paraId="4C252C2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交由</w:t>
                  </w:r>
                </w:p>
                <w:p w14:paraId="491AE3E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有资</w:t>
                  </w:r>
                </w:p>
                <w:p w14:paraId="27A6D13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质单</w:t>
                  </w:r>
                </w:p>
                <w:p w14:paraId="45B4135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位处</w:t>
                  </w:r>
                </w:p>
                <w:p w14:paraId="28563EC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置</w:t>
                  </w:r>
                </w:p>
              </w:tc>
            </w:tr>
            <w:tr w14:paraId="5BD97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1" w:type="dxa"/>
                  <w:tcBorders>
                    <w:tl2br w:val="nil"/>
                    <w:tr2bl w:val="nil"/>
                  </w:tcBorders>
                  <w:tcMar>
                    <w:top w:w="0" w:type="dxa"/>
                    <w:left w:w="17" w:type="dxa"/>
                    <w:bottom w:w="0" w:type="dxa"/>
                    <w:right w:w="17" w:type="dxa"/>
                  </w:tcMar>
                  <w:vAlign w:val="center"/>
                </w:tcPr>
                <w:p w14:paraId="69CAA62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2</w:t>
                  </w:r>
                </w:p>
              </w:tc>
              <w:tc>
                <w:tcPr>
                  <w:tcW w:w="779" w:type="dxa"/>
                  <w:tcBorders>
                    <w:tl2br w:val="nil"/>
                    <w:tr2bl w:val="nil"/>
                  </w:tcBorders>
                  <w:tcMar>
                    <w:top w:w="0" w:type="dxa"/>
                    <w:left w:w="17" w:type="dxa"/>
                    <w:bottom w:w="0" w:type="dxa"/>
                    <w:right w:w="17" w:type="dxa"/>
                  </w:tcMar>
                  <w:vAlign w:val="center"/>
                </w:tcPr>
                <w:p w14:paraId="1E5645D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废油桶</w:t>
                  </w:r>
                </w:p>
              </w:tc>
              <w:tc>
                <w:tcPr>
                  <w:tcW w:w="1149" w:type="dxa"/>
                  <w:tcBorders>
                    <w:tl2br w:val="nil"/>
                    <w:tr2bl w:val="nil"/>
                  </w:tcBorders>
                  <w:tcMar>
                    <w:top w:w="0" w:type="dxa"/>
                    <w:left w:w="17" w:type="dxa"/>
                    <w:bottom w:w="0" w:type="dxa"/>
                    <w:right w:w="17" w:type="dxa"/>
                  </w:tcMar>
                  <w:vAlign w:val="center"/>
                </w:tcPr>
                <w:p w14:paraId="6EC34BF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HW49其</w:t>
                  </w:r>
                </w:p>
                <w:p w14:paraId="5545EEF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他废物</w:t>
                  </w:r>
                </w:p>
              </w:tc>
              <w:tc>
                <w:tcPr>
                  <w:tcW w:w="1148" w:type="dxa"/>
                  <w:tcBorders>
                    <w:tl2br w:val="nil"/>
                    <w:tr2bl w:val="nil"/>
                  </w:tcBorders>
                  <w:tcMar>
                    <w:top w:w="0" w:type="dxa"/>
                    <w:left w:w="17" w:type="dxa"/>
                    <w:bottom w:w="0" w:type="dxa"/>
                    <w:right w:w="17" w:type="dxa"/>
                  </w:tcMar>
                  <w:vAlign w:val="center"/>
                </w:tcPr>
                <w:p w14:paraId="76EC4D9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900-041-49</w:t>
                  </w:r>
                </w:p>
              </w:tc>
              <w:tc>
                <w:tcPr>
                  <w:tcW w:w="635" w:type="dxa"/>
                  <w:tcBorders>
                    <w:tl2br w:val="nil"/>
                    <w:tr2bl w:val="nil"/>
                  </w:tcBorders>
                  <w:tcMar>
                    <w:top w:w="0" w:type="dxa"/>
                    <w:left w:w="17" w:type="dxa"/>
                    <w:bottom w:w="0" w:type="dxa"/>
                    <w:right w:w="17" w:type="dxa"/>
                  </w:tcMar>
                  <w:vAlign w:val="center"/>
                </w:tcPr>
                <w:p w14:paraId="626A9DD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0.005</w:t>
                  </w:r>
                </w:p>
              </w:tc>
              <w:tc>
                <w:tcPr>
                  <w:tcW w:w="706" w:type="dxa"/>
                  <w:tcBorders>
                    <w:tl2br w:val="nil"/>
                    <w:tr2bl w:val="nil"/>
                  </w:tcBorders>
                  <w:tcMar>
                    <w:top w:w="0" w:type="dxa"/>
                    <w:left w:w="17" w:type="dxa"/>
                    <w:bottom w:w="0" w:type="dxa"/>
                    <w:right w:w="17" w:type="dxa"/>
                  </w:tcMar>
                  <w:vAlign w:val="center"/>
                </w:tcPr>
                <w:p w14:paraId="2F35E2E6">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设备</w:t>
                  </w:r>
                </w:p>
                <w:p w14:paraId="414E685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维修</w:t>
                  </w:r>
                </w:p>
              </w:tc>
              <w:tc>
                <w:tcPr>
                  <w:tcW w:w="392" w:type="dxa"/>
                  <w:tcBorders>
                    <w:tl2br w:val="nil"/>
                    <w:tr2bl w:val="nil"/>
                  </w:tcBorders>
                  <w:tcMar>
                    <w:top w:w="0" w:type="dxa"/>
                    <w:left w:w="17" w:type="dxa"/>
                    <w:bottom w:w="0" w:type="dxa"/>
                    <w:right w:w="17" w:type="dxa"/>
                  </w:tcMar>
                  <w:vAlign w:val="center"/>
                </w:tcPr>
                <w:p w14:paraId="7804F8A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固态</w:t>
                  </w:r>
                </w:p>
              </w:tc>
              <w:tc>
                <w:tcPr>
                  <w:tcW w:w="764" w:type="dxa"/>
                  <w:tcBorders>
                    <w:tl2br w:val="nil"/>
                    <w:tr2bl w:val="nil"/>
                  </w:tcBorders>
                  <w:tcMar>
                    <w:top w:w="0" w:type="dxa"/>
                    <w:left w:w="17" w:type="dxa"/>
                    <w:bottom w:w="0" w:type="dxa"/>
                    <w:right w:w="17" w:type="dxa"/>
                  </w:tcMar>
                  <w:vAlign w:val="center"/>
                </w:tcPr>
                <w:p w14:paraId="71C47AA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润滑</w:t>
                  </w:r>
                </w:p>
                <w:p w14:paraId="19A2644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油</w:t>
                  </w:r>
                </w:p>
              </w:tc>
              <w:tc>
                <w:tcPr>
                  <w:tcW w:w="650" w:type="dxa"/>
                  <w:tcBorders>
                    <w:tl2br w:val="nil"/>
                    <w:tr2bl w:val="nil"/>
                  </w:tcBorders>
                  <w:tcMar>
                    <w:top w:w="0" w:type="dxa"/>
                    <w:left w:w="17" w:type="dxa"/>
                    <w:bottom w:w="0" w:type="dxa"/>
                    <w:right w:w="17" w:type="dxa"/>
                  </w:tcMar>
                  <w:vAlign w:val="center"/>
                </w:tcPr>
                <w:p w14:paraId="05ED211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润滑</w:t>
                  </w:r>
                </w:p>
                <w:p w14:paraId="751BB636">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油</w:t>
                  </w:r>
                </w:p>
              </w:tc>
              <w:tc>
                <w:tcPr>
                  <w:tcW w:w="729" w:type="dxa"/>
                  <w:tcBorders>
                    <w:tl2br w:val="nil"/>
                    <w:tr2bl w:val="nil"/>
                  </w:tcBorders>
                  <w:tcMar>
                    <w:top w:w="0" w:type="dxa"/>
                    <w:left w:w="17" w:type="dxa"/>
                    <w:bottom w:w="0" w:type="dxa"/>
                    <w:right w:w="17" w:type="dxa"/>
                  </w:tcMar>
                  <w:vAlign w:val="center"/>
                </w:tcPr>
                <w:p w14:paraId="432A38A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T/I</w:t>
                  </w:r>
                </w:p>
              </w:tc>
              <w:tc>
                <w:tcPr>
                  <w:tcW w:w="640" w:type="dxa"/>
                  <w:vMerge w:val="continue"/>
                  <w:tcBorders>
                    <w:tl2br w:val="nil"/>
                    <w:tr2bl w:val="nil"/>
                  </w:tcBorders>
                  <w:tcMar>
                    <w:top w:w="0" w:type="dxa"/>
                    <w:left w:w="17" w:type="dxa"/>
                    <w:bottom w:w="0" w:type="dxa"/>
                    <w:right w:w="17" w:type="dxa"/>
                  </w:tcMar>
                  <w:vAlign w:val="center"/>
                </w:tcPr>
                <w:p w14:paraId="45CCC61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p>
              </w:tc>
            </w:tr>
            <w:tr w14:paraId="37B60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501" w:type="dxa"/>
                  <w:tcBorders>
                    <w:tl2br w:val="nil"/>
                    <w:tr2bl w:val="nil"/>
                  </w:tcBorders>
                  <w:tcMar>
                    <w:top w:w="0" w:type="dxa"/>
                    <w:left w:w="17" w:type="dxa"/>
                    <w:bottom w:w="0" w:type="dxa"/>
                    <w:right w:w="17" w:type="dxa"/>
                  </w:tcMar>
                  <w:vAlign w:val="center"/>
                </w:tcPr>
                <w:p w14:paraId="3FBCAA4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3</w:t>
                  </w:r>
                </w:p>
              </w:tc>
              <w:tc>
                <w:tcPr>
                  <w:tcW w:w="779" w:type="dxa"/>
                  <w:tcBorders>
                    <w:tl2br w:val="nil"/>
                    <w:tr2bl w:val="nil"/>
                  </w:tcBorders>
                  <w:tcMar>
                    <w:top w:w="0" w:type="dxa"/>
                    <w:left w:w="17" w:type="dxa"/>
                    <w:bottom w:w="0" w:type="dxa"/>
                    <w:right w:w="17" w:type="dxa"/>
                  </w:tcMar>
                  <w:vAlign w:val="center"/>
                </w:tcPr>
                <w:p w14:paraId="43DE055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废抹</w:t>
                  </w:r>
                </w:p>
                <w:p w14:paraId="3780C63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布手套</w:t>
                  </w:r>
                </w:p>
              </w:tc>
              <w:tc>
                <w:tcPr>
                  <w:tcW w:w="1149" w:type="dxa"/>
                  <w:tcBorders>
                    <w:tl2br w:val="nil"/>
                    <w:tr2bl w:val="nil"/>
                  </w:tcBorders>
                  <w:tcMar>
                    <w:top w:w="0" w:type="dxa"/>
                    <w:left w:w="17" w:type="dxa"/>
                    <w:bottom w:w="0" w:type="dxa"/>
                    <w:right w:w="17" w:type="dxa"/>
                  </w:tcMar>
                  <w:vAlign w:val="center"/>
                </w:tcPr>
                <w:p w14:paraId="6241B28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HW49其</w:t>
                  </w:r>
                </w:p>
                <w:p w14:paraId="0D6AD0D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他废物</w:t>
                  </w:r>
                </w:p>
              </w:tc>
              <w:tc>
                <w:tcPr>
                  <w:tcW w:w="1148" w:type="dxa"/>
                  <w:tcBorders>
                    <w:tl2br w:val="nil"/>
                    <w:tr2bl w:val="nil"/>
                  </w:tcBorders>
                  <w:tcMar>
                    <w:top w:w="0" w:type="dxa"/>
                    <w:left w:w="17" w:type="dxa"/>
                    <w:bottom w:w="0" w:type="dxa"/>
                    <w:right w:w="17" w:type="dxa"/>
                  </w:tcMar>
                  <w:vAlign w:val="center"/>
                </w:tcPr>
                <w:p w14:paraId="55DB96B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900-041-49</w:t>
                  </w:r>
                </w:p>
              </w:tc>
              <w:tc>
                <w:tcPr>
                  <w:tcW w:w="635" w:type="dxa"/>
                  <w:tcBorders>
                    <w:tl2br w:val="nil"/>
                    <w:tr2bl w:val="nil"/>
                  </w:tcBorders>
                  <w:tcMar>
                    <w:top w:w="0" w:type="dxa"/>
                    <w:left w:w="17" w:type="dxa"/>
                    <w:bottom w:w="0" w:type="dxa"/>
                    <w:right w:w="17" w:type="dxa"/>
                  </w:tcMar>
                  <w:vAlign w:val="center"/>
                </w:tcPr>
                <w:p w14:paraId="64328C1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0.01</w:t>
                  </w:r>
                </w:p>
              </w:tc>
              <w:tc>
                <w:tcPr>
                  <w:tcW w:w="706" w:type="dxa"/>
                  <w:tcBorders>
                    <w:tl2br w:val="nil"/>
                    <w:tr2bl w:val="nil"/>
                  </w:tcBorders>
                  <w:tcMar>
                    <w:top w:w="0" w:type="dxa"/>
                    <w:left w:w="17" w:type="dxa"/>
                    <w:bottom w:w="0" w:type="dxa"/>
                    <w:right w:w="17" w:type="dxa"/>
                  </w:tcMar>
                  <w:vAlign w:val="center"/>
                </w:tcPr>
                <w:p w14:paraId="0234B6A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设备</w:t>
                  </w:r>
                </w:p>
                <w:p w14:paraId="3B50FBC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维修</w:t>
                  </w:r>
                </w:p>
              </w:tc>
              <w:tc>
                <w:tcPr>
                  <w:tcW w:w="392" w:type="dxa"/>
                  <w:tcBorders>
                    <w:tl2br w:val="nil"/>
                    <w:tr2bl w:val="nil"/>
                  </w:tcBorders>
                  <w:tcMar>
                    <w:top w:w="0" w:type="dxa"/>
                    <w:left w:w="17" w:type="dxa"/>
                    <w:bottom w:w="0" w:type="dxa"/>
                    <w:right w:w="17" w:type="dxa"/>
                  </w:tcMar>
                  <w:vAlign w:val="center"/>
                </w:tcPr>
                <w:p w14:paraId="2CD75DC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固态</w:t>
                  </w:r>
                </w:p>
              </w:tc>
              <w:tc>
                <w:tcPr>
                  <w:tcW w:w="764" w:type="dxa"/>
                  <w:tcBorders>
                    <w:tl2br w:val="nil"/>
                    <w:tr2bl w:val="nil"/>
                  </w:tcBorders>
                  <w:tcMar>
                    <w:top w:w="0" w:type="dxa"/>
                    <w:left w:w="17" w:type="dxa"/>
                    <w:bottom w:w="0" w:type="dxa"/>
                    <w:right w:w="17" w:type="dxa"/>
                  </w:tcMar>
                  <w:vAlign w:val="center"/>
                </w:tcPr>
                <w:p w14:paraId="5D35886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润滑</w:t>
                  </w:r>
                </w:p>
                <w:p w14:paraId="69BE29C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油</w:t>
                  </w:r>
                </w:p>
              </w:tc>
              <w:tc>
                <w:tcPr>
                  <w:tcW w:w="650" w:type="dxa"/>
                  <w:tcBorders>
                    <w:tl2br w:val="nil"/>
                    <w:tr2bl w:val="nil"/>
                  </w:tcBorders>
                  <w:tcMar>
                    <w:top w:w="0" w:type="dxa"/>
                    <w:left w:w="17" w:type="dxa"/>
                    <w:bottom w:w="0" w:type="dxa"/>
                    <w:right w:w="17" w:type="dxa"/>
                  </w:tcMar>
                  <w:vAlign w:val="center"/>
                </w:tcPr>
                <w:p w14:paraId="3F55EC7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润滑</w:t>
                  </w:r>
                </w:p>
                <w:p w14:paraId="5E5D996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油</w:t>
                  </w:r>
                </w:p>
              </w:tc>
              <w:tc>
                <w:tcPr>
                  <w:tcW w:w="729" w:type="dxa"/>
                  <w:tcBorders>
                    <w:tl2br w:val="nil"/>
                    <w:tr2bl w:val="nil"/>
                  </w:tcBorders>
                  <w:tcMar>
                    <w:top w:w="0" w:type="dxa"/>
                    <w:left w:w="17" w:type="dxa"/>
                    <w:bottom w:w="0" w:type="dxa"/>
                    <w:right w:w="17" w:type="dxa"/>
                  </w:tcMar>
                  <w:vAlign w:val="center"/>
                </w:tcPr>
                <w:p w14:paraId="47D1D34A">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T/I</w:t>
                  </w:r>
                </w:p>
              </w:tc>
              <w:tc>
                <w:tcPr>
                  <w:tcW w:w="640" w:type="dxa"/>
                  <w:vMerge w:val="continue"/>
                  <w:tcBorders>
                    <w:tl2br w:val="nil"/>
                    <w:tr2bl w:val="nil"/>
                  </w:tcBorders>
                  <w:tcMar>
                    <w:left w:w="17" w:type="dxa"/>
                    <w:right w:w="17" w:type="dxa"/>
                  </w:tcMar>
                  <w:vAlign w:val="center"/>
                </w:tcPr>
                <w:p w14:paraId="57A3886F">
                  <w:pPr>
                    <w:keepNext w:val="0"/>
                    <w:keepLines w:val="0"/>
                    <w:widowControl/>
                    <w:suppressLineNumbers w:val="0"/>
                    <w:spacing w:before="0" w:beforeAutospacing="0" w:after="0" w:afterAutospacing="0"/>
                    <w:ind w:left="0" w:right="0" w:firstLine="0" w:firstLineChars="0"/>
                    <w:jc w:val="center"/>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p>
              </w:tc>
            </w:tr>
            <w:tr w14:paraId="72589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01" w:type="dxa"/>
                  <w:tcBorders>
                    <w:tl2br w:val="nil"/>
                    <w:tr2bl w:val="nil"/>
                  </w:tcBorders>
                  <w:tcMar>
                    <w:top w:w="0" w:type="dxa"/>
                    <w:left w:w="17" w:type="dxa"/>
                    <w:bottom w:w="0" w:type="dxa"/>
                    <w:right w:w="17" w:type="dxa"/>
                  </w:tcMar>
                  <w:vAlign w:val="center"/>
                </w:tcPr>
                <w:p w14:paraId="5C34E06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4</w:t>
                  </w:r>
                </w:p>
              </w:tc>
              <w:tc>
                <w:tcPr>
                  <w:tcW w:w="779" w:type="dxa"/>
                  <w:tcBorders>
                    <w:tl2br w:val="nil"/>
                    <w:tr2bl w:val="nil"/>
                  </w:tcBorders>
                  <w:tcMar>
                    <w:top w:w="0" w:type="dxa"/>
                    <w:left w:w="17" w:type="dxa"/>
                    <w:bottom w:w="0" w:type="dxa"/>
                    <w:right w:w="17" w:type="dxa"/>
                  </w:tcMar>
                  <w:vAlign w:val="center"/>
                </w:tcPr>
                <w:p w14:paraId="7392D0D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废活性炭</w:t>
                  </w:r>
                </w:p>
              </w:tc>
              <w:tc>
                <w:tcPr>
                  <w:tcW w:w="1149" w:type="dxa"/>
                  <w:tcBorders>
                    <w:tl2br w:val="nil"/>
                    <w:tr2bl w:val="nil"/>
                  </w:tcBorders>
                  <w:tcMar>
                    <w:top w:w="0" w:type="dxa"/>
                    <w:left w:w="17" w:type="dxa"/>
                    <w:bottom w:w="0" w:type="dxa"/>
                    <w:right w:w="17" w:type="dxa"/>
                  </w:tcMar>
                  <w:vAlign w:val="center"/>
                </w:tcPr>
                <w:p w14:paraId="6262FC7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HW49其</w:t>
                  </w:r>
                </w:p>
                <w:p w14:paraId="0A7BF67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他废物</w:t>
                  </w:r>
                </w:p>
              </w:tc>
              <w:tc>
                <w:tcPr>
                  <w:tcW w:w="1148" w:type="dxa"/>
                  <w:tcBorders>
                    <w:tl2br w:val="nil"/>
                    <w:tr2bl w:val="nil"/>
                  </w:tcBorders>
                  <w:tcMar>
                    <w:top w:w="0" w:type="dxa"/>
                    <w:left w:w="17" w:type="dxa"/>
                    <w:bottom w:w="0" w:type="dxa"/>
                    <w:right w:w="17" w:type="dxa"/>
                  </w:tcMar>
                  <w:vAlign w:val="center"/>
                </w:tcPr>
                <w:p w14:paraId="50A9E9A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900-039-49</w:t>
                  </w:r>
                </w:p>
              </w:tc>
              <w:tc>
                <w:tcPr>
                  <w:tcW w:w="635" w:type="dxa"/>
                  <w:tcBorders>
                    <w:tl2br w:val="nil"/>
                    <w:tr2bl w:val="nil"/>
                  </w:tcBorders>
                  <w:tcMar>
                    <w:top w:w="0" w:type="dxa"/>
                    <w:left w:w="17" w:type="dxa"/>
                    <w:bottom w:w="0" w:type="dxa"/>
                    <w:right w:w="17" w:type="dxa"/>
                  </w:tcMar>
                  <w:vAlign w:val="center"/>
                </w:tcPr>
                <w:p w14:paraId="21765429">
                  <w:pPr>
                    <w:keepNext w:val="0"/>
                    <w:keepLines w:val="0"/>
                    <w:widowControl/>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sz w:val="21"/>
                      <w:szCs w:val="21"/>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val="en-US" w:eastAsia="zh-CN" w:bidi="ar"/>
                      <w14:textFill>
                        <w14:solidFill>
                          <w14:schemeClr w14:val="tx1">
                            <w14:lumMod w14:val="95000"/>
                            <w14:lumOff w14:val="5000"/>
                          </w14:schemeClr>
                        </w14:solidFill>
                      </w14:textFill>
                    </w:rPr>
                    <w:t>2.268</w:t>
                  </w:r>
                </w:p>
              </w:tc>
              <w:tc>
                <w:tcPr>
                  <w:tcW w:w="706" w:type="dxa"/>
                  <w:tcBorders>
                    <w:tl2br w:val="nil"/>
                    <w:tr2bl w:val="nil"/>
                  </w:tcBorders>
                  <w:tcMar>
                    <w:top w:w="0" w:type="dxa"/>
                    <w:left w:w="17" w:type="dxa"/>
                    <w:bottom w:w="0" w:type="dxa"/>
                    <w:right w:w="17" w:type="dxa"/>
                  </w:tcMar>
                  <w:vAlign w:val="center"/>
                </w:tcPr>
                <w:p w14:paraId="5387793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废气</w:t>
                  </w:r>
                </w:p>
                <w:p w14:paraId="0F42286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处理</w:t>
                  </w:r>
                </w:p>
              </w:tc>
              <w:tc>
                <w:tcPr>
                  <w:tcW w:w="392" w:type="dxa"/>
                  <w:tcBorders>
                    <w:tl2br w:val="nil"/>
                    <w:tr2bl w:val="nil"/>
                  </w:tcBorders>
                  <w:tcMar>
                    <w:top w:w="0" w:type="dxa"/>
                    <w:left w:w="17" w:type="dxa"/>
                    <w:bottom w:w="0" w:type="dxa"/>
                    <w:right w:w="17" w:type="dxa"/>
                  </w:tcMar>
                  <w:vAlign w:val="center"/>
                </w:tcPr>
                <w:p w14:paraId="7814765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固态</w:t>
                  </w:r>
                </w:p>
              </w:tc>
              <w:tc>
                <w:tcPr>
                  <w:tcW w:w="764" w:type="dxa"/>
                  <w:tcBorders>
                    <w:tl2br w:val="nil"/>
                    <w:tr2bl w:val="nil"/>
                  </w:tcBorders>
                  <w:tcMar>
                    <w:top w:w="0" w:type="dxa"/>
                    <w:left w:w="17" w:type="dxa"/>
                    <w:bottom w:w="0" w:type="dxa"/>
                    <w:right w:w="17" w:type="dxa"/>
                  </w:tcMar>
                  <w:vAlign w:val="center"/>
                </w:tcPr>
                <w:p w14:paraId="440DDF8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有机</w:t>
                  </w:r>
                </w:p>
                <w:p w14:paraId="6344D66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物</w:t>
                  </w:r>
                </w:p>
              </w:tc>
              <w:tc>
                <w:tcPr>
                  <w:tcW w:w="650" w:type="dxa"/>
                  <w:tcBorders>
                    <w:tl2br w:val="nil"/>
                    <w:tr2bl w:val="nil"/>
                  </w:tcBorders>
                  <w:tcMar>
                    <w:top w:w="0" w:type="dxa"/>
                    <w:left w:w="17" w:type="dxa"/>
                    <w:bottom w:w="0" w:type="dxa"/>
                    <w:right w:w="17" w:type="dxa"/>
                  </w:tcMar>
                  <w:vAlign w:val="center"/>
                </w:tcPr>
                <w:p w14:paraId="62E1BBC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有物</w:t>
                  </w:r>
                </w:p>
                <w:p w14:paraId="08EEA2E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机</w:t>
                  </w:r>
                </w:p>
              </w:tc>
              <w:tc>
                <w:tcPr>
                  <w:tcW w:w="729" w:type="dxa"/>
                  <w:tcBorders>
                    <w:tl2br w:val="nil"/>
                    <w:tr2bl w:val="nil"/>
                  </w:tcBorders>
                  <w:tcMar>
                    <w:top w:w="0" w:type="dxa"/>
                    <w:left w:w="17" w:type="dxa"/>
                    <w:bottom w:w="0" w:type="dxa"/>
                    <w:right w:w="17" w:type="dxa"/>
                  </w:tcMar>
                  <w:vAlign w:val="center"/>
                </w:tcPr>
                <w:p w14:paraId="45EB71C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T/I</w:t>
                  </w:r>
                </w:p>
              </w:tc>
              <w:tc>
                <w:tcPr>
                  <w:tcW w:w="640" w:type="dxa"/>
                  <w:vMerge w:val="continue"/>
                  <w:tcBorders>
                    <w:tl2br w:val="nil"/>
                    <w:tr2bl w:val="nil"/>
                  </w:tcBorders>
                  <w:tcMar>
                    <w:left w:w="17" w:type="dxa"/>
                    <w:right w:w="17" w:type="dxa"/>
                  </w:tcMar>
                </w:tcPr>
                <w:p w14:paraId="747973B3">
                  <w:pPr>
                    <w:keepNext w:val="0"/>
                    <w:keepLines w:val="0"/>
                    <w:widowControl/>
                    <w:suppressLineNumbers w:val="0"/>
                    <w:spacing w:before="0" w:beforeAutospacing="0" w:after="0" w:afterAutospacing="0"/>
                    <w:ind w:left="0" w:right="0" w:firstLine="402"/>
                    <w:jc w:val="left"/>
                    <w:rPr>
                      <w:rFonts w:hint="default"/>
                      <w:b/>
                      <w:bCs/>
                      <w:color w:val="0D0D0D" w:themeColor="text1" w:themeTint="F2"/>
                      <w:kern w:val="0"/>
                      <w:sz w:val="20"/>
                      <w:szCs w:val="20"/>
                      <w:u w:val="single"/>
                      <w:lang w:bidi="ar"/>
                      <w14:textFill>
                        <w14:solidFill>
                          <w14:schemeClr w14:val="tx1">
                            <w14:lumMod w14:val="95000"/>
                            <w14:lumOff w14:val="5000"/>
                          </w14:schemeClr>
                        </w14:solidFill>
                      </w14:textFill>
                    </w:rPr>
                  </w:pPr>
                </w:p>
              </w:tc>
            </w:tr>
          </w:tbl>
          <w:p w14:paraId="38D1D60D">
            <w:pPr>
              <w:keepNext w:val="0"/>
              <w:keepLines w:val="0"/>
              <w:widowControl/>
              <w:suppressLineNumbers w:val="0"/>
              <w:spacing w:before="0" w:beforeAutospacing="0" w:after="0" w:afterAutospacing="0"/>
              <w:ind w:left="0" w:right="0" w:firstLine="482"/>
              <w:jc w:val="left"/>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（1）、固体废物环境管理</w:t>
            </w:r>
          </w:p>
          <w:p w14:paraId="650D877D">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①一般固废暂存场所要求</w:t>
            </w:r>
          </w:p>
          <w:p w14:paraId="5313AD49">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本项目一般固体废物应严格按照国家《一般工业固体废物贮存和填埋污染控制标准》（GB18599-2020）的要求，建设必要的固废分类收集和临时贮存设施，具体要求如下：</w:t>
            </w:r>
          </w:p>
          <w:p w14:paraId="34EBB26C">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①一般工业固体废物应分类收集、储存，不能混存，也不允许将危险废物和生活垃圾混入；</w:t>
            </w:r>
          </w:p>
          <w:p w14:paraId="51289819">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②一般工业固体废物临时储存地点必须建有天棚，不允许露天堆放，以防雨水冲刷，雨水通过场地四周导流渠流向雨水排放管；临时堆放场地为水泥铺设地面，以防渗漏。</w:t>
            </w:r>
          </w:p>
          <w:p w14:paraId="1D5FE022">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③储存场应加强监督管理，按《危险废物识别标志设置技术规范》（HJ 1276-2022）、《环境保护图形标志</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固体废物贮存（处置）场》（GB 15562.2-1995）修改单设置环境保护图形标志。</w:t>
            </w:r>
          </w:p>
          <w:p w14:paraId="02264528">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④建立档案制度，将临时储存的一般工业固体废物的种类、数量和外运的一般工业固体废物的种类、数量详细记录在案，长期保存，供随时查阅。</w:t>
            </w:r>
          </w:p>
          <w:p w14:paraId="1137C9FA">
            <w:pPr>
              <w:keepNext w:val="0"/>
              <w:keepLines w:val="0"/>
              <w:widowControl/>
              <w:suppressLineNumbers w:val="0"/>
              <w:spacing w:before="0" w:beforeAutospacing="0" w:after="0" w:afterAutospacing="0"/>
              <w:ind w:left="0" w:right="0" w:firstLine="482"/>
              <w:jc w:val="left"/>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（2）、危险废物暂存场所要求危险废物暂存场地的设置应按《危险废物贮存污染控制标准》（GB18597-2023）要求设置，要求做到以下几点：</w:t>
            </w:r>
          </w:p>
          <w:p w14:paraId="244C4960">
            <w:pPr>
              <w:keepNext w:val="0"/>
              <w:keepLines w:val="0"/>
              <w:widowControl/>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①贮存场所必须有符合《危险废物识别标志设置技术规范》（HJ 1276-2022）、《环境保护图形标志</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固体废物贮存（处置）场》（GB 15562.2-1995）修改单的专用标志；</w:t>
            </w:r>
          </w:p>
          <w:p w14:paraId="1DA7B248">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②贮存场所内禁止混放不相容固体废物；</w:t>
            </w:r>
          </w:p>
          <w:p w14:paraId="456F35CB">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③贮存场所应配备通讯设备、照明设施和消防设施，设置气体导出口及气体净化装置，确保废气达标排放；</w:t>
            </w:r>
          </w:p>
          <w:p w14:paraId="566F8B14">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④废物的贮存容器必须有明显标志，具有耐腐蚀、耐压、密封和不与所贮存的废物发生反应等特性；</w:t>
            </w:r>
          </w:p>
          <w:p w14:paraId="10377268">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⑤在出入口、设施内部、危险废物运输车辆通道等关键位置按照危险废物贮存设施视频监控布设要求设置视频监控，并与中控室联网；</w:t>
            </w:r>
          </w:p>
          <w:p w14:paraId="3A2CC816">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⑥根据危险废物的种类和特性进行分区、分类贮存，设置防雨、防火、防雷、扬散、防渗漏装置及泄漏液体收集装置。</w:t>
            </w:r>
          </w:p>
          <w:p w14:paraId="6304D8B2">
            <w:pPr>
              <w:keepNext w:val="0"/>
              <w:keepLines w:val="0"/>
              <w:widowControl/>
              <w:suppressLineNumbers w:val="0"/>
              <w:spacing w:before="0" w:beforeAutospacing="0" w:after="0" w:afterAutospacing="0"/>
              <w:ind w:left="0" w:right="0" w:firstLine="482"/>
              <w:jc w:val="left"/>
              <w:rPr>
                <w:rFonts w:hint="default"/>
                <w:b/>
                <w:bCs/>
                <w:color w:val="0D0D0D" w:themeColor="text1" w:themeTint="F2"/>
                <w:u w:val="single"/>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（3）、对于危险废物的收集、贮存及转运，本评价提出以下建议：</w:t>
            </w:r>
          </w:p>
          <w:p w14:paraId="4BFA034C">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①危险废物收集污染防治措施分析</w:t>
            </w:r>
          </w:p>
          <w:p w14:paraId="515D6442">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危险废物在收集时，应清楚废物的类别及主要成份，以方便委托处理单位处理，根据危险废物的性质和形态，可采用不同大小和不同材质的容器进行包装，所有包装容器应足够安全，并经过周密检查，严防在装载、搬移或运输途中出现渗漏、溢出、抛洒或挥发等情况。</w:t>
            </w:r>
          </w:p>
          <w:p w14:paraId="06DC162A">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②危险废物暂存间存储要求</w:t>
            </w:r>
          </w:p>
          <w:p w14:paraId="444B0919">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a、包装材质要与危险废物相容，可根据废物特性选择钢、铝、塑料等材质；</w:t>
            </w:r>
          </w:p>
          <w:p w14:paraId="0DA8D4A2">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b、性质相似的废物可收集到同一容器中，性质不相容的废物不应混合包装；</w:t>
            </w:r>
          </w:p>
          <w:p w14:paraId="20F20872">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c、危险废物包装应能有效隔断危险废物迁移扩散途径，并达到防渗防漏要求；</w:t>
            </w:r>
          </w:p>
          <w:p w14:paraId="003ABCBC">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d、盛装过危险废物的包装袋或者包装容器破损后应按照危险废物进行管理和处置；</w:t>
            </w:r>
          </w:p>
          <w:p w14:paraId="68671810">
            <w:pPr>
              <w:keepNext w:val="0"/>
              <w:keepLines w:val="0"/>
              <w:widowControl/>
              <w:suppressLineNumbers w:val="0"/>
              <w:spacing w:before="0" w:beforeAutospacing="0" w:after="0" w:afterAutospacing="0"/>
              <w:ind w:left="0" w:right="0" w:firstLine="480"/>
              <w:jc w:val="left"/>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e、贮存场所严格执行《危险废物贮存污染控制标准》(GB18597-2023)要求，按照《危险废物识别标志设置技术规范》（HJ1276-2022）有关要求张贴标识；</w:t>
            </w:r>
          </w:p>
          <w:p w14:paraId="56131E9D">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f、贮存场所内禁止混放不相容危险废物，要防风防雨防晒；</w:t>
            </w:r>
          </w:p>
          <w:p w14:paraId="368A5E7A">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g、堆放危险废物的高度应根据地面承载能力确定，衬里放在一个基础或底座上，衬里要能够覆盖危险废物或其溶出物可能涉及到的范围。基础必须防渗，防渗层为至少1m厚黏土层(渗透系数≤10</w:t>
            </w:r>
            <w:r>
              <w:rPr>
                <w:rFonts w:hint="default"/>
                <w:color w:val="0D0D0D" w:themeColor="text1" w:themeTint="F2"/>
                <w:kern w:val="0"/>
                <w:u w:val="single"/>
                <w:vertAlign w:val="superscript"/>
                <w:lang w:bidi="ar"/>
                <w14:textFill>
                  <w14:solidFill>
                    <w14:schemeClr w14:val="tx1">
                      <w14:lumMod w14:val="95000"/>
                      <w14:lumOff w14:val="5000"/>
                    </w14:schemeClr>
                  </w14:solidFill>
                </w14:textFill>
              </w:rPr>
              <w:t>-7</w:t>
            </w:r>
            <w:r>
              <w:rPr>
                <w:rFonts w:hint="default"/>
                <w:color w:val="0D0D0D" w:themeColor="text1" w:themeTint="F2"/>
                <w:kern w:val="0"/>
                <w:u w:val="single"/>
                <w:lang w:bidi="ar"/>
                <w14:textFill>
                  <w14:solidFill>
                    <w14:schemeClr w14:val="tx1">
                      <w14:lumMod w14:val="95000"/>
                      <w14:lumOff w14:val="5000"/>
                    </w14:schemeClr>
                  </w14:solidFill>
                </w14:textFill>
              </w:rPr>
              <w:t>cm/s)，或2mm厚高密度聚乙烯，或至少2mm厚的其他人工材料，渗透系数≤10</w:t>
            </w:r>
            <w:r>
              <w:rPr>
                <w:rFonts w:hint="default"/>
                <w:color w:val="0D0D0D" w:themeColor="text1" w:themeTint="F2"/>
                <w:kern w:val="0"/>
                <w:u w:val="single"/>
                <w:vertAlign w:val="superscript"/>
                <w:lang w:bidi="ar"/>
                <w14:textFill>
                  <w14:solidFill>
                    <w14:schemeClr w14:val="tx1">
                      <w14:lumMod w14:val="95000"/>
                      <w14:lumOff w14:val="5000"/>
                    </w14:schemeClr>
                  </w14:solidFill>
                </w14:textFill>
              </w:rPr>
              <w:t>-10</w:t>
            </w:r>
            <w:r>
              <w:rPr>
                <w:rFonts w:hint="default"/>
                <w:color w:val="0D0D0D" w:themeColor="text1" w:themeTint="F2"/>
                <w:kern w:val="0"/>
                <w:u w:val="single"/>
                <w:lang w:bidi="ar"/>
                <w14:textFill>
                  <w14:solidFill>
                    <w14:schemeClr w14:val="tx1">
                      <w14:lumMod w14:val="95000"/>
                      <w14:lumOff w14:val="5000"/>
                    </w14:schemeClr>
                  </w14:solidFill>
                </w14:textFill>
              </w:rPr>
              <w:t>cm/s；</w:t>
            </w:r>
          </w:p>
          <w:p w14:paraId="7557484E">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h、贮存场所要符合消防要求；</w:t>
            </w:r>
          </w:p>
          <w:p w14:paraId="307DDE4F">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i、处置场内，贮存、处置场周边应设置导流渠，有堵截泄漏的裙角，地面与裙角要用兼顾防渗的材料建造，建筑材料必须与危险废物相容。</w:t>
            </w:r>
          </w:p>
          <w:p w14:paraId="67C64DD8">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（4）、日常管理要求</w:t>
            </w:r>
          </w:p>
          <w:p w14:paraId="3DA54CCF">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为确保项目固体废弃物的安全处置，建设单位应加强对固体废弃物的日常管理，主要包括以下内容：</w:t>
            </w:r>
          </w:p>
          <w:p w14:paraId="098065EA">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①完善相关台账，做好危险废物情况的记录，记录上必须注明危险废物的名称、来源、数量、特性和包装容器的类别、入库时间、存放库位、废物出库时间及接受单位名称。</w:t>
            </w:r>
          </w:p>
          <w:p w14:paraId="1DD264C7">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②定期对所贮存的危险废物包装容器及贮存设施进行检查，发现破损，应及时采取措施清理更换。</w:t>
            </w:r>
          </w:p>
          <w:p w14:paraId="2B70E48F">
            <w:pPr>
              <w:keepNext w:val="0"/>
              <w:keepLines w:val="0"/>
              <w:widowControl/>
              <w:suppressLineNumbers w:val="0"/>
              <w:spacing w:before="0" w:beforeAutospacing="0" w:after="0" w:afterAutospacing="0"/>
              <w:ind w:left="0" w:right="0" w:firstLine="480"/>
              <w:jc w:val="left"/>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③对危险废物的转移运输要实行按照《危险废物转移管理办法》（生态环境部公安部交通运输部部令第23号），根据危险废物管理计划中填报的危险废物转移等备案信息填写、运行，故委托处置无太大环境影响，禁止私自处置危险废物。</w:t>
            </w:r>
          </w:p>
          <w:p w14:paraId="24FD199E">
            <w:pPr>
              <w:keepNext w:val="0"/>
              <w:keepLines w:val="0"/>
              <w:widowControl/>
              <w:suppressLineNumbers w:val="0"/>
              <w:spacing w:before="0" w:beforeAutospacing="0" w:after="0" w:afterAutospacing="0"/>
              <w:ind w:left="0" w:right="0" w:firstLine="431"/>
              <w:jc w:val="left"/>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w w:val="90"/>
                <w:kern w:val="0"/>
                <w:u w:val="single"/>
                <w:lang w:bidi="ar"/>
                <w14:textFill>
                  <w14:solidFill>
                    <w14:schemeClr w14:val="tx1">
                      <w14:lumMod w14:val="95000"/>
                      <w14:lumOff w14:val="5000"/>
                    </w14:schemeClr>
                  </w14:solidFill>
                </w14:textFill>
              </w:rPr>
              <w:t>（5）、暂存区场所应严格按照《危险废物贮存污染控制标准》</w:t>
            </w:r>
            <w:r>
              <w:rPr>
                <w:rFonts w:hint="default"/>
                <w:color w:val="0D0D0D" w:themeColor="text1" w:themeTint="F2"/>
                <w:kern w:val="0"/>
                <w:u w:val="single"/>
                <w:lang w:bidi="ar"/>
                <w14:textFill>
                  <w14:solidFill>
                    <w14:schemeClr w14:val="tx1">
                      <w14:lumMod w14:val="95000"/>
                      <w14:lumOff w14:val="5000"/>
                    </w14:schemeClr>
                  </w14:solidFill>
                </w14:textFill>
              </w:rPr>
              <w:t>（GB18597-2023）的要求对危险废物贮存场所进行建设。危险废物的贮存和转运应严格按《危险废物贮存污染控制标准》（GB18597-2023）、《危险废物转移管理办法》中相关要求执行。</w:t>
            </w:r>
          </w:p>
          <w:p w14:paraId="1CCC89CF">
            <w:pPr>
              <w:keepNext w:val="0"/>
              <w:keepLines w:val="0"/>
              <w:widowControl/>
              <w:suppressLineNumbers w:val="0"/>
              <w:spacing w:before="0" w:beforeAutospacing="0" w:after="0" w:afterAutospacing="0"/>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表4-13</w:t>
            </w:r>
            <w:r>
              <w:rPr>
                <w:rFonts w:hint="eastAsia"/>
                <w:b/>
                <w:bCs/>
                <w:color w:val="0D0D0D" w:themeColor="text1" w:themeTint="F2"/>
                <w:kern w:val="0"/>
                <w:sz w:val="21"/>
                <w:szCs w:val="21"/>
                <w:u w:val="single"/>
                <w:lang w:bidi="ar"/>
                <w14:textFill>
                  <w14:solidFill>
                    <w14:schemeClr w14:val="tx1">
                      <w14:lumMod w14:val="95000"/>
                      <w14:lumOff w14:val="5000"/>
                    </w14:schemeClr>
                  </w14:solidFill>
                </w14:textFill>
              </w:rPr>
              <w:t xml:space="preserve">  </w:t>
            </w: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项目危险废物贮存场所（设施）基本情况</w:t>
            </w:r>
          </w:p>
          <w:tbl>
            <w:tblPr>
              <w:tblStyle w:val="17"/>
              <w:tblW w:w="8035"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66"/>
              <w:gridCol w:w="1154"/>
              <w:gridCol w:w="1228"/>
              <w:gridCol w:w="764"/>
              <w:gridCol w:w="1005"/>
              <w:gridCol w:w="1224"/>
              <w:gridCol w:w="785"/>
            </w:tblGrid>
            <w:tr w14:paraId="3D5469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09" w:type="dxa"/>
                  <w:tcBorders>
                    <w:tl2br w:val="nil"/>
                    <w:tr2bl w:val="nil"/>
                  </w:tcBorders>
                  <w:vAlign w:val="center"/>
                </w:tcPr>
                <w:p w14:paraId="6DCF81A5">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贮存场所</w:t>
                  </w:r>
                </w:p>
              </w:tc>
              <w:tc>
                <w:tcPr>
                  <w:tcW w:w="1166" w:type="dxa"/>
                  <w:tcBorders>
                    <w:tl2br w:val="nil"/>
                    <w:tr2bl w:val="nil"/>
                  </w:tcBorders>
                  <w:vAlign w:val="center"/>
                </w:tcPr>
                <w:p w14:paraId="4CAD80AA">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危险废物名称</w:t>
                  </w:r>
                </w:p>
              </w:tc>
              <w:tc>
                <w:tcPr>
                  <w:tcW w:w="1154" w:type="dxa"/>
                  <w:tcBorders>
                    <w:tl2br w:val="nil"/>
                    <w:tr2bl w:val="nil"/>
                  </w:tcBorders>
                  <w:vAlign w:val="center"/>
                </w:tcPr>
                <w:p w14:paraId="372DDEFD">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类别</w:t>
                  </w:r>
                </w:p>
              </w:tc>
              <w:tc>
                <w:tcPr>
                  <w:tcW w:w="1228" w:type="dxa"/>
                  <w:tcBorders>
                    <w:tl2br w:val="nil"/>
                    <w:tr2bl w:val="nil"/>
                  </w:tcBorders>
                  <w:vAlign w:val="center"/>
                </w:tcPr>
                <w:p w14:paraId="75D05298">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代码</w:t>
                  </w:r>
                </w:p>
              </w:tc>
              <w:tc>
                <w:tcPr>
                  <w:tcW w:w="764" w:type="dxa"/>
                  <w:tcBorders>
                    <w:tl2br w:val="nil"/>
                    <w:tr2bl w:val="nil"/>
                  </w:tcBorders>
                  <w:vAlign w:val="center"/>
                </w:tcPr>
                <w:p w14:paraId="53FD846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占地面积</w:t>
                  </w:r>
                </w:p>
              </w:tc>
              <w:tc>
                <w:tcPr>
                  <w:tcW w:w="1005" w:type="dxa"/>
                  <w:tcBorders>
                    <w:tl2br w:val="nil"/>
                    <w:tr2bl w:val="nil"/>
                  </w:tcBorders>
                  <w:vAlign w:val="center"/>
                </w:tcPr>
                <w:p w14:paraId="3FCC847C">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贮存方式</w:t>
                  </w:r>
                </w:p>
              </w:tc>
              <w:tc>
                <w:tcPr>
                  <w:tcW w:w="1224" w:type="dxa"/>
                  <w:tcBorders>
                    <w:tl2br w:val="nil"/>
                    <w:tr2bl w:val="nil"/>
                  </w:tcBorders>
                  <w:vAlign w:val="center"/>
                </w:tcPr>
                <w:p w14:paraId="24035D91">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贮存能力</w:t>
                  </w:r>
                </w:p>
              </w:tc>
              <w:tc>
                <w:tcPr>
                  <w:tcW w:w="785" w:type="dxa"/>
                  <w:tcBorders>
                    <w:tl2br w:val="nil"/>
                    <w:tr2bl w:val="nil"/>
                  </w:tcBorders>
                  <w:vAlign w:val="center"/>
                </w:tcPr>
                <w:p w14:paraId="30295952">
                  <w:pPr>
                    <w:keepNext w:val="0"/>
                    <w:keepLines w:val="0"/>
                    <w:widowControl/>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贮存周期</w:t>
                  </w:r>
                </w:p>
              </w:tc>
            </w:tr>
            <w:tr w14:paraId="4FAA9F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709" w:type="dxa"/>
                  <w:vMerge w:val="restart"/>
                  <w:tcBorders>
                    <w:tl2br w:val="nil"/>
                    <w:tr2bl w:val="nil"/>
                  </w:tcBorders>
                  <w:vAlign w:val="center"/>
                </w:tcPr>
                <w:p w14:paraId="6A6E43A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危废暂存间</w:t>
                  </w:r>
                </w:p>
              </w:tc>
              <w:tc>
                <w:tcPr>
                  <w:tcW w:w="1166" w:type="dxa"/>
                  <w:tcBorders>
                    <w:tl2br w:val="nil"/>
                    <w:tr2bl w:val="nil"/>
                  </w:tcBorders>
                  <w:vAlign w:val="center"/>
                </w:tcPr>
                <w:p w14:paraId="2325A3D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废润滑油油</w:t>
                  </w:r>
                </w:p>
              </w:tc>
              <w:tc>
                <w:tcPr>
                  <w:tcW w:w="1154" w:type="dxa"/>
                  <w:tcBorders>
                    <w:tl2br w:val="nil"/>
                    <w:tr2bl w:val="nil"/>
                  </w:tcBorders>
                  <w:vAlign w:val="center"/>
                </w:tcPr>
                <w:p w14:paraId="760AA6C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HW08废矿物油与含矿物油废物</w:t>
                  </w:r>
                </w:p>
              </w:tc>
              <w:tc>
                <w:tcPr>
                  <w:tcW w:w="1228" w:type="dxa"/>
                  <w:tcBorders>
                    <w:tl2br w:val="nil"/>
                    <w:tr2bl w:val="nil"/>
                  </w:tcBorders>
                  <w:vAlign w:val="center"/>
                </w:tcPr>
                <w:p w14:paraId="11ADD57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900-249-08</w:t>
                  </w:r>
                </w:p>
              </w:tc>
              <w:tc>
                <w:tcPr>
                  <w:tcW w:w="764" w:type="dxa"/>
                  <w:vMerge w:val="restart"/>
                  <w:tcBorders>
                    <w:tl2br w:val="nil"/>
                    <w:tr2bl w:val="nil"/>
                  </w:tcBorders>
                  <w:vAlign w:val="center"/>
                </w:tcPr>
                <w:p w14:paraId="54E261A3">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15㎡</w:t>
                  </w:r>
                </w:p>
              </w:tc>
              <w:tc>
                <w:tcPr>
                  <w:tcW w:w="1005" w:type="dxa"/>
                  <w:tcBorders>
                    <w:tl2br w:val="nil"/>
                    <w:tr2bl w:val="nil"/>
                  </w:tcBorders>
                  <w:vAlign w:val="center"/>
                </w:tcPr>
                <w:p w14:paraId="0BC8814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胶桶</w:t>
                  </w:r>
                </w:p>
              </w:tc>
              <w:tc>
                <w:tcPr>
                  <w:tcW w:w="1224" w:type="dxa"/>
                  <w:tcBorders>
                    <w:tl2br w:val="nil"/>
                    <w:tr2bl w:val="nil"/>
                  </w:tcBorders>
                  <w:vAlign w:val="center"/>
                </w:tcPr>
                <w:p w14:paraId="2614838B">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0.03t/a</w:t>
                  </w:r>
                </w:p>
              </w:tc>
              <w:tc>
                <w:tcPr>
                  <w:tcW w:w="785" w:type="dxa"/>
                  <w:vMerge w:val="restart"/>
                  <w:tcBorders>
                    <w:tl2br w:val="nil"/>
                    <w:tr2bl w:val="nil"/>
                  </w:tcBorders>
                  <w:vAlign w:val="center"/>
                </w:tcPr>
                <w:p w14:paraId="7C0743E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p w14:paraId="3DC5285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一年</w:t>
                  </w:r>
                </w:p>
              </w:tc>
            </w:tr>
            <w:tr w14:paraId="3B3E7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vMerge w:val="continue"/>
                  <w:tcBorders>
                    <w:tl2br w:val="nil"/>
                    <w:tr2bl w:val="nil"/>
                  </w:tcBorders>
                  <w:vAlign w:val="center"/>
                </w:tcPr>
                <w:p w14:paraId="4FDF8C2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166" w:type="dxa"/>
                  <w:tcBorders>
                    <w:tl2br w:val="nil"/>
                    <w:tr2bl w:val="nil"/>
                  </w:tcBorders>
                  <w:shd w:val="clear" w:color="auto" w:fill="auto"/>
                  <w:vAlign w:val="center"/>
                </w:tcPr>
                <w:p w14:paraId="4E0F90AD">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废油桶</w:t>
                  </w:r>
                </w:p>
              </w:tc>
              <w:tc>
                <w:tcPr>
                  <w:tcW w:w="1154" w:type="dxa"/>
                  <w:tcBorders>
                    <w:tl2br w:val="nil"/>
                    <w:tr2bl w:val="nil"/>
                  </w:tcBorders>
                  <w:shd w:val="clear" w:color="auto" w:fill="auto"/>
                  <w:vAlign w:val="center"/>
                </w:tcPr>
                <w:p w14:paraId="462E09A6">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HW49其</w:t>
                  </w:r>
                </w:p>
                <w:p w14:paraId="6F35061C">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他废物</w:t>
                  </w:r>
                </w:p>
              </w:tc>
              <w:tc>
                <w:tcPr>
                  <w:tcW w:w="1228" w:type="dxa"/>
                  <w:tcBorders>
                    <w:tl2br w:val="nil"/>
                    <w:tr2bl w:val="nil"/>
                  </w:tcBorders>
                  <w:shd w:val="clear" w:color="auto" w:fill="auto"/>
                  <w:vAlign w:val="center"/>
                </w:tcPr>
                <w:p w14:paraId="60385416">
                  <w:pPr>
                    <w:keepNext w:val="0"/>
                    <w:keepLines w:val="0"/>
                    <w:widowControl/>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900-041-49</w:t>
                  </w:r>
                </w:p>
              </w:tc>
              <w:tc>
                <w:tcPr>
                  <w:tcW w:w="764" w:type="dxa"/>
                  <w:vMerge w:val="continue"/>
                  <w:tcBorders>
                    <w:tl2br w:val="nil"/>
                    <w:tr2bl w:val="nil"/>
                  </w:tcBorders>
                  <w:vAlign w:val="center"/>
                </w:tcPr>
                <w:p w14:paraId="6BFEA9D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005" w:type="dxa"/>
                  <w:tcBorders>
                    <w:tl2br w:val="nil"/>
                    <w:tr2bl w:val="nil"/>
                  </w:tcBorders>
                  <w:shd w:val="clear" w:color="auto" w:fill="auto"/>
                  <w:vAlign w:val="center"/>
                </w:tcPr>
                <w:p w14:paraId="23C6220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胶桶</w:t>
                  </w:r>
                </w:p>
              </w:tc>
              <w:tc>
                <w:tcPr>
                  <w:tcW w:w="1224" w:type="dxa"/>
                  <w:tcBorders>
                    <w:tl2br w:val="nil"/>
                    <w:tr2bl w:val="nil"/>
                  </w:tcBorders>
                  <w:shd w:val="clear" w:color="auto" w:fill="auto"/>
                  <w:vAlign w:val="center"/>
                </w:tcPr>
                <w:p w14:paraId="03152644">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0.005t/a</w:t>
                  </w:r>
                </w:p>
              </w:tc>
              <w:tc>
                <w:tcPr>
                  <w:tcW w:w="785" w:type="dxa"/>
                  <w:vMerge w:val="continue"/>
                  <w:tcBorders>
                    <w:tl2br w:val="nil"/>
                    <w:tr2bl w:val="nil"/>
                  </w:tcBorders>
                  <w:vAlign w:val="center"/>
                </w:tcPr>
                <w:p w14:paraId="5D69B48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285AC3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09" w:type="dxa"/>
                  <w:vMerge w:val="continue"/>
                  <w:tcBorders>
                    <w:tl2br w:val="nil"/>
                    <w:tr2bl w:val="nil"/>
                  </w:tcBorders>
                  <w:vAlign w:val="center"/>
                </w:tcPr>
                <w:p w14:paraId="6736529A">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166" w:type="dxa"/>
                  <w:tcBorders>
                    <w:tl2br w:val="nil"/>
                    <w:tr2bl w:val="nil"/>
                  </w:tcBorders>
                  <w:vAlign w:val="center"/>
                </w:tcPr>
                <w:p w14:paraId="2A0BD515">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含油废手套（抹布）</w:t>
                  </w:r>
                </w:p>
              </w:tc>
              <w:tc>
                <w:tcPr>
                  <w:tcW w:w="1154" w:type="dxa"/>
                  <w:tcBorders>
                    <w:tl2br w:val="nil"/>
                    <w:tr2bl w:val="nil"/>
                  </w:tcBorders>
                  <w:vAlign w:val="center"/>
                </w:tcPr>
                <w:p w14:paraId="22FA5921">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HW49其他废物</w:t>
                  </w:r>
                </w:p>
              </w:tc>
              <w:tc>
                <w:tcPr>
                  <w:tcW w:w="1228" w:type="dxa"/>
                  <w:tcBorders>
                    <w:tl2br w:val="nil"/>
                    <w:tr2bl w:val="nil"/>
                  </w:tcBorders>
                  <w:vAlign w:val="center"/>
                </w:tcPr>
                <w:p w14:paraId="7939F9F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900-041-49</w:t>
                  </w:r>
                </w:p>
              </w:tc>
              <w:tc>
                <w:tcPr>
                  <w:tcW w:w="764" w:type="dxa"/>
                  <w:vMerge w:val="continue"/>
                  <w:tcBorders>
                    <w:tl2br w:val="nil"/>
                    <w:tr2bl w:val="nil"/>
                  </w:tcBorders>
                  <w:vAlign w:val="center"/>
                </w:tcPr>
                <w:p w14:paraId="403659CF">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005" w:type="dxa"/>
                  <w:tcBorders>
                    <w:tl2br w:val="nil"/>
                    <w:tr2bl w:val="nil"/>
                  </w:tcBorders>
                  <w:vAlign w:val="center"/>
                </w:tcPr>
                <w:p w14:paraId="00202A2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胶桶</w:t>
                  </w:r>
                </w:p>
              </w:tc>
              <w:tc>
                <w:tcPr>
                  <w:tcW w:w="1224" w:type="dxa"/>
                  <w:tcBorders>
                    <w:tl2br w:val="nil"/>
                    <w:tr2bl w:val="nil"/>
                  </w:tcBorders>
                  <w:vAlign w:val="center"/>
                </w:tcPr>
                <w:p w14:paraId="6CFDC660">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0.02t/a</w:t>
                  </w:r>
                </w:p>
              </w:tc>
              <w:tc>
                <w:tcPr>
                  <w:tcW w:w="785" w:type="dxa"/>
                  <w:vMerge w:val="continue"/>
                  <w:tcBorders>
                    <w:tl2br w:val="nil"/>
                    <w:tr2bl w:val="nil"/>
                  </w:tcBorders>
                  <w:vAlign w:val="center"/>
                </w:tcPr>
                <w:p w14:paraId="5EB0312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4EC6CF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709" w:type="dxa"/>
                  <w:vMerge w:val="continue"/>
                  <w:tcBorders>
                    <w:tl2br w:val="nil"/>
                    <w:tr2bl w:val="nil"/>
                  </w:tcBorders>
                  <w:vAlign w:val="center"/>
                </w:tcPr>
                <w:p w14:paraId="3D0A8B3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166" w:type="dxa"/>
                  <w:tcBorders>
                    <w:tl2br w:val="nil"/>
                    <w:tr2bl w:val="nil"/>
                  </w:tcBorders>
                  <w:vAlign w:val="center"/>
                </w:tcPr>
                <w:p w14:paraId="588ACF82">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废活性炭</w:t>
                  </w:r>
                </w:p>
              </w:tc>
              <w:tc>
                <w:tcPr>
                  <w:tcW w:w="1154" w:type="dxa"/>
                  <w:tcBorders>
                    <w:tl2br w:val="nil"/>
                    <w:tr2bl w:val="nil"/>
                  </w:tcBorders>
                  <w:vAlign w:val="center"/>
                </w:tcPr>
                <w:p w14:paraId="60479FF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HW49其他废物</w:t>
                  </w:r>
                </w:p>
              </w:tc>
              <w:tc>
                <w:tcPr>
                  <w:tcW w:w="1228" w:type="dxa"/>
                  <w:tcBorders>
                    <w:tl2br w:val="nil"/>
                    <w:tr2bl w:val="nil"/>
                  </w:tcBorders>
                  <w:vAlign w:val="center"/>
                </w:tcPr>
                <w:p w14:paraId="36D0BC98">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900-039-41</w:t>
                  </w:r>
                </w:p>
              </w:tc>
              <w:tc>
                <w:tcPr>
                  <w:tcW w:w="764" w:type="dxa"/>
                  <w:vMerge w:val="continue"/>
                  <w:tcBorders>
                    <w:tl2br w:val="nil"/>
                    <w:tr2bl w:val="nil"/>
                  </w:tcBorders>
                  <w:vAlign w:val="center"/>
                </w:tcPr>
                <w:p w14:paraId="00DFE25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1005" w:type="dxa"/>
                  <w:tcBorders>
                    <w:tl2br w:val="nil"/>
                    <w:tr2bl w:val="nil"/>
                  </w:tcBorders>
                  <w:vAlign w:val="center"/>
                </w:tcPr>
                <w:p w14:paraId="27FB1C9E">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塑料箱（纸箱）</w:t>
                  </w:r>
                </w:p>
              </w:tc>
              <w:tc>
                <w:tcPr>
                  <w:tcW w:w="1224" w:type="dxa"/>
                  <w:tcBorders>
                    <w:tl2br w:val="nil"/>
                    <w:tr2bl w:val="nil"/>
                  </w:tcBorders>
                  <w:vAlign w:val="center"/>
                </w:tcPr>
                <w:p w14:paraId="67859A49">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2.268</w:t>
                  </w:r>
                  <w:r>
                    <w:rPr>
                      <w:rFonts w:hint="default"/>
                      <w:color w:val="0D0D0D" w:themeColor="text1" w:themeTint="F2"/>
                      <w:sz w:val="21"/>
                      <w:szCs w:val="21"/>
                      <w:u w:val="single"/>
                      <w14:textFill>
                        <w14:solidFill>
                          <w14:schemeClr w14:val="tx1">
                            <w14:lumMod w14:val="95000"/>
                            <w14:lumOff w14:val="5000"/>
                          </w14:schemeClr>
                        </w14:solidFill>
                      </w14:textFill>
                    </w:rPr>
                    <w:t>t/a</w:t>
                  </w:r>
                </w:p>
              </w:tc>
              <w:tc>
                <w:tcPr>
                  <w:tcW w:w="785" w:type="dxa"/>
                  <w:vMerge w:val="continue"/>
                  <w:tcBorders>
                    <w:tl2br w:val="nil"/>
                    <w:tr2bl w:val="nil"/>
                  </w:tcBorders>
                  <w:vAlign w:val="center"/>
                </w:tcPr>
                <w:p w14:paraId="0B7CD367">
                  <w:pPr>
                    <w:keepNext w:val="0"/>
                    <w:keepLines w:val="0"/>
                    <w:widowControl/>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bl>
          <w:p w14:paraId="3C0DFE6C">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（6）环境管理与监测</w:t>
            </w:r>
          </w:p>
          <w:p w14:paraId="7FE654B0">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1）本项目在日常营运中，应制定固废管理计划，将固废的产生、贮存、利用、处置等情况纳入生产记录，建立固废管理台账和企业内部产生和收集贮存部门危险废物交接制度。加强对危险废物包装、贮存的管理，严格执行危险废物转移联单制度，</w:t>
            </w:r>
          </w:p>
          <w:p w14:paraId="424BF3E0">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危险废物运输应符合本市危险废物运输污染防治技术规定，禁止将危险废物提供或委托给无危险废物经营许可证的单位从事收集、贮存、利用、处置等经营活动。</w:t>
            </w:r>
          </w:p>
          <w:p w14:paraId="76D7AFAA">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2）建设单位应通过“湖南省固废管理系统平台”进行危险废物申报登记。</w:t>
            </w:r>
          </w:p>
          <w:p w14:paraId="4B7AFE0D">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3）实行环境监测计划、转移联单管理制度及国家和省有关转移管理的相关规定、处置过程安全操作规程、人员培训考核制度、档案管理制度、处置全过程管理制度等。</w:t>
            </w:r>
          </w:p>
          <w:p w14:paraId="487104C6">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4）危险废物贮存场所按照要求设置警告标志，危废包装、容器和贮存场所应按照《危险废物识别标志设置技术规范》（HJ 1276-2022）、《环境保护图形标志</w:t>
            </w:r>
            <w:r>
              <w:rPr>
                <w:rFonts w:hint="eastAsia"/>
                <w:color w:val="0D0D0D" w:themeColor="text1" w:themeTint="F2"/>
                <w:kern w:val="0"/>
                <w:u w:val="single"/>
                <w:lang w:eastAsia="zh-CN"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固体废物贮存（处置）场》（GB 15562.2-1995）修改单有关要求张贴标识。</w:t>
            </w:r>
          </w:p>
          <w:p w14:paraId="32D107C8">
            <w:pPr>
              <w:keepNext w:val="0"/>
              <w:keepLines w:val="0"/>
              <w:suppressLineNumbers w:val="0"/>
              <w:spacing w:before="0" w:beforeAutospacing="0" w:after="0" w:afterAutospacing="0"/>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p>
          <w:p w14:paraId="1824540F">
            <w:pPr>
              <w:keepNext w:val="0"/>
              <w:keepLines w:val="0"/>
              <w:suppressLineNumbers w:val="0"/>
              <w:spacing w:before="0" w:beforeAutospacing="0" w:after="0" w:afterAutospacing="0"/>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表4-14  环境保护图形标志</w:t>
            </w:r>
          </w:p>
          <w:tbl>
            <w:tblPr>
              <w:tblStyle w:val="17"/>
              <w:tblW w:w="806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452"/>
              <w:gridCol w:w="880"/>
              <w:gridCol w:w="1424"/>
              <w:gridCol w:w="1204"/>
              <w:gridCol w:w="861"/>
              <w:gridCol w:w="1236"/>
              <w:gridCol w:w="1576"/>
            </w:tblGrid>
            <w:tr w14:paraId="303A9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tcBorders>
                    <w:tl2br w:val="nil"/>
                    <w:tr2bl w:val="nil"/>
                  </w:tcBorders>
                  <w:vAlign w:val="center"/>
                </w:tcPr>
                <w:p w14:paraId="44B9731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序号</w:t>
                  </w:r>
                </w:p>
              </w:tc>
              <w:tc>
                <w:tcPr>
                  <w:tcW w:w="1336" w:type="dxa"/>
                  <w:gridSpan w:val="2"/>
                  <w:tcBorders>
                    <w:tl2br w:val="nil"/>
                    <w:tr2bl w:val="nil"/>
                  </w:tcBorders>
                  <w:vAlign w:val="center"/>
                </w:tcPr>
                <w:p w14:paraId="19819A5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排放口名称</w:t>
                  </w:r>
                </w:p>
              </w:tc>
              <w:tc>
                <w:tcPr>
                  <w:tcW w:w="1432" w:type="dxa"/>
                  <w:tcBorders>
                    <w:tl2br w:val="nil"/>
                    <w:tr2bl w:val="nil"/>
                  </w:tcBorders>
                  <w:vAlign w:val="center"/>
                </w:tcPr>
                <w:p w14:paraId="1C0BCD89">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图形标志</w:t>
                  </w:r>
                </w:p>
              </w:tc>
              <w:tc>
                <w:tcPr>
                  <w:tcW w:w="1210" w:type="dxa"/>
                  <w:tcBorders>
                    <w:tl2br w:val="nil"/>
                    <w:tr2bl w:val="nil"/>
                  </w:tcBorders>
                  <w:vAlign w:val="center"/>
                </w:tcPr>
                <w:p w14:paraId="0BD8BBE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形状</w:t>
                  </w:r>
                </w:p>
              </w:tc>
              <w:tc>
                <w:tcPr>
                  <w:tcW w:w="864" w:type="dxa"/>
                  <w:tcBorders>
                    <w:tl2br w:val="nil"/>
                    <w:tr2bl w:val="nil"/>
                  </w:tcBorders>
                  <w:vAlign w:val="center"/>
                </w:tcPr>
                <w:p w14:paraId="14ACD95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背景颜色</w:t>
                  </w:r>
                </w:p>
              </w:tc>
              <w:tc>
                <w:tcPr>
                  <w:tcW w:w="1242" w:type="dxa"/>
                  <w:tcBorders>
                    <w:tl2br w:val="nil"/>
                    <w:tr2bl w:val="nil"/>
                  </w:tcBorders>
                  <w:vAlign w:val="center"/>
                </w:tcPr>
                <w:p w14:paraId="461BC63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图形或文字颜色</w:t>
                  </w:r>
                </w:p>
              </w:tc>
              <w:tc>
                <w:tcPr>
                  <w:tcW w:w="1576" w:type="dxa"/>
                  <w:tcBorders>
                    <w:tl2br w:val="nil"/>
                    <w:tr2bl w:val="nil"/>
                  </w:tcBorders>
                  <w:vAlign w:val="center"/>
                </w:tcPr>
                <w:p w14:paraId="328EED8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提示图形符号</w:t>
                  </w:r>
                </w:p>
              </w:tc>
            </w:tr>
            <w:tr w14:paraId="3E70CD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tcBorders>
                    <w:tl2br w:val="nil"/>
                    <w:tr2bl w:val="nil"/>
                  </w:tcBorders>
                  <w:vAlign w:val="center"/>
                </w:tcPr>
                <w:p w14:paraId="53E9BFC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1</w:t>
                  </w:r>
                </w:p>
              </w:tc>
              <w:tc>
                <w:tcPr>
                  <w:tcW w:w="1336" w:type="dxa"/>
                  <w:gridSpan w:val="2"/>
                  <w:tcBorders>
                    <w:tl2br w:val="nil"/>
                    <w:tr2bl w:val="nil"/>
                  </w:tcBorders>
                  <w:vAlign w:val="center"/>
                </w:tcPr>
                <w:p w14:paraId="496F622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一般固废暂存场所</w:t>
                  </w:r>
                </w:p>
              </w:tc>
              <w:tc>
                <w:tcPr>
                  <w:tcW w:w="1432" w:type="dxa"/>
                  <w:tcBorders>
                    <w:tl2br w:val="nil"/>
                    <w:tr2bl w:val="nil"/>
                  </w:tcBorders>
                  <w:vAlign w:val="center"/>
                </w:tcPr>
                <w:p w14:paraId="51154DB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提示标志</w:t>
                  </w:r>
                </w:p>
              </w:tc>
              <w:tc>
                <w:tcPr>
                  <w:tcW w:w="1210" w:type="dxa"/>
                  <w:tcBorders>
                    <w:tl2br w:val="nil"/>
                    <w:tr2bl w:val="nil"/>
                  </w:tcBorders>
                  <w:vAlign w:val="center"/>
                </w:tcPr>
                <w:p w14:paraId="3953D76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正方形边框</w:t>
                  </w:r>
                </w:p>
              </w:tc>
              <w:tc>
                <w:tcPr>
                  <w:tcW w:w="864" w:type="dxa"/>
                  <w:tcBorders>
                    <w:tl2br w:val="nil"/>
                    <w:tr2bl w:val="nil"/>
                  </w:tcBorders>
                  <w:vAlign w:val="center"/>
                </w:tcPr>
                <w:p w14:paraId="607C37E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绿色</w:t>
                  </w:r>
                </w:p>
              </w:tc>
              <w:tc>
                <w:tcPr>
                  <w:tcW w:w="1242" w:type="dxa"/>
                  <w:tcBorders>
                    <w:tl2br w:val="nil"/>
                    <w:tr2bl w:val="nil"/>
                  </w:tcBorders>
                  <w:vAlign w:val="center"/>
                </w:tcPr>
                <w:p w14:paraId="187A7C4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白色</w:t>
                  </w:r>
                </w:p>
              </w:tc>
              <w:tc>
                <w:tcPr>
                  <w:tcW w:w="1576" w:type="dxa"/>
                  <w:tcBorders>
                    <w:tl2br w:val="nil"/>
                    <w:tr2bl w:val="nil"/>
                  </w:tcBorders>
                  <w:vAlign w:val="center"/>
                </w:tcPr>
                <w:p w14:paraId="2DFF83D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drawing>
                      <wp:inline distT="0" distB="0" distL="114300" distR="114300">
                        <wp:extent cx="781050" cy="762000"/>
                        <wp:effectExtent l="0" t="0" r="635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781050" cy="762000"/>
                                </a:xfrm>
                                <a:prstGeom prst="rect">
                                  <a:avLst/>
                                </a:prstGeom>
                                <a:noFill/>
                                <a:ln>
                                  <a:noFill/>
                                </a:ln>
                              </pic:spPr>
                            </pic:pic>
                          </a:graphicData>
                        </a:graphic>
                      </wp:inline>
                    </w:drawing>
                  </w:r>
                </w:p>
              </w:tc>
            </w:tr>
            <w:tr w14:paraId="79F8C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400" w:type="dxa"/>
                  <w:vMerge w:val="restart"/>
                  <w:tcBorders>
                    <w:tl2br w:val="nil"/>
                    <w:tr2bl w:val="nil"/>
                  </w:tcBorders>
                  <w:vAlign w:val="center"/>
                </w:tcPr>
                <w:p w14:paraId="089057F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2</w:t>
                  </w:r>
                </w:p>
              </w:tc>
              <w:tc>
                <w:tcPr>
                  <w:tcW w:w="452" w:type="dxa"/>
                  <w:vMerge w:val="restart"/>
                  <w:tcBorders>
                    <w:tl2br w:val="nil"/>
                    <w:tr2bl w:val="nil"/>
                  </w:tcBorders>
                  <w:vAlign w:val="center"/>
                </w:tcPr>
                <w:p w14:paraId="248C90C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危废存储相关</w:t>
                  </w:r>
                </w:p>
              </w:tc>
              <w:tc>
                <w:tcPr>
                  <w:tcW w:w="884" w:type="dxa"/>
                  <w:tcBorders>
                    <w:tl2br w:val="nil"/>
                    <w:tr2bl w:val="nil"/>
                  </w:tcBorders>
                  <w:vAlign w:val="center"/>
                </w:tcPr>
                <w:p w14:paraId="3F9BE70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厂区</w:t>
                  </w:r>
                </w:p>
                <w:p w14:paraId="5AFB009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门口</w:t>
                  </w:r>
                </w:p>
              </w:tc>
              <w:tc>
                <w:tcPr>
                  <w:tcW w:w="1432" w:type="dxa"/>
                  <w:tcBorders>
                    <w:tl2br w:val="nil"/>
                    <w:tr2bl w:val="nil"/>
                  </w:tcBorders>
                  <w:vAlign w:val="center"/>
                </w:tcPr>
                <w:p w14:paraId="6A525CC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提示标志</w:t>
                  </w:r>
                </w:p>
              </w:tc>
              <w:tc>
                <w:tcPr>
                  <w:tcW w:w="1210" w:type="dxa"/>
                  <w:tcBorders>
                    <w:tl2br w:val="nil"/>
                    <w:tr2bl w:val="nil"/>
                  </w:tcBorders>
                  <w:vAlign w:val="center"/>
                </w:tcPr>
                <w:p w14:paraId="74BEE3E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矩形边框</w:t>
                  </w:r>
                </w:p>
              </w:tc>
              <w:tc>
                <w:tcPr>
                  <w:tcW w:w="864" w:type="dxa"/>
                  <w:tcBorders>
                    <w:tl2br w:val="nil"/>
                    <w:tr2bl w:val="nil"/>
                  </w:tcBorders>
                  <w:vAlign w:val="center"/>
                </w:tcPr>
                <w:p w14:paraId="5A3B424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蓝色</w:t>
                  </w:r>
                </w:p>
              </w:tc>
              <w:tc>
                <w:tcPr>
                  <w:tcW w:w="1242" w:type="dxa"/>
                  <w:tcBorders>
                    <w:tl2br w:val="nil"/>
                    <w:tr2bl w:val="nil"/>
                  </w:tcBorders>
                  <w:vAlign w:val="center"/>
                </w:tcPr>
                <w:p w14:paraId="2E69B05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白色</w:t>
                  </w:r>
                </w:p>
              </w:tc>
              <w:tc>
                <w:tcPr>
                  <w:tcW w:w="1576" w:type="dxa"/>
                  <w:tcBorders>
                    <w:tl2br w:val="nil"/>
                    <w:tr2bl w:val="nil"/>
                  </w:tcBorders>
                  <w:vAlign w:val="center"/>
                </w:tcPr>
                <w:p w14:paraId="279E2B8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drawing>
                      <wp:inline distT="0" distB="0" distL="114300" distR="114300">
                        <wp:extent cx="862965" cy="582930"/>
                        <wp:effectExtent l="0" t="0" r="635" b="1270"/>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1"/>
                                <a:stretch>
                                  <a:fillRect/>
                                </a:stretch>
                              </pic:blipFill>
                              <pic:spPr>
                                <a:xfrm>
                                  <a:off x="0" y="0"/>
                                  <a:ext cx="862965" cy="582930"/>
                                </a:xfrm>
                                <a:prstGeom prst="rect">
                                  <a:avLst/>
                                </a:prstGeom>
                                <a:noFill/>
                                <a:ln>
                                  <a:noFill/>
                                </a:ln>
                              </pic:spPr>
                            </pic:pic>
                          </a:graphicData>
                        </a:graphic>
                      </wp:inline>
                    </w:drawing>
                  </w:r>
                </w:p>
              </w:tc>
            </w:tr>
            <w:tr w14:paraId="63D859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tcBorders>
                    <w:tl2br w:val="nil"/>
                    <w:tr2bl w:val="nil"/>
                  </w:tcBorders>
                  <w:vAlign w:val="center"/>
                </w:tcPr>
                <w:p w14:paraId="594CC66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p>
              </w:tc>
              <w:tc>
                <w:tcPr>
                  <w:tcW w:w="452" w:type="dxa"/>
                  <w:vMerge w:val="continue"/>
                  <w:tcBorders>
                    <w:tl2br w:val="nil"/>
                    <w:tr2bl w:val="nil"/>
                  </w:tcBorders>
                  <w:vAlign w:val="center"/>
                </w:tcPr>
                <w:p w14:paraId="7164566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p>
              </w:tc>
              <w:tc>
                <w:tcPr>
                  <w:tcW w:w="884" w:type="dxa"/>
                  <w:tcBorders>
                    <w:tl2br w:val="nil"/>
                    <w:tr2bl w:val="nil"/>
                  </w:tcBorders>
                  <w:vAlign w:val="center"/>
                </w:tcPr>
                <w:p w14:paraId="31547AD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危废</w:t>
                  </w:r>
                </w:p>
                <w:p w14:paraId="10F9BC5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贮存</w:t>
                  </w:r>
                </w:p>
                <w:p w14:paraId="57BBF3F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分区</w:t>
                  </w:r>
                </w:p>
                <w:p w14:paraId="608BC6D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标识</w:t>
                  </w:r>
                </w:p>
              </w:tc>
              <w:tc>
                <w:tcPr>
                  <w:tcW w:w="1432" w:type="dxa"/>
                  <w:tcBorders>
                    <w:tl2br w:val="nil"/>
                    <w:tr2bl w:val="nil"/>
                  </w:tcBorders>
                  <w:vAlign w:val="center"/>
                </w:tcPr>
                <w:p w14:paraId="6D58EE9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警示标识</w:t>
                  </w:r>
                </w:p>
              </w:tc>
              <w:tc>
                <w:tcPr>
                  <w:tcW w:w="1210" w:type="dxa"/>
                  <w:tcBorders>
                    <w:tl2br w:val="nil"/>
                    <w:tr2bl w:val="nil"/>
                  </w:tcBorders>
                  <w:vAlign w:val="center"/>
                </w:tcPr>
                <w:p w14:paraId="07C5FCB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矩形边框</w:t>
                  </w:r>
                </w:p>
              </w:tc>
              <w:tc>
                <w:tcPr>
                  <w:tcW w:w="864" w:type="dxa"/>
                  <w:tcBorders>
                    <w:tl2br w:val="nil"/>
                    <w:tr2bl w:val="nil"/>
                  </w:tcBorders>
                  <w:vAlign w:val="center"/>
                </w:tcPr>
                <w:p w14:paraId="517B99B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黄色</w:t>
                  </w:r>
                </w:p>
              </w:tc>
              <w:tc>
                <w:tcPr>
                  <w:tcW w:w="1242" w:type="dxa"/>
                  <w:tcBorders>
                    <w:tl2br w:val="nil"/>
                    <w:tr2bl w:val="nil"/>
                  </w:tcBorders>
                  <w:vAlign w:val="center"/>
                </w:tcPr>
                <w:p w14:paraId="0DC5010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黑色</w:t>
                  </w:r>
                </w:p>
              </w:tc>
              <w:tc>
                <w:tcPr>
                  <w:tcW w:w="1576" w:type="dxa"/>
                  <w:tcBorders>
                    <w:tl2br w:val="nil"/>
                    <w:tr2bl w:val="nil"/>
                  </w:tcBorders>
                  <w:vAlign w:val="center"/>
                </w:tcPr>
                <w:p w14:paraId="59C4896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drawing>
                      <wp:inline distT="0" distB="0" distL="114300" distR="114300">
                        <wp:extent cx="862965" cy="808990"/>
                        <wp:effectExtent l="0" t="0" r="635" b="3810"/>
                        <wp:docPr id="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
                                <pic:cNvPicPr>
                                  <a:picLocks noChangeAspect="1"/>
                                </pic:cNvPicPr>
                              </pic:nvPicPr>
                              <pic:blipFill>
                                <a:blip r:embed="rId12"/>
                                <a:stretch>
                                  <a:fillRect/>
                                </a:stretch>
                              </pic:blipFill>
                              <pic:spPr>
                                <a:xfrm>
                                  <a:off x="0" y="0"/>
                                  <a:ext cx="862965" cy="808990"/>
                                </a:xfrm>
                                <a:prstGeom prst="rect">
                                  <a:avLst/>
                                </a:prstGeom>
                                <a:noFill/>
                                <a:ln>
                                  <a:noFill/>
                                </a:ln>
                              </pic:spPr>
                            </pic:pic>
                          </a:graphicData>
                        </a:graphic>
                      </wp:inline>
                    </w:drawing>
                  </w:r>
                </w:p>
              </w:tc>
            </w:tr>
            <w:tr w14:paraId="57677E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tcBorders>
                    <w:tl2br w:val="nil"/>
                    <w:tr2bl w:val="nil"/>
                  </w:tcBorders>
                  <w:vAlign w:val="center"/>
                </w:tcPr>
                <w:p w14:paraId="7DE52A3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p>
              </w:tc>
              <w:tc>
                <w:tcPr>
                  <w:tcW w:w="452" w:type="dxa"/>
                  <w:vMerge w:val="continue"/>
                  <w:tcBorders>
                    <w:tl2br w:val="nil"/>
                    <w:tr2bl w:val="nil"/>
                  </w:tcBorders>
                  <w:vAlign w:val="center"/>
                </w:tcPr>
                <w:p w14:paraId="5B90853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p>
              </w:tc>
              <w:tc>
                <w:tcPr>
                  <w:tcW w:w="884" w:type="dxa"/>
                  <w:tcBorders>
                    <w:tl2br w:val="nil"/>
                    <w:tr2bl w:val="nil"/>
                  </w:tcBorders>
                  <w:vAlign w:val="center"/>
                </w:tcPr>
                <w:p w14:paraId="5254AE0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危废</w:t>
                  </w:r>
                </w:p>
                <w:p w14:paraId="15A460B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贮存</w:t>
                  </w:r>
                </w:p>
                <w:p w14:paraId="5E1E113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标识</w:t>
                  </w:r>
                </w:p>
              </w:tc>
              <w:tc>
                <w:tcPr>
                  <w:tcW w:w="1432" w:type="dxa"/>
                  <w:tcBorders>
                    <w:tl2br w:val="nil"/>
                    <w:tr2bl w:val="nil"/>
                  </w:tcBorders>
                  <w:vAlign w:val="center"/>
                </w:tcPr>
                <w:p w14:paraId="428807B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警示标识</w:t>
                  </w:r>
                </w:p>
              </w:tc>
              <w:tc>
                <w:tcPr>
                  <w:tcW w:w="1210" w:type="dxa"/>
                  <w:tcBorders>
                    <w:tl2br w:val="nil"/>
                    <w:tr2bl w:val="nil"/>
                  </w:tcBorders>
                  <w:vAlign w:val="center"/>
                </w:tcPr>
                <w:p w14:paraId="779C8D9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矩形边框</w:t>
                  </w:r>
                </w:p>
              </w:tc>
              <w:tc>
                <w:tcPr>
                  <w:tcW w:w="864" w:type="dxa"/>
                  <w:tcBorders>
                    <w:tl2br w:val="nil"/>
                    <w:tr2bl w:val="nil"/>
                  </w:tcBorders>
                  <w:vAlign w:val="center"/>
                </w:tcPr>
                <w:p w14:paraId="4BF07D5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黄色</w:t>
                  </w:r>
                </w:p>
              </w:tc>
              <w:tc>
                <w:tcPr>
                  <w:tcW w:w="1242" w:type="dxa"/>
                  <w:tcBorders>
                    <w:tl2br w:val="nil"/>
                    <w:tr2bl w:val="nil"/>
                  </w:tcBorders>
                  <w:vAlign w:val="center"/>
                </w:tcPr>
                <w:p w14:paraId="6406833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黑色</w:t>
                  </w:r>
                </w:p>
              </w:tc>
              <w:tc>
                <w:tcPr>
                  <w:tcW w:w="1576" w:type="dxa"/>
                  <w:tcBorders>
                    <w:tl2br w:val="nil"/>
                    <w:tr2bl w:val="nil"/>
                  </w:tcBorders>
                  <w:vAlign w:val="center"/>
                </w:tcPr>
                <w:p w14:paraId="68E5EAA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drawing>
                      <wp:inline distT="0" distB="0" distL="114300" distR="114300">
                        <wp:extent cx="863600" cy="551815"/>
                        <wp:effectExtent l="0" t="0" r="0" b="6985"/>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pic:cNvPicPr>
                              </pic:nvPicPr>
                              <pic:blipFill>
                                <a:blip r:embed="rId13"/>
                                <a:stretch>
                                  <a:fillRect/>
                                </a:stretch>
                              </pic:blipFill>
                              <pic:spPr>
                                <a:xfrm>
                                  <a:off x="0" y="0"/>
                                  <a:ext cx="863600" cy="551815"/>
                                </a:xfrm>
                                <a:prstGeom prst="rect">
                                  <a:avLst/>
                                </a:prstGeom>
                                <a:noFill/>
                                <a:ln>
                                  <a:noFill/>
                                </a:ln>
                              </pic:spPr>
                            </pic:pic>
                          </a:graphicData>
                        </a:graphic>
                      </wp:inline>
                    </w:drawing>
                  </w:r>
                </w:p>
              </w:tc>
            </w:tr>
            <w:tr w14:paraId="713901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00" w:type="dxa"/>
                  <w:vMerge w:val="continue"/>
                  <w:tcBorders>
                    <w:tl2br w:val="nil"/>
                    <w:tr2bl w:val="nil"/>
                  </w:tcBorders>
                  <w:vAlign w:val="center"/>
                </w:tcPr>
                <w:p w14:paraId="387A52E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p>
              </w:tc>
              <w:tc>
                <w:tcPr>
                  <w:tcW w:w="452" w:type="dxa"/>
                  <w:vMerge w:val="continue"/>
                  <w:tcBorders>
                    <w:tl2br w:val="nil"/>
                    <w:tr2bl w:val="nil"/>
                  </w:tcBorders>
                  <w:vAlign w:val="center"/>
                </w:tcPr>
                <w:p w14:paraId="47CB3C5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p>
              </w:tc>
              <w:tc>
                <w:tcPr>
                  <w:tcW w:w="884" w:type="dxa"/>
                  <w:tcBorders>
                    <w:tl2br w:val="nil"/>
                    <w:tr2bl w:val="nil"/>
                  </w:tcBorders>
                  <w:vAlign w:val="center"/>
                </w:tcPr>
                <w:p w14:paraId="5AD78A7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危废</w:t>
                  </w:r>
                </w:p>
                <w:p w14:paraId="19E7A01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标签</w:t>
                  </w:r>
                </w:p>
              </w:tc>
              <w:tc>
                <w:tcPr>
                  <w:tcW w:w="1432" w:type="dxa"/>
                  <w:tcBorders>
                    <w:tl2br w:val="nil"/>
                    <w:tr2bl w:val="nil"/>
                  </w:tcBorders>
                  <w:vAlign w:val="center"/>
                </w:tcPr>
                <w:p w14:paraId="65F485C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包装识别标签</w:t>
                  </w:r>
                </w:p>
              </w:tc>
              <w:tc>
                <w:tcPr>
                  <w:tcW w:w="1210" w:type="dxa"/>
                  <w:tcBorders>
                    <w:tl2br w:val="nil"/>
                    <w:tr2bl w:val="nil"/>
                  </w:tcBorders>
                  <w:vAlign w:val="center"/>
                </w:tcPr>
                <w:p w14:paraId="70BD798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矩形边框</w:t>
                  </w:r>
                </w:p>
              </w:tc>
              <w:tc>
                <w:tcPr>
                  <w:tcW w:w="864" w:type="dxa"/>
                  <w:tcBorders>
                    <w:tl2br w:val="nil"/>
                    <w:tr2bl w:val="nil"/>
                  </w:tcBorders>
                  <w:vAlign w:val="center"/>
                </w:tcPr>
                <w:p w14:paraId="2FEB7C5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桔黄色</w:t>
                  </w:r>
                </w:p>
              </w:tc>
              <w:tc>
                <w:tcPr>
                  <w:tcW w:w="1242" w:type="dxa"/>
                  <w:tcBorders>
                    <w:tl2br w:val="nil"/>
                    <w:tr2bl w:val="nil"/>
                  </w:tcBorders>
                  <w:vAlign w:val="center"/>
                </w:tcPr>
                <w:p w14:paraId="780E093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黑色</w:t>
                  </w:r>
                </w:p>
              </w:tc>
              <w:tc>
                <w:tcPr>
                  <w:tcW w:w="1576" w:type="dxa"/>
                  <w:tcBorders>
                    <w:tl2br w:val="nil"/>
                    <w:tr2bl w:val="nil"/>
                  </w:tcBorders>
                  <w:vAlign w:val="center"/>
                </w:tcPr>
                <w:p w14:paraId="4D848D9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drawing>
                      <wp:inline distT="0" distB="0" distL="114300" distR="114300">
                        <wp:extent cx="862965" cy="894715"/>
                        <wp:effectExtent l="0" t="0" r="635" b="6985"/>
                        <wp:docPr id="2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5"/>
                                <pic:cNvPicPr>
                                  <a:picLocks noChangeAspect="1"/>
                                </pic:cNvPicPr>
                              </pic:nvPicPr>
                              <pic:blipFill>
                                <a:blip r:embed="rId14"/>
                                <a:stretch>
                                  <a:fillRect/>
                                </a:stretch>
                              </pic:blipFill>
                              <pic:spPr>
                                <a:xfrm>
                                  <a:off x="0" y="0"/>
                                  <a:ext cx="862965" cy="894715"/>
                                </a:xfrm>
                                <a:prstGeom prst="rect">
                                  <a:avLst/>
                                </a:prstGeom>
                                <a:noFill/>
                                <a:ln>
                                  <a:noFill/>
                                </a:ln>
                              </pic:spPr>
                            </pic:pic>
                          </a:graphicData>
                        </a:graphic>
                      </wp:inline>
                    </w:drawing>
                  </w:r>
                </w:p>
              </w:tc>
            </w:tr>
          </w:tbl>
          <w:p w14:paraId="330B7E52">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（10）结论与建议</w:t>
            </w:r>
          </w:p>
          <w:p w14:paraId="5AF9E3A2">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经采取上述措施后，本项目产生的固废均能有效处置，实现零排放，符合环保要求，不会对周围环境造成不良影响。</w:t>
            </w:r>
          </w:p>
          <w:p w14:paraId="3F9EA182">
            <w:pPr>
              <w:keepNext w:val="0"/>
              <w:keepLines w:val="0"/>
              <w:suppressLineNumbers w:val="0"/>
              <w:spacing w:before="0" w:beforeAutospacing="0" w:after="0" w:afterAutospacing="0"/>
              <w:ind w:left="0" w:right="0" w:firstLine="482"/>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五、土壤、地下水环境影响分析</w:t>
            </w:r>
          </w:p>
          <w:p w14:paraId="43A6C208">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根据《环境影响评价技术导则土壤环境（试行）》（HJ964-2018）附录A，因此，本项目土壤环境影响评价项目类别属于Ⅳ类。</w:t>
            </w:r>
          </w:p>
          <w:p w14:paraId="6F6E8385">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根据《环境影响评价技术导则-地下水环境》（HJ610-2016）附录A，本项目所属的地下水环境影响评价项目类别为Ⅳ类。</w:t>
            </w:r>
          </w:p>
          <w:p w14:paraId="7DB8849E">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本项目为工业园内建设的标准厂房，地面均已水泥硬化，本项目对区域土壤、地下水环境的影响不明显。</w:t>
            </w:r>
          </w:p>
          <w:p w14:paraId="2AC4929E">
            <w:pPr>
              <w:keepNext w:val="0"/>
              <w:keepLines w:val="0"/>
              <w:suppressLineNumbers w:val="0"/>
              <w:spacing w:before="0" w:beforeAutospacing="0" w:after="0" w:afterAutospacing="0"/>
              <w:ind w:left="0" w:right="0" w:firstLine="482"/>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六、生态</w:t>
            </w:r>
          </w:p>
          <w:p w14:paraId="52397C8E">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本项目用地范围内不含有生态环境保护目标。</w:t>
            </w:r>
          </w:p>
          <w:p w14:paraId="026C4688">
            <w:pPr>
              <w:keepNext w:val="0"/>
              <w:keepLines w:val="0"/>
              <w:suppressLineNumbers w:val="0"/>
              <w:spacing w:before="0" w:beforeAutospacing="0" w:after="0" w:afterAutospacing="0"/>
              <w:ind w:left="0" w:right="0" w:firstLine="482"/>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u w:val="single"/>
                <w:lang w:bidi="ar"/>
                <w14:textFill>
                  <w14:solidFill>
                    <w14:schemeClr w14:val="tx1">
                      <w14:lumMod w14:val="95000"/>
                      <w14:lumOff w14:val="5000"/>
                    </w14:schemeClr>
                  </w14:solidFill>
                </w14:textFill>
              </w:rPr>
              <w:t>七、环境风险分析及防范措施</w:t>
            </w:r>
          </w:p>
          <w:p w14:paraId="0EDA74F3">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1、环境风险识别</w:t>
            </w:r>
          </w:p>
          <w:p w14:paraId="6DC541D4">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对照《建设项目环境风险评价技术导则》（HJ169-2018）附录B，项目营业过程中使用的原材料均不属于《建设项目环境风险评价技术导则》（HJ169-2018）中重点关注的风险物质。</w:t>
            </w:r>
          </w:p>
          <w:p w14:paraId="437B51A9">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当只涉及一种危险物质时，计算该物质的总量与其临界量比值，即为Q；</w:t>
            </w:r>
          </w:p>
          <w:p w14:paraId="6CF88CBE">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当存在多种危险物质时，则按下式计算物质总量与其临界量比值（Q）：</w:t>
            </w:r>
          </w:p>
          <w:p w14:paraId="163C58C0">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总量与其临界量比值（Q）：</w:t>
            </w:r>
          </w:p>
          <w:p w14:paraId="24257DD1">
            <w:pPr>
              <w:keepNext w:val="0"/>
              <w:keepLines w:val="0"/>
              <w:suppressLineNumbers w:val="0"/>
              <w:spacing w:before="0" w:beforeAutospacing="0" w:after="0" w:afterAutospacing="0"/>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drawing>
                <wp:inline distT="0" distB="0" distL="114300" distR="114300">
                  <wp:extent cx="2449830" cy="880110"/>
                  <wp:effectExtent l="0" t="0" r="1270" b="8890"/>
                  <wp:docPr id="2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6"/>
                          <pic:cNvPicPr>
                            <a:picLocks noChangeAspect="1"/>
                          </pic:cNvPicPr>
                        </pic:nvPicPr>
                        <pic:blipFill>
                          <a:blip r:embed="rId15">
                            <a:lum bright="-12000" contrast="36000"/>
                          </a:blip>
                          <a:stretch>
                            <a:fillRect/>
                          </a:stretch>
                        </pic:blipFill>
                        <pic:spPr>
                          <a:xfrm>
                            <a:off x="0" y="0"/>
                            <a:ext cx="2449830" cy="880110"/>
                          </a:xfrm>
                          <a:prstGeom prst="rect">
                            <a:avLst/>
                          </a:prstGeom>
                          <a:noFill/>
                          <a:ln>
                            <a:noFill/>
                          </a:ln>
                        </pic:spPr>
                      </pic:pic>
                    </a:graphicData>
                  </a:graphic>
                </wp:inline>
              </w:drawing>
            </w:r>
          </w:p>
          <w:p w14:paraId="4D587A04">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式中：q1，q2…，qn为每种危险物质的最大存在总量，t。</w:t>
            </w:r>
          </w:p>
          <w:p w14:paraId="564DC30B">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Q1</w:t>
            </w:r>
            <w:r>
              <w:rPr>
                <w:rFonts w:hint="eastAsia"/>
                <w:color w:val="0D0D0D" w:themeColor="text1" w:themeTint="F2"/>
                <w:kern w:val="0"/>
                <w:u w:val="single"/>
                <w:lang w:bidi="ar"/>
                <w14:textFill>
                  <w14:solidFill>
                    <w14:schemeClr w14:val="tx1">
                      <w14:lumMod w14:val="95000"/>
                      <w14:lumOff w14:val="5000"/>
                    </w14:schemeClr>
                  </w14:solidFill>
                </w14:textFill>
              </w:rPr>
              <w:t>，</w:t>
            </w:r>
            <w:r>
              <w:rPr>
                <w:rFonts w:hint="default"/>
                <w:color w:val="0D0D0D" w:themeColor="text1" w:themeTint="F2"/>
                <w:kern w:val="0"/>
                <w:u w:val="single"/>
                <w:lang w:bidi="ar"/>
                <w14:textFill>
                  <w14:solidFill>
                    <w14:schemeClr w14:val="tx1">
                      <w14:lumMod w14:val="95000"/>
                      <w14:lumOff w14:val="5000"/>
                    </w14:schemeClr>
                  </w14:solidFill>
                </w14:textFill>
              </w:rPr>
              <w:t>Q2…Qn为每种危险物质的临界量，t。</w:t>
            </w:r>
          </w:p>
          <w:p w14:paraId="004063CD">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当Q＜1时，该项目环境风险潜势为Ⅰ。</w:t>
            </w:r>
          </w:p>
          <w:p w14:paraId="41416B0A">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当Q≥1，将Q值分为：（1）1≤Q＜10；（2）10≤Q＜100；（3）Q≥100。</w:t>
            </w:r>
          </w:p>
          <w:p w14:paraId="05B447FD">
            <w:pPr>
              <w:keepNext w:val="0"/>
              <w:keepLines w:val="0"/>
              <w:suppressLineNumbers w:val="0"/>
              <w:spacing w:before="0" w:beforeAutospacing="0" w:after="0" w:afterAutospacing="0"/>
              <w:ind w:left="0" w:right="0" w:firstLine="480"/>
              <w:jc w:val="left"/>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对照《建设项目环境风险评价技术导则》（HJ169-2018）附录B，本项目涉及的风险物质临界量见下表。</w:t>
            </w:r>
          </w:p>
          <w:p w14:paraId="703A5F3E">
            <w:pPr>
              <w:keepNext w:val="0"/>
              <w:keepLines w:val="0"/>
              <w:suppressLineNumbers w:val="0"/>
              <w:spacing w:before="0" w:beforeAutospacing="0" w:after="0" w:afterAutospacing="0"/>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表4-15  突发大气环境风险物质及临界量判别表</w:t>
            </w:r>
          </w:p>
          <w:tbl>
            <w:tblPr>
              <w:tblStyle w:val="17"/>
              <w:tblW w:w="80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770"/>
              <w:gridCol w:w="2377"/>
              <w:gridCol w:w="1604"/>
              <w:gridCol w:w="1604"/>
            </w:tblGrid>
            <w:tr w14:paraId="0DE31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4" w:type="dxa"/>
                  <w:tcBorders>
                    <w:tl2br w:val="nil"/>
                    <w:tr2bl w:val="nil"/>
                  </w:tcBorders>
                  <w:vAlign w:val="center"/>
                </w:tcPr>
                <w:p w14:paraId="0A64BF6B">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序号</w:t>
                  </w:r>
                </w:p>
              </w:tc>
              <w:tc>
                <w:tcPr>
                  <w:tcW w:w="1770" w:type="dxa"/>
                  <w:tcBorders>
                    <w:tl2br w:val="nil"/>
                    <w:tr2bl w:val="nil"/>
                  </w:tcBorders>
                  <w:vAlign w:val="center"/>
                </w:tcPr>
                <w:p w14:paraId="561022F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危险物质名称</w:t>
                  </w:r>
                </w:p>
              </w:tc>
              <w:tc>
                <w:tcPr>
                  <w:tcW w:w="2377" w:type="dxa"/>
                  <w:tcBorders>
                    <w:tl2br w:val="nil"/>
                    <w:tr2bl w:val="nil"/>
                  </w:tcBorders>
                  <w:vAlign w:val="center"/>
                </w:tcPr>
                <w:p w14:paraId="441964C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最大贮存量（t）</w:t>
                  </w:r>
                </w:p>
              </w:tc>
              <w:tc>
                <w:tcPr>
                  <w:tcW w:w="1604" w:type="dxa"/>
                  <w:tcBorders>
                    <w:tl2br w:val="nil"/>
                    <w:tr2bl w:val="nil"/>
                  </w:tcBorders>
                  <w:vAlign w:val="center"/>
                </w:tcPr>
                <w:p w14:paraId="1D3CB98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临界量（t）</w:t>
                  </w:r>
                </w:p>
              </w:tc>
              <w:tc>
                <w:tcPr>
                  <w:tcW w:w="1604" w:type="dxa"/>
                  <w:tcBorders>
                    <w:tl2br w:val="nil"/>
                    <w:tr2bl w:val="nil"/>
                  </w:tcBorders>
                  <w:vAlign w:val="center"/>
                </w:tcPr>
                <w:p w14:paraId="3DA56A1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Q值</w:t>
                  </w:r>
                </w:p>
              </w:tc>
            </w:tr>
            <w:tr w14:paraId="0C7A5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4" w:type="dxa"/>
                  <w:tcBorders>
                    <w:tl2br w:val="nil"/>
                    <w:tr2bl w:val="nil"/>
                  </w:tcBorders>
                  <w:vAlign w:val="center"/>
                </w:tcPr>
                <w:p w14:paraId="5BF8E1E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1</w:t>
                  </w:r>
                </w:p>
              </w:tc>
              <w:tc>
                <w:tcPr>
                  <w:tcW w:w="1770" w:type="dxa"/>
                  <w:tcBorders>
                    <w:tl2br w:val="nil"/>
                    <w:tr2bl w:val="nil"/>
                  </w:tcBorders>
                  <w:vAlign w:val="center"/>
                </w:tcPr>
                <w:p w14:paraId="75FF6F5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废活性炭</w:t>
                  </w:r>
                </w:p>
              </w:tc>
              <w:tc>
                <w:tcPr>
                  <w:tcW w:w="2377" w:type="dxa"/>
                  <w:tcBorders>
                    <w:tl2br w:val="nil"/>
                    <w:tr2bl w:val="nil"/>
                  </w:tcBorders>
                  <w:vAlign w:val="center"/>
                </w:tcPr>
                <w:p w14:paraId="635FA304">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val="en-US" w:eastAsia="zh-CN" w:bidi="ar"/>
                      <w14:textFill>
                        <w14:solidFill>
                          <w14:schemeClr w14:val="tx1">
                            <w14:lumMod w14:val="95000"/>
                            <w14:lumOff w14:val="5000"/>
                          </w14:schemeClr>
                        </w14:solidFill>
                      </w14:textFill>
                    </w:rPr>
                    <w:t>2.268</w:t>
                  </w:r>
                </w:p>
              </w:tc>
              <w:tc>
                <w:tcPr>
                  <w:tcW w:w="1604" w:type="dxa"/>
                  <w:tcBorders>
                    <w:tl2br w:val="nil"/>
                    <w:tr2bl w:val="nil"/>
                  </w:tcBorders>
                  <w:vAlign w:val="center"/>
                </w:tcPr>
                <w:p w14:paraId="66FDA9B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50</w:t>
                  </w:r>
                </w:p>
              </w:tc>
              <w:tc>
                <w:tcPr>
                  <w:tcW w:w="1604" w:type="dxa"/>
                  <w:tcBorders>
                    <w:tl2br w:val="nil"/>
                    <w:tr2bl w:val="nil"/>
                  </w:tcBorders>
                  <w:vAlign w:val="center"/>
                </w:tcPr>
                <w:p w14:paraId="2C63D1F4">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0.04536</w:t>
                  </w:r>
                </w:p>
              </w:tc>
            </w:tr>
            <w:tr w14:paraId="45E95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4" w:type="dxa"/>
                  <w:tcBorders>
                    <w:tl2br w:val="nil"/>
                    <w:tr2bl w:val="nil"/>
                  </w:tcBorders>
                  <w:vAlign w:val="center"/>
                </w:tcPr>
                <w:p w14:paraId="32B19F7F">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kern w:val="0"/>
                      <w:u w:val="single"/>
                      <w:lang w:eastAsia="zh-CN"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val="en-US" w:eastAsia="zh-CN" w:bidi="ar"/>
                      <w14:textFill>
                        <w14:solidFill>
                          <w14:schemeClr w14:val="tx1">
                            <w14:lumMod w14:val="95000"/>
                            <w14:lumOff w14:val="5000"/>
                          </w14:schemeClr>
                        </w14:solidFill>
                      </w14:textFill>
                    </w:rPr>
                    <w:t>2</w:t>
                  </w:r>
                </w:p>
              </w:tc>
              <w:tc>
                <w:tcPr>
                  <w:tcW w:w="1770" w:type="dxa"/>
                  <w:tcBorders>
                    <w:tl2br w:val="nil"/>
                    <w:tr2bl w:val="nil"/>
                  </w:tcBorders>
                  <w:shd w:val="clear" w:color="auto" w:fill="auto"/>
                  <w:vAlign w:val="center"/>
                </w:tcPr>
                <w:p w14:paraId="63408C8C">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D0D0D" w:themeColor="text1" w:themeTint="F2"/>
                      <w:kern w:val="0"/>
                      <w:sz w:val="24"/>
                      <w:szCs w:val="24"/>
                      <w:u w:val="single"/>
                      <w:lang w:val="en-US" w:eastAsia="zh-CN"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废润滑油</w:t>
                  </w:r>
                </w:p>
              </w:tc>
              <w:tc>
                <w:tcPr>
                  <w:tcW w:w="2377" w:type="dxa"/>
                  <w:tcBorders>
                    <w:tl2br w:val="nil"/>
                    <w:tr2bl w:val="nil"/>
                  </w:tcBorders>
                  <w:shd w:val="clear" w:color="auto" w:fill="auto"/>
                  <w:vAlign w:val="center"/>
                </w:tcPr>
                <w:p w14:paraId="3E5CC6A7">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D0D0D" w:themeColor="text1" w:themeTint="F2"/>
                      <w:kern w:val="0"/>
                      <w:sz w:val="24"/>
                      <w:szCs w:val="24"/>
                      <w:u w:val="single"/>
                      <w:lang w:val="en-US" w:eastAsia="zh-CN"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0.03</w:t>
                  </w:r>
                </w:p>
              </w:tc>
              <w:tc>
                <w:tcPr>
                  <w:tcW w:w="1604" w:type="dxa"/>
                  <w:tcBorders>
                    <w:tl2br w:val="nil"/>
                    <w:tr2bl w:val="nil"/>
                  </w:tcBorders>
                  <w:shd w:val="clear" w:color="auto" w:fill="auto"/>
                  <w:vAlign w:val="center"/>
                </w:tcPr>
                <w:p w14:paraId="083DCECF">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D0D0D" w:themeColor="text1" w:themeTint="F2"/>
                      <w:kern w:val="0"/>
                      <w:sz w:val="24"/>
                      <w:szCs w:val="24"/>
                      <w:u w:val="single"/>
                      <w:lang w:val="en-US" w:eastAsia="zh-CN"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2500</w:t>
                  </w:r>
                </w:p>
              </w:tc>
              <w:tc>
                <w:tcPr>
                  <w:tcW w:w="1604" w:type="dxa"/>
                  <w:tcBorders>
                    <w:tl2br w:val="nil"/>
                    <w:tr2bl w:val="nil"/>
                  </w:tcBorders>
                  <w:shd w:val="clear" w:color="auto" w:fill="auto"/>
                  <w:vAlign w:val="center"/>
                </w:tcPr>
                <w:p w14:paraId="4633A262">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D0D0D" w:themeColor="text1" w:themeTint="F2"/>
                      <w:kern w:val="0"/>
                      <w:sz w:val="24"/>
                      <w:szCs w:val="24"/>
                      <w:u w:val="single"/>
                      <w:lang w:val="en-US" w:eastAsia="zh-CN"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0.000012</w:t>
                  </w:r>
                </w:p>
              </w:tc>
            </w:tr>
            <w:tr w14:paraId="2DCCE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4" w:type="dxa"/>
                  <w:tcBorders>
                    <w:tl2br w:val="nil"/>
                    <w:tr2bl w:val="nil"/>
                  </w:tcBorders>
                  <w:vAlign w:val="center"/>
                </w:tcPr>
                <w:p w14:paraId="230F14F4">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kern w:val="0"/>
                      <w:u w:val="single"/>
                      <w:lang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3</w:t>
                  </w:r>
                </w:p>
              </w:tc>
              <w:tc>
                <w:tcPr>
                  <w:tcW w:w="1770" w:type="dxa"/>
                  <w:tcBorders>
                    <w:tl2br w:val="nil"/>
                    <w:tr2bl w:val="nil"/>
                  </w:tcBorders>
                  <w:vAlign w:val="center"/>
                </w:tcPr>
                <w:p w14:paraId="14A3924F">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丁二醇</w:t>
                  </w:r>
                </w:p>
              </w:tc>
              <w:tc>
                <w:tcPr>
                  <w:tcW w:w="2377" w:type="dxa"/>
                  <w:tcBorders>
                    <w:tl2br w:val="nil"/>
                    <w:tr2bl w:val="nil"/>
                  </w:tcBorders>
                  <w:vAlign w:val="center"/>
                </w:tcPr>
                <w:p w14:paraId="6230A6FB">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20</w:t>
                  </w:r>
                </w:p>
              </w:tc>
              <w:tc>
                <w:tcPr>
                  <w:tcW w:w="1604" w:type="dxa"/>
                  <w:tcBorders>
                    <w:tl2br w:val="nil"/>
                    <w:tr2bl w:val="nil"/>
                  </w:tcBorders>
                  <w:vAlign w:val="center"/>
                </w:tcPr>
                <w:p w14:paraId="7F82D38E">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50</w:t>
                  </w:r>
                </w:p>
              </w:tc>
              <w:tc>
                <w:tcPr>
                  <w:tcW w:w="1604" w:type="dxa"/>
                  <w:tcBorders>
                    <w:tl2br w:val="nil"/>
                    <w:tr2bl w:val="nil"/>
                  </w:tcBorders>
                  <w:vAlign w:val="center"/>
                </w:tcPr>
                <w:p w14:paraId="58FAEFC3">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0.4</w:t>
                  </w:r>
                </w:p>
              </w:tc>
            </w:tr>
            <w:tr w14:paraId="2501E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64" w:type="dxa"/>
                  <w:tcBorders>
                    <w:tl2br w:val="nil"/>
                    <w:tr2bl w:val="nil"/>
                  </w:tcBorders>
                  <w:vAlign w:val="center"/>
                </w:tcPr>
                <w:p w14:paraId="296E8C0E">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kern w:val="0"/>
                      <w:u w:val="single"/>
                      <w:lang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4</w:t>
                  </w:r>
                </w:p>
              </w:tc>
              <w:tc>
                <w:tcPr>
                  <w:tcW w:w="1770" w:type="dxa"/>
                  <w:tcBorders>
                    <w:tl2br w:val="nil"/>
                    <w:tr2bl w:val="nil"/>
                  </w:tcBorders>
                  <w:vAlign w:val="center"/>
                </w:tcPr>
                <w:p w14:paraId="10FFC82F">
                  <w:pPr>
                    <w:keepNext w:val="0"/>
                    <w:keepLines w:val="0"/>
                    <w:suppressLineNumbers w:val="0"/>
                    <w:spacing w:before="0" w:beforeAutospacing="0" w:after="0" w:afterAutospacing="0" w:line="240" w:lineRule="auto"/>
                    <w:ind w:left="0" w:right="0" w:firstLine="0" w:firstLineChars="0"/>
                    <w:jc w:val="center"/>
                    <w:rPr>
                      <w:rFonts w:hint="eastAsia" w:eastAsia="宋体"/>
                      <w:color w:val="0D0D0D" w:themeColor="text1" w:themeTint="F2"/>
                      <w:kern w:val="0"/>
                      <w:u w:val="single"/>
                      <w:lang w:eastAsia="zh-CN" w:bidi="ar"/>
                      <w14:textFill>
                        <w14:solidFill>
                          <w14:schemeClr w14:val="tx1">
                            <w14:lumMod w14:val="95000"/>
                            <w14:lumOff w14:val="5000"/>
                          </w14:schemeClr>
                        </w14:solidFill>
                      </w14:textFill>
                    </w:rPr>
                  </w:pPr>
                  <w:r>
                    <w:rPr>
                      <w:rFonts w:hint="eastAsia"/>
                      <w:color w:val="0D0D0D" w:themeColor="text1" w:themeTint="F2"/>
                      <w:kern w:val="0"/>
                      <w:sz w:val="21"/>
                      <w:szCs w:val="21"/>
                      <w:u w:val="single"/>
                      <w:lang w:val="en-US" w:eastAsia="zh-CN" w:bidi="ar"/>
                      <w14:textFill>
                        <w14:solidFill>
                          <w14:schemeClr w14:val="tx1">
                            <w14:lumMod w14:val="95000"/>
                            <w14:lumOff w14:val="5000"/>
                          </w14:schemeClr>
                        </w14:solidFill>
                      </w14:textFill>
                    </w:rPr>
                    <w:t>多异氰酸酯</w:t>
                  </w:r>
                </w:p>
              </w:tc>
              <w:tc>
                <w:tcPr>
                  <w:tcW w:w="2377" w:type="dxa"/>
                  <w:tcBorders>
                    <w:tl2br w:val="nil"/>
                    <w:tr2bl w:val="nil"/>
                  </w:tcBorders>
                  <w:vAlign w:val="center"/>
                </w:tcPr>
                <w:p w14:paraId="3FAF7769">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20</w:t>
                  </w:r>
                </w:p>
              </w:tc>
              <w:tc>
                <w:tcPr>
                  <w:tcW w:w="1604" w:type="dxa"/>
                  <w:tcBorders>
                    <w:tl2br w:val="nil"/>
                    <w:tr2bl w:val="nil"/>
                  </w:tcBorders>
                  <w:vAlign w:val="center"/>
                </w:tcPr>
                <w:p w14:paraId="4984C3C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50</w:t>
                  </w:r>
                </w:p>
              </w:tc>
              <w:tc>
                <w:tcPr>
                  <w:tcW w:w="1604" w:type="dxa"/>
                  <w:tcBorders>
                    <w:tl2br w:val="nil"/>
                    <w:tr2bl w:val="nil"/>
                  </w:tcBorders>
                  <w:vAlign w:val="center"/>
                </w:tcPr>
                <w:p w14:paraId="05583BFC">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0.4</w:t>
                  </w:r>
                </w:p>
              </w:tc>
            </w:tr>
            <w:tr w14:paraId="37C47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415" w:type="dxa"/>
                  <w:gridSpan w:val="4"/>
                  <w:tcBorders>
                    <w:tl2br w:val="nil"/>
                    <w:tr2bl w:val="nil"/>
                  </w:tcBorders>
                  <w:vAlign w:val="center"/>
                </w:tcPr>
                <w:p w14:paraId="54470CD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项目Q值Σ</w:t>
                  </w:r>
                </w:p>
              </w:tc>
              <w:tc>
                <w:tcPr>
                  <w:tcW w:w="1604" w:type="dxa"/>
                  <w:tcBorders>
                    <w:tl2br w:val="nil"/>
                    <w:tr2bl w:val="nil"/>
                  </w:tcBorders>
                  <w:vAlign w:val="center"/>
                </w:tcPr>
                <w:p w14:paraId="44C43F7D">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kern w:val="0"/>
                      <w:u w:val="single"/>
                      <w:lang w:val="en-US" w:eastAsia="zh-CN"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0.</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845372</w:t>
                  </w:r>
                </w:p>
              </w:tc>
            </w:tr>
          </w:tbl>
          <w:p w14:paraId="5BC3B96A">
            <w:pPr>
              <w:keepNext w:val="0"/>
              <w:keepLines w:val="0"/>
              <w:suppressLineNumbers w:val="0"/>
              <w:spacing w:before="0" w:beforeAutospacing="0" w:after="0" w:afterAutospacing="0"/>
              <w:ind w:left="0" w:right="0" w:firstLine="480"/>
              <w:rPr>
                <w:rFonts w:hint="default"/>
                <w:color w:val="0D0D0D" w:themeColor="text1" w:themeTint="F2"/>
                <w:kern w:val="0"/>
                <w:u w:val="single"/>
                <w:lang w:val="en-US" w:eastAsia="zh-CN" w:bidi="ar"/>
                <w14:textFill>
                  <w14:solidFill>
                    <w14:schemeClr w14:val="tx1">
                      <w14:lumMod w14:val="95000"/>
                      <w14:lumOff w14:val="5000"/>
                    </w14:schemeClr>
                  </w14:solidFill>
                </w14:textFill>
              </w:rPr>
            </w:pPr>
            <w:r>
              <w:rPr>
                <w:rFonts w:hint="eastAsia"/>
                <w:color w:val="0D0D0D" w:themeColor="text1" w:themeTint="F2"/>
                <w:kern w:val="0"/>
                <w:u w:val="single"/>
                <w:lang w:val="en-US" w:eastAsia="zh-CN" w:bidi="ar"/>
                <w14:textFill>
                  <w14:solidFill>
                    <w14:schemeClr w14:val="tx1">
                      <w14:lumMod w14:val="95000"/>
                      <w14:lumOff w14:val="5000"/>
                    </w14:schemeClr>
                  </w14:solidFill>
                </w14:textFill>
              </w:rPr>
              <w:t>说明：丁二醇和多异氰酸酯临界量按健康危险急性物质（类别2、类别3）考虑，即临界值为50t。</w:t>
            </w:r>
          </w:p>
          <w:p w14:paraId="084015AD">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通过计算：Q=</w:t>
            </w:r>
            <w:r>
              <w:rPr>
                <w:rFonts w:hint="eastAsia"/>
                <w:color w:val="0D0D0D" w:themeColor="text1" w:themeTint="F2"/>
                <w:kern w:val="0"/>
                <w:u w:val="single"/>
                <w:lang w:bidi="ar"/>
                <w14:textFill>
                  <w14:solidFill>
                    <w14:schemeClr w14:val="tx1">
                      <w14:lumMod w14:val="95000"/>
                      <w14:lumOff w14:val="5000"/>
                    </w14:schemeClr>
                  </w14:solidFill>
                </w14:textFill>
              </w:rPr>
              <w:t>0.</w:t>
            </w:r>
            <w:r>
              <w:rPr>
                <w:rFonts w:hint="eastAsia"/>
                <w:color w:val="0D0D0D" w:themeColor="text1" w:themeTint="F2"/>
                <w:kern w:val="0"/>
                <w:u w:val="single"/>
                <w:lang w:val="en-US" w:eastAsia="zh-CN" w:bidi="ar"/>
                <w14:textFill>
                  <w14:solidFill>
                    <w14:schemeClr w14:val="tx1">
                      <w14:lumMod w14:val="95000"/>
                      <w14:lumOff w14:val="5000"/>
                    </w14:schemeClr>
                  </w14:solidFill>
                </w14:textFill>
              </w:rPr>
              <w:t>845372</w:t>
            </w:r>
            <w:r>
              <w:rPr>
                <w:rFonts w:hint="default"/>
                <w:color w:val="0D0D0D" w:themeColor="text1" w:themeTint="F2"/>
                <w:kern w:val="0"/>
                <w:u w:val="single"/>
                <w:lang w:bidi="ar"/>
                <w14:textFill>
                  <w14:solidFill>
                    <w14:schemeClr w14:val="tx1">
                      <w14:lumMod w14:val="95000"/>
                      <w14:lumOff w14:val="5000"/>
                    </w14:schemeClr>
                  </w14:solidFill>
                </w14:textFill>
              </w:rPr>
              <w:t>&lt;1，则本项目大气环境风险潜势为Ⅰ，仅做简单分析。</w:t>
            </w:r>
          </w:p>
          <w:p w14:paraId="1D8C339D">
            <w:pPr>
              <w:keepNext w:val="0"/>
              <w:keepLines w:val="0"/>
              <w:suppressLineNumbers w:val="0"/>
              <w:spacing w:before="0" w:beforeAutospacing="0" w:after="0" w:afterAutospacing="0"/>
              <w:ind w:left="0" w:right="0" w:firstLine="0" w:firstLineChars="0"/>
              <w:jc w:val="center"/>
              <w:rPr>
                <w:rFonts w:hint="default"/>
                <w:b/>
                <w:bCs/>
                <w:color w:val="0D0D0D" w:themeColor="text1" w:themeTint="F2"/>
                <w:kern w:val="0"/>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表4-16  评价工作等级划分</w:t>
            </w:r>
          </w:p>
          <w:tbl>
            <w:tblPr>
              <w:tblStyle w:val="17"/>
              <w:tblW w:w="804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1608"/>
              <w:gridCol w:w="1608"/>
              <w:gridCol w:w="1608"/>
              <w:gridCol w:w="1608"/>
            </w:tblGrid>
            <w:tr w14:paraId="1BE27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608" w:type="dxa"/>
                  <w:tcBorders>
                    <w:tl2br w:val="nil"/>
                    <w:tr2bl w:val="nil"/>
                  </w:tcBorders>
                  <w:vAlign w:val="center"/>
                </w:tcPr>
                <w:p w14:paraId="26A4D67E">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环境风险潜势</w:t>
                  </w:r>
                </w:p>
              </w:tc>
              <w:tc>
                <w:tcPr>
                  <w:tcW w:w="1608" w:type="dxa"/>
                  <w:tcBorders>
                    <w:tl2br w:val="nil"/>
                    <w:tr2bl w:val="nil"/>
                  </w:tcBorders>
                  <w:vAlign w:val="center"/>
                </w:tcPr>
                <w:p w14:paraId="1CC56C0E">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IV、IV+</w:t>
                  </w:r>
                </w:p>
              </w:tc>
              <w:tc>
                <w:tcPr>
                  <w:tcW w:w="1608" w:type="dxa"/>
                  <w:tcBorders>
                    <w:tl2br w:val="nil"/>
                    <w:tr2bl w:val="nil"/>
                  </w:tcBorders>
                  <w:vAlign w:val="center"/>
                </w:tcPr>
                <w:p w14:paraId="5CCF051D">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III</w:t>
                  </w:r>
                </w:p>
              </w:tc>
              <w:tc>
                <w:tcPr>
                  <w:tcW w:w="1608" w:type="dxa"/>
                  <w:tcBorders>
                    <w:tl2br w:val="nil"/>
                    <w:tr2bl w:val="nil"/>
                  </w:tcBorders>
                  <w:vAlign w:val="center"/>
                </w:tcPr>
                <w:p w14:paraId="0D0413F0">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II</w:t>
                  </w:r>
                </w:p>
              </w:tc>
              <w:tc>
                <w:tcPr>
                  <w:tcW w:w="1608" w:type="dxa"/>
                  <w:tcBorders>
                    <w:tl2br w:val="nil"/>
                    <w:tr2bl w:val="nil"/>
                  </w:tcBorders>
                  <w:vAlign w:val="center"/>
                </w:tcPr>
                <w:p w14:paraId="707D8EF7">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I</w:t>
                  </w:r>
                </w:p>
              </w:tc>
            </w:tr>
            <w:tr w14:paraId="65C8C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08" w:type="dxa"/>
                  <w:tcBorders>
                    <w:tl2br w:val="nil"/>
                    <w:tr2bl w:val="nil"/>
                  </w:tcBorders>
                  <w:vAlign w:val="center"/>
                </w:tcPr>
                <w:p w14:paraId="5AE5896F">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评价工作等级</w:t>
                  </w:r>
                </w:p>
              </w:tc>
              <w:tc>
                <w:tcPr>
                  <w:tcW w:w="1608" w:type="dxa"/>
                  <w:tcBorders>
                    <w:tl2br w:val="nil"/>
                    <w:tr2bl w:val="nil"/>
                  </w:tcBorders>
                  <w:vAlign w:val="center"/>
                </w:tcPr>
                <w:p w14:paraId="32D65C5D">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一</w:t>
                  </w:r>
                </w:p>
              </w:tc>
              <w:tc>
                <w:tcPr>
                  <w:tcW w:w="1608" w:type="dxa"/>
                  <w:tcBorders>
                    <w:tl2br w:val="nil"/>
                    <w:tr2bl w:val="nil"/>
                  </w:tcBorders>
                  <w:vAlign w:val="center"/>
                </w:tcPr>
                <w:p w14:paraId="64A22AFC">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二</w:t>
                  </w:r>
                </w:p>
              </w:tc>
              <w:tc>
                <w:tcPr>
                  <w:tcW w:w="1608" w:type="dxa"/>
                  <w:tcBorders>
                    <w:tl2br w:val="nil"/>
                    <w:tr2bl w:val="nil"/>
                  </w:tcBorders>
                  <w:vAlign w:val="center"/>
                </w:tcPr>
                <w:p w14:paraId="3C57DF29">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三</w:t>
                  </w:r>
                </w:p>
              </w:tc>
              <w:tc>
                <w:tcPr>
                  <w:tcW w:w="1608" w:type="dxa"/>
                  <w:tcBorders>
                    <w:tl2br w:val="nil"/>
                    <w:tr2bl w:val="nil"/>
                  </w:tcBorders>
                  <w:vAlign w:val="center"/>
                </w:tcPr>
                <w:p w14:paraId="12190B07">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简单分析a</w:t>
                  </w:r>
                </w:p>
              </w:tc>
            </w:tr>
            <w:tr w14:paraId="10EFF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040" w:type="dxa"/>
                  <w:gridSpan w:val="5"/>
                  <w:tcBorders>
                    <w:tl2br w:val="nil"/>
                    <w:tr2bl w:val="nil"/>
                  </w:tcBorders>
                  <w:vAlign w:val="center"/>
                </w:tcPr>
                <w:p w14:paraId="631DFFEC">
                  <w:pPr>
                    <w:keepNext w:val="0"/>
                    <w:keepLines w:val="0"/>
                    <w:suppressLineNumbers w:val="0"/>
                    <w:spacing w:before="0" w:beforeAutospacing="0" w:after="0" w:afterAutospacing="0" w:line="240" w:lineRule="auto"/>
                    <w:ind w:left="0" w:right="0" w:firstLine="0" w:firstLineChars="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a是相对于详细评价工作内容而言，在描述危险物质、环境影响途径、环境危害后果、风险防范措施等方面给出定性的说明。</w:t>
                  </w:r>
                </w:p>
              </w:tc>
            </w:tr>
          </w:tbl>
          <w:p w14:paraId="61D9AEF0">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2、环境风险识别及影响途径</w:t>
            </w:r>
          </w:p>
          <w:p w14:paraId="77190872">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r>
              <w:rPr>
                <w:rFonts w:hint="default"/>
                <w:color w:val="0D0D0D" w:themeColor="text1" w:themeTint="F2"/>
                <w:kern w:val="0"/>
                <w:u w:val="single"/>
                <w:lang w:bidi="ar"/>
                <w14:textFill>
                  <w14:solidFill>
                    <w14:schemeClr w14:val="tx1">
                      <w14:lumMod w14:val="95000"/>
                      <w14:lumOff w14:val="5000"/>
                    </w14:schemeClr>
                  </w14:solidFill>
                </w14:textFill>
              </w:rPr>
              <w:t>企业环境风险情况见下表。</w:t>
            </w:r>
          </w:p>
          <w:p w14:paraId="166606C3">
            <w:pPr>
              <w:keepNext w:val="0"/>
              <w:keepLines w:val="0"/>
              <w:suppressLineNumbers w:val="0"/>
              <w:spacing w:before="0" w:beforeAutospacing="0" w:after="0" w:afterAutospacing="0"/>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表4-17  本项目风险情况一览表</w:t>
            </w:r>
          </w:p>
          <w:tbl>
            <w:tblPr>
              <w:tblStyle w:val="17"/>
              <w:tblW w:w="811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2367"/>
              <w:gridCol w:w="2030"/>
              <w:gridCol w:w="2030"/>
            </w:tblGrid>
            <w:tr w14:paraId="06C882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92" w:type="dxa"/>
                  <w:tcBorders>
                    <w:tl2br w:val="nil"/>
                    <w:tr2bl w:val="nil"/>
                  </w:tcBorders>
                  <w:vAlign w:val="center"/>
                </w:tcPr>
                <w:p w14:paraId="631E185E">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bookmarkStart w:id="41" w:name="_GoBack"/>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危险物质</w:t>
                  </w:r>
                </w:p>
              </w:tc>
              <w:tc>
                <w:tcPr>
                  <w:tcW w:w="2367" w:type="dxa"/>
                  <w:tcBorders>
                    <w:tl2br w:val="nil"/>
                    <w:tr2bl w:val="nil"/>
                  </w:tcBorders>
                  <w:vAlign w:val="center"/>
                </w:tcPr>
                <w:p w14:paraId="1499AA77">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风险源分布情况</w:t>
                  </w:r>
                </w:p>
              </w:tc>
              <w:tc>
                <w:tcPr>
                  <w:tcW w:w="2030" w:type="dxa"/>
                  <w:tcBorders>
                    <w:tl2br w:val="nil"/>
                    <w:tr2bl w:val="nil"/>
                  </w:tcBorders>
                  <w:vAlign w:val="center"/>
                </w:tcPr>
                <w:p w14:paraId="662D425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风险事故情形</w:t>
                  </w:r>
                </w:p>
              </w:tc>
              <w:tc>
                <w:tcPr>
                  <w:tcW w:w="2030" w:type="dxa"/>
                  <w:tcBorders>
                    <w:tl2br w:val="nil"/>
                    <w:tr2bl w:val="nil"/>
                  </w:tcBorders>
                  <w:vAlign w:val="center"/>
                </w:tcPr>
                <w:p w14:paraId="7155E1E8">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b/>
                      <w:bCs/>
                      <w:color w:val="0D0D0D" w:themeColor="text1" w:themeTint="F2"/>
                      <w:kern w:val="0"/>
                      <w:sz w:val="21"/>
                      <w:szCs w:val="21"/>
                      <w:u w:val="single"/>
                      <w:lang w:bidi="ar"/>
                      <w14:textFill>
                        <w14:solidFill>
                          <w14:schemeClr w14:val="tx1">
                            <w14:lumMod w14:val="95000"/>
                            <w14:lumOff w14:val="5000"/>
                          </w14:schemeClr>
                        </w14:solidFill>
                      </w14:textFill>
                    </w:rPr>
                    <w:t>可能的影响途径</w:t>
                  </w:r>
                </w:p>
              </w:tc>
            </w:tr>
            <w:tr w14:paraId="3CFA5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92" w:type="dxa"/>
                  <w:tcBorders>
                    <w:tl2br w:val="nil"/>
                    <w:tr2bl w:val="nil"/>
                  </w:tcBorders>
                  <w:vAlign w:val="center"/>
                </w:tcPr>
                <w:p w14:paraId="5539028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生产车间</w:t>
                  </w:r>
                </w:p>
              </w:tc>
              <w:tc>
                <w:tcPr>
                  <w:tcW w:w="2367" w:type="dxa"/>
                  <w:tcBorders>
                    <w:tl2br w:val="nil"/>
                    <w:tr2bl w:val="nil"/>
                  </w:tcBorders>
                  <w:vAlign w:val="center"/>
                </w:tcPr>
                <w:p w14:paraId="0721C60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原料仓</w:t>
                  </w:r>
                </w:p>
              </w:tc>
              <w:tc>
                <w:tcPr>
                  <w:tcW w:w="2030" w:type="dxa"/>
                  <w:tcBorders>
                    <w:tl2br w:val="nil"/>
                    <w:tr2bl w:val="nil"/>
                  </w:tcBorders>
                  <w:vAlign w:val="center"/>
                </w:tcPr>
                <w:p w14:paraId="35B62EF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火灾</w:t>
                  </w:r>
                </w:p>
              </w:tc>
              <w:tc>
                <w:tcPr>
                  <w:tcW w:w="2030" w:type="dxa"/>
                  <w:tcBorders>
                    <w:tl2br w:val="nil"/>
                    <w:tr2bl w:val="nil"/>
                  </w:tcBorders>
                  <w:vAlign w:val="center"/>
                </w:tcPr>
                <w:p w14:paraId="2933A2D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大气</w:t>
                  </w:r>
                </w:p>
              </w:tc>
            </w:tr>
            <w:tr w14:paraId="178CCB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692" w:type="dxa"/>
                  <w:tcBorders>
                    <w:tl2br w:val="nil"/>
                    <w:tr2bl w:val="nil"/>
                  </w:tcBorders>
                  <w:vAlign w:val="center"/>
                </w:tcPr>
                <w:p w14:paraId="6B3E31C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危废</w:t>
                  </w:r>
                </w:p>
              </w:tc>
              <w:tc>
                <w:tcPr>
                  <w:tcW w:w="2367" w:type="dxa"/>
                  <w:tcBorders>
                    <w:tl2br w:val="nil"/>
                    <w:tr2bl w:val="nil"/>
                  </w:tcBorders>
                  <w:vAlign w:val="center"/>
                </w:tcPr>
                <w:p w14:paraId="4C0991F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危险废物贮存设施</w:t>
                  </w:r>
                </w:p>
              </w:tc>
              <w:tc>
                <w:tcPr>
                  <w:tcW w:w="2030" w:type="dxa"/>
                  <w:tcBorders>
                    <w:tl2br w:val="nil"/>
                    <w:tr2bl w:val="nil"/>
                  </w:tcBorders>
                  <w:vAlign w:val="center"/>
                </w:tcPr>
                <w:p w14:paraId="26317A6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火灾</w:t>
                  </w:r>
                </w:p>
              </w:tc>
              <w:tc>
                <w:tcPr>
                  <w:tcW w:w="2030" w:type="dxa"/>
                  <w:tcBorders>
                    <w:tl2br w:val="nil"/>
                    <w:tr2bl w:val="nil"/>
                  </w:tcBorders>
                  <w:vAlign w:val="center"/>
                </w:tcPr>
                <w:p w14:paraId="5330F0A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kern w:val="0"/>
                      <w:sz w:val="21"/>
                      <w:szCs w:val="21"/>
                      <w:u w:val="single"/>
                      <w:lang w:bidi="ar"/>
                      <w14:textFill>
                        <w14:solidFill>
                          <w14:schemeClr w14:val="tx1">
                            <w14:lumMod w14:val="95000"/>
                            <w14:lumOff w14:val="5000"/>
                          </w14:schemeClr>
                        </w14:solidFill>
                      </w14:textFill>
                    </w:rPr>
                  </w:pPr>
                  <w:r>
                    <w:rPr>
                      <w:rFonts w:hint="default"/>
                      <w:color w:val="0D0D0D" w:themeColor="text1" w:themeTint="F2"/>
                      <w:kern w:val="0"/>
                      <w:sz w:val="21"/>
                      <w:szCs w:val="21"/>
                      <w:u w:val="single"/>
                      <w:lang w:bidi="ar"/>
                      <w14:textFill>
                        <w14:solidFill>
                          <w14:schemeClr w14:val="tx1">
                            <w14:lumMod w14:val="95000"/>
                            <w14:lumOff w14:val="5000"/>
                          </w14:schemeClr>
                        </w14:solidFill>
                      </w14:textFill>
                    </w:rPr>
                    <w:t>大气</w:t>
                  </w:r>
                </w:p>
              </w:tc>
            </w:tr>
            <w:bookmarkEnd w:id="41"/>
          </w:tbl>
          <w:p w14:paraId="0F5954A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3、环境风险分析</w:t>
            </w:r>
          </w:p>
          <w:p w14:paraId="71117630">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①火灾事故风险简析</w:t>
            </w:r>
          </w:p>
          <w:p w14:paraId="45F0026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本项目危废间贮存的废润滑油具一定的可燃性，在生产过程中具有一定的火灾风险，一旦发生火灾事故，则将对环境造成较大的影响，详见下表。</w:t>
            </w:r>
          </w:p>
          <w:p w14:paraId="23980F4B">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表 4-18  项目火灾环境影响</w:t>
            </w:r>
          </w:p>
          <w:tbl>
            <w:tblPr>
              <w:tblStyle w:val="17"/>
              <w:tblW w:w="80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0"/>
              <w:gridCol w:w="939"/>
              <w:gridCol w:w="5870"/>
            </w:tblGrid>
            <w:tr w14:paraId="677FC7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34" w:hRule="atLeast"/>
                <w:jc w:val="center"/>
              </w:trPr>
              <w:tc>
                <w:tcPr>
                  <w:tcW w:w="2209" w:type="dxa"/>
                  <w:gridSpan w:val="2"/>
                  <w:tcBorders>
                    <w:tl2br w:val="nil"/>
                    <w:tr2bl w:val="nil"/>
                  </w:tcBorders>
                  <w:vAlign w:val="center"/>
                </w:tcPr>
                <w:p w14:paraId="1B8F71B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类型</w:t>
                  </w:r>
                </w:p>
              </w:tc>
              <w:tc>
                <w:tcPr>
                  <w:tcW w:w="5870" w:type="dxa"/>
                  <w:tcBorders>
                    <w:tl2br w:val="nil"/>
                    <w:tr2bl w:val="nil"/>
                  </w:tcBorders>
                  <w:vAlign w:val="center"/>
                </w:tcPr>
                <w:p w14:paraId="690B09B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影响分析</w:t>
                  </w:r>
                </w:p>
              </w:tc>
            </w:tr>
            <w:tr w14:paraId="011F7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0" w:type="dxa"/>
                  <w:vMerge w:val="restart"/>
                  <w:tcBorders>
                    <w:tl2br w:val="nil"/>
                    <w:tr2bl w:val="nil"/>
                  </w:tcBorders>
                  <w:vAlign w:val="center"/>
                </w:tcPr>
                <w:p w14:paraId="2C1C4C2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火灾影响</w:t>
                  </w:r>
                </w:p>
              </w:tc>
              <w:tc>
                <w:tcPr>
                  <w:tcW w:w="939" w:type="dxa"/>
                  <w:tcBorders>
                    <w:tl2br w:val="nil"/>
                    <w:tr2bl w:val="nil"/>
                  </w:tcBorders>
                  <w:vAlign w:val="center"/>
                </w:tcPr>
                <w:p w14:paraId="54A179B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热辐射</w:t>
                  </w:r>
                </w:p>
              </w:tc>
              <w:tc>
                <w:tcPr>
                  <w:tcW w:w="5870" w:type="dxa"/>
                  <w:tcBorders>
                    <w:tl2br w:val="nil"/>
                    <w:tr2bl w:val="nil"/>
                  </w:tcBorders>
                  <w:vAlign w:val="center"/>
                </w:tcPr>
                <w:p w14:paraId="51C802C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由于物料燃烧速度快、燃烧面积大，而且放出大量的热辐射，危及火灾周围的人员的生命及毗邻建筑物和设备的安全。</w:t>
                  </w:r>
                </w:p>
              </w:tc>
            </w:tr>
            <w:tr w14:paraId="5F2F0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270" w:type="dxa"/>
                  <w:vMerge w:val="continue"/>
                  <w:tcBorders>
                    <w:tl2br w:val="nil"/>
                    <w:tr2bl w:val="nil"/>
                  </w:tcBorders>
                  <w:vAlign w:val="center"/>
                </w:tcPr>
                <w:p w14:paraId="2E6CC33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939" w:type="dxa"/>
                  <w:tcBorders>
                    <w:tl2br w:val="nil"/>
                    <w:tr2bl w:val="nil"/>
                  </w:tcBorders>
                  <w:vAlign w:val="center"/>
                </w:tcPr>
                <w:p w14:paraId="1D896FF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浓烟及有毒废气</w:t>
                  </w:r>
                </w:p>
              </w:tc>
              <w:tc>
                <w:tcPr>
                  <w:tcW w:w="5870" w:type="dxa"/>
                  <w:tcBorders>
                    <w:tl2br w:val="nil"/>
                    <w:tr2bl w:val="nil"/>
                  </w:tcBorders>
                  <w:vAlign w:val="center"/>
                </w:tcPr>
                <w:p w14:paraId="3C99466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火灾时在放出大量辐射热的同时，还散发大量的浓烟，它是由燃烧物质释放出的高温蒸汽和毒气，被分解的未燃物质和被火燃加热而带入上升气流中的空气和污染物质的混合物。它不但含有大量的热量，而且还含有蒸汽，有毒气体和弥散的固体微粒，对火场周围的人员生命安全和周围的大气环境质量造成污染和破坏。</w:t>
                  </w:r>
                </w:p>
              </w:tc>
            </w:tr>
          </w:tbl>
          <w:p w14:paraId="2B130C99">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②泄露事故风险简析</w:t>
            </w:r>
          </w:p>
          <w:p w14:paraId="14D721A0">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在危险废物贮运和贮存过程中，均有可能产生泄漏及洒落事故；在贮存过程中，泄漏原因包括包装桶因意外而侧翻或破损等。厂内存储过程如发生泄漏，则泄漏物料可能会进入污水、雨水管道。</w:t>
            </w:r>
          </w:p>
          <w:p w14:paraId="1C31BB0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由于本项目危险废物均采用相应的包装桶贮存在危废间存放，且本项目危险废物贮存量较少，贮存周期短，只要加强贮存区管理和泄漏事故防范，基本可以避免泄漏事故的发生。另外，即使包装桶因意外而侧翻或破损泄漏，泄漏量也很少，及时采取适当处理措施，短期即可消除泄漏事故影响。</w:t>
            </w:r>
          </w:p>
          <w:p w14:paraId="3AE02B4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③项目产生的有机废气采用</w:t>
            </w:r>
            <w:r>
              <w:rPr>
                <w:rFonts w:hint="eastAsia"/>
                <w:color w:val="0D0D0D" w:themeColor="text1" w:themeTint="F2"/>
                <w:u w:val="single"/>
                <w:lang w:eastAsia="zh-CN"/>
                <w14:textFill>
                  <w14:solidFill>
                    <w14:schemeClr w14:val="tx1">
                      <w14:lumMod w14:val="95000"/>
                      <w14:lumOff w14:val="5000"/>
                    </w14:schemeClr>
                  </w14:solidFill>
                </w14:textFill>
              </w:rPr>
              <w:t>二级活性炭</w:t>
            </w:r>
            <w:r>
              <w:rPr>
                <w:rFonts w:hint="eastAsia"/>
                <w:color w:val="0D0D0D" w:themeColor="text1" w:themeTint="F2"/>
                <w:u w:val="single"/>
                <w14:textFill>
                  <w14:solidFill>
                    <w14:schemeClr w14:val="tx1">
                      <w14:lumMod w14:val="95000"/>
                      <w14:lumOff w14:val="5000"/>
                    </w14:schemeClr>
                  </w14:solidFill>
                </w14:textFill>
              </w:rPr>
              <w:t>吸附</w:t>
            </w:r>
            <w:r>
              <w:rPr>
                <w:rFonts w:hint="default"/>
                <w:color w:val="0D0D0D" w:themeColor="text1" w:themeTint="F2"/>
                <w:u w:val="single"/>
                <w14:textFill>
                  <w14:solidFill>
                    <w14:schemeClr w14:val="tx1">
                      <w14:lumMod w14:val="95000"/>
                      <w14:lumOff w14:val="5000"/>
                    </w14:schemeClr>
                  </w14:solidFill>
                </w14:textFill>
              </w:rPr>
              <w:t>装置处理，一旦</w:t>
            </w:r>
            <w:r>
              <w:rPr>
                <w:rFonts w:hint="eastAsia"/>
                <w:color w:val="0D0D0D" w:themeColor="text1" w:themeTint="F2"/>
                <w:u w:val="single"/>
                <w:lang w:eastAsia="zh-CN"/>
                <w14:textFill>
                  <w14:solidFill>
                    <w14:schemeClr w14:val="tx1">
                      <w14:lumMod w14:val="95000"/>
                      <w14:lumOff w14:val="5000"/>
                    </w14:schemeClr>
                  </w14:solidFill>
                </w14:textFill>
              </w:rPr>
              <w:t>二级活性炭</w:t>
            </w:r>
            <w:r>
              <w:rPr>
                <w:rFonts w:hint="eastAsia"/>
                <w:color w:val="0D0D0D" w:themeColor="text1" w:themeTint="F2"/>
                <w:u w:val="single"/>
                <w14:textFill>
                  <w14:solidFill>
                    <w14:schemeClr w14:val="tx1">
                      <w14:lumMod w14:val="95000"/>
                      <w14:lumOff w14:val="5000"/>
                    </w14:schemeClr>
                  </w14:solidFill>
                </w14:textFill>
              </w:rPr>
              <w:t>吸附</w:t>
            </w:r>
            <w:r>
              <w:rPr>
                <w:rFonts w:hint="default"/>
                <w:color w:val="0D0D0D" w:themeColor="text1" w:themeTint="F2"/>
                <w:u w:val="single"/>
                <w14:textFill>
                  <w14:solidFill>
                    <w14:schemeClr w14:val="tx1">
                      <w14:lumMod w14:val="95000"/>
                      <w14:lumOff w14:val="5000"/>
                    </w14:schemeClr>
                  </w14:solidFill>
                </w14:textFill>
              </w:rPr>
              <w:t>装置发生故障，导致有机废气未经处理直接排放，会对周边大气环境造成影响。</w:t>
            </w:r>
          </w:p>
          <w:p w14:paraId="44E9C7D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4、环境风险防范措施</w:t>
            </w:r>
          </w:p>
          <w:p w14:paraId="57A47D0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①针对本项目危险废物可能带来的风险，提出以下防范措施和事故应急措施：</w:t>
            </w:r>
          </w:p>
          <w:p w14:paraId="5C5CCA3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A、危险废物暂存场地的设置应按《危险废物贮存污染控制标准》（GB18597-2023）要求设置，要求做到以下几点：</w:t>
            </w:r>
          </w:p>
          <w:p w14:paraId="6EC73A15">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a、贮存场所必须有符合《危险废物识别标志设置技术规范》（HJ 1276-2022）、《环境保护图形标志</w:t>
            </w:r>
            <w:r>
              <w:rPr>
                <w:rFonts w:hint="eastAsia"/>
                <w:color w:val="0D0D0D" w:themeColor="text1" w:themeTint="F2"/>
                <w:u w:val="single"/>
                <w:lang w:eastAsia="zh-CN"/>
                <w14:textFill>
                  <w14:solidFill>
                    <w14:schemeClr w14:val="tx1">
                      <w14:lumMod w14:val="95000"/>
                      <w14:lumOff w14:val="5000"/>
                    </w14:schemeClr>
                  </w14:solidFill>
                </w14:textFill>
              </w:rPr>
              <w:t>-</w:t>
            </w:r>
            <w:r>
              <w:rPr>
                <w:rFonts w:hint="default"/>
                <w:color w:val="0D0D0D" w:themeColor="text1" w:themeTint="F2"/>
                <w:u w:val="single"/>
                <w14:textFill>
                  <w14:solidFill>
                    <w14:schemeClr w14:val="tx1">
                      <w14:lumMod w14:val="95000"/>
                      <w14:lumOff w14:val="5000"/>
                    </w14:schemeClr>
                  </w14:solidFill>
                </w14:textFill>
              </w:rPr>
              <w:t>固体废物贮存（处置）场》（GB 15562.2-1995）修改单的专用标志；</w:t>
            </w:r>
          </w:p>
          <w:p w14:paraId="6C0C331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b、贮存场所内禁止混放不相容固体废物；</w:t>
            </w:r>
          </w:p>
          <w:p w14:paraId="2B11A03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c、贮存场所应配备通讯设备、照明设施和消防设施，设置气体导出口及气体净化装置，确保废气达标排放；</w:t>
            </w:r>
          </w:p>
          <w:p w14:paraId="5E3B951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d、废物的贮存容器必须有明显标志，具有耐腐蚀、耐压、密封和不与所贮存的废物发生反应等特性；</w:t>
            </w:r>
          </w:p>
          <w:p w14:paraId="2ED2DDD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e、在出入口、设施内部、危险废物运输车辆通道等关键位置按照危险废物贮存设施视频监控布设要求设置视频监控，并与中控室联网；</w:t>
            </w:r>
          </w:p>
          <w:p w14:paraId="6A96003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f、根据危险废物的种类和特性进行分区、分类贮存，设置防雨、防火、防雷、防扬散、防渗漏装置及泄漏液体收集装置。</w:t>
            </w:r>
          </w:p>
          <w:p w14:paraId="1793EA4C">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B、对于危险废物的收集、贮存及转运，本评价提出以下建议：</w:t>
            </w:r>
          </w:p>
          <w:p w14:paraId="209019B0">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a、包装材质要与危险废物相容，可根据废物特性选择钢、铝、塑料等材质；</w:t>
            </w:r>
          </w:p>
          <w:p w14:paraId="533631A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b、性质相似的废物可收集到同一容器中，性质不相容的废物不应混合包装；</w:t>
            </w:r>
          </w:p>
          <w:p w14:paraId="611ACC45">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c、危险废物包装应能有效隔断危险废物迁移扩散途径，并达到防渗防漏要求；</w:t>
            </w:r>
          </w:p>
          <w:p w14:paraId="5C1B6AA7">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d、盛装过危险废物的包装袋或者包装容器破损后应按照危险废物进行管理和处置；</w:t>
            </w:r>
          </w:p>
          <w:p w14:paraId="22D75E9D">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e、贮存场所严格执行《危险废物贮存污染控制标准》(GB18597-2023)要求，按照《危险废物识别标志设置技术规范》（HJ 1276-2022）、《环境保护图形标志</w:t>
            </w:r>
            <w:r>
              <w:rPr>
                <w:rFonts w:hint="eastAsia"/>
                <w:color w:val="0D0D0D" w:themeColor="text1" w:themeTint="F2"/>
                <w:u w:val="single"/>
                <w:lang w:eastAsia="zh-CN"/>
                <w14:textFill>
                  <w14:solidFill>
                    <w14:schemeClr w14:val="tx1">
                      <w14:lumMod w14:val="95000"/>
                      <w14:lumOff w14:val="5000"/>
                    </w14:schemeClr>
                  </w14:solidFill>
                </w14:textFill>
              </w:rPr>
              <w:t>-</w:t>
            </w:r>
            <w:r>
              <w:rPr>
                <w:rFonts w:hint="default"/>
                <w:color w:val="0D0D0D" w:themeColor="text1" w:themeTint="F2"/>
                <w:u w:val="single"/>
                <w14:textFill>
                  <w14:solidFill>
                    <w14:schemeClr w14:val="tx1">
                      <w14:lumMod w14:val="95000"/>
                      <w14:lumOff w14:val="5000"/>
                    </w14:schemeClr>
                  </w14:solidFill>
                </w14:textFill>
              </w:rPr>
              <w:t>固体废物贮存（处置）场》（GB 15562.2-1995）修改单和危险废物识别标识设置规范设置标志；</w:t>
            </w:r>
          </w:p>
          <w:p w14:paraId="3B556DA0">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f、贮存场所内禁止混放不相容危险废物，要防风防雨防晒；</w:t>
            </w:r>
          </w:p>
          <w:p w14:paraId="575B5CA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g、堆放危险废物的高度应根据地面承载能力确定，衬里放在一个基础或底座上，衬里要能够覆盖危险废物或其溶出物可能涉及到的范围。基础必须防渗，防渗层为至少1m 厚黏土层(渗透系数≤10</w:t>
            </w:r>
            <w:r>
              <w:rPr>
                <w:rFonts w:hint="default"/>
                <w:color w:val="0D0D0D" w:themeColor="text1" w:themeTint="F2"/>
                <w:u w:val="single"/>
                <w:vertAlign w:val="superscript"/>
                <w14:textFill>
                  <w14:solidFill>
                    <w14:schemeClr w14:val="tx1">
                      <w14:lumMod w14:val="95000"/>
                      <w14:lumOff w14:val="5000"/>
                    </w14:schemeClr>
                  </w14:solidFill>
                </w14:textFill>
              </w:rPr>
              <w:t>-7</w:t>
            </w:r>
            <w:r>
              <w:rPr>
                <w:rFonts w:hint="default"/>
                <w:color w:val="0D0D0D" w:themeColor="text1" w:themeTint="F2"/>
                <w:u w:val="single"/>
                <w14:textFill>
                  <w14:solidFill>
                    <w14:schemeClr w14:val="tx1">
                      <w14:lumMod w14:val="95000"/>
                      <w14:lumOff w14:val="5000"/>
                    </w14:schemeClr>
                  </w14:solidFill>
                </w14:textFill>
              </w:rPr>
              <w:t>cm/s)，或2mm 厚高密度聚乙烯，或至少2mm 厚的其他人工材料，渗透系数≤10</w:t>
            </w:r>
            <w:r>
              <w:rPr>
                <w:rFonts w:hint="default"/>
                <w:color w:val="0D0D0D" w:themeColor="text1" w:themeTint="F2"/>
                <w:u w:val="single"/>
                <w:vertAlign w:val="superscript"/>
                <w14:textFill>
                  <w14:solidFill>
                    <w14:schemeClr w14:val="tx1">
                      <w14:lumMod w14:val="95000"/>
                      <w14:lumOff w14:val="5000"/>
                    </w14:schemeClr>
                  </w14:solidFill>
                </w14:textFill>
              </w:rPr>
              <w:t>-10</w:t>
            </w:r>
            <w:r>
              <w:rPr>
                <w:rFonts w:hint="default"/>
                <w:color w:val="0D0D0D" w:themeColor="text1" w:themeTint="F2"/>
                <w:u w:val="single"/>
                <w14:textFill>
                  <w14:solidFill>
                    <w14:schemeClr w14:val="tx1">
                      <w14:lumMod w14:val="95000"/>
                      <w14:lumOff w14:val="5000"/>
                    </w14:schemeClr>
                  </w14:solidFill>
                </w14:textFill>
              </w:rPr>
              <w:t>cm/s；</w:t>
            </w:r>
          </w:p>
          <w:p w14:paraId="66FD6D9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h、贮存场所要符合消防要求；</w:t>
            </w:r>
          </w:p>
          <w:p w14:paraId="236249A5">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i、处置场内，贮存、处置场周边应设置导流渠，有堵截泄漏的裙角，地面与裙角要用兼顾防渗的材料建造，建筑材料必须与危险废物相容。</w:t>
            </w:r>
          </w:p>
          <w:p w14:paraId="0CB0083A">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C、日常管理要求：</w:t>
            </w:r>
          </w:p>
          <w:p w14:paraId="58383EE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a、完善相关台账，做好危险废物情况的记录，记录上必须注明危险废物的名称、来源、数量、特性和包装容器的类别、入库时间、存放库位、废物出库时间及接受单位名称。</w:t>
            </w:r>
          </w:p>
          <w:p w14:paraId="00D2401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b、定期对所贮存的危险废物包装容器及贮存设施进行检查，发现破损，应及时采取措施清理更换。</w:t>
            </w:r>
          </w:p>
          <w:p w14:paraId="1CF0BAB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c、对危险废物的转移运输要实行按照《危险废物转移管理办法》（生态环境部 公安部 交通运输部部令第 23 号），根据危险废物管理计划中填报的危险废物转移等备案信息填写、运行，故委托处置无太大环境影响，禁止私自处置危险废物。</w:t>
            </w:r>
          </w:p>
          <w:p w14:paraId="5A37156E">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D．暂存区场所应严格按照《危险废物贮存污染控制标准》（GB18597-2023）</w:t>
            </w:r>
          </w:p>
          <w:p w14:paraId="0E3E0F5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的要求对危险废物贮存场所进行建设。危险废物的贮存和转运应严格按《危险废物贮存污染控制标准》（GB18597-2023）、《危险废物转移管理办法》中相关要求执行。</w:t>
            </w:r>
          </w:p>
          <w:p w14:paraId="7DDF4DD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②环保设施故障风险措施</w:t>
            </w:r>
          </w:p>
          <w:p w14:paraId="7AB993F5">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A、废气处理设施故障时采取的措施</w:t>
            </w:r>
          </w:p>
          <w:p w14:paraId="3C6E050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确保废气末端治理设施日常正常稳定运行，避免超标排放等突发环境事件的发生，必须要加强废气治理设施的维护和管理。如发现人为原因不开启废气等末端治理措施，责任人应受行政和经济处罚，并承担事故排放责任及相应的法律责任。为确保处理效果，在车间设备检修期间，末端处理系统也应同时进行检修，日常安排专人负责进行维护。</w:t>
            </w:r>
          </w:p>
          <w:p w14:paraId="63C3D474">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③事故引起的火灾、爆炸引发的次生/伴生污染应对措施</w:t>
            </w:r>
          </w:p>
          <w:p w14:paraId="6ABA4A1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A、在厂区建筑设计和施工过程中，应按照《建筑设计防火规范》(GB50016-2014)要求，各类装修材料应采用不易燃材料。</w:t>
            </w:r>
          </w:p>
          <w:p w14:paraId="07B96066">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B、要求规范厂内原材料、成品的分类存放，厂内不得随意堆放各种易燃物品。</w:t>
            </w:r>
          </w:p>
          <w:p w14:paraId="6DB3EF2F">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C、项目内应按《建筑设计防火规范》(GB50016-2014)规定要求建设消防给水系统和消防设施设备等，运营过程中对消防给水系统进行定期检查，对消防给水系统故障应及时整改，并设置保证消防用水措施，以避免消防给水水源不足、影响消防给水，造成抢险救援等不能及时到位，导致人员伤亡或财产损失扩大。</w:t>
            </w:r>
          </w:p>
          <w:p w14:paraId="2AEBDEE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D、按照《建筑灭火器配置设计规范》(GB50140-2005)在项目内配备足够数量的灭火器。消防器材应当设置在明显和便于取用的地点，周围不准堆放物品和杂物。消防设施、器材，应当由专人管理，负责检查、维修、保养、更换和添置，保证完好有效，严禁圈占、埋压和挪用。</w:t>
            </w:r>
          </w:p>
          <w:p w14:paraId="35D21A82">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E、将生产车间作为重点管理对象，设立专门的环境管理机构</w:t>
            </w:r>
            <w:r>
              <w:rPr>
                <w:rFonts w:hint="eastAsia"/>
                <w:color w:val="0D0D0D" w:themeColor="text1" w:themeTint="F2"/>
                <w:u w:val="single"/>
                <w14:textFill>
                  <w14:solidFill>
                    <w14:schemeClr w14:val="tx1">
                      <w14:lumMod w14:val="95000"/>
                      <w14:lumOff w14:val="5000"/>
                    </w14:schemeClr>
                  </w14:solidFill>
                </w14:textFill>
              </w:rPr>
              <w:t>，</w:t>
            </w:r>
            <w:r>
              <w:rPr>
                <w:rFonts w:hint="default"/>
                <w:color w:val="0D0D0D" w:themeColor="text1" w:themeTint="F2"/>
                <w:u w:val="single"/>
                <w14:textFill>
                  <w14:solidFill>
                    <w14:schemeClr w14:val="tx1">
                      <w14:lumMod w14:val="95000"/>
                      <w14:lumOff w14:val="5000"/>
                    </w14:schemeClr>
                  </w14:solidFill>
                </w14:textFill>
              </w:rPr>
              <w:t>制定日常管理措施、消防措施和应急预案。</w:t>
            </w:r>
          </w:p>
          <w:p w14:paraId="584FAC9D">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F、在项目运营过程中严格管理，完善安全生产制度，提高操作人员素质和水平，操作人员必须培训上岗，以避免事故的发生。</w:t>
            </w:r>
          </w:p>
          <w:p w14:paraId="039DF68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5、环境风险应急要求</w:t>
            </w:r>
          </w:p>
          <w:p w14:paraId="5E0662D1">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风险事故应急预案的基本要求包括：科学性、实用性和权威性。风险事故的应急救援工作是一项科学性很强的工作，必须开展科学分析和论证，制定严密、统一、完整的应急预案；应急预案应符合项目的客观情况，具有实用、简单、易掌握等特性，便于实施；对事故处置过程中职责、权限、任务、工作标准、奖励与处罚等作出明确规定，使之成为企业的一项制度，确保其权威性。具体内容及要求见表 4-19。</w:t>
            </w:r>
          </w:p>
          <w:p w14:paraId="3609CF5B">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表4-19  环境风险突发事故应急预案</w:t>
            </w:r>
          </w:p>
          <w:tbl>
            <w:tblPr>
              <w:tblStyle w:val="17"/>
              <w:tblW w:w="8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323"/>
              <w:gridCol w:w="6045"/>
            </w:tblGrid>
            <w:tr w14:paraId="77CC4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691" w:type="dxa"/>
                  <w:tcBorders>
                    <w:tl2br w:val="nil"/>
                    <w:tr2bl w:val="nil"/>
                  </w:tcBorders>
                  <w:vAlign w:val="center"/>
                </w:tcPr>
                <w:p w14:paraId="3164B15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序号</w:t>
                  </w:r>
                </w:p>
              </w:tc>
              <w:tc>
                <w:tcPr>
                  <w:tcW w:w="1323" w:type="dxa"/>
                  <w:tcBorders>
                    <w:tl2br w:val="nil"/>
                    <w:tr2bl w:val="nil"/>
                  </w:tcBorders>
                  <w:vAlign w:val="center"/>
                </w:tcPr>
                <w:p w14:paraId="7EF379C4">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项目</w:t>
                  </w:r>
                </w:p>
              </w:tc>
              <w:tc>
                <w:tcPr>
                  <w:tcW w:w="6045" w:type="dxa"/>
                  <w:tcBorders>
                    <w:tl2br w:val="nil"/>
                    <w:tr2bl w:val="nil"/>
                  </w:tcBorders>
                  <w:vAlign w:val="center"/>
                </w:tcPr>
                <w:p w14:paraId="5D93526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内容及要求</w:t>
                  </w:r>
                </w:p>
              </w:tc>
            </w:tr>
            <w:tr w14:paraId="31341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91" w:type="dxa"/>
                  <w:tcBorders>
                    <w:tl2br w:val="nil"/>
                    <w:tr2bl w:val="nil"/>
                  </w:tcBorders>
                  <w:vAlign w:val="center"/>
                </w:tcPr>
                <w:p w14:paraId="73FD6F7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w:t>
                  </w:r>
                </w:p>
              </w:tc>
              <w:tc>
                <w:tcPr>
                  <w:tcW w:w="1323" w:type="dxa"/>
                  <w:tcBorders>
                    <w:tl2br w:val="nil"/>
                    <w:tr2bl w:val="nil"/>
                  </w:tcBorders>
                  <w:vAlign w:val="center"/>
                </w:tcPr>
                <w:p w14:paraId="5CAAAC4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危险源情况</w:t>
                  </w:r>
                </w:p>
              </w:tc>
              <w:tc>
                <w:tcPr>
                  <w:tcW w:w="6045" w:type="dxa"/>
                  <w:tcBorders>
                    <w:tl2br w:val="nil"/>
                    <w:tr2bl w:val="nil"/>
                  </w:tcBorders>
                  <w:vAlign w:val="center"/>
                </w:tcPr>
                <w:p w14:paraId="1AA11876">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详细说明危险源类型、数量、分布及其对环境的风险</w:t>
                  </w:r>
                </w:p>
              </w:tc>
            </w:tr>
            <w:tr w14:paraId="66057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691" w:type="dxa"/>
                  <w:tcBorders>
                    <w:tl2br w:val="nil"/>
                    <w:tr2bl w:val="nil"/>
                  </w:tcBorders>
                  <w:vAlign w:val="center"/>
                </w:tcPr>
                <w:p w14:paraId="37818C8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2</w:t>
                  </w:r>
                </w:p>
              </w:tc>
              <w:tc>
                <w:tcPr>
                  <w:tcW w:w="1323" w:type="dxa"/>
                  <w:tcBorders>
                    <w:tl2br w:val="nil"/>
                    <w:tr2bl w:val="nil"/>
                  </w:tcBorders>
                  <w:vAlign w:val="center"/>
                </w:tcPr>
                <w:p w14:paraId="7FF8F3F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应急计划区</w:t>
                  </w:r>
                </w:p>
              </w:tc>
              <w:tc>
                <w:tcPr>
                  <w:tcW w:w="6045" w:type="dxa"/>
                  <w:tcBorders>
                    <w:tl2br w:val="nil"/>
                    <w:tr2bl w:val="nil"/>
                  </w:tcBorders>
                  <w:vAlign w:val="center"/>
                </w:tcPr>
                <w:p w14:paraId="0CB3BA79">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生产区、装置区、临近地区。</w:t>
                  </w:r>
                </w:p>
              </w:tc>
            </w:tr>
            <w:tr w14:paraId="0AE3E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691" w:type="dxa"/>
                  <w:tcBorders>
                    <w:tl2br w:val="nil"/>
                    <w:tr2bl w:val="nil"/>
                  </w:tcBorders>
                  <w:vAlign w:val="center"/>
                </w:tcPr>
                <w:p w14:paraId="7BBC383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3</w:t>
                  </w:r>
                </w:p>
              </w:tc>
              <w:tc>
                <w:tcPr>
                  <w:tcW w:w="1323" w:type="dxa"/>
                  <w:tcBorders>
                    <w:tl2br w:val="nil"/>
                    <w:tr2bl w:val="nil"/>
                  </w:tcBorders>
                  <w:vAlign w:val="center"/>
                </w:tcPr>
                <w:p w14:paraId="7EC4CD3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应急组织</w:t>
                  </w:r>
                </w:p>
              </w:tc>
              <w:tc>
                <w:tcPr>
                  <w:tcW w:w="6045" w:type="dxa"/>
                  <w:tcBorders>
                    <w:tl2br w:val="nil"/>
                    <w:tr2bl w:val="nil"/>
                  </w:tcBorders>
                  <w:vAlign w:val="center"/>
                </w:tcPr>
                <w:p w14:paraId="5F01F5AC">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企业：成立公司应急指挥小组，由公司最高领导层担任小组长，负责现场全面指挥，专业救援队伍负责事故控制、救援和善后处理。</w:t>
                  </w:r>
                </w:p>
                <w:p w14:paraId="693AABF6">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临近地区：地区指挥部</w:t>
                  </w:r>
                  <w:r>
                    <w:rPr>
                      <w:rFonts w:hint="eastAsia"/>
                      <w:color w:val="0D0D0D" w:themeColor="text1" w:themeTint="F2"/>
                      <w:sz w:val="21"/>
                      <w:szCs w:val="21"/>
                      <w:u w:val="single"/>
                      <w:lang w:eastAsia="zh-CN"/>
                      <w14:textFill>
                        <w14:solidFill>
                          <w14:schemeClr w14:val="tx1">
                            <w14:lumMod w14:val="95000"/>
                            <w14:lumOff w14:val="5000"/>
                          </w14:schemeClr>
                        </w14:solidFill>
                      </w14:textFill>
                    </w:rPr>
                    <w:t>-</w:t>
                  </w:r>
                  <w:r>
                    <w:rPr>
                      <w:rFonts w:hint="default"/>
                      <w:color w:val="0D0D0D" w:themeColor="text1" w:themeTint="F2"/>
                      <w:sz w:val="21"/>
                      <w:szCs w:val="21"/>
                      <w:u w:val="single"/>
                      <w14:textFill>
                        <w14:solidFill>
                          <w14:schemeClr w14:val="tx1">
                            <w14:lumMod w14:val="95000"/>
                            <w14:lumOff w14:val="5000"/>
                          </w14:schemeClr>
                        </w14:solidFill>
                      </w14:textFill>
                    </w:rPr>
                    <w:t>负责企业附近地区全面指挥，救援，管制和疏散</w:t>
                  </w:r>
                </w:p>
              </w:tc>
            </w:tr>
            <w:tr w14:paraId="393F5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691" w:type="dxa"/>
                  <w:tcBorders>
                    <w:tl2br w:val="nil"/>
                    <w:tr2bl w:val="nil"/>
                  </w:tcBorders>
                  <w:vAlign w:val="center"/>
                </w:tcPr>
                <w:p w14:paraId="64F33A8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4</w:t>
                  </w:r>
                </w:p>
              </w:tc>
              <w:tc>
                <w:tcPr>
                  <w:tcW w:w="1323" w:type="dxa"/>
                  <w:tcBorders>
                    <w:tl2br w:val="nil"/>
                    <w:tr2bl w:val="nil"/>
                  </w:tcBorders>
                  <w:vAlign w:val="center"/>
                </w:tcPr>
                <w:p w14:paraId="6218B70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应急状态分类应急响应程序</w:t>
                  </w:r>
                </w:p>
              </w:tc>
              <w:tc>
                <w:tcPr>
                  <w:tcW w:w="6045" w:type="dxa"/>
                  <w:tcBorders>
                    <w:tl2br w:val="nil"/>
                    <w:tr2bl w:val="nil"/>
                  </w:tcBorders>
                  <w:vAlign w:val="center"/>
                </w:tcPr>
                <w:p w14:paraId="6931DEDB">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规定环境风险事故的级别及相应的应急状态分类，以此制定相应的应急响应程序</w:t>
                  </w:r>
                </w:p>
              </w:tc>
            </w:tr>
            <w:tr w14:paraId="2574B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91" w:type="dxa"/>
                  <w:tcBorders>
                    <w:tl2br w:val="nil"/>
                    <w:tr2bl w:val="nil"/>
                  </w:tcBorders>
                  <w:vAlign w:val="center"/>
                </w:tcPr>
                <w:p w14:paraId="4F41CF4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5</w:t>
                  </w:r>
                </w:p>
              </w:tc>
              <w:tc>
                <w:tcPr>
                  <w:tcW w:w="1323" w:type="dxa"/>
                  <w:tcBorders>
                    <w:tl2br w:val="nil"/>
                    <w:tr2bl w:val="nil"/>
                  </w:tcBorders>
                  <w:vAlign w:val="center"/>
                </w:tcPr>
                <w:p w14:paraId="2AB9F14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应急设施</w:t>
                  </w:r>
                </w:p>
                <w:p w14:paraId="3A6AB8E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设备与材料</w:t>
                  </w:r>
                </w:p>
              </w:tc>
              <w:tc>
                <w:tcPr>
                  <w:tcW w:w="6045" w:type="dxa"/>
                  <w:tcBorders>
                    <w:tl2br w:val="nil"/>
                    <w:tr2bl w:val="nil"/>
                  </w:tcBorders>
                  <w:vAlign w:val="center"/>
                </w:tcPr>
                <w:p w14:paraId="2B44CDB7">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生产装置和罐区：防火灾、爆炸事故的应急设施、设备与材料，主要为消防器材、消防服等；防有毒有害物质外溢、扩散；中毒人员急救所用的一些药品、器材；化工生产原料贮场应设置事故应急池，以防液体化工原料的进一步扩散；配备必要的防毒面具。</w:t>
                  </w:r>
                </w:p>
                <w:p w14:paraId="09949DC1">
                  <w:pPr>
                    <w:keepNext w:val="0"/>
                    <w:keepLines w:val="0"/>
                    <w:suppressLineNumbers w:val="0"/>
                    <w:spacing w:before="0" w:beforeAutospacing="0" w:after="0" w:afterAutospacing="0" w:line="240" w:lineRule="auto"/>
                    <w:ind w:left="0" w:right="0" w:firstLine="0" w:firstLineChars="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临界地区：烧伤、中毒人员急救所用的一些药品、器材。</w:t>
                  </w:r>
                </w:p>
              </w:tc>
            </w:tr>
            <w:tr w14:paraId="5018F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91" w:type="dxa"/>
                  <w:tcBorders>
                    <w:tl2br w:val="nil"/>
                    <w:tr2bl w:val="nil"/>
                  </w:tcBorders>
                  <w:vAlign w:val="center"/>
                </w:tcPr>
                <w:p w14:paraId="09D2FF3E">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6</w:t>
                  </w:r>
                </w:p>
              </w:tc>
              <w:tc>
                <w:tcPr>
                  <w:tcW w:w="1323" w:type="dxa"/>
                  <w:tcBorders>
                    <w:tl2br w:val="nil"/>
                    <w:tr2bl w:val="nil"/>
                  </w:tcBorders>
                  <w:vAlign w:val="center"/>
                </w:tcPr>
                <w:p w14:paraId="7E96AD5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应急通讯</w:t>
                  </w:r>
                </w:p>
                <w:p w14:paraId="7585995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通告与交通</w:t>
                  </w:r>
                </w:p>
              </w:tc>
              <w:tc>
                <w:tcPr>
                  <w:tcW w:w="6045" w:type="dxa"/>
                  <w:tcBorders>
                    <w:tl2br w:val="nil"/>
                    <w:tr2bl w:val="nil"/>
                  </w:tcBorders>
                  <w:vAlign w:val="center"/>
                </w:tcPr>
                <w:p w14:paraId="215835E9">
                  <w:pPr>
                    <w:keepNext w:val="0"/>
                    <w:keepLines w:val="0"/>
                    <w:suppressLineNumbers w:val="0"/>
                    <w:spacing w:before="0" w:beforeAutospacing="0" w:after="0" w:afterAutospacing="0" w:line="240" w:lineRule="auto"/>
                    <w:ind w:left="0" w:right="0" w:firstLine="0" w:firstLineChars="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规定应急状态下的通讯、通告方式和交通保障、管理等事项。可充分利用现代化的通信设施，如手机、固定电话、广播、电视等</w:t>
                  </w:r>
                </w:p>
              </w:tc>
            </w:tr>
            <w:tr w14:paraId="681BF0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691" w:type="dxa"/>
                  <w:tcBorders>
                    <w:tl2br w:val="nil"/>
                    <w:tr2bl w:val="nil"/>
                  </w:tcBorders>
                  <w:vAlign w:val="center"/>
                </w:tcPr>
                <w:p w14:paraId="6808D957">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7</w:t>
                  </w:r>
                </w:p>
              </w:tc>
              <w:tc>
                <w:tcPr>
                  <w:tcW w:w="1323" w:type="dxa"/>
                  <w:tcBorders>
                    <w:tl2br w:val="nil"/>
                    <w:tr2bl w:val="nil"/>
                  </w:tcBorders>
                  <w:vAlign w:val="center"/>
                </w:tcPr>
                <w:p w14:paraId="3686DBA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应急环境监测及事故后评价</w:t>
                  </w:r>
                </w:p>
              </w:tc>
              <w:tc>
                <w:tcPr>
                  <w:tcW w:w="6045" w:type="dxa"/>
                  <w:tcBorders>
                    <w:tl2br w:val="nil"/>
                    <w:tr2bl w:val="nil"/>
                  </w:tcBorders>
                  <w:vAlign w:val="center"/>
                </w:tcPr>
                <w:p w14:paraId="6EA5C24D">
                  <w:pPr>
                    <w:keepNext w:val="0"/>
                    <w:keepLines w:val="0"/>
                    <w:suppressLineNumbers w:val="0"/>
                    <w:spacing w:before="0" w:beforeAutospacing="0" w:after="0" w:afterAutospacing="0" w:line="240" w:lineRule="auto"/>
                    <w:ind w:left="0" w:right="0" w:firstLine="0" w:firstLineChars="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由专业人员对环境分析事故现场进行应急监测，对事故性质、严重程度均所造成的环境危害后果进行评估，吸取经验教训避免再次发生事故，为指挥部门提供决策依据。</w:t>
                  </w:r>
                </w:p>
              </w:tc>
            </w:tr>
            <w:tr w14:paraId="3653AD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691" w:type="dxa"/>
                  <w:tcBorders>
                    <w:tl2br w:val="nil"/>
                    <w:tr2bl w:val="nil"/>
                  </w:tcBorders>
                  <w:vAlign w:val="center"/>
                </w:tcPr>
                <w:p w14:paraId="12F9253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8</w:t>
                  </w:r>
                </w:p>
              </w:tc>
              <w:tc>
                <w:tcPr>
                  <w:tcW w:w="1323" w:type="dxa"/>
                  <w:tcBorders>
                    <w:tl2br w:val="nil"/>
                    <w:tr2bl w:val="nil"/>
                  </w:tcBorders>
                  <w:vAlign w:val="center"/>
                </w:tcPr>
                <w:p w14:paraId="7B15091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应急防护措施消除泄漏措施及需使用器材</w:t>
                  </w:r>
                </w:p>
              </w:tc>
              <w:tc>
                <w:tcPr>
                  <w:tcW w:w="6045" w:type="dxa"/>
                  <w:tcBorders>
                    <w:tl2br w:val="nil"/>
                    <w:tr2bl w:val="nil"/>
                  </w:tcBorders>
                  <w:vAlign w:val="center"/>
                </w:tcPr>
                <w:p w14:paraId="7109AE75">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事故现场：控制事故发展，防止扩大、蔓延及连锁反应；清除现场泄泥物，降低危害；相应的设施器材配备；</w:t>
                  </w:r>
                </w:p>
                <w:p w14:paraId="1B76C441">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临近地区：控制防火区域，控制和消除环境污染的措施及相应的设备配备。</w:t>
                  </w:r>
                </w:p>
              </w:tc>
            </w:tr>
            <w:tr w14:paraId="01CD86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91" w:type="dxa"/>
                  <w:tcBorders>
                    <w:tl2br w:val="nil"/>
                    <w:tr2bl w:val="nil"/>
                  </w:tcBorders>
                  <w:vAlign w:val="center"/>
                </w:tcPr>
                <w:p w14:paraId="434465C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9</w:t>
                  </w:r>
                </w:p>
              </w:tc>
              <w:tc>
                <w:tcPr>
                  <w:tcW w:w="1323" w:type="dxa"/>
                  <w:tcBorders>
                    <w:tl2br w:val="nil"/>
                    <w:tr2bl w:val="nil"/>
                  </w:tcBorders>
                  <w:vAlign w:val="center"/>
                </w:tcPr>
                <w:p w14:paraId="3200F60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应急剂量控制撤离组织计划医疗救护与保护公众健康</w:t>
                  </w:r>
                </w:p>
              </w:tc>
              <w:tc>
                <w:tcPr>
                  <w:tcW w:w="6045" w:type="dxa"/>
                  <w:tcBorders>
                    <w:tl2br w:val="nil"/>
                    <w:tr2bl w:val="nil"/>
                  </w:tcBorders>
                  <w:vAlign w:val="center"/>
                </w:tcPr>
                <w:p w14:paraId="69EB64F9">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事故现场：事故处理人员制定毒物的应急剂量、现场及临近装置人员的撤离组织计划和紧急救护方案；</w:t>
                  </w:r>
                </w:p>
                <w:p w14:paraId="068D9D05">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临近地区：制定受事故影响的临近地区内人员对毒物的应急剂量、公众的疏散组织计划和紧急救护方案。</w:t>
                  </w:r>
                </w:p>
              </w:tc>
            </w:tr>
            <w:tr w14:paraId="516AD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691" w:type="dxa"/>
                  <w:tcBorders>
                    <w:tl2br w:val="nil"/>
                    <w:tr2bl w:val="nil"/>
                  </w:tcBorders>
                  <w:vAlign w:val="center"/>
                </w:tcPr>
                <w:p w14:paraId="44A469B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10</w:t>
                  </w:r>
                </w:p>
              </w:tc>
              <w:tc>
                <w:tcPr>
                  <w:tcW w:w="1323" w:type="dxa"/>
                  <w:tcBorders>
                    <w:tl2br w:val="nil"/>
                    <w:tr2bl w:val="nil"/>
                  </w:tcBorders>
                  <w:vAlign w:val="center"/>
                </w:tcPr>
                <w:p w14:paraId="7278863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应急状态中止恢复措施</w:t>
                  </w:r>
                </w:p>
              </w:tc>
              <w:tc>
                <w:tcPr>
                  <w:tcW w:w="6045" w:type="dxa"/>
                  <w:tcBorders>
                    <w:tl2br w:val="nil"/>
                    <w:tr2bl w:val="nil"/>
                  </w:tcBorders>
                  <w:vAlign w:val="center"/>
                </w:tcPr>
                <w:p w14:paraId="14C2030A">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事故现场：规定应急状态终止秩序；事故现场善后处理，回复生产措施；</w:t>
                  </w:r>
                </w:p>
                <w:p w14:paraId="71FB514D">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临近地区：解除事故警戒，公众返回和善后回复措施。</w:t>
                  </w:r>
                </w:p>
              </w:tc>
            </w:tr>
            <w:tr w14:paraId="7F29C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91" w:type="dxa"/>
                  <w:tcBorders>
                    <w:tl2br w:val="nil"/>
                    <w:tr2bl w:val="nil"/>
                  </w:tcBorders>
                  <w:vAlign w:val="center"/>
                </w:tcPr>
                <w:p w14:paraId="0B241E8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11</w:t>
                  </w:r>
                </w:p>
              </w:tc>
              <w:tc>
                <w:tcPr>
                  <w:tcW w:w="1323" w:type="dxa"/>
                  <w:tcBorders>
                    <w:tl2br w:val="nil"/>
                    <w:tr2bl w:val="nil"/>
                  </w:tcBorders>
                  <w:vAlign w:val="center"/>
                </w:tcPr>
                <w:p w14:paraId="03B3615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人员培训</w:t>
                  </w:r>
                </w:p>
                <w:p w14:paraId="13AAAAC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与演习</w:t>
                  </w:r>
                </w:p>
              </w:tc>
              <w:tc>
                <w:tcPr>
                  <w:tcW w:w="6045" w:type="dxa"/>
                  <w:tcBorders>
                    <w:tl2br w:val="nil"/>
                    <w:tr2bl w:val="nil"/>
                  </w:tcBorders>
                  <w:vAlign w:val="center"/>
                </w:tcPr>
                <w:p w14:paraId="1565D85A">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应急计划制定后，平时安排事故出路人员进行相关知识培训并进行事故应急处理演习；对工厂工人进行安全卫生教育。</w:t>
                  </w:r>
                </w:p>
              </w:tc>
            </w:tr>
            <w:tr w14:paraId="3D94B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91" w:type="dxa"/>
                  <w:tcBorders>
                    <w:tl2br w:val="nil"/>
                    <w:tr2bl w:val="nil"/>
                  </w:tcBorders>
                  <w:vAlign w:val="center"/>
                </w:tcPr>
                <w:p w14:paraId="0019442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12</w:t>
                  </w:r>
                </w:p>
              </w:tc>
              <w:tc>
                <w:tcPr>
                  <w:tcW w:w="1323" w:type="dxa"/>
                  <w:tcBorders>
                    <w:tl2br w:val="nil"/>
                    <w:tr2bl w:val="nil"/>
                  </w:tcBorders>
                  <w:vAlign w:val="center"/>
                </w:tcPr>
                <w:p w14:paraId="6457AD1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公众教育</w:t>
                  </w:r>
                </w:p>
                <w:p w14:paraId="1297EB9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信息发布</w:t>
                  </w:r>
                </w:p>
              </w:tc>
              <w:tc>
                <w:tcPr>
                  <w:tcW w:w="6045" w:type="dxa"/>
                  <w:tcBorders>
                    <w:tl2br w:val="nil"/>
                    <w:tr2bl w:val="nil"/>
                  </w:tcBorders>
                  <w:vAlign w:val="center"/>
                </w:tcPr>
                <w:p w14:paraId="693551EC">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对工厂临近地区公众开展环境风险事故预防教育、应急知识培训并定期发布相关信息</w:t>
                  </w:r>
                </w:p>
              </w:tc>
            </w:tr>
            <w:tr w14:paraId="053FA4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91" w:type="dxa"/>
                  <w:tcBorders>
                    <w:tl2br w:val="nil"/>
                    <w:tr2bl w:val="nil"/>
                  </w:tcBorders>
                  <w:vAlign w:val="center"/>
                </w:tcPr>
                <w:p w14:paraId="0E3D61C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13</w:t>
                  </w:r>
                </w:p>
              </w:tc>
              <w:tc>
                <w:tcPr>
                  <w:tcW w:w="1323" w:type="dxa"/>
                  <w:tcBorders>
                    <w:tl2br w:val="nil"/>
                    <w:tr2bl w:val="nil"/>
                  </w:tcBorders>
                  <w:vAlign w:val="center"/>
                </w:tcPr>
                <w:p w14:paraId="63DBDCA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记录和报告</w:t>
                  </w:r>
                </w:p>
              </w:tc>
              <w:tc>
                <w:tcPr>
                  <w:tcW w:w="6045" w:type="dxa"/>
                  <w:tcBorders>
                    <w:tl2br w:val="nil"/>
                    <w:tr2bl w:val="nil"/>
                  </w:tcBorders>
                  <w:vAlign w:val="center"/>
                </w:tcPr>
                <w:p w14:paraId="04AD3E67">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设应急事故专门记录，建立档案和报告制度，设专门部门负责管理。</w:t>
                  </w:r>
                </w:p>
              </w:tc>
            </w:tr>
            <w:tr w14:paraId="790E0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91" w:type="dxa"/>
                  <w:tcBorders>
                    <w:tl2br w:val="nil"/>
                    <w:tr2bl w:val="nil"/>
                  </w:tcBorders>
                  <w:vAlign w:val="center"/>
                </w:tcPr>
                <w:p w14:paraId="758FD2C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14</w:t>
                  </w:r>
                </w:p>
              </w:tc>
              <w:tc>
                <w:tcPr>
                  <w:tcW w:w="1323" w:type="dxa"/>
                  <w:tcBorders>
                    <w:tl2br w:val="nil"/>
                    <w:tr2bl w:val="nil"/>
                  </w:tcBorders>
                  <w:vAlign w:val="center"/>
                </w:tcPr>
                <w:p w14:paraId="2994FE5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附件</w:t>
                  </w:r>
                </w:p>
              </w:tc>
              <w:tc>
                <w:tcPr>
                  <w:tcW w:w="6045" w:type="dxa"/>
                  <w:tcBorders>
                    <w:tl2br w:val="nil"/>
                    <w:tr2bl w:val="nil"/>
                  </w:tcBorders>
                  <w:vAlign w:val="center"/>
                </w:tcPr>
                <w:p w14:paraId="53EE53B4">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准备并形成环境风险事故应急处理有关的附件材料</w:t>
                  </w:r>
                </w:p>
              </w:tc>
            </w:tr>
          </w:tbl>
          <w:p w14:paraId="299B8BB8">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7、环保投资一览表</w:t>
            </w:r>
          </w:p>
          <w:p w14:paraId="4F4BCD43">
            <w:pPr>
              <w:keepNext w:val="0"/>
              <w:keepLines w:val="0"/>
              <w:suppressLineNumbers w:val="0"/>
              <w:spacing w:before="0" w:beforeAutospacing="0" w:after="0" w:afterAutospacing="0"/>
              <w:ind w:left="0" w:right="0" w:firstLine="480"/>
              <w:rPr>
                <w:rFonts w:hint="default"/>
                <w:color w:val="0D0D0D" w:themeColor="text1" w:themeTint="F2"/>
                <w:u w:val="single"/>
                <w14:textFill>
                  <w14:solidFill>
                    <w14:schemeClr w14:val="tx1">
                      <w14:lumMod w14:val="95000"/>
                      <w14:lumOff w14:val="5000"/>
                    </w14:schemeClr>
                  </w14:solidFill>
                </w14:textFill>
              </w:rPr>
            </w:pPr>
            <w:r>
              <w:rPr>
                <w:rFonts w:hint="default"/>
                <w:color w:val="0D0D0D" w:themeColor="text1" w:themeTint="F2"/>
                <w:u w:val="single"/>
                <w14:textFill>
                  <w14:solidFill>
                    <w14:schemeClr w14:val="tx1">
                      <w14:lumMod w14:val="95000"/>
                      <w14:lumOff w14:val="5000"/>
                    </w14:schemeClr>
                  </w14:solidFill>
                </w14:textFill>
              </w:rPr>
              <w:t>项目总投资约2600万元，项目环保设施投资为50万元，占总投资比例为 1.9%，项目环保投资详见下表。</w:t>
            </w:r>
          </w:p>
          <w:p w14:paraId="2A0E5EC1">
            <w:pPr>
              <w:keepNext w:val="0"/>
              <w:keepLines w:val="0"/>
              <w:suppressLineNumbers w:val="0"/>
              <w:spacing w:before="0" w:beforeAutospacing="0" w:after="0" w:afterAutospacing="0"/>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表 4-20</w:t>
            </w:r>
            <w:r>
              <w:rPr>
                <w:rFonts w:hint="eastAsia"/>
                <w:b/>
                <w:bCs/>
                <w:color w:val="0D0D0D" w:themeColor="text1" w:themeTint="F2"/>
                <w:sz w:val="21"/>
                <w:szCs w:val="21"/>
                <w:u w:val="single"/>
                <w14:textFill>
                  <w14:solidFill>
                    <w14:schemeClr w14:val="tx1">
                      <w14:lumMod w14:val="95000"/>
                      <w14:lumOff w14:val="5000"/>
                    </w14:schemeClr>
                  </w14:solidFill>
                </w14:textFill>
              </w:rPr>
              <w:t xml:space="preserve"> </w:t>
            </w:r>
            <w:r>
              <w:rPr>
                <w:rFonts w:hint="default"/>
                <w:b/>
                <w:bCs/>
                <w:color w:val="0D0D0D" w:themeColor="text1" w:themeTint="F2"/>
                <w:sz w:val="21"/>
                <w:szCs w:val="21"/>
                <w:u w:val="single"/>
                <w14:textFill>
                  <w14:solidFill>
                    <w14:schemeClr w14:val="tx1">
                      <w14:lumMod w14:val="95000"/>
                      <w14:lumOff w14:val="5000"/>
                    </w14:schemeClr>
                  </w14:solidFill>
                </w14:textFill>
              </w:rPr>
              <w:t xml:space="preserve"> 环保投资估算表 单位：万元</w:t>
            </w:r>
          </w:p>
          <w:tbl>
            <w:tblPr>
              <w:tblStyle w:val="1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6"/>
              <w:gridCol w:w="901"/>
              <w:gridCol w:w="1652"/>
              <w:gridCol w:w="3093"/>
              <w:gridCol w:w="930"/>
              <w:gridCol w:w="957"/>
            </w:tblGrid>
            <w:tr w14:paraId="5C7483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0" w:type="auto"/>
                  <w:tcBorders>
                    <w:tl2br w:val="nil"/>
                    <w:tr2bl w:val="nil"/>
                  </w:tcBorders>
                  <w:vAlign w:val="center"/>
                </w:tcPr>
                <w:p w14:paraId="0455DCAC">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序号</w:t>
                  </w:r>
                </w:p>
              </w:tc>
              <w:tc>
                <w:tcPr>
                  <w:tcW w:w="0" w:type="auto"/>
                  <w:gridSpan w:val="2"/>
                  <w:tcBorders>
                    <w:tl2br w:val="nil"/>
                    <w:tr2bl w:val="nil"/>
                  </w:tcBorders>
                  <w:vAlign w:val="center"/>
                </w:tcPr>
                <w:p w14:paraId="6CFF5BB1">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名称</w:t>
                  </w:r>
                </w:p>
              </w:tc>
              <w:tc>
                <w:tcPr>
                  <w:tcW w:w="0" w:type="auto"/>
                  <w:tcBorders>
                    <w:tl2br w:val="nil"/>
                    <w:tr2bl w:val="nil"/>
                  </w:tcBorders>
                  <w:vAlign w:val="center"/>
                </w:tcPr>
                <w:p w14:paraId="1B6D91C2">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环保措施</w:t>
                  </w:r>
                </w:p>
              </w:tc>
              <w:tc>
                <w:tcPr>
                  <w:tcW w:w="0" w:type="auto"/>
                  <w:tcBorders>
                    <w:tl2br w:val="nil"/>
                    <w:tr2bl w:val="nil"/>
                  </w:tcBorders>
                  <w:vAlign w:val="center"/>
                </w:tcPr>
                <w:p w14:paraId="557D8E13">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所在位置</w:t>
                  </w:r>
                </w:p>
              </w:tc>
              <w:tc>
                <w:tcPr>
                  <w:tcW w:w="0" w:type="auto"/>
                  <w:tcBorders>
                    <w:tl2br w:val="nil"/>
                    <w:tr2bl w:val="nil"/>
                  </w:tcBorders>
                  <w:vAlign w:val="center"/>
                </w:tcPr>
                <w:p w14:paraId="4CC05D7F">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环保投资</w:t>
                  </w:r>
                </w:p>
                <w:p w14:paraId="0ACFAEE0">
                  <w:pPr>
                    <w:keepNext w:val="0"/>
                    <w:keepLines w:val="0"/>
                    <w:suppressLineNumbers w:val="0"/>
                    <w:spacing w:before="0" w:beforeAutospacing="0" w:after="0" w:afterAutospacing="0" w:line="240" w:lineRule="auto"/>
                    <w:ind w:left="0" w:right="0" w:firstLine="0" w:firstLineChars="0"/>
                    <w:jc w:val="center"/>
                    <w:rPr>
                      <w:rFonts w:hint="default"/>
                      <w:b/>
                      <w:bCs/>
                      <w:color w:val="0D0D0D" w:themeColor="text1" w:themeTint="F2"/>
                      <w:sz w:val="21"/>
                      <w:szCs w:val="21"/>
                      <w:u w:val="single"/>
                      <w14:textFill>
                        <w14:solidFill>
                          <w14:schemeClr w14:val="tx1">
                            <w14:lumMod w14:val="95000"/>
                            <w14:lumOff w14:val="5000"/>
                          </w14:schemeClr>
                        </w14:solidFill>
                      </w14:textFill>
                    </w:rPr>
                  </w:pPr>
                  <w:r>
                    <w:rPr>
                      <w:rFonts w:hint="default"/>
                      <w:b/>
                      <w:bCs/>
                      <w:color w:val="0D0D0D" w:themeColor="text1" w:themeTint="F2"/>
                      <w:sz w:val="21"/>
                      <w:szCs w:val="21"/>
                      <w:u w:val="single"/>
                      <w14:textFill>
                        <w14:solidFill>
                          <w14:schemeClr w14:val="tx1">
                            <w14:lumMod w14:val="95000"/>
                            <w14:lumOff w14:val="5000"/>
                          </w14:schemeClr>
                        </w14:solidFill>
                      </w14:textFill>
                    </w:rPr>
                    <w:t>（万元）</w:t>
                  </w:r>
                </w:p>
              </w:tc>
            </w:tr>
            <w:tr w14:paraId="1CB0E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0" w:type="auto"/>
                  <w:vMerge w:val="restart"/>
                  <w:tcBorders>
                    <w:tl2br w:val="nil"/>
                    <w:tr2bl w:val="nil"/>
                  </w:tcBorders>
                  <w:vAlign w:val="center"/>
                </w:tcPr>
                <w:p w14:paraId="7CEFDF7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w:t>
                  </w:r>
                </w:p>
              </w:tc>
              <w:tc>
                <w:tcPr>
                  <w:tcW w:w="0" w:type="auto"/>
                  <w:vMerge w:val="restart"/>
                  <w:tcBorders>
                    <w:tl2br w:val="nil"/>
                    <w:tr2bl w:val="nil"/>
                  </w:tcBorders>
                  <w:vAlign w:val="center"/>
                </w:tcPr>
                <w:p w14:paraId="195D2D0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废气</w:t>
                  </w:r>
                </w:p>
              </w:tc>
              <w:tc>
                <w:tcPr>
                  <w:tcW w:w="0" w:type="auto"/>
                  <w:tcBorders>
                    <w:tl2br w:val="nil"/>
                    <w:tr2bl w:val="nil"/>
                  </w:tcBorders>
                  <w:vAlign w:val="center"/>
                </w:tcPr>
                <w:p w14:paraId="269539FD">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DA001有机废气、</w:t>
                  </w:r>
                </w:p>
              </w:tc>
              <w:tc>
                <w:tcPr>
                  <w:tcW w:w="0" w:type="auto"/>
                  <w:tcBorders>
                    <w:tl2br w:val="nil"/>
                    <w:tr2bl w:val="nil"/>
                  </w:tcBorders>
                  <w:vAlign w:val="center"/>
                </w:tcPr>
                <w:p w14:paraId="45DE6D9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集气罩+</w:t>
                  </w:r>
                  <w:r>
                    <w:rPr>
                      <w:rFonts w:hint="eastAsia"/>
                      <w:color w:val="0D0D0D" w:themeColor="text1" w:themeTint="F2"/>
                      <w:sz w:val="21"/>
                      <w:szCs w:val="21"/>
                      <w:u w:val="single"/>
                      <w:lang w:eastAsia="zh-CN"/>
                      <w14:textFill>
                        <w14:solidFill>
                          <w14:schemeClr w14:val="tx1">
                            <w14:lumMod w14:val="95000"/>
                            <w14:lumOff w14:val="5000"/>
                          </w14:schemeClr>
                        </w14:solidFill>
                      </w14:textFill>
                    </w:rPr>
                    <w:t>二级活性炭</w:t>
                  </w:r>
                  <w:r>
                    <w:rPr>
                      <w:rFonts w:hint="eastAsia"/>
                      <w:color w:val="0D0D0D" w:themeColor="text1" w:themeTint="F2"/>
                      <w:sz w:val="21"/>
                      <w:szCs w:val="21"/>
                      <w:u w:val="single"/>
                      <w14:textFill>
                        <w14:solidFill>
                          <w14:schemeClr w14:val="tx1">
                            <w14:lumMod w14:val="95000"/>
                            <w14:lumOff w14:val="5000"/>
                          </w14:schemeClr>
                        </w14:solidFill>
                      </w14:textFill>
                    </w:rPr>
                    <w:t>吸附</w:t>
                  </w:r>
                  <w:r>
                    <w:rPr>
                      <w:rFonts w:hint="default"/>
                      <w:color w:val="0D0D0D" w:themeColor="text1" w:themeTint="F2"/>
                      <w:sz w:val="21"/>
                      <w:szCs w:val="21"/>
                      <w:u w:val="single"/>
                      <w14:textFill>
                        <w14:solidFill>
                          <w14:schemeClr w14:val="tx1">
                            <w14:lumMod w14:val="95000"/>
                            <w14:lumOff w14:val="5000"/>
                          </w14:schemeClr>
                        </w14:solidFill>
                      </w14:textFill>
                    </w:rPr>
                    <w:t>+15m 高排气筒</w:t>
                  </w:r>
                </w:p>
              </w:tc>
              <w:tc>
                <w:tcPr>
                  <w:tcW w:w="0" w:type="auto"/>
                  <w:tcBorders>
                    <w:tl2br w:val="nil"/>
                    <w:tr2bl w:val="nil"/>
                  </w:tcBorders>
                  <w:vAlign w:val="center"/>
                </w:tcPr>
                <w:p w14:paraId="011EE2B2">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10#厂房</w:t>
                  </w:r>
                </w:p>
              </w:tc>
              <w:tc>
                <w:tcPr>
                  <w:tcW w:w="0" w:type="auto"/>
                  <w:vMerge w:val="restart"/>
                  <w:tcBorders>
                    <w:tl2br w:val="nil"/>
                    <w:tr2bl w:val="nil"/>
                  </w:tcBorders>
                  <w:vAlign w:val="center"/>
                </w:tcPr>
                <w:p w14:paraId="18EB79E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18</w:t>
                  </w:r>
                </w:p>
              </w:tc>
            </w:tr>
            <w:tr w14:paraId="11265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0" w:type="auto"/>
                  <w:vMerge w:val="continue"/>
                  <w:tcBorders>
                    <w:tl2br w:val="nil"/>
                    <w:tr2bl w:val="nil"/>
                  </w:tcBorders>
                  <w:vAlign w:val="center"/>
                </w:tcPr>
                <w:p w14:paraId="49ECD4F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0" w:type="auto"/>
                  <w:vMerge w:val="continue"/>
                  <w:tcBorders>
                    <w:tl2br w:val="nil"/>
                    <w:tr2bl w:val="nil"/>
                  </w:tcBorders>
                  <w:vAlign w:val="center"/>
                </w:tcPr>
                <w:p w14:paraId="1DB309D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0" w:type="auto"/>
                  <w:tcBorders>
                    <w:tl2br w:val="nil"/>
                    <w:tr2bl w:val="nil"/>
                  </w:tcBorders>
                  <w:vAlign w:val="center"/>
                </w:tcPr>
                <w:p w14:paraId="788D7A3C">
                  <w:pPr>
                    <w:keepNext w:val="0"/>
                    <w:keepLines w:val="0"/>
                    <w:suppressLineNumbers w:val="0"/>
                    <w:spacing w:before="0" w:beforeAutospacing="0" w:after="0" w:afterAutospacing="0" w:line="240" w:lineRule="auto"/>
                    <w:ind w:left="0" w:right="0" w:firstLine="0" w:firstLineChars="0"/>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DA00</w:t>
                  </w:r>
                  <w:r>
                    <w:rPr>
                      <w:rFonts w:hint="eastAsia"/>
                      <w:color w:val="0D0D0D" w:themeColor="text1" w:themeTint="F2"/>
                      <w:sz w:val="21"/>
                      <w:szCs w:val="21"/>
                      <w:u w:val="single"/>
                      <w14:textFill>
                        <w14:solidFill>
                          <w14:schemeClr w14:val="tx1">
                            <w14:lumMod w14:val="95000"/>
                            <w14:lumOff w14:val="5000"/>
                          </w14:schemeClr>
                        </w14:solidFill>
                      </w14:textFill>
                    </w:rPr>
                    <w:t>2</w:t>
                  </w:r>
                  <w:r>
                    <w:rPr>
                      <w:rFonts w:hint="default"/>
                      <w:color w:val="0D0D0D" w:themeColor="text1" w:themeTint="F2"/>
                      <w:sz w:val="21"/>
                      <w:szCs w:val="21"/>
                      <w:u w:val="single"/>
                      <w14:textFill>
                        <w14:solidFill>
                          <w14:schemeClr w14:val="tx1">
                            <w14:lumMod w14:val="95000"/>
                            <w14:lumOff w14:val="5000"/>
                          </w14:schemeClr>
                        </w14:solidFill>
                      </w14:textFill>
                    </w:rPr>
                    <w:t>1有机废气</w:t>
                  </w:r>
                </w:p>
              </w:tc>
              <w:tc>
                <w:tcPr>
                  <w:tcW w:w="0" w:type="auto"/>
                  <w:tcBorders>
                    <w:tl2br w:val="nil"/>
                    <w:tr2bl w:val="nil"/>
                  </w:tcBorders>
                  <w:vAlign w:val="center"/>
                </w:tcPr>
                <w:p w14:paraId="669736A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集气罩+</w:t>
                  </w:r>
                  <w:r>
                    <w:rPr>
                      <w:rFonts w:hint="eastAsia"/>
                      <w:color w:val="0D0D0D" w:themeColor="text1" w:themeTint="F2"/>
                      <w:sz w:val="21"/>
                      <w:szCs w:val="21"/>
                      <w:u w:val="single"/>
                      <w:lang w:eastAsia="zh-CN"/>
                      <w14:textFill>
                        <w14:solidFill>
                          <w14:schemeClr w14:val="tx1">
                            <w14:lumMod w14:val="95000"/>
                            <w14:lumOff w14:val="5000"/>
                          </w14:schemeClr>
                        </w14:solidFill>
                      </w14:textFill>
                    </w:rPr>
                    <w:t>二级活性炭</w:t>
                  </w:r>
                  <w:r>
                    <w:rPr>
                      <w:rFonts w:hint="default"/>
                      <w:color w:val="0D0D0D" w:themeColor="text1" w:themeTint="F2"/>
                      <w:sz w:val="21"/>
                      <w:szCs w:val="21"/>
                      <w:u w:val="single"/>
                      <w14:textFill>
                        <w14:solidFill>
                          <w14:schemeClr w14:val="tx1">
                            <w14:lumMod w14:val="95000"/>
                            <w14:lumOff w14:val="5000"/>
                          </w14:schemeClr>
                        </w14:solidFill>
                      </w14:textFill>
                    </w:rPr>
                    <w:t>吸附+15m 高排气筒</w:t>
                  </w:r>
                </w:p>
              </w:tc>
              <w:tc>
                <w:tcPr>
                  <w:tcW w:w="0" w:type="auto"/>
                  <w:tcBorders>
                    <w:tl2br w:val="nil"/>
                    <w:tr2bl w:val="nil"/>
                  </w:tcBorders>
                  <w:vAlign w:val="center"/>
                </w:tcPr>
                <w:p w14:paraId="52194D75">
                  <w:pPr>
                    <w:keepNext w:val="0"/>
                    <w:keepLines w:val="0"/>
                    <w:suppressLineNumbers w:val="0"/>
                    <w:spacing w:before="0" w:beforeAutospacing="0" w:after="0" w:afterAutospacing="0" w:line="240" w:lineRule="auto"/>
                    <w:ind w:left="0" w:right="0" w:firstLine="0" w:firstLineChars="0"/>
                    <w:jc w:val="center"/>
                    <w:rPr>
                      <w:rFonts w:hint="default" w:eastAsia="宋体"/>
                      <w:color w:val="0D0D0D" w:themeColor="text1" w:themeTint="F2"/>
                      <w:sz w:val="21"/>
                      <w:szCs w:val="21"/>
                      <w:u w:val="single"/>
                      <w:lang w:val="en-US" w:eastAsia="zh-CN"/>
                      <w14:textFill>
                        <w14:solidFill>
                          <w14:schemeClr w14:val="tx1">
                            <w14:lumMod w14:val="95000"/>
                            <w14:lumOff w14:val="5000"/>
                          </w14:schemeClr>
                        </w14:solidFill>
                      </w14:textFill>
                    </w:rPr>
                  </w:pP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11#厂房</w:t>
                  </w:r>
                </w:p>
              </w:tc>
              <w:tc>
                <w:tcPr>
                  <w:tcW w:w="0" w:type="auto"/>
                  <w:vMerge w:val="continue"/>
                  <w:tcBorders>
                    <w:tl2br w:val="nil"/>
                    <w:tr2bl w:val="nil"/>
                  </w:tcBorders>
                  <w:vAlign w:val="center"/>
                </w:tcPr>
                <w:p w14:paraId="2FBD6DB4">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r>
            <w:tr w14:paraId="61F9C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0" w:type="auto"/>
                  <w:tcBorders>
                    <w:tl2br w:val="nil"/>
                    <w:tr2bl w:val="nil"/>
                  </w:tcBorders>
                  <w:vAlign w:val="center"/>
                </w:tcPr>
                <w:p w14:paraId="05FC942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2</w:t>
                  </w:r>
                </w:p>
              </w:tc>
              <w:tc>
                <w:tcPr>
                  <w:tcW w:w="0" w:type="auto"/>
                  <w:tcBorders>
                    <w:tl2br w:val="nil"/>
                    <w:tr2bl w:val="nil"/>
                  </w:tcBorders>
                  <w:vAlign w:val="center"/>
                </w:tcPr>
                <w:p w14:paraId="45CD85F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废水</w:t>
                  </w:r>
                </w:p>
              </w:tc>
              <w:tc>
                <w:tcPr>
                  <w:tcW w:w="0" w:type="auto"/>
                  <w:tcBorders>
                    <w:tl2br w:val="nil"/>
                    <w:tr2bl w:val="nil"/>
                  </w:tcBorders>
                  <w:vAlign w:val="center"/>
                </w:tcPr>
                <w:p w14:paraId="789A66F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生活污水</w:t>
                  </w:r>
                </w:p>
              </w:tc>
              <w:tc>
                <w:tcPr>
                  <w:tcW w:w="0" w:type="auto"/>
                  <w:tcBorders>
                    <w:tl2br w:val="nil"/>
                    <w:tr2bl w:val="nil"/>
                  </w:tcBorders>
                  <w:vAlign w:val="center"/>
                </w:tcPr>
                <w:p w14:paraId="566C2D8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化粪池</w:t>
                  </w:r>
                </w:p>
              </w:tc>
              <w:tc>
                <w:tcPr>
                  <w:tcW w:w="0" w:type="auto"/>
                  <w:tcBorders>
                    <w:tl2br w:val="nil"/>
                    <w:tr2bl w:val="nil"/>
                  </w:tcBorders>
                  <w:vAlign w:val="center"/>
                </w:tcPr>
                <w:p w14:paraId="0F1C59C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0" w:type="auto"/>
                  <w:tcBorders>
                    <w:tl2br w:val="nil"/>
                    <w:tr2bl w:val="nil"/>
                  </w:tcBorders>
                  <w:vAlign w:val="center"/>
                </w:tcPr>
                <w:p w14:paraId="4DAC31A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4</w:t>
                  </w:r>
                </w:p>
              </w:tc>
            </w:tr>
            <w:tr w14:paraId="3ECD94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0" w:type="auto"/>
                  <w:tcBorders>
                    <w:tl2br w:val="nil"/>
                    <w:tr2bl w:val="nil"/>
                  </w:tcBorders>
                  <w:vAlign w:val="center"/>
                </w:tcPr>
                <w:p w14:paraId="473F2F53">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3</w:t>
                  </w:r>
                </w:p>
              </w:tc>
              <w:tc>
                <w:tcPr>
                  <w:tcW w:w="0" w:type="auto"/>
                  <w:tcBorders>
                    <w:tl2br w:val="nil"/>
                    <w:tr2bl w:val="nil"/>
                  </w:tcBorders>
                  <w:vAlign w:val="center"/>
                </w:tcPr>
                <w:p w14:paraId="5E074FC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噪声</w:t>
                  </w:r>
                </w:p>
              </w:tc>
              <w:tc>
                <w:tcPr>
                  <w:tcW w:w="0" w:type="auto"/>
                  <w:tcBorders>
                    <w:tl2br w:val="nil"/>
                    <w:tr2bl w:val="nil"/>
                  </w:tcBorders>
                  <w:vAlign w:val="center"/>
                </w:tcPr>
                <w:p w14:paraId="598D64B5">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设备机械噪声</w:t>
                  </w:r>
                </w:p>
              </w:tc>
              <w:tc>
                <w:tcPr>
                  <w:tcW w:w="0" w:type="auto"/>
                  <w:tcBorders>
                    <w:tl2br w:val="nil"/>
                    <w:tr2bl w:val="nil"/>
                  </w:tcBorders>
                  <w:vAlign w:val="center"/>
                </w:tcPr>
                <w:p w14:paraId="205D498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隔声、减振设施</w:t>
                  </w:r>
                </w:p>
              </w:tc>
              <w:tc>
                <w:tcPr>
                  <w:tcW w:w="0" w:type="auto"/>
                  <w:tcBorders>
                    <w:tl2br w:val="nil"/>
                    <w:tr2bl w:val="nil"/>
                  </w:tcBorders>
                  <w:vAlign w:val="center"/>
                </w:tcPr>
                <w:p w14:paraId="35DB58E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厂房墙体</w:t>
                  </w:r>
                </w:p>
              </w:tc>
              <w:tc>
                <w:tcPr>
                  <w:tcW w:w="0" w:type="auto"/>
                  <w:tcBorders>
                    <w:tl2br w:val="nil"/>
                    <w:tr2bl w:val="nil"/>
                  </w:tcBorders>
                  <w:vAlign w:val="center"/>
                </w:tcPr>
                <w:p w14:paraId="3AED5B1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18.2</w:t>
                  </w:r>
                </w:p>
              </w:tc>
            </w:tr>
            <w:tr w14:paraId="31D32B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0" w:type="auto"/>
                  <w:vMerge w:val="restart"/>
                  <w:tcBorders>
                    <w:tl2br w:val="nil"/>
                    <w:tr2bl w:val="nil"/>
                  </w:tcBorders>
                  <w:vAlign w:val="center"/>
                </w:tcPr>
                <w:p w14:paraId="6FCB61DD">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4</w:t>
                  </w:r>
                </w:p>
              </w:tc>
              <w:tc>
                <w:tcPr>
                  <w:tcW w:w="0" w:type="auto"/>
                  <w:vMerge w:val="restart"/>
                  <w:tcBorders>
                    <w:tl2br w:val="nil"/>
                    <w:tr2bl w:val="nil"/>
                  </w:tcBorders>
                  <w:vAlign w:val="center"/>
                </w:tcPr>
                <w:p w14:paraId="68764DC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固体废物</w:t>
                  </w:r>
                </w:p>
              </w:tc>
              <w:tc>
                <w:tcPr>
                  <w:tcW w:w="0" w:type="auto"/>
                  <w:tcBorders>
                    <w:tl2br w:val="nil"/>
                    <w:tr2bl w:val="nil"/>
                  </w:tcBorders>
                  <w:vAlign w:val="center"/>
                </w:tcPr>
                <w:p w14:paraId="1D9293C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一般固废</w:t>
                  </w:r>
                </w:p>
              </w:tc>
              <w:tc>
                <w:tcPr>
                  <w:tcW w:w="0" w:type="auto"/>
                  <w:tcBorders>
                    <w:tl2br w:val="nil"/>
                    <w:tr2bl w:val="nil"/>
                  </w:tcBorders>
                  <w:vAlign w:val="center"/>
                </w:tcPr>
                <w:p w14:paraId="1B3AF908">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一般固废暂存间（</w:t>
                  </w:r>
                  <w:r>
                    <w:rPr>
                      <w:rFonts w:hint="eastAsia"/>
                      <w:color w:val="0D0D0D" w:themeColor="text1" w:themeTint="F2"/>
                      <w:sz w:val="21"/>
                      <w:szCs w:val="21"/>
                      <w:u w:val="single"/>
                      <w:lang w:val="en-US" w:eastAsia="zh-CN"/>
                      <w14:textFill>
                        <w14:solidFill>
                          <w14:schemeClr w14:val="tx1">
                            <w14:lumMod w14:val="95000"/>
                            <w14:lumOff w14:val="5000"/>
                          </w14:schemeClr>
                        </w14:solidFill>
                      </w14:textFill>
                    </w:rPr>
                    <w:t>1</w:t>
                  </w:r>
                  <w:r>
                    <w:rPr>
                      <w:rFonts w:hint="default"/>
                      <w:color w:val="0D0D0D" w:themeColor="text1" w:themeTint="F2"/>
                      <w:sz w:val="21"/>
                      <w:szCs w:val="21"/>
                      <w:u w:val="single"/>
                      <w14:textFill>
                        <w14:solidFill>
                          <w14:schemeClr w14:val="tx1">
                            <w14:lumMod w14:val="95000"/>
                            <w14:lumOff w14:val="5000"/>
                          </w14:schemeClr>
                        </w14:solidFill>
                      </w14:textFill>
                    </w:rPr>
                    <w:t>0㎡）</w:t>
                  </w:r>
                </w:p>
              </w:tc>
              <w:tc>
                <w:tcPr>
                  <w:tcW w:w="0" w:type="auto"/>
                  <w:tcBorders>
                    <w:tl2br w:val="nil"/>
                    <w:tr2bl w:val="nil"/>
                  </w:tcBorders>
                  <w:vAlign w:val="center"/>
                </w:tcPr>
                <w:p w14:paraId="407057F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原料仓的</w:t>
                  </w:r>
                </w:p>
                <w:p w14:paraId="30EA563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西南角</w:t>
                  </w:r>
                </w:p>
              </w:tc>
              <w:tc>
                <w:tcPr>
                  <w:tcW w:w="0" w:type="auto"/>
                  <w:tcBorders>
                    <w:tl2br w:val="nil"/>
                    <w:tr2bl w:val="nil"/>
                  </w:tcBorders>
                  <w:vAlign w:val="center"/>
                </w:tcPr>
                <w:p w14:paraId="28FA9FD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3</w:t>
                  </w:r>
                </w:p>
              </w:tc>
            </w:tr>
            <w:tr w14:paraId="071E1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0" w:type="auto"/>
                  <w:vMerge w:val="continue"/>
                  <w:tcBorders>
                    <w:tl2br w:val="nil"/>
                    <w:tr2bl w:val="nil"/>
                  </w:tcBorders>
                  <w:vAlign w:val="center"/>
                </w:tcPr>
                <w:p w14:paraId="0D2CA4B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0" w:type="auto"/>
                  <w:vMerge w:val="continue"/>
                  <w:tcBorders>
                    <w:tl2br w:val="nil"/>
                    <w:tr2bl w:val="nil"/>
                  </w:tcBorders>
                  <w:vAlign w:val="center"/>
                </w:tcPr>
                <w:p w14:paraId="04B8810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0" w:type="auto"/>
                  <w:tcBorders>
                    <w:tl2br w:val="nil"/>
                    <w:tr2bl w:val="nil"/>
                  </w:tcBorders>
                  <w:vAlign w:val="center"/>
                </w:tcPr>
                <w:p w14:paraId="353B0DB6">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危险废物</w:t>
                  </w:r>
                </w:p>
              </w:tc>
              <w:tc>
                <w:tcPr>
                  <w:tcW w:w="0" w:type="auto"/>
                  <w:tcBorders>
                    <w:tl2br w:val="nil"/>
                    <w:tr2bl w:val="nil"/>
                  </w:tcBorders>
                  <w:vAlign w:val="center"/>
                </w:tcPr>
                <w:p w14:paraId="3589D7F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危废暂存间，定期委托有资质单位处置</w:t>
                  </w:r>
                </w:p>
              </w:tc>
              <w:tc>
                <w:tcPr>
                  <w:tcW w:w="0" w:type="auto"/>
                  <w:tcBorders>
                    <w:tl2br w:val="nil"/>
                    <w:tr2bl w:val="nil"/>
                  </w:tcBorders>
                  <w:vAlign w:val="center"/>
                </w:tcPr>
                <w:p w14:paraId="042FA25C">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厂房的</w:t>
                  </w:r>
                </w:p>
                <w:p w14:paraId="327465A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西南角</w:t>
                  </w:r>
                </w:p>
              </w:tc>
              <w:tc>
                <w:tcPr>
                  <w:tcW w:w="0" w:type="auto"/>
                  <w:tcBorders>
                    <w:tl2br w:val="nil"/>
                    <w:tr2bl w:val="nil"/>
                  </w:tcBorders>
                  <w:vAlign w:val="center"/>
                </w:tcPr>
                <w:p w14:paraId="366CCDC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5</w:t>
                  </w:r>
                </w:p>
              </w:tc>
            </w:tr>
            <w:tr w14:paraId="1B0BA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0" w:type="auto"/>
                  <w:tcBorders>
                    <w:tl2br w:val="nil"/>
                    <w:tr2bl w:val="nil"/>
                  </w:tcBorders>
                  <w:vAlign w:val="center"/>
                </w:tcPr>
                <w:p w14:paraId="27A2560A">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0" w:type="auto"/>
                  <w:tcBorders>
                    <w:tl2br w:val="nil"/>
                    <w:tr2bl w:val="nil"/>
                  </w:tcBorders>
                  <w:vAlign w:val="center"/>
                </w:tcPr>
                <w:p w14:paraId="19CB862B">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p>
              </w:tc>
              <w:tc>
                <w:tcPr>
                  <w:tcW w:w="0" w:type="auto"/>
                  <w:tcBorders>
                    <w:tl2br w:val="nil"/>
                    <w:tr2bl w:val="nil"/>
                  </w:tcBorders>
                  <w:vAlign w:val="center"/>
                </w:tcPr>
                <w:p w14:paraId="2FE6CC81">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生活垃圾</w:t>
                  </w:r>
                </w:p>
              </w:tc>
              <w:tc>
                <w:tcPr>
                  <w:tcW w:w="0" w:type="auto"/>
                  <w:tcBorders>
                    <w:tl2br w:val="nil"/>
                    <w:tr2bl w:val="nil"/>
                  </w:tcBorders>
                  <w:vAlign w:val="center"/>
                </w:tcPr>
                <w:p w14:paraId="4440432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垃圾桶</w:t>
                  </w:r>
                </w:p>
              </w:tc>
              <w:tc>
                <w:tcPr>
                  <w:tcW w:w="0" w:type="auto"/>
                  <w:tcBorders>
                    <w:tl2br w:val="nil"/>
                    <w:tr2bl w:val="nil"/>
                  </w:tcBorders>
                  <w:vAlign w:val="center"/>
                </w:tcPr>
                <w:p w14:paraId="705C5A1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0" w:type="auto"/>
                  <w:tcBorders>
                    <w:tl2br w:val="nil"/>
                    <w:tr2bl w:val="nil"/>
                  </w:tcBorders>
                  <w:vAlign w:val="center"/>
                </w:tcPr>
                <w:p w14:paraId="21FA513F">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1.8</w:t>
                  </w:r>
                </w:p>
              </w:tc>
            </w:tr>
            <w:tr w14:paraId="416EF6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gridSpan w:val="3"/>
                  <w:tcBorders>
                    <w:tl2br w:val="nil"/>
                    <w:tr2bl w:val="nil"/>
                  </w:tcBorders>
                  <w:vAlign w:val="center"/>
                </w:tcPr>
                <w:p w14:paraId="29EABF62">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合计</w:t>
                  </w:r>
                </w:p>
              </w:tc>
              <w:tc>
                <w:tcPr>
                  <w:tcW w:w="0" w:type="auto"/>
                  <w:tcBorders>
                    <w:tl2br w:val="nil"/>
                    <w:tr2bl w:val="nil"/>
                  </w:tcBorders>
                  <w:vAlign w:val="center"/>
                </w:tcPr>
                <w:p w14:paraId="2DBCE81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0" w:type="auto"/>
                  <w:tcBorders>
                    <w:tl2br w:val="nil"/>
                    <w:tr2bl w:val="nil"/>
                  </w:tcBorders>
                  <w:vAlign w:val="center"/>
                </w:tcPr>
                <w:p w14:paraId="4320C439">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w:t>
                  </w:r>
                </w:p>
              </w:tc>
              <w:tc>
                <w:tcPr>
                  <w:tcW w:w="0" w:type="auto"/>
                  <w:tcBorders>
                    <w:tl2br w:val="nil"/>
                    <w:tr2bl w:val="nil"/>
                  </w:tcBorders>
                  <w:vAlign w:val="center"/>
                </w:tcPr>
                <w:p w14:paraId="5B14A0F0">
                  <w:pPr>
                    <w:keepNext w:val="0"/>
                    <w:keepLines w:val="0"/>
                    <w:suppressLineNumbers w:val="0"/>
                    <w:spacing w:before="0" w:beforeAutospacing="0" w:after="0" w:afterAutospacing="0" w:line="240" w:lineRule="auto"/>
                    <w:ind w:left="0" w:right="0" w:firstLine="0" w:firstLineChars="0"/>
                    <w:jc w:val="center"/>
                    <w:rPr>
                      <w:rFonts w:hint="default"/>
                      <w:color w:val="0D0D0D" w:themeColor="text1" w:themeTint="F2"/>
                      <w:sz w:val="21"/>
                      <w:szCs w:val="21"/>
                      <w:u w:val="single"/>
                      <w14:textFill>
                        <w14:solidFill>
                          <w14:schemeClr w14:val="tx1">
                            <w14:lumMod w14:val="95000"/>
                            <w14:lumOff w14:val="5000"/>
                          </w14:schemeClr>
                        </w14:solidFill>
                      </w14:textFill>
                    </w:rPr>
                  </w:pPr>
                  <w:r>
                    <w:rPr>
                      <w:rFonts w:hint="default"/>
                      <w:color w:val="0D0D0D" w:themeColor="text1" w:themeTint="F2"/>
                      <w:sz w:val="21"/>
                      <w:szCs w:val="21"/>
                      <w:u w:val="single"/>
                      <w14:textFill>
                        <w14:solidFill>
                          <w14:schemeClr w14:val="tx1">
                            <w14:lumMod w14:val="95000"/>
                            <w14:lumOff w14:val="5000"/>
                          </w14:schemeClr>
                        </w14:solidFill>
                      </w14:textFill>
                    </w:rPr>
                    <w:t>50</w:t>
                  </w:r>
                </w:p>
              </w:tc>
            </w:tr>
          </w:tbl>
          <w:p w14:paraId="7188AD0B">
            <w:pPr>
              <w:keepNext w:val="0"/>
              <w:keepLines w:val="0"/>
              <w:suppressLineNumbers w:val="0"/>
              <w:spacing w:before="0" w:beforeAutospacing="0" w:after="0" w:afterAutospacing="0"/>
              <w:ind w:left="0" w:right="0" w:firstLine="480"/>
              <w:rPr>
                <w:rFonts w:hint="default"/>
                <w:color w:val="0D0D0D" w:themeColor="text1" w:themeTint="F2"/>
                <w:kern w:val="0"/>
                <w:u w:val="single"/>
                <w:lang w:bidi="ar"/>
                <w14:textFill>
                  <w14:solidFill>
                    <w14:schemeClr w14:val="tx1">
                      <w14:lumMod w14:val="95000"/>
                      <w14:lumOff w14:val="5000"/>
                    </w14:schemeClr>
                  </w14:solidFill>
                </w14:textFill>
              </w:rPr>
            </w:pPr>
          </w:p>
        </w:tc>
      </w:tr>
    </w:tbl>
    <w:p w14:paraId="3A1B7C4D">
      <w:pPr>
        <w:adjustRightInd w:val="0"/>
        <w:snapToGrid w:val="0"/>
        <w:ind w:firstLine="562"/>
        <w:rPr>
          <w:rFonts w:ascii="宋体" w:cs="宋体"/>
          <w:b/>
          <w:color w:val="0D0D0D" w:themeColor="text1" w:themeTint="F2"/>
          <w:kern w:val="0"/>
          <w:sz w:val="28"/>
          <w:szCs w:val="28"/>
          <w14:textFill>
            <w14:solidFill>
              <w14:schemeClr w14:val="tx1">
                <w14:lumMod w14:val="95000"/>
                <w14:lumOff w14:val="5000"/>
              </w14:schemeClr>
            </w14:solidFill>
          </w14:textFill>
        </w:rPr>
        <w:sectPr>
          <w:pgSz w:w="11907" w:h="16840"/>
          <w:pgMar w:top="1701" w:right="1531" w:bottom="2127" w:left="1531" w:header="851" w:footer="851" w:gutter="0"/>
          <w:cols w:space="720" w:num="1"/>
          <w:docGrid w:linePitch="312" w:charSpace="0"/>
        </w:sectPr>
      </w:pPr>
    </w:p>
    <w:p w14:paraId="769A9F16">
      <w:pPr>
        <w:adjustRightInd w:val="0"/>
        <w:snapToGrid w:val="0"/>
        <w:ind w:firstLine="0" w:firstLineChars="0"/>
        <w:jc w:val="center"/>
        <w:outlineLvl w:val="0"/>
        <w:rPr>
          <w:rFonts w:ascii="黑体" w:hAnsi="黑体" w:eastAsia="黑体"/>
          <w:snapToGrid w:val="0"/>
          <w:color w:val="0D0D0D" w:themeColor="text1" w:themeTint="F2"/>
          <w:sz w:val="30"/>
          <w:szCs w:val="30"/>
          <w14:textFill>
            <w14:solidFill>
              <w14:schemeClr w14:val="tx1">
                <w14:lumMod w14:val="95000"/>
                <w14:lumOff w14:val="5000"/>
              </w14:schemeClr>
            </w14:solidFill>
          </w14:textFill>
        </w:rPr>
      </w:pPr>
      <w:bookmarkStart w:id="24" w:name="_Hlk54167917"/>
      <w:bookmarkStart w:id="25" w:name="_Toc4886"/>
      <w:bookmarkStart w:id="26" w:name="_Toc21830"/>
      <w:r>
        <w:rPr>
          <w:rFonts w:hint="eastAsia" w:ascii="黑体" w:hAnsi="黑体" w:eastAsia="黑体"/>
          <w:snapToGrid w:val="0"/>
          <w:color w:val="0D0D0D" w:themeColor="text1" w:themeTint="F2"/>
          <w:sz w:val="30"/>
          <w:szCs w:val="30"/>
          <w14:textFill>
            <w14:solidFill>
              <w14:schemeClr w14:val="tx1">
                <w14:lumMod w14:val="95000"/>
                <w14:lumOff w14:val="5000"/>
              </w14:schemeClr>
            </w14:solidFill>
          </w14:textFill>
        </w:rPr>
        <w:t>五、环境保护措施监督检查清单</w:t>
      </w:r>
      <w:bookmarkEnd w:id="24"/>
      <w:bookmarkEnd w:id="25"/>
      <w:bookmarkEnd w:id="26"/>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736"/>
        <w:gridCol w:w="1470"/>
        <w:gridCol w:w="2044"/>
        <w:gridCol w:w="1925"/>
      </w:tblGrid>
      <w:tr w14:paraId="2160B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tcBorders>
              <w:tl2br w:val="single" w:color="auto" w:sz="4" w:space="0"/>
            </w:tcBorders>
          </w:tcPr>
          <w:p w14:paraId="24D5F62C">
            <w:pPr>
              <w:keepNext w:val="0"/>
              <w:keepLines w:val="0"/>
              <w:widowControl/>
              <w:suppressLineNumbers w:val="0"/>
              <w:spacing w:before="0" w:beforeAutospacing="0" w:after="0" w:afterAutospacing="0" w:line="240" w:lineRule="auto"/>
              <w:ind w:left="0" w:right="0" w:firstLine="0" w:firstLineChars="0"/>
              <w:jc w:val="center"/>
              <w:outlineLvl w:val="0"/>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bookmarkStart w:id="27" w:name="_Toc10396"/>
            <w:bookmarkStart w:id="28" w:name="_Toc4555"/>
            <w:r>
              <w:rPr>
                <w:rFonts w:hint="eastAsia" w:ascii="宋体" w:hAnsi="宋体" w:cs="宋体"/>
                <w:b/>
                <w:bCs/>
                <w:color w:val="0D0D0D" w:themeColor="text1" w:themeTint="F2"/>
                <w:kern w:val="0"/>
                <w:sz w:val="21"/>
                <w:szCs w:val="21"/>
                <w14:textFill>
                  <w14:solidFill>
                    <w14:schemeClr w14:val="tx1">
                      <w14:lumMod w14:val="95000"/>
                      <w14:lumOff w14:val="5000"/>
                    </w14:schemeClr>
                  </w14:solidFill>
                </w14:textFill>
              </w:rPr>
              <w:t>内容</w:t>
            </w:r>
            <w:bookmarkEnd w:id="27"/>
            <w:bookmarkEnd w:id="28"/>
          </w:p>
          <w:p w14:paraId="3F51AE1B">
            <w:pPr>
              <w:keepNext w:val="0"/>
              <w:keepLines w:val="0"/>
              <w:widowControl/>
              <w:suppressLineNumbers w:val="0"/>
              <w:spacing w:before="0" w:beforeAutospacing="0" w:after="0" w:afterAutospacing="0" w:line="240" w:lineRule="auto"/>
              <w:ind w:left="0" w:right="0" w:firstLine="0" w:firstLineChars="0"/>
              <w:outlineLvl w:val="0"/>
              <w:rPr>
                <w:rFonts w:hint="default" w:ascii="宋体" w:hAnsi="宋体" w:cs="宋体"/>
                <w:b/>
                <w:bCs/>
                <w:color w:val="0D0D0D" w:themeColor="text1" w:themeTint="F2"/>
                <w:kern w:val="0"/>
                <w:sz w:val="21"/>
                <w:szCs w:val="21"/>
                <w14:textFill>
                  <w14:solidFill>
                    <w14:schemeClr w14:val="tx1">
                      <w14:lumMod w14:val="95000"/>
                      <w14:lumOff w14:val="5000"/>
                    </w14:schemeClr>
                  </w14:solidFill>
                </w14:textFill>
              </w:rPr>
            </w:pPr>
            <w:bookmarkStart w:id="29" w:name="_Toc15347"/>
            <w:bookmarkStart w:id="30" w:name="_Toc13115"/>
            <w:r>
              <w:rPr>
                <w:rFonts w:hint="eastAsia" w:ascii="宋体" w:hAnsi="宋体" w:cs="宋体"/>
                <w:b/>
                <w:bCs/>
                <w:color w:val="0D0D0D" w:themeColor="text1" w:themeTint="F2"/>
                <w:kern w:val="0"/>
                <w:sz w:val="21"/>
                <w:szCs w:val="21"/>
                <w14:textFill>
                  <w14:solidFill>
                    <w14:schemeClr w14:val="tx1">
                      <w14:lumMod w14:val="95000"/>
                      <w14:lumOff w14:val="5000"/>
                    </w14:schemeClr>
                  </w14:solidFill>
                </w14:textFill>
              </w:rPr>
              <w:t>要素</w:t>
            </w:r>
            <w:bookmarkEnd w:id="29"/>
            <w:bookmarkEnd w:id="30"/>
          </w:p>
        </w:tc>
        <w:tc>
          <w:tcPr>
            <w:tcW w:w="1736" w:type="dxa"/>
            <w:vAlign w:val="center"/>
          </w:tcPr>
          <w:p w14:paraId="3B911D8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sz w:val="21"/>
                <w:szCs w:val="21"/>
                <w14:textFill>
                  <w14:solidFill>
                    <w14:schemeClr w14:val="tx1">
                      <w14:lumMod w14:val="95000"/>
                      <w14:lumOff w14:val="5000"/>
                    </w14:schemeClr>
                  </w14:solidFill>
                </w14:textFill>
              </w:rPr>
              <w:t>排放口(编号、名称)/污染源</w:t>
            </w:r>
          </w:p>
        </w:tc>
        <w:tc>
          <w:tcPr>
            <w:tcW w:w="1470" w:type="dxa"/>
            <w:vAlign w:val="center"/>
          </w:tcPr>
          <w:p w14:paraId="49265DB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sz w:val="21"/>
                <w:szCs w:val="21"/>
                <w14:textFill>
                  <w14:solidFill>
                    <w14:schemeClr w14:val="tx1">
                      <w14:lumMod w14:val="95000"/>
                      <w14:lumOff w14:val="5000"/>
                    </w14:schemeClr>
                  </w14:solidFill>
                </w14:textFill>
              </w:rPr>
              <w:t>污染物项目</w:t>
            </w:r>
          </w:p>
        </w:tc>
        <w:tc>
          <w:tcPr>
            <w:tcW w:w="2044" w:type="dxa"/>
            <w:vAlign w:val="center"/>
          </w:tcPr>
          <w:p w14:paraId="5FE7277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sz w:val="21"/>
                <w:szCs w:val="21"/>
                <w14:textFill>
                  <w14:solidFill>
                    <w14:schemeClr w14:val="tx1">
                      <w14:lumMod w14:val="95000"/>
                      <w14:lumOff w14:val="5000"/>
                    </w14:schemeClr>
                  </w14:solidFill>
                </w14:textFill>
              </w:rPr>
              <w:t>环境保护措施</w:t>
            </w:r>
          </w:p>
        </w:tc>
        <w:tc>
          <w:tcPr>
            <w:tcW w:w="1925" w:type="dxa"/>
            <w:vAlign w:val="center"/>
          </w:tcPr>
          <w:p w14:paraId="41E24AE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color w:val="0D0D0D" w:themeColor="text1" w:themeTint="F2"/>
                <w:sz w:val="21"/>
                <w:szCs w:val="21"/>
                <w14:textFill>
                  <w14:solidFill>
                    <w14:schemeClr w14:val="tx1">
                      <w14:lumMod w14:val="95000"/>
                      <w14:lumOff w14:val="5000"/>
                    </w14:schemeClr>
                  </w14:solidFill>
                </w14:textFill>
              </w:rPr>
            </w:pPr>
            <w:r>
              <w:rPr>
                <w:rFonts w:hint="eastAsia" w:ascii="宋体" w:hAnsi="宋体" w:cs="宋体"/>
                <w:b/>
                <w:bCs/>
                <w:color w:val="0D0D0D" w:themeColor="text1" w:themeTint="F2"/>
                <w:sz w:val="21"/>
                <w:szCs w:val="21"/>
                <w14:textFill>
                  <w14:solidFill>
                    <w14:schemeClr w14:val="tx1">
                      <w14:lumMod w14:val="95000"/>
                      <w14:lumOff w14:val="5000"/>
                    </w14:schemeClr>
                  </w14:solidFill>
                </w14:textFill>
              </w:rPr>
              <w:t>执行标准</w:t>
            </w:r>
          </w:p>
        </w:tc>
      </w:tr>
      <w:tr w14:paraId="3DD8D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625" w:type="dxa"/>
            <w:vMerge w:val="restart"/>
            <w:vAlign w:val="center"/>
          </w:tcPr>
          <w:p w14:paraId="15D0FE5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大气环境</w:t>
            </w:r>
          </w:p>
        </w:tc>
        <w:tc>
          <w:tcPr>
            <w:tcW w:w="1736" w:type="dxa"/>
            <w:vAlign w:val="center"/>
          </w:tcPr>
          <w:p w14:paraId="0DBA5F5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DA001有机废气排放口</w:t>
            </w:r>
          </w:p>
        </w:tc>
        <w:tc>
          <w:tcPr>
            <w:tcW w:w="1470" w:type="dxa"/>
            <w:vMerge w:val="restart"/>
            <w:vAlign w:val="center"/>
          </w:tcPr>
          <w:p w14:paraId="41E78F1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非甲烷总烃</w:t>
            </w:r>
          </w:p>
        </w:tc>
        <w:tc>
          <w:tcPr>
            <w:tcW w:w="2044" w:type="dxa"/>
            <w:vMerge w:val="restart"/>
            <w:vAlign w:val="center"/>
          </w:tcPr>
          <w:p w14:paraId="6B69A8C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lang w:val="en-US" w:eastAsia="zh-CN"/>
                <w14:textFill>
                  <w14:solidFill>
                    <w14:schemeClr w14:val="tx1">
                      <w14:lumMod w14:val="95000"/>
                      <w14:lumOff w14:val="5000"/>
                    </w14:schemeClr>
                  </w14:solidFill>
                </w14:textFill>
              </w:rPr>
              <w:t>各设置1套</w:t>
            </w:r>
            <w:r>
              <w:rPr>
                <w:rFonts w:hint="eastAsia" w:ascii="宋体" w:hAnsi="宋体" w:cs="宋体"/>
                <w:color w:val="0D0D0D" w:themeColor="text1" w:themeTint="F2"/>
                <w:sz w:val="21"/>
                <w:szCs w:val="21"/>
                <w14:textFill>
                  <w14:solidFill>
                    <w14:schemeClr w14:val="tx1">
                      <w14:lumMod w14:val="95000"/>
                      <w14:lumOff w14:val="5000"/>
                    </w14:schemeClr>
                  </w14:solidFill>
                </w14:textFill>
              </w:rPr>
              <w:t>集气罩+</w:t>
            </w:r>
            <w:r>
              <w:rPr>
                <w:rFonts w:hint="eastAsia" w:ascii="宋体" w:hAnsi="宋体" w:cs="宋体"/>
                <w:color w:val="0D0D0D" w:themeColor="text1" w:themeTint="F2"/>
                <w:sz w:val="21"/>
                <w:szCs w:val="21"/>
                <w:lang w:eastAsia="zh-CN"/>
                <w14:textFill>
                  <w14:solidFill>
                    <w14:schemeClr w14:val="tx1">
                      <w14:lumMod w14:val="95000"/>
                      <w14:lumOff w14:val="5000"/>
                    </w14:schemeClr>
                  </w14:solidFill>
                </w14:textFill>
              </w:rPr>
              <w:t>二级活性炭</w:t>
            </w:r>
            <w:r>
              <w:rPr>
                <w:rFonts w:hint="eastAsia" w:ascii="宋体" w:hAnsi="宋体" w:cs="宋体"/>
                <w:color w:val="0D0D0D" w:themeColor="text1" w:themeTint="F2"/>
                <w:sz w:val="21"/>
                <w:szCs w:val="21"/>
                <w14:textFill>
                  <w14:solidFill>
                    <w14:schemeClr w14:val="tx1">
                      <w14:lumMod w14:val="95000"/>
                      <w14:lumOff w14:val="5000"/>
                    </w14:schemeClr>
                  </w14:solidFill>
                </w14:textFill>
              </w:rPr>
              <w:t>吸附+15m高排气筒</w:t>
            </w:r>
          </w:p>
        </w:tc>
        <w:tc>
          <w:tcPr>
            <w:tcW w:w="1925" w:type="dxa"/>
            <w:vMerge w:val="restart"/>
            <w:vAlign w:val="center"/>
          </w:tcPr>
          <w:p w14:paraId="4F7C5C9D">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kern w:val="0"/>
                <w:sz w:val="21"/>
                <w:szCs w:val="21"/>
                <w:lang w:bidi="ar"/>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《合成树脂工业</w:t>
            </w:r>
          </w:p>
          <w:p w14:paraId="70F9E526">
            <w:pPr>
              <w:keepNext w:val="0"/>
              <w:keepLines w:val="0"/>
              <w:widowControl/>
              <w:suppressLineNumbers w:val="0"/>
              <w:spacing w:before="0" w:beforeAutospacing="0" w:after="0" w:afterAutospacing="0" w:line="240" w:lineRule="auto"/>
              <w:ind w:left="0" w:right="0" w:firstLine="0" w:firstLineChars="0"/>
              <w:jc w:val="left"/>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污染物排放标准（</w:t>
            </w:r>
            <w:r>
              <w:rPr>
                <w:rFonts w:hint="default"/>
                <w:color w:val="0D0D0D" w:themeColor="text1" w:themeTint="F2"/>
                <w:kern w:val="0"/>
                <w:sz w:val="21"/>
                <w:szCs w:val="21"/>
                <w:lang w:bidi="ar"/>
                <w14:textFill>
                  <w14:solidFill>
                    <w14:schemeClr w14:val="tx1">
                      <w14:lumMod w14:val="95000"/>
                      <w14:lumOff w14:val="5000"/>
                    </w14:schemeClr>
                  </w14:solidFill>
                </w14:textFill>
              </w:rPr>
              <w:t>GB31572</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2015</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）表</w:t>
            </w:r>
            <w:r>
              <w:rPr>
                <w:rFonts w:hint="default"/>
                <w:color w:val="0D0D0D" w:themeColor="text1" w:themeTint="F2"/>
                <w:kern w:val="0"/>
                <w:sz w:val="21"/>
                <w:szCs w:val="21"/>
                <w:lang w:bidi="ar"/>
                <w14:textFill>
                  <w14:solidFill>
                    <w14:schemeClr w14:val="tx1">
                      <w14:lumMod w14:val="95000"/>
                      <w14:lumOff w14:val="5000"/>
                    </w14:schemeClr>
                  </w14:solidFill>
                </w14:textFill>
              </w:rPr>
              <w:t>4</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限值</w:t>
            </w:r>
          </w:p>
        </w:tc>
      </w:tr>
      <w:tr w14:paraId="154A7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625" w:type="dxa"/>
            <w:vMerge w:val="continue"/>
            <w:vAlign w:val="center"/>
          </w:tcPr>
          <w:p w14:paraId="4275CD7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olor w:val="0D0D0D" w:themeColor="text1" w:themeTint="F2"/>
                <w14:textFill>
                  <w14:solidFill>
                    <w14:schemeClr w14:val="tx1">
                      <w14:lumMod w14:val="95000"/>
                      <w14:lumOff w14:val="5000"/>
                    </w14:schemeClr>
                  </w14:solidFill>
                </w14:textFill>
              </w:rPr>
            </w:pPr>
          </w:p>
        </w:tc>
        <w:tc>
          <w:tcPr>
            <w:tcW w:w="1736" w:type="dxa"/>
            <w:vAlign w:val="center"/>
          </w:tcPr>
          <w:p w14:paraId="3C587D6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DA002有机废气排放口</w:t>
            </w:r>
          </w:p>
        </w:tc>
        <w:tc>
          <w:tcPr>
            <w:tcW w:w="1470" w:type="dxa"/>
            <w:vMerge w:val="continue"/>
            <w:vAlign w:val="center"/>
          </w:tcPr>
          <w:p w14:paraId="29D018E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p>
        </w:tc>
        <w:tc>
          <w:tcPr>
            <w:tcW w:w="2044" w:type="dxa"/>
            <w:vMerge w:val="continue"/>
            <w:vAlign w:val="center"/>
          </w:tcPr>
          <w:p w14:paraId="2F586E7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p>
        </w:tc>
        <w:tc>
          <w:tcPr>
            <w:tcW w:w="1925" w:type="dxa"/>
            <w:vMerge w:val="continue"/>
            <w:vAlign w:val="center"/>
          </w:tcPr>
          <w:p w14:paraId="6E92EAE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p>
        </w:tc>
      </w:tr>
      <w:tr w14:paraId="5C0CC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vMerge w:val="continue"/>
            <w:vAlign w:val="center"/>
          </w:tcPr>
          <w:p w14:paraId="659DF44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p>
        </w:tc>
        <w:tc>
          <w:tcPr>
            <w:tcW w:w="1736" w:type="dxa"/>
            <w:vAlign w:val="center"/>
          </w:tcPr>
          <w:p w14:paraId="77B041AB">
            <w:pPr>
              <w:keepNext w:val="0"/>
              <w:keepLines w:val="0"/>
              <w:suppressLineNumbers w:val="0"/>
              <w:adjustRightInd w:val="0"/>
              <w:snapToGrid w:val="0"/>
              <w:spacing w:before="0" w:beforeAutospacing="0" w:after="0" w:afterAutospacing="0" w:line="240" w:lineRule="auto"/>
              <w:ind w:left="0" w:right="0" w:firstLine="0" w:firstLineChars="0"/>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无组织排放废气</w:t>
            </w:r>
          </w:p>
        </w:tc>
        <w:tc>
          <w:tcPr>
            <w:tcW w:w="1470" w:type="dxa"/>
            <w:vAlign w:val="center"/>
          </w:tcPr>
          <w:p w14:paraId="3FD4381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非甲烷总烃</w:t>
            </w:r>
          </w:p>
        </w:tc>
        <w:tc>
          <w:tcPr>
            <w:tcW w:w="2044" w:type="dxa"/>
            <w:vAlign w:val="center"/>
          </w:tcPr>
          <w:p w14:paraId="4B7833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封闭式生产车间</w:t>
            </w:r>
          </w:p>
        </w:tc>
        <w:tc>
          <w:tcPr>
            <w:tcW w:w="1925" w:type="dxa"/>
            <w:vMerge w:val="continue"/>
            <w:vAlign w:val="center"/>
          </w:tcPr>
          <w:p w14:paraId="5D6DE59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p>
        </w:tc>
      </w:tr>
      <w:tr w14:paraId="31A368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vAlign w:val="center"/>
          </w:tcPr>
          <w:p w14:paraId="707830D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地表水环境</w:t>
            </w:r>
          </w:p>
        </w:tc>
        <w:tc>
          <w:tcPr>
            <w:tcW w:w="1736" w:type="dxa"/>
            <w:vAlign w:val="center"/>
          </w:tcPr>
          <w:p w14:paraId="4DF63AC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生活污水</w:t>
            </w:r>
          </w:p>
        </w:tc>
        <w:tc>
          <w:tcPr>
            <w:tcW w:w="1470" w:type="dxa"/>
            <w:vAlign w:val="center"/>
          </w:tcPr>
          <w:p w14:paraId="7A392D8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CODcr、BOD</w:t>
            </w:r>
            <w:r>
              <w:rPr>
                <w:rFonts w:hint="eastAsia" w:ascii="宋体" w:hAnsi="宋体" w:cs="宋体"/>
                <w:color w:val="0D0D0D" w:themeColor="text1" w:themeTint="F2"/>
                <w:sz w:val="21"/>
                <w:szCs w:val="21"/>
                <w:vertAlign w:val="subscript"/>
                <w14:textFill>
                  <w14:solidFill>
                    <w14:schemeClr w14:val="tx1">
                      <w14:lumMod w14:val="95000"/>
                      <w14:lumOff w14:val="5000"/>
                    </w14:schemeClr>
                  </w14:solidFill>
                </w14:textFill>
              </w:rPr>
              <w:t>5</w:t>
            </w:r>
            <w:r>
              <w:rPr>
                <w:rFonts w:hint="eastAsia" w:ascii="宋体" w:hAnsi="宋体" w:cs="宋体"/>
                <w:color w:val="0D0D0D" w:themeColor="text1" w:themeTint="F2"/>
                <w:sz w:val="21"/>
                <w:szCs w:val="21"/>
                <w14:textFill>
                  <w14:solidFill>
                    <w14:schemeClr w14:val="tx1">
                      <w14:lumMod w14:val="95000"/>
                      <w14:lumOff w14:val="5000"/>
                    </w14:schemeClr>
                  </w14:solidFill>
                </w14:textFill>
              </w:rPr>
              <w:t>、SS、NH</w:t>
            </w:r>
            <w:r>
              <w:rPr>
                <w:rFonts w:hint="eastAsia" w:ascii="宋体" w:hAnsi="宋体" w:cs="宋体"/>
                <w:color w:val="0D0D0D" w:themeColor="text1" w:themeTint="F2"/>
                <w:sz w:val="21"/>
                <w:szCs w:val="21"/>
                <w:vertAlign w:val="subscript"/>
                <w14:textFill>
                  <w14:solidFill>
                    <w14:schemeClr w14:val="tx1">
                      <w14:lumMod w14:val="95000"/>
                      <w14:lumOff w14:val="5000"/>
                    </w14:schemeClr>
                  </w14:solidFill>
                </w14:textFill>
              </w:rPr>
              <w:t>3</w:t>
            </w:r>
            <w:r>
              <w:rPr>
                <w:rFonts w:hint="eastAsia" w:ascii="宋体" w:hAnsi="宋体" w:cs="宋体"/>
                <w:color w:val="0D0D0D" w:themeColor="text1" w:themeTint="F2"/>
                <w:sz w:val="21"/>
                <w:szCs w:val="21"/>
                <w14:textFill>
                  <w14:solidFill>
                    <w14:schemeClr w14:val="tx1">
                      <w14:lumMod w14:val="95000"/>
                      <w14:lumOff w14:val="5000"/>
                    </w14:schemeClr>
                  </w14:solidFill>
                </w14:textFill>
              </w:rPr>
              <w:t>-N、动</w:t>
            </w:r>
          </w:p>
          <w:p w14:paraId="7E94299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植物油</w:t>
            </w:r>
          </w:p>
        </w:tc>
        <w:tc>
          <w:tcPr>
            <w:tcW w:w="2044" w:type="dxa"/>
            <w:vAlign w:val="center"/>
          </w:tcPr>
          <w:p w14:paraId="150D9E9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经化粪池收集处理后排入市政污水管网进入零陵区鹿坪污水处理厂处理</w:t>
            </w:r>
          </w:p>
        </w:tc>
        <w:tc>
          <w:tcPr>
            <w:tcW w:w="1925" w:type="dxa"/>
            <w:vAlign w:val="center"/>
          </w:tcPr>
          <w:p w14:paraId="4689DB0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《污水综合排放标准》（GB8978-1996）中三级标准</w:t>
            </w:r>
          </w:p>
        </w:tc>
      </w:tr>
      <w:tr w14:paraId="30359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vAlign w:val="center"/>
          </w:tcPr>
          <w:p w14:paraId="64DFF2F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声环境</w:t>
            </w:r>
          </w:p>
        </w:tc>
        <w:tc>
          <w:tcPr>
            <w:tcW w:w="1736" w:type="dxa"/>
            <w:vAlign w:val="center"/>
          </w:tcPr>
          <w:p w14:paraId="7E77DFA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设备噪声</w:t>
            </w:r>
          </w:p>
        </w:tc>
        <w:tc>
          <w:tcPr>
            <w:tcW w:w="1470" w:type="dxa"/>
            <w:vAlign w:val="center"/>
          </w:tcPr>
          <w:p w14:paraId="57CC6DF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噪声</w:t>
            </w:r>
          </w:p>
        </w:tc>
        <w:tc>
          <w:tcPr>
            <w:tcW w:w="2044" w:type="dxa"/>
            <w:vAlign w:val="center"/>
          </w:tcPr>
          <w:p w14:paraId="58A3D4F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选用低噪声设备，隔声、消声、减震等措施</w:t>
            </w:r>
          </w:p>
        </w:tc>
        <w:tc>
          <w:tcPr>
            <w:tcW w:w="1925" w:type="dxa"/>
            <w:vAlign w:val="center"/>
          </w:tcPr>
          <w:p w14:paraId="202E6DC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工业企业厂界环境噪声排放标准》（GB12348-2008中 3 类标准</w:t>
            </w:r>
          </w:p>
        </w:tc>
      </w:tr>
      <w:tr w14:paraId="68E36F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vAlign w:val="center"/>
          </w:tcPr>
          <w:p w14:paraId="13F15BF1">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电磁辐射</w:t>
            </w:r>
          </w:p>
        </w:tc>
        <w:tc>
          <w:tcPr>
            <w:tcW w:w="1736" w:type="dxa"/>
            <w:vAlign w:val="center"/>
          </w:tcPr>
          <w:p w14:paraId="2D60DED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w:t>
            </w:r>
          </w:p>
        </w:tc>
        <w:tc>
          <w:tcPr>
            <w:tcW w:w="1470" w:type="dxa"/>
            <w:vAlign w:val="center"/>
          </w:tcPr>
          <w:p w14:paraId="7851404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p>
        </w:tc>
        <w:tc>
          <w:tcPr>
            <w:tcW w:w="2044" w:type="dxa"/>
            <w:vAlign w:val="center"/>
          </w:tcPr>
          <w:p w14:paraId="601BFF1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w:t>
            </w:r>
          </w:p>
        </w:tc>
        <w:tc>
          <w:tcPr>
            <w:tcW w:w="1925" w:type="dxa"/>
            <w:vAlign w:val="center"/>
          </w:tcPr>
          <w:p w14:paraId="2D17109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w:t>
            </w:r>
          </w:p>
        </w:tc>
      </w:tr>
      <w:tr w14:paraId="702AB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25" w:type="dxa"/>
            <w:vAlign w:val="center"/>
          </w:tcPr>
          <w:p w14:paraId="7834BAD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固体废物</w:t>
            </w:r>
          </w:p>
        </w:tc>
        <w:tc>
          <w:tcPr>
            <w:tcW w:w="7175" w:type="dxa"/>
            <w:gridSpan w:val="4"/>
            <w:vAlign w:val="center"/>
          </w:tcPr>
          <w:p w14:paraId="19F1E6AA">
            <w:pPr>
              <w:keepNext w:val="0"/>
              <w:keepLines w:val="0"/>
              <w:suppressLineNumbers w:val="0"/>
              <w:adjustRightInd w:val="0"/>
              <w:snapToGrid w:val="0"/>
              <w:spacing w:before="0" w:beforeAutospacing="0" w:after="0" w:afterAutospacing="0" w:line="240" w:lineRule="auto"/>
              <w:ind w:left="0" w:right="0" w:firstLine="420"/>
              <w:jc w:val="left"/>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对于一般防渗区设置硬化地面，重点防渗区设置硬化地面+环氧地坪等措施；定期对管道、设备等进行检修，防止跑、冒、滴、漏现象发生；危废储存场所地面用水泥硬化防渗，并涂环氧地坪；危废储存容器材质满足相应强度、防渗、防腐要求，并配备托盘。</w:t>
            </w:r>
          </w:p>
        </w:tc>
      </w:tr>
      <w:tr w14:paraId="51A64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625" w:type="dxa"/>
            <w:vAlign w:val="center"/>
          </w:tcPr>
          <w:p w14:paraId="330A36B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土壤及地下水污染防治措施</w:t>
            </w:r>
          </w:p>
        </w:tc>
        <w:tc>
          <w:tcPr>
            <w:tcW w:w="7175" w:type="dxa"/>
            <w:gridSpan w:val="4"/>
            <w:vAlign w:val="center"/>
          </w:tcPr>
          <w:p w14:paraId="29E1AC93">
            <w:pPr>
              <w:keepNext w:val="0"/>
              <w:keepLines w:val="0"/>
              <w:widowControl/>
              <w:suppressLineNumbers w:val="0"/>
              <w:spacing w:before="0" w:beforeAutospacing="0" w:after="0" w:afterAutospacing="0"/>
              <w:ind w:left="0" w:right="0" w:firstLine="420"/>
              <w:jc w:val="left"/>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合理进行防渗区域划分，生产废水处理设施、危化品仓库、危险暂存间等四周设置导流沟，地面采取防渗；按重点污染区防渗要求进行建设，一般工业固废间、项目生产车间等按一般污染区防渗要求进行建设，且具有防雨、防渗、防风、防日晒等功能</w:t>
            </w:r>
          </w:p>
        </w:tc>
      </w:tr>
      <w:tr w14:paraId="546AC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625" w:type="dxa"/>
            <w:vAlign w:val="center"/>
          </w:tcPr>
          <w:p w14:paraId="744B9C9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生态保护措施</w:t>
            </w:r>
          </w:p>
        </w:tc>
        <w:tc>
          <w:tcPr>
            <w:tcW w:w="7175" w:type="dxa"/>
            <w:gridSpan w:val="4"/>
            <w:vAlign w:val="center"/>
          </w:tcPr>
          <w:p w14:paraId="13C3AA5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无</w:t>
            </w:r>
          </w:p>
        </w:tc>
      </w:tr>
      <w:tr w14:paraId="245EA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25" w:type="dxa"/>
            <w:vAlign w:val="center"/>
          </w:tcPr>
          <w:p w14:paraId="1FB21A8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pacing w:val="-8"/>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pacing w:val="-8"/>
                <w:sz w:val="21"/>
                <w:szCs w:val="21"/>
                <w14:textFill>
                  <w14:solidFill>
                    <w14:schemeClr w14:val="tx1">
                      <w14:lumMod w14:val="95000"/>
                      <w14:lumOff w14:val="5000"/>
                    </w14:schemeClr>
                  </w14:solidFill>
                </w14:textFill>
              </w:rPr>
              <w:t>环境风险防范措施</w:t>
            </w:r>
          </w:p>
        </w:tc>
        <w:tc>
          <w:tcPr>
            <w:tcW w:w="7175" w:type="dxa"/>
            <w:gridSpan w:val="4"/>
            <w:vAlign w:val="center"/>
          </w:tcPr>
          <w:p w14:paraId="0EB08157">
            <w:pPr>
              <w:keepNext w:val="0"/>
              <w:keepLines w:val="0"/>
              <w:suppressLineNumbers w:val="0"/>
              <w:adjustRightInd w:val="0"/>
              <w:snapToGrid w:val="0"/>
              <w:spacing w:before="0" w:beforeAutospacing="0" w:after="0" w:afterAutospacing="0"/>
              <w:ind w:left="0" w:right="0" w:firstLine="420"/>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z w:val="21"/>
                <w:szCs w:val="21"/>
                <w14:textFill>
                  <w14:solidFill>
                    <w14:schemeClr w14:val="tx1">
                      <w14:lumMod w14:val="95000"/>
                      <w14:lumOff w14:val="5000"/>
                    </w14:schemeClr>
                  </w14:solidFill>
                </w14:textFill>
              </w:rPr>
              <w:t>本项目风险物质不构成重大危险源，因此，在采取防止风险事故的措施、配备设置1间危废暂存间（按要求建设，无雨淋、无渗漏，20㎡），设置于原料仓的东北角。</w:t>
            </w:r>
          </w:p>
        </w:tc>
      </w:tr>
      <w:tr w14:paraId="212FE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625" w:type="dxa"/>
            <w:vAlign w:val="center"/>
          </w:tcPr>
          <w:p w14:paraId="5E46B26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color w:val="0D0D0D" w:themeColor="text1" w:themeTint="F2"/>
                <w:spacing w:val="-8"/>
                <w:sz w:val="21"/>
                <w:szCs w:val="21"/>
                <w14:textFill>
                  <w14:solidFill>
                    <w14:schemeClr w14:val="tx1">
                      <w14:lumMod w14:val="95000"/>
                      <w14:lumOff w14:val="5000"/>
                    </w14:schemeClr>
                  </w14:solidFill>
                </w14:textFill>
              </w:rPr>
            </w:pPr>
            <w:r>
              <w:rPr>
                <w:rFonts w:hint="eastAsia" w:ascii="宋体" w:hAnsi="宋体" w:cs="宋体"/>
                <w:color w:val="0D0D0D" w:themeColor="text1" w:themeTint="F2"/>
                <w:spacing w:val="-8"/>
                <w:sz w:val="21"/>
                <w:szCs w:val="21"/>
                <w14:textFill>
                  <w14:solidFill>
                    <w14:schemeClr w14:val="tx1">
                      <w14:lumMod w14:val="95000"/>
                      <w14:lumOff w14:val="5000"/>
                    </w14:schemeClr>
                  </w14:solidFill>
                </w14:textFill>
              </w:rPr>
              <w:t>其他环境管理要求</w:t>
            </w:r>
          </w:p>
        </w:tc>
        <w:tc>
          <w:tcPr>
            <w:tcW w:w="7175" w:type="dxa"/>
            <w:gridSpan w:val="4"/>
            <w:vAlign w:val="center"/>
          </w:tcPr>
          <w:p w14:paraId="59373F02">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1</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、环境管理</w:t>
            </w:r>
          </w:p>
          <w:p w14:paraId="377919E7">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项目必须贯彻执行国家有关方针、政策、法律和法规，必须配备专管环保的工作人员，特别注意对污水、废气和工业固废的监督管理，保证达标排放和符合环保要求。统一安排，积极贯彻</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预防为主、防治结合</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的方针，形成环境管理经常化、制度化；对运行中产生的问题需及时制定相应对策，加强与环境保护部门的联系与配合，结合环境监测的结果，及时掌握环境质量的变化状况，采取有效措施把污染控制在国家标准允许的范围内。一旦发生环境污染事故、人身健康危害，要速与当地环保、环卫、市政、公安、医疗等部门密切结合，及时消除影响，防治环境污染，保证人员的安全。环境污染要及时做出应急处理。以下几项具体工作应特别注意抓好。</w:t>
            </w:r>
          </w:p>
          <w:p w14:paraId="3BE37528">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1</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）加强对员工环境意识的宣传教育，特别是领导层的环保意识要加强，应将市场建设与环境保护结合在一起来综合考虑。</w:t>
            </w:r>
          </w:p>
          <w:p w14:paraId="201248E3">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2</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）加强管理，实行垃圾分类回收，做好绿化工作。</w:t>
            </w:r>
          </w:p>
          <w:p w14:paraId="7882FFA2">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3</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）环保负责人员应定期对大气污染防治措施和环保设施进行检查、维护、保养、保证高效、正常运行。</w:t>
            </w:r>
          </w:p>
          <w:p w14:paraId="5495DB84">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4</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）制订营运期环境监测计划，并负责组织实施。</w:t>
            </w:r>
          </w:p>
          <w:p w14:paraId="141345ED">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5</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）环保专职人员应定期对生产设备进行检查、维护、保养、保证设施的正常运行。</w:t>
            </w:r>
          </w:p>
          <w:p w14:paraId="426E48F3">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6</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）厂区生产设施与污染处理设施的运行要设置专门的管理人员并建立规范的台账记录，要求有纸质和电子台账，并保留三年。</w:t>
            </w:r>
          </w:p>
          <w:p w14:paraId="1BF1606E">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7</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）厂区内生产设施、环保设备、危废暂存间及一般固废暂存间等区域应黏贴环保标识，做到标识标牌和环保标志等上墙。</w:t>
            </w:r>
          </w:p>
          <w:p w14:paraId="160D20BF">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w:t>
            </w:r>
            <w:r>
              <w:rPr>
                <w:rFonts w:hint="default"/>
                <w:color w:val="0D0D0D" w:themeColor="text1" w:themeTint="F2"/>
                <w:kern w:val="0"/>
                <w:sz w:val="21"/>
                <w:szCs w:val="21"/>
                <w:lang w:bidi="ar"/>
                <w14:textFill>
                  <w14:solidFill>
                    <w14:schemeClr w14:val="tx1">
                      <w14:lumMod w14:val="95000"/>
                      <w14:lumOff w14:val="5000"/>
                    </w14:schemeClr>
                  </w14:solidFill>
                </w14:textFill>
              </w:rPr>
              <w:t>8</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建设单位应建立健全环境保护管理规章制度，加强环境管理，对污染防治设施必须进行日常检查与维护保养，确保其长期在正常安全状态下运行，杜绝发生污染事故，并严格接受环境保护主管部门的日常监督管理。</w:t>
            </w:r>
          </w:p>
          <w:p w14:paraId="10AE0F7D">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2</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、排污许可</w:t>
            </w:r>
          </w:p>
          <w:p w14:paraId="0094E88F">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根据固定污染源排污许可名录（</w:t>
            </w:r>
            <w:r>
              <w:rPr>
                <w:rFonts w:hint="default"/>
                <w:color w:val="0D0D0D" w:themeColor="text1" w:themeTint="F2"/>
                <w:kern w:val="0"/>
                <w:sz w:val="21"/>
                <w:szCs w:val="21"/>
                <w:lang w:bidi="ar"/>
                <w14:textFill>
                  <w14:solidFill>
                    <w14:schemeClr w14:val="tx1">
                      <w14:lumMod w14:val="95000"/>
                      <w14:lumOff w14:val="5000"/>
                    </w14:schemeClr>
                  </w14:solidFill>
                </w14:textFill>
              </w:rPr>
              <w:t>2019</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年版），本项目实行排污许可简化管理，根据《关于做好环境影响评价制度与排污许可制衔接相关工作的通知》</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环办环评</w:t>
            </w:r>
            <w:r>
              <w:rPr>
                <w:rFonts w:hint="default"/>
                <w:color w:val="0D0D0D" w:themeColor="text1" w:themeTint="F2"/>
                <w:kern w:val="0"/>
                <w:sz w:val="21"/>
                <w:szCs w:val="21"/>
                <w:lang w:bidi="ar"/>
                <w14:textFill>
                  <w14:solidFill>
                    <w14:schemeClr w14:val="tx1">
                      <w14:lumMod w14:val="95000"/>
                      <w14:lumOff w14:val="5000"/>
                    </w14:schemeClr>
                  </w14:solidFill>
                </w14:textFill>
              </w:rPr>
              <w:t>(2017)84</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号</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提出：建设项目发生实际排污行为之前，排污单位应当按照国家环境保护相关法律法规以及相关排污许可证申请与核发技术规范要求申请排污许可证，不得无证排污或不按证排污。</w:t>
            </w:r>
          </w:p>
          <w:p w14:paraId="6BAA67A0">
            <w:pPr>
              <w:keepNext w:val="0"/>
              <w:keepLines w:val="0"/>
              <w:widowControl/>
              <w:suppressLineNumbers w:val="0"/>
              <w:spacing w:before="0" w:beforeAutospacing="0" w:after="0" w:afterAutospacing="0"/>
              <w:ind w:left="0" w:right="0" w:firstLine="420"/>
              <w:jc w:val="left"/>
              <w:rPr>
                <w:rFonts w:hint="default"/>
                <w:color w:val="0D0D0D" w:themeColor="text1" w:themeTint="F2"/>
                <w:sz w:val="21"/>
                <w:szCs w:val="21"/>
                <w14:textFill>
                  <w14:solidFill>
                    <w14:schemeClr w14:val="tx1">
                      <w14:lumMod w14:val="95000"/>
                      <w14:lumOff w14:val="5000"/>
                    </w14:schemeClr>
                  </w14:solidFill>
                </w14:textFill>
              </w:rPr>
            </w:pPr>
            <w:r>
              <w:rPr>
                <w:rFonts w:hint="default"/>
                <w:color w:val="0D0D0D" w:themeColor="text1" w:themeTint="F2"/>
                <w:kern w:val="0"/>
                <w:sz w:val="21"/>
                <w:szCs w:val="21"/>
                <w:lang w:bidi="ar"/>
                <w14:textFill>
                  <w14:solidFill>
                    <w14:schemeClr w14:val="tx1">
                      <w14:lumMod w14:val="95000"/>
                      <w14:lumOff w14:val="5000"/>
                    </w14:schemeClr>
                  </w14:solidFill>
                </w14:textFill>
              </w:rPr>
              <w:t>3</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、项目竣工环境保护验收</w:t>
            </w:r>
          </w:p>
          <w:p w14:paraId="03564F61">
            <w:pPr>
              <w:keepNext w:val="0"/>
              <w:keepLines w:val="0"/>
              <w:widowControl/>
              <w:suppressLineNumbers w:val="0"/>
              <w:spacing w:before="0" w:beforeAutospacing="0" w:after="0" w:afterAutospacing="0"/>
              <w:ind w:left="0" w:right="0" w:firstLine="420"/>
              <w:jc w:val="left"/>
              <w:rPr>
                <w:rFonts w:hint="default" w:ascii="宋体" w:hAnsi="宋体" w:cs="宋体"/>
                <w:color w:val="0D0D0D" w:themeColor="text1" w:themeTint="F2"/>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根据《建设项目竣工环境保护验收暂行办法》</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国环规环评</w:t>
            </w:r>
            <w:r>
              <w:rPr>
                <w:rFonts w:hint="default"/>
                <w:color w:val="0D0D0D" w:themeColor="text1" w:themeTint="F2"/>
                <w:kern w:val="0"/>
                <w:sz w:val="21"/>
                <w:szCs w:val="21"/>
                <w:lang w:bidi="ar"/>
                <w14:textFill>
                  <w14:solidFill>
                    <w14:schemeClr w14:val="tx1">
                      <w14:lumMod w14:val="95000"/>
                      <w14:lumOff w14:val="5000"/>
                    </w14:schemeClr>
                  </w14:solidFill>
                </w14:textFill>
              </w:rPr>
              <w:t>(2017]4</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号</w:t>
            </w:r>
            <w:r>
              <w:rPr>
                <w:rFonts w:hint="default"/>
                <w:color w:val="0D0D0D" w:themeColor="text1" w:themeTint="F2"/>
                <w:kern w:val="0"/>
                <w:sz w:val="21"/>
                <w:szCs w:val="21"/>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bidi="ar"/>
                <w14:textFill>
                  <w14:solidFill>
                    <w14:schemeClr w14:val="tx1">
                      <w14:lumMod w14:val="95000"/>
                      <w14:lumOff w14:val="5000"/>
                    </w14:schemeClr>
                  </w14:solidFill>
                </w14:textFill>
              </w:rPr>
              <w:t>文件本建设单位作为项目竣工环保验收的责任主体，按照规定的程序和标准，组织对配套建设的环境保护设施进行验收，编制验收报告，公开相关信息，接受社会监督，确保建设项目配套建设的环境保护设施与主体工程同时投产或者使用，对验收内容、结论和所公开信息的真实性、准确性和完整性负责。本项目配套建设的环保设施经验收合格，方投入生产或使用。</w:t>
            </w:r>
          </w:p>
        </w:tc>
      </w:tr>
    </w:tbl>
    <w:p w14:paraId="110CAC2F">
      <w:pPr>
        <w:ind w:firstLine="480"/>
        <w:rPr>
          <w:color w:val="0D0D0D" w:themeColor="text1" w:themeTint="F2"/>
          <w14:textFill>
            <w14:solidFill>
              <w14:schemeClr w14:val="tx1">
                <w14:lumMod w14:val="95000"/>
                <w14:lumOff w14:val="5000"/>
              </w14:schemeClr>
            </w14:solidFill>
          </w14:textFill>
        </w:rPr>
        <w:sectPr>
          <w:pgSz w:w="11906" w:h="16838"/>
          <w:pgMar w:top="1701" w:right="1531" w:bottom="1701" w:left="1531" w:header="851" w:footer="851" w:gutter="0"/>
          <w:cols w:space="720" w:num="1"/>
          <w:docGrid w:linePitch="312" w:charSpace="0"/>
        </w:sectPr>
      </w:pPr>
    </w:p>
    <w:p w14:paraId="6A46BDFD">
      <w:pPr>
        <w:ind w:firstLine="0" w:firstLineChars="0"/>
        <w:jc w:val="center"/>
        <w:outlineLvl w:val="0"/>
        <w:rPr>
          <w:rFonts w:ascii="黑体" w:hAnsi="黑体" w:eastAsia="黑体" w:cs="黑体"/>
          <w:b/>
          <w:bCs/>
          <w:color w:val="0D0D0D" w:themeColor="text1" w:themeTint="F2"/>
          <w:sz w:val="30"/>
          <w:szCs w:val="30"/>
          <w14:textFill>
            <w14:solidFill>
              <w14:schemeClr w14:val="tx1">
                <w14:lumMod w14:val="95000"/>
                <w14:lumOff w14:val="5000"/>
              </w14:schemeClr>
            </w14:solidFill>
          </w14:textFill>
        </w:rPr>
      </w:pPr>
      <w:bookmarkStart w:id="31" w:name="_Toc19831"/>
      <w:bookmarkStart w:id="32" w:name="_Toc27653"/>
      <w:r>
        <w:rPr>
          <w:rFonts w:hint="eastAsia" w:ascii="黑体" w:hAnsi="黑体" w:eastAsia="黑体" w:cs="黑体"/>
          <w:b/>
          <w:bCs/>
          <w:color w:val="0D0D0D" w:themeColor="text1" w:themeTint="F2"/>
          <w:sz w:val="30"/>
          <w:szCs w:val="30"/>
          <w14:textFill>
            <w14:solidFill>
              <w14:schemeClr w14:val="tx1">
                <w14:lumMod w14:val="95000"/>
                <w14:lumOff w14:val="5000"/>
              </w14:schemeClr>
            </w14:solidFill>
          </w14:textFill>
        </w:rPr>
        <w:t>六、结论</w:t>
      </w:r>
      <w:bookmarkEnd w:id="31"/>
      <w:bookmarkEnd w:id="32"/>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8D616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36F39463">
            <w:pPr>
              <w:keepNext w:val="0"/>
              <w:keepLines w:val="0"/>
              <w:widowControl/>
              <w:suppressLineNumbers w:val="0"/>
              <w:spacing w:before="0" w:beforeAutospacing="0" w:after="0" w:afterAutospacing="0"/>
              <w:ind w:left="0" w:right="0" w:firstLine="480"/>
              <w:rPr>
                <w:rFonts w:hint="default" w:ascii="宋体" w:hAnsi="宋体" w:cs="宋体"/>
                <w:color w:val="0D0D0D" w:themeColor="text1" w:themeTint="F2"/>
                <w:kern w:val="0"/>
                <w:lang w:bidi="ar"/>
                <w14:textFill>
                  <w14:solidFill>
                    <w14:schemeClr w14:val="tx1">
                      <w14:lumMod w14:val="95000"/>
                      <w14:lumOff w14:val="5000"/>
                    </w14:schemeClr>
                  </w14:solidFill>
                </w14:textFill>
              </w:rPr>
            </w:pPr>
          </w:p>
          <w:p w14:paraId="39906F02">
            <w:pPr>
              <w:keepNext w:val="0"/>
              <w:keepLines w:val="0"/>
              <w:widowControl/>
              <w:suppressLineNumbers w:val="0"/>
              <w:spacing w:before="0" w:beforeAutospacing="0" w:after="0" w:afterAutospacing="0"/>
              <w:ind w:left="0" w:right="0" w:firstLine="480"/>
              <w:rPr>
                <w:rFonts w:hint="default"/>
                <w:color w:val="0D0D0D" w:themeColor="text1" w:themeTint="F2"/>
                <w14:textFill>
                  <w14:solidFill>
                    <w14:schemeClr w14:val="tx1">
                      <w14:lumMod w14:val="95000"/>
                      <w14:lumOff w14:val="5000"/>
                    </w14:schemeClr>
                  </w14:solidFill>
                </w14:textFill>
              </w:rPr>
            </w:pPr>
            <w:r>
              <w:rPr>
                <w:rFonts w:hint="eastAsia" w:ascii="宋体" w:hAnsi="宋体" w:cs="宋体"/>
                <w:color w:val="0D0D0D" w:themeColor="text1" w:themeTint="F2"/>
                <w:kern w:val="0"/>
                <w:lang w:bidi="ar"/>
                <w14:textFill>
                  <w14:solidFill>
                    <w14:schemeClr w14:val="tx1">
                      <w14:lumMod w14:val="95000"/>
                      <w14:lumOff w14:val="5000"/>
                    </w14:schemeClr>
                  </w14:solidFill>
                </w14:textFill>
              </w:rPr>
              <w:t>永州市零陵晨光树脂有限责任公司年产2000吨热塑性聚氨酯弹性体（TPU)建设项目符合国家产业政策，符合工业园区规划，符合</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三线一单</w:t>
            </w:r>
            <w:r>
              <w:rPr>
                <w:rFonts w:hint="default"/>
                <w:color w:val="0D0D0D" w:themeColor="text1" w:themeTint="F2"/>
                <w:kern w:val="0"/>
                <w:lang w:bidi="ar"/>
                <w14:textFill>
                  <w14:solidFill>
                    <w14:schemeClr w14:val="tx1">
                      <w14:lumMod w14:val="95000"/>
                      <w14:lumOff w14:val="5000"/>
                    </w14:schemeClr>
                  </w14:solidFill>
                </w14:textFill>
              </w:rPr>
              <w:t>”</w:t>
            </w:r>
            <w:r>
              <w:rPr>
                <w:rFonts w:hint="eastAsia" w:ascii="宋体" w:hAnsi="宋体" w:cs="宋体"/>
                <w:color w:val="0D0D0D" w:themeColor="text1" w:themeTint="F2"/>
                <w:kern w:val="0"/>
                <w:lang w:bidi="ar"/>
                <w14:textFill>
                  <w14:solidFill>
                    <w14:schemeClr w14:val="tx1">
                      <w14:lumMod w14:val="95000"/>
                      <w14:lumOff w14:val="5000"/>
                    </w14:schemeClr>
                  </w14:solidFill>
                </w14:textFill>
              </w:rPr>
              <w:t>管理及相关环保规划要求，本项目在建设中投入一定比例的环保费用，采取必要的措施对废水、固废、噪声的污染进行了有效的控制，对减轻区域的环境污染、保护环境质量起到了重要的作用。评价认为，在确保各项污染治理措施“三同时”和外排污染物达标的前提下，从环境保护角度，建设项目环境影响可行。</w:t>
            </w:r>
          </w:p>
          <w:p w14:paraId="74FF7FC8">
            <w:pPr>
              <w:keepNext w:val="0"/>
              <w:keepLines w:val="0"/>
              <w:widowControl/>
              <w:suppressLineNumbers w:val="0"/>
              <w:spacing w:before="100" w:beforeAutospacing="1" w:after="100" w:afterAutospacing="1"/>
              <w:ind w:left="0" w:right="0" w:firstLine="0" w:firstLineChars="0"/>
              <w:rPr>
                <w:rFonts w:hint="default" w:ascii="宋体" w:hAnsi="宋体" w:eastAsia="黑体" w:cs="宋体"/>
                <w:color w:val="0D0D0D" w:themeColor="text1" w:themeTint="F2"/>
                <w:kern w:val="0"/>
                <w:szCs w:val="20"/>
                <w14:textFill>
                  <w14:solidFill>
                    <w14:schemeClr w14:val="tx1">
                      <w14:lumMod w14:val="95000"/>
                      <w14:lumOff w14:val="5000"/>
                    </w14:schemeClr>
                  </w14:solidFill>
                </w14:textFill>
              </w:rPr>
            </w:pPr>
          </w:p>
        </w:tc>
      </w:tr>
    </w:tbl>
    <w:p w14:paraId="7B424D6F">
      <w:pPr>
        <w:adjustRightInd w:val="0"/>
        <w:snapToGrid w:val="0"/>
        <w:ind w:firstLine="562"/>
        <w:rPr>
          <w:rFonts w:ascii="宋体" w:cs="宋体"/>
          <w:b/>
          <w:color w:val="0D0D0D" w:themeColor="text1" w:themeTint="F2"/>
          <w:kern w:val="0"/>
          <w:sz w:val="28"/>
          <w:szCs w:val="28"/>
          <w14:textFill>
            <w14:solidFill>
              <w14:schemeClr w14:val="tx1">
                <w14:lumMod w14:val="95000"/>
                <w14:lumOff w14:val="5000"/>
              </w14:schemeClr>
            </w14:solidFill>
          </w14:textFill>
        </w:rPr>
        <w:sectPr>
          <w:pgSz w:w="11906" w:h="16838"/>
          <w:pgMar w:top="1701" w:right="1531" w:bottom="1701" w:left="1531" w:header="851" w:footer="851" w:gutter="0"/>
          <w:cols w:space="720" w:num="1"/>
          <w:docGrid w:linePitch="312" w:charSpace="0"/>
        </w:sectPr>
      </w:pPr>
    </w:p>
    <w:p w14:paraId="4667C422">
      <w:pPr>
        <w:adjustRightInd w:val="0"/>
        <w:snapToGrid w:val="0"/>
        <w:spacing w:line="240" w:lineRule="auto"/>
        <w:ind w:firstLine="160" w:firstLineChars="50"/>
        <w:outlineLvl w:val="0"/>
        <w:rPr>
          <w:rFonts w:ascii="黑体" w:hAnsi="黑体" w:eastAsia="黑体"/>
          <w:snapToGrid w:val="0"/>
          <w:color w:val="0D0D0D" w:themeColor="text1" w:themeTint="F2"/>
          <w:sz w:val="32"/>
          <w:szCs w:val="32"/>
          <w14:textFill>
            <w14:solidFill>
              <w14:schemeClr w14:val="tx1">
                <w14:lumMod w14:val="95000"/>
                <w14:lumOff w14:val="5000"/>
              </w14:schemeClr>
            </w14:solidFill>
          </w14:textFill>
        </w:rPr>
      </w:pPr>
      <w:bookmarkStart w:id="33" w:name="_Toc10020"/>
      <w:bookmarkStart w:id="34" w:name="_Toc15728"/>
      <w:r>
        <w:rPr>
          <w:rFonts w:hint="eastAsia" w:ascii="黑体" w:hAnsi="黑体" w:eastAsia="黑体"/>
          <w:snapToGrid w:val="0"/>
          <w:color w:val="0D0D0D" w:themeColor="text1" w:themeTint="F2"/>
          <w:sz w:val="32"/>
          <w:szCs w:val="32"/>
          <w14:textFill>
            <w14:solidFill>
              <w14:schemeClr w14:val="tx1">
                <w14:lumMod w14:val="95000"/>
                <w14:lumOff w14:val="5000"/>
              </w14:schemeClr>
            </w14:solidFill>
          </w14:textFill>
        </w:rPr>
        <w:t>附表</w:t>
      </w:r>
      <w:bookmarkEnd w:id="33"/>
      <w:bookmarkEnd w:id="34"/>
    </w:p>
    <w:p w14:paraId="15DC2299">
      <w:pPr>
        <w:adjustRightInd w:val="0"/>
        <w:snapToGrid w:val="0"/>
        <w:spacing w:line="240" w:lineRule="auto"/>
        <w:ind w:firstLine="190" w:firstLineChars="50"/>
        <w:jc w:val="center"/>
        <w:outlineLvl w:val="0"/>
        <w:rPr>
          <w:rFonts w:ascii="宋体" w:cs="宋体"/>
          <w:b/>
          <w:color w:val="0D0D0D" w:themeColor="text1" w:themeTint="F2"/>
          <w:kern w:val="0"/>
          <w:sz w:val="28"/>
          <w:szCs w:val="28"/>
          <w14:textFill>
            <w14:solidFill>
              <w14:schemeClr w14:val="tx1">
                <w14:lumMod w14:val="95000"/>
                <w14:lumOff w14:val="5000"/>
              </w14:schemeClr>
            </w14:solidFill>
          </w14:textFill>
        </w:rPr>
      </w:pPr>
      <w:bookmarkStart w:id="35" w:name="_Toc20214"/>
      <w:bookmarkStart w:id="36" w:name="_Toc10927"/>
      <w:r>
        <w:rPr>
          <w:rFonts w:hint="eastAsia" w:ascii="方正小标宋_GBK" w:hAnsi="黑体" w:eastAsia="方正小标宋_GBK"/>
          <w:snapToGrid w:val="0"/>
          <w:color w:val="0D0D0D" w:themeColor="text1" w:themeTint="F2"/>
          <w:sz w:val="38"/>
          <w:szCs w:val="38"/>
          <w14:textFill>
            <w14:solidFill>
              <w14:schemeClr w14:val="tx1">
                <w14:lumMod w14:val="95000"/>
                <w14:lumOff w14:val="5000"/>
              </w14:schemeClr>
            </w14:solidFill>
          </w14:textFill>
        </w:rPr>
        <w:t>建设项目污染物排放量汇总表</w:t>
      </w:r>
      <w:bookmarkEnd w:id="35"/>
      <w:bookmarkEnd w:id="36"/>
    </w:p>
    <w:tbl>
      <w:tblPr>
        <w:tblStyle w:val="1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1646"/>
        <w:gridCol w:w="1717"/>
        <w:gridCol w:w="1289"/>
        <w:gridCol w:w="1717"/>
        <w:gridCol w:w="1574"/>
        <w:gridCol w:w="1777"/>
        <w:gridCol w:w="1979"/>
        <w:gridCol w:w="831"/>
      </w:tblGrid>
      <w:tr w14:paraId="558C1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39" w:hRule="atLeast"/>
        </w:trPr>
        <w:tc>
          <w:tcPr>
            <w:tcW w:w="1386" w:type="dxa"/>
            <w:tcBorders>
              <w:tl2br w:val="single" w:color="auto" w:sz="4" w:space="0"/>
            </w:tcBorders>
            <w:tcMar>
              <w:left w:w="28" w:type="dxa"/>
              <w:right w:w="28" w:type="dxa"/>
            </w:tcMar>
            <w:vAlign w:val="center"/>
          </w:tcPr>
          <w:p w14:paraId="3927FDAE">
            <w:pPr>
              <w:keepNext w:val="0"/>
              <w:keepLines w:val="0"/>
              <w:widowControl/>
              <w:suppressLineNumbers w:val="0"/>
              <w:adjustRightInd w:val="0"/>
              <w:snapToGrid w:val="0"/>
              <w:spacing w:before="0" w:beforeAutospacing="0" w:after="0" w:afterAutospacing="0" w:line="648" w:lineRule="auto"/>
              <w:ind w:left="0" w:right="0" w:firstLine="687" w:firstLineChars="300"/>
              <w:jc w:val="left"/>
              <w:outlineLvl w:val="0"/>
              <w:rPr>
                <w:rFonts w:hint="default" w:ascii="黑体" w:hAnsi="黑体" w:eastAsia="黑体" w:cs="宋体"/>
                <w:b/>
                <w:bCs/>
                <w:snapToGrid w:val="0"/>
                <w:color w:val="0D0D0D" w:themeColor="text1" w:themeTint="F2"/>
                <w:spacing w:val="-6"/>
                <w:kern w:val="21"/>
                <w:szCs w:val="21"/>
                <w14:textFill>
                  <w14:solidFill>
                    <w14:schemeClr w14:val="tx1">
                      <w14:lumMod w14:val="95000"/>
                      <w14:lumOff w14:val="5000"/>
                    </w14:schemeClr>
                  </w14:solidFill>
                </w14:textFill>
              </w:rPr>
            </w:pPr>
            <w:bookmarkStart w:id="37" w:name="_Toc32739"/>
            <w:bookmarkStart w:id="38" w:name="_Toc23133"/>
            <w:r>
              <w:rPr>
                <w:rFonts w:hint="eastAsia" w:ascii="黑体" w:hAnsi="黑体" w:eastAsia="黑体" w:cs="宋体"/>
                <w:b/>
                <w:bCs/>
                <w:snapToGrid w:val="0"/>
                <w:color w:val="0D0D0D" w:themeColor="text1" w:themeTint="F2"/>
                <w:spacing w:val="-6"/>
                <w:kern w:val="21"/>
                <w:szCs w:val="21"/>
                <w14:textFill>
                  <w14:solidFill>
                    <w14:schemeClr w14:val="tx1">
                      <w14:lumMod w14:val="95000"/>
                      <w14:lumOff w14:val="5000"/>
                    </w14:schemeClr>
                  </w14:solidFill>
                </w14:textFill>
              </w:rPr>
              <w:t>项目</w:t>
            </w:r>
            <w:bookmarkEnd w:id="37"/>
            <w:bookmarkEnd w:id="38"/>
          </w:p>
          <w:p w14:paraId="4E3BDB98">
            <w:pPr>
              <w:keepNext w:val="0"/>
              <w:keepLines w:val="0"/>
              <w:widowControl/>
              <w:suppressLineNumbers w:val="0"/>
              <w:adjustRightInd w:val="0"/>
              <w:snapToGrid w:val="0"/>
              <w:spacing w:before="0" w:beforeAutospacing="0" w:after="0" w:afterAutospacing="0" w:line="648" w:lineRule="auto"/>
              <w:ind w:left="0" w:right="0" w:firstLine="229" w:firstLineChars="100"/>
              <w:jc w:val="left"/>
              <w:outlineLvl w:val="0"/>
              <w:rPr>
                <w:rFonts w:hint="default" w:ascii="黑体" w:hAnsi="黑体" w:eastAsia="黑体" w:cs="宋体"/>
                <w:b/>
                <w:bCs/>
                <w:snapToGrid w:val="0"/>
                <w:color w:val="0D0D0D" w:themeColor="text1" w:themeTint="F2"/>
                <w:spacing w:val="-6"/>
                <w:kern w:val="21"/>
                <w:szCs w:val="21"/>
                <w14:textFill>
                  <w14:solidFill>
                    <w14:schemeClr w14:val="tx1">
                      <w14:lumMod w14:val="95000"/>
                      <w14:lumOff w14:val="5000"/>
                    </w14:schemeClr>
                  </w14:solidFill>
                </w14:textFill>
              </w:rPr>
            </w:pPr>
            <w:bookmarkStart w:id="39" w:name="_Toc17474"/>
            <w:bookmarkStart w:id="40" w:name="_Toc27683"/>
            <w:r>
              <w:rPr>
                <w:rFonts w:hint="eastAsia" w:ascii="黑体" w:hAnsi="黑体" w:eastAsia="黑体" w:cs="宋体"/>
                <w:b/>
                <w:bCs/>
                <w:snapToGrid w:val="0"/>
                <w:color w:val="0D0D0D" w:themeColor="text1" w:themeTint="F2"/>
                <w:spacing w:val="-6"/>
                <w:kern w:val="21"/>
                <w:szCs w:val="21"/>
                <w14:textFill>
                  <w14:solidFill>
                    <w14:schemeClr w14:val="tx1">
                      <w14:lumMod w14:val="95000"/>
                      <w14:lumOff w14:val="5000"/>
                    </w14:schemeClr>
                  </w14:solidFill>
                </w14:textFill>
              </w:rPr>
              <w:t>分类</w:t>
            </w:r>
            <w:bookmarkEnd w:id="39"/>
            <w:bookmarkEnd w:id="40"/>
          </w:p>
        </w:tc>
        <w:tc>
          <w:tcPr>
            <w:tcW w:w="1646" w:type="dxa"/>
            <w:tcMar>
              <w:left w:w="28" w:type="dxa"/>
              <w:right w:w="28" w:type="dxa"/>
            </w:tcMar>
            <w:vAlign w:val="center"/>
          </w:tcPr>
          <w:p w14:paraId="696438D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cs="宋体"/>
                <w:snapToGrid w:val="0"/>
                <w:color w:val="0D0D0D" w:themeColor="text1" w:themeTint="F2"/>
                <w:spacing w:val="-6"/>
                <w:kern w:val="21"/>
                <w:szCs w:val="21"/>
                <w14:textFill>
                  <w14:solidFill>
                    <w14:schemeClr w14:val="tx1">
                      <w14:lumMod w14:val="95000"/>
                      <w14:lumOff w14:val="5000"/>
                    </w14:schemeClr>
                  </w14:solidFill>
                </w14:textFill>
              </w:rPr>
            </w:pPr>
            <w:r>
              <w:rPr>
                <w:rFonts w:hint="eastAsia" w:ascii="黑体" w:hAnsi="黑体" w:eastAsia="黑体" w:cs="宋体"/>
                <w:snapToGrid w:val="0"/>
                <w:color w:val="0D0D0D" w:themeColor="text1" w:themeTint="F2"/>
                <w:spacing w:val="-6"/>
                <w:kern w:val="21"/>
                <w:szCs w:val="21"/>
                <w14:textFill>
                  <w14:solidFill>
                    <w14:schemeClr w14:val="tx1">
                      <w14:lumMod w14:val="95000"/>
                      <w14:lumOff w14:val="5000"/>
                    </w14:schemeClr>
                  </w14:solidFill>
                </w14:textFill>
              </w:rPr>
              <w:t>污染物名称</w:t>
            </w:r>
          </w:p>
        </w:tc>
        <w:tc>
          <w:tcPr>
            <w:tcW w:w="1717" w:type="dxa"/>
            <w:tcMar>
              <w:left w:w="28" w:type="dxa"/>
              <w:right w:w="28" w:type="dxa"/>
            </w:tcMar>
            <w:vAlign w:val="center"/>
          </w:tcPr>
          <w:p w14:paraId="44E4D1F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现有工程排放量（固</w:t>
            </w:r>
            <w:r>
              <w:rPr>
                <w:rFonts w:hint="eastAsia"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体</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废</w:t>
            </w:r>
            <w:r>
              <w:rPr>
                <w:rFonts w:hint="eastAsia"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物</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产生量）</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instrText xml:space="preserve"> = 1 \* GB3 \* MERGEFORMAT </w:instrTex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separate"/>
            </w:r>
            <w:r>
              <w:rPr>
                <w:rFonts w:hint="eastAsia" w:ascii="黑体" w:hAnsi="黑体" w:eastAsia="黑体" w:cs="宋体"/>
                <w:color w:val="0D0D0D" w:themeColor="text1" w:themeTint="F2"/>
                <w:szCs w:val="21"/>
                <w14:textFill>
                  <w14:solidFill>
                    <w14:schemeClr w14:val="tx1">
                      <w14:lumMod w14:val="95000"/>
                      <w14:lumOff w14:val="5000"/>
                    </w14:schemeClr>
                  </w14:solidFill>
                </w14:textFill>
              </w:rPr>
              <w:t>①</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end"/>
            </w:r>
          </w:p>
        </w:tc>
        <w:tc>
          <w:tcPr>
            <w:tcW w:w="1289" w:type="dxa"/>
            <w:tcMar>
              <w:left w:w="28" w:type="dxa"/>
              <w:right w:w="28" w:type="dxa"/>
            </w:tcMar>
            <w:vAlign w:val="center"/>
          </w:tcPr>
          <w:p w14:paraId="1958C0D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现有工程许可排放量</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instrText xml:space="preserve"> = 2 \* GB3 \* MERGEFORMAT </w:instrTex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separate"/>
            </w:r>
            <w:r>
              <w:rPr>
                <w:rFonts w:hint="eastAsia" w:ascii="黑体" w:hAnsi="黑体" w:eastAsia="黑体" w:cs="宋体"/>
                <w:snapToGrid w:val="0"/>
                <w:color w:val="0D0D0D" w:themeColor="text1" w:themeTint="F2"/>
                <w:spacing w:val="-6"/>
                <w:kern w:val="21"/>
                <w:szCs w:val="21"/>
                <w14:textFill>
                  <w14:solidFill>
                    <w14:schemeClr w14:val="tx1">
                      <w14:lumMod w14:val="95000"/>
                      <w14:lumOff w14:val="5000"/>
                    </w14:schemeClr>
                  </w14:solidFill>
                </w14:textFill>
              </w:rPr>
              <w:t>②</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end"/>
            </w:r>
          </w:p>
        </w:tc>
        <w:tc>
          <w:tcPr>
            <w:tcW w:w="1717" w:type="dxa"/>
            <w:tcMar>
              <w:left w:w="28" w:type="dxa"/>
              <w:right w:w="28" w:type="dxa"/>
            </w:tcMar>
            <w:vAlign w:val="center"/>
          </w:tcPr>
          <w:p w14:paraId="7CEB8B9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在建工程排放量（固</w:t>
            </w:r>
            <w:r>
              <w:rPr>
                <w:rFonts w:hint="eastAsia"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体</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废</w:t>
            </w:r>
            <w:r>
              <w:rPr>
                <w:rFonts w:hint="eastAsia"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物</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产生量）</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instrText xml:space="preserve"> = 3 \* GB3 \* MERGEFORMAT </w:instrTex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separate"/>
            </w:r>
            <w:r>
              <w:rPr>
                <w:rFonts w:hint="eastAsia" w:ascii="黑体" w:hAnsi="黑体" w:eastAsia="黑体" w:cs="宋体"/>
                <w:color w:val="0D0D0D" w:themeColor="text1" w:themeTint="F2"/>
                <w:szCs w:val="21"/>
                <w14:textFill>
                  <w14:solidFill>
                    <w14:schemeClr w14:val="tx1">
                      <w14:lumMod w14:val="95000"/>
                      <w14:lumOff w14:val="5000"/>
                    </w14:schemeClr>
                  </w14:solidFill>
                </w14:textFill>
              </w:rPr>
              <w:t>③</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end"/>
            </w:r>
          </w:p>
        </w:tc>
        <w:tc>
          <w:tcPr>
            <w:tcW w:w="1574" w:type="dxa"/>
            <w:tcMar>
              <w:left w:w="28" w:type="dxa"/>
              <w:right w:w="28" w:type="dxa"/>
            </w:tcMar>
            <w:vAlign w:val="center"/>
          </w:tcPr>
          <w:p w14:paraId="7358021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本项目排放量（固</w:t>
            </w:r>
            <w:r>
              <w:rPr>
                <w:rFonts w:hint="eastAsia"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体</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废</w:t>
            </w:r>
            <w:r>
              <w:rPr>
                <w:rFonts w:hint="eastAsia"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物</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产生量）</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instrText xml:space="preserve"> = 4 \* GB3 \* MERGEFORMAT </w:instrTex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separate"/>
            </w:r>
            <w:r>
              <w:rPr>
                <w:rFonts w:hint="eastAsia" w:ascii="黑体" w:hAnsi="黑体" w:eastAsia="黑体" w:cs="宋体"/>
                <w:color w:val="0D0D0D" w:themeColor="text1" w:themeTint="F2"/>
                <w:szCs w:val="21"/>
                <w14:textFill>
                  <w14:solidFill>
                    <w14:schemeClr w14:val="tx1">
                      <w14:lumMod w14:val="95000"/>
                      <w14:lumOff w14:val="5000"/>
                    </w14:schemeClr>
                  </w14:solidFill>
                </w14:textFill>
              </w:rPr>
              <w:t>④</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end"/>
            </w:r>
          </w:p>
        </w:tc>
        <w:tc>
          <w:tcPr>
            <w:tcW w:w="1777" w:type="dxa"/>
            <w:tcMar>
              <w:left w:w="28" w:type="dxa"/>
              <w:right w:w="28" w:type="dxa"/>
            </w:tcMar>
            <w:vAlign w:val="center"/>
          </w:tcPr>
          <w:p w14:paraId="12560AF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以新带老削减量（新建项目不填）</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instrText xml:space="preserve"> = 5 \* GB3 \* MERGEFORMAT </w:instrTex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fldChar w:fldCharType="separate"/>
            </w:r>
            <w:r>
              <w:rPr>
                <w:rFonts w:hint="eastAsia" w:ascii="黑体" w:hAnsi="黑体" w:eastAsia="黑体" w:cs="宋体"/>
                <w:color w:val="0D0D0D" w:themeColor="text1" w:themeTint="F2"/>
                <w:szCs w:val="21"/>
                <w14:textFill>
                  <w14:solidFill>
                    <w14:schemeClr w14:val="tx1">
                      <w14:lumMod w14:val="95000"/>
                      <w14:lumOff w14:val="5000"/>
                    </w14:schemeClr>
                  </w14:solidFill>
                </w14:textFill>
              </w:rPr>
              <w:t>⑤</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fldChar w:fldCharType="end"/>
            </w:r>
          </w:p>
        </w:tc>
        <w:tc>
          <w:tcPr>
            <w:tcW w:w="1979" w:type="dxa"/>
            <w:tcMar>
              <w:left w:w="28" w:type="dxa"/>
              <w:right w:w="28" w:type="dxa"/>
            </w:tcMar>
            <w:vAlign w:val="center"/>
          </w:tcPr>
          <w:p w14:paraId="09EEBBD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本项目建成后</w:t>
            </w:r>
            <w:r>
              <w:rPr>
                <w:rFonts w:hint="eastAsia"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全厂</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排放量（固</w:t>
            </w:r>
            <w:r>
              <w:rPr>
                <w:rFonts w:hint="eastAsia"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体</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废</w:t>
            </w:r>
            <w:r>
              <w:rPr>
                <w:rFonts w:hint="eastAsia"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物</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t>产生量）</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instrText xml:space="preserve"> = 6 \* GB3 \* MERGEFORMAT </w:instrTex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fldChar w:fldCharType="separate"/>
            </w:r>
            <w:r>
              <w:rPr>
                <w:rFonts w:hint="eastAsia" w:ascii="黑体" w:hAnsi="黑体" w:eastAsia="黑体" w:cs="宋体"/>
                <w:color w:val="0D0D0D" w:themeColor="text1" w:themeTint="F2"/>
                <w:szCs w:val="21"/>
                <w14:textFill>
                  <w14:solidFill>
                    <w14:schemeClr w14:val="tx1">
                      <w14:lumMod w14:val="95000"/>
                      <w14:lumOff w14:val="5000"/>
                    </w14:schemeClr>
                  </w14:solidFill>
                </w14:textFill>
              </w:rPr>
              <w:t>⑥</w:t>
            </w:r>
            <w:r>
              <w:rPr>
                <w:rFonts w:hint="default" w:ascii="黑体" w:hAnsi="黑体" w:eastAsia="黑体"/>
                <w:snapToGrid w:val="0"/>
                <w:color w:val="0D0D0D" w:themeColor="text1" w:themeTint="F2"/>
                <w:spacing w:val="-16"/>
                <w:kern w:val="21"/>
                <w:szCs w:val="21"/>
                <w14:textFill>
                  <w14:solidFill>
                    <w14:schemeClr w14:val="tx1">
                      <w14:lumMod w14:val="95000"/>
                      <w14:lumOff w14:val="5000"/>
                    </w14:schemeClr>
                  </w14:solidFill>
                </w14:textFill>
              </w:rPr>
              <w:fldChar w:fldCharType="end"/>
            </w:r>
          </w:p>
        </w:tc>
        <w:tc>
          <w:tcPr>
            <w:tcW w:w="831" w:type="dxa"/>
            <w:tcMar>
              <w:left w:w="28" w:type="dxa"/>
              <w:right w:w="28" w:type="dxa"/>
            </w:tcMar>
            <w:vAlign w:val="center"/>
          </w:tcPr>
          <w:p w14:paraId="26A9A78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pP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t>变化量</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begin"/>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instrText xml:space="preserve"> = 7 \* GB3 \* MERGEFORMAT </w:instrTex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separate"/>
            </w:r>
            <w:r>
              <w:rPr>
                <w:rFonts w:hint="eastAsia" w:ascii="黑体" w:hAnsi="黑体" w:eastAsia="黑体" w:cs="宋体"/>
                <w:color w:val="0D0D0D" w:themeColor="text1" w:themeTint="F2"/>
                <w:szCs w:val="21"/>
                <w14:textFill>
                  <w14:solidFill>
                    <w14:schemeClr w14:val="tx1">
                      <w14:lumMod w14:val="95000"/>
                      <w14:lumOff w14:val="5000"/>
                    </w14:schemeClr>
                  </w14:solidFill>
                </w14:textFill>
              </w:rPr>
              <w:t>⑦</w:t>
            </w:r>
            <w:r>
              <w:rPr>
                <w:rFonts w:hint="default" w:ascii="黑体" w:hAnsi="黑体" w:eastAsia="黑体"/>
                <w:snapToGrid w:val="0"/>
                <w:color w:val="0D0D0D" w:themeColor="text1" w:themeTint="F2"/>
                <w:spacing w:val="-6"/>
                <w:kern w:val="21"/>
                <w:szCs w:val="21"/>
                <w14:textFill>
                  <w14:solidFill>
                    <w14:schemeClr w14:val="tx1">
                      <w14:lumMod w14:val="95000"/>
                      <w14:lumOff w14:val="5000"/>
                    </w14:schemeClr>
                  </w14:solidFill>
                </w14:textFill>
              </w:rPr>
              <w:fldChar w:fldCharType="end"/>
            </w:r>
          </w:p>
        </w:tc>
      </w:tr>
      <w:tr w14:paraId="583F59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Align w:val="center"/>
          </w:tcPr>
          <w:p w14:paraId="7A3877D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t>废气</w:t>
            </w:r>
          </w:p>
        </w:tc>
        <w:tc>
          <w:tcPr>
            <w:tcW w:w="1646" w:type="dxa"/>
            <w:vAlign w:val="center"/>
          </w:tcPr>
          <w:p w14:paraId="6359C31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非甲烷总径</w:t>
            </w:r>
          </w:p>
        </w:tc>
        <w:tc>
          <w:tcPr>
            <w:tcW w:w="1717" w:type="dxa"/>
            <w:vAlign w:val="center"/>
          </w:tcPr>
          <w:p w14:paraId="059D9FA0">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0B0169F0">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5049C120">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3882D78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lang w:eastAsia="zh-CN"/>
                <w14:textFill>
                  <w14:solidFill>
                    <w14:schemeClr w14:val="tx1">
                      <w14:lumMod w14:val="95000"/>
                      <w14:lumOff w14:val="5000"/>
                    </w14:schemeClr>
                  </w14:solidFill>
                </w14:textFill>
              </w:rPr>
              <w:t>0.063</w:t>
            </w: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t/a</w:t>
            </w:r>
          </w:p>
        </w:tc>
        <w:tc>
          <w:tcPr>
            <w:tcW w:w="1777" w:type="dxa"/>
            <w:vAlign w:val="center"/>
          </w:tcPr>
          <w:p w14:paraId="0E92DC91">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3324529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lang w:eastAsia="zh-CN"/>
                <w14:textFill>
                  <w14:solidFill>
                    <w14:schemeClr w14:val="tx1">
                      <w14:lumMod w14:val="95000"/>
                      <w14:lumOff w14:val="5000"/>
                    </w14:schemeClr>
                  </w14:solidFill>
                </w14:textFill>
              </w:rPr>
              <w:t>0.063</w:t>
            </w: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t/a</w:t>
            </w:r>
          </w:p>
        </w:tc>
        <w:tc>
          <w:tcPr>
            <w:tcW w:w="831" w:type="dxa"/>
            <w:vAlign w:val="center"/>
          </w:tcPr>
          <w:p w14:paraId="138108E8">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10A97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restart"/>
            <w:vAlign w:val="center"/>
          </w:tcPr>
          <w:p w14:paraId="115AD1E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t>废水</w:t>
            </w:r>
          </w:p>
        </w:tc>
        <w:tc>
          <w:tcPr>
            <w:tcW w:w="1646" w:type="dxa"/>
            <w:vAlign w:val="center"/>
          </w:tcPr>
          <w:p w14:paraId="6432A14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COD</w:t>
            </w:r>
            <w:r>
              <w:rPr>
                <w:rFonts w:hint="eastAsia" w:ascii="宋体" w:hAnsi="宋体" w:cs="宋体"/>
                <w:snapToGrid w:val="0"/>
                <w:color w:val="0D0D0D" w:themeColor="text1" w:themeTint="F2"/>
                <w:kern w:val="21"/>
                <w:sz w:val="21"/>
                <w:szCs w:val="21"/>
                <w:vertAlign w:val="subscript"/>
                <w14:textFill>
                  <w14:solidFill>
                    <w14:schemeClr w14:val="tx1">
                      <w14:lumMod w14:val="95000"/>
                      <w14:lumOff w14:val="5000"/>
                    </w14:schemeClr>
                  </w14:solidFill>
                </w14:textFill>
              </w:rPr>
              <w:t>Cr</w:t>
            </w:r>
          </w:p>
        </w:tc>
        <w:tc>
          <w:tcPr>
            <w:tcW w:w="1717" w:type="dxa"/>
            <w:vAlign w:val="center"/>
          </w:tcPr>
          <w:p w14:paraId="0561A990">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0EB2B675">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790E625E">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37E0B55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0.046t/a</w:t>
            </w:r>
          </w:p>
        </w:tc>
        <w:tc>
          <w:tcPr>
            <w:tcW w:w="1777" w:type="dxa"/>
            <w:vAlign w:val="center"/>
          </w:tcPr>
          <w:p w14:paraId="429AD5DA">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490AEBF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0.046t/a</w:t>
            </w:r>
          </w:p>
        </w:tc>
        <w:tc>
          <w:tcPr>
            <w:tcW w:w="831" w:type="dxa"/>
            <w:vAlign w:val="center"/>
          </w:tcPr>
          <w:p w14:paraId="430ACEBA">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4E821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continue"/>
            <w:vAlign w:val="center"/>
          </w:tcPr>
          <w:p w14:paraId="511281CB">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4E0A313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BOD</w:t>
            </w:r>
            <w:r>
              <w:rPr>
                <w:rFonts w:hint="eastAsia" w:ascii="宋体" w:hAnsi="宋体" w:cs="宋体"/>
                <w:snapToGrid w:val="0"/>
                <w:color w:val="0D0D0D" w:themeColor="text1" w:themeTint="F2"/>
                <w:kern w:val="21"/>
                <w:sz w:val="21"/>
                <w:szCs w:val="21"/>
                <w:vertAlign w:val="subscript"/>
                <w14:textFill>
                  <w14:solidFill>
                    <w14:schemeClr w14:val="tx1">
                      <w14:lumMod w14:val="95000"/>
                      <w14:lumOff w14:val="5000"/>
                    </w14:schemeClr>
                  </w14:solidFill>
                </w14:textFill>
              </w:rPr>
              <w:t>5</w:t>
            </w:r>
          </w:p>
        </w:tc>
        <w:tc>
          <w:tcPr>
            <w:tcW w:w="1717" w:type="dxa"/>
            <w:vAlign w:val="center"/>
          </w:tcPr>
          <w:p w14:paraId="780E2CF1">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52DF1B53">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54283012">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24C8F21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0.0276t/a</w:t>
            </w:r>
          </w:p>
        </w:tc>
        <w:tc>
          <w:tcPr>
            <w:tcW w:w="1777" w:type="dxa"/>
            <w:vAlign w:val="center"/>
          </w:tcPr>
          <w:p w14:paraId="4BFD18A1">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47A6A70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0.0276t/a</w:t>
            </w:r>
          </w:p>
        </w:tc>
        <w:tc>
          <w:tcPr>
            <w:tcW w:w="831" w:type="dxa"/>
            <w:vAlign w:val="center"/>
          </w:tcPr>
          <w:p w14:paraId="5F6205B7">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645DB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continue"/>
            <w:vAlign w:val="center"/>
          </w:tcPr>
          <w:p w14:paraId="70F9089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1CCCA88F">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SS</w:t>
            </w:r>
          </w:p>
        </w:tc>
        <w:tc>
          <w:tcPr>
            <w:tcW w:w="1717" w:type="dxa"/>
            <w:vAlign w:val="center"/>
          </w:tcPr>
          <w:p w14:paraId="726B45E5">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18655B21">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0365BB10">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70C5FF8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0.023t/a</w:t>
            </w:r>
          </w:p>
        </w:tc>
        <w:tc>
          <w:tcPr>
            <w:tcW w:w="1777" w:type="dxa"/>
            <w:vAlign w:val="center"/>
          </w:tcPr>
          <w:p w14:paraId="76E87FAF">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50774BD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0.023t/a</w:t>
            </w:r>
          </w:p>
        </w:tc>
        <w:tc>
          <w:tcPr>
            <w:tcW w:w="831" w:type="dxa"/>
            <w:vAlign w:val="center"/>
          </w:tcPr>
          <w:p w14:paraId="0BA56D45">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07DE48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continue"/>
            <w:vAlign w:val="center"/>
          </w:tcPr>
          <w:p w14:paraId="79EA1F8D">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25C94CF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NH</w:t>
            </w:r>
            <w:r>
              <w:rPr>
                <w:rFonts w:hint="eastAsia" w:ascii="宋体" w:hAnsi="宋体" w:cs="宋体"/>
                <w:snapToGrid w:val="0"/>
                <w:color w:val="0D0D0D" w:themeColor="text1" w:themeTint="F2"/>
                <w:kern w:val="21"/>
                <w:sz w:val="21"/>
                <w:szCs w:val="21"/>
                <w:vertAlign w:val="subscript"/>
                <w14:textFill>
                  <w14:solidFill>
                    <w14:schemeClr w14:val="tx1">
                      <w14:lumMod w14:val="95000"/>
                      <w14:lumOff w14:val="5000"/>
                    </w14:schemeClr>
                  </w14:solidFill>
                </w14:textFill>
              </w:rPr>
              <w:t>3</w:t>
            </w: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-N</w:t>
            </w:r>
          </w:p>
        </w:tc>
        <w:tc>
          <w:tcPr>
            <w:tcW w:w="1717" w:type="dxa"/>
            <w:vAlign w:val="center"/>
          </w:tcPr>
          <w:p w14:paraId="369AC3E6">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6A5A276B">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1FA71E0C">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6938749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0.0069t/a</w:t>
            </w:r>
          </w:p>
        </w:tc>
        <w:tc>
          <w:tcPr>
            <w:tcW w:w="1777" w:type="dxa"/>
            <w:vAlign w:val="center"/>
          </w:tcPr>
          <w:p w14:paraId="35DDDAF0">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1B24FC5C">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0.0069t/a</w:t>
            </w:r>
          </w:p>
        </w:tc>
        <w:tc>
          <w:tcPr>
            <w:tcW w:w="831" w:type="dxa"/>
            <w:vAlign w:val="center"/>
          </w:tcPr>
          <w:p w14:paraId="74F220B9">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7CEE4B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continue"/>
            <w:vAlign w:val="center"/>
          </w:tcPr>
          <w:p w14:paraId="7580E0B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6C38B89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动植物油</w:t>
            </w:r>
          </w:p>
        </w:tc>
        <w:tc>
          <w:tcPr>
            <w:tcW w:w="1717" w:type="dxa"/>
            <w:vAlign w:val="center"/>
          </w:tcPr>
          <w:p w14:paraId="570DA3F6">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4157F600">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66852B79">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1DE1BA1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0.0034t/a</w:t>
            </w:r>
          </w:p>
        </w:tc>
        <w:tc>
          <w:tcPr>
            <w:tcW w:w="1777" w:type="dxa"/>
            <w:vAlign w:val="center"/>
          </w:tcPr>
          <w:p w14:paraId="77ADDFB8">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646C995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0.0034t/a</w:t>
            </w:r>
          </w:p>
        </w:tc>
        <w:tc>
          <w:tcPr>
            <w:tcW w:w="831" w:type="dxa"/>
            <w:vAlign w:val="center"/>
          </w:tcPr>
          <w:p w14:paraId="3543966B">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5DC4D6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Align w:val="center"/>
          </w:tcPr>
          <w:p w14:paraId="5CCDBCA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t>一般工业固体废物</w:t>
            </w:r>
          </w:p>
        </w:tc>
        <w:tc>
          <w:tcPr>
            <w:tcW w:w="1646" w:type="dxa"/>
            <w:vAlign w:val="center"/>
          </w:tcPr>
          <w:p w14:paraId="5BCAF70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废原料桶</w:t>
            </w:r>
          </w:p>
        </w:tc>
        <w:tc>
          <w:tcPr>
            <w:tcW w:w="1717" w:type="dxa"/>
            <w:vAlign w:val="center"/>
          </w:tcPr>
          <w:p w14:paraId="1472E53D">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16D12303">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7038F95D">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54C3455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50t/a</w:t>
            </w:r>
          </w:p>
        </w:tc>
        <w:tc>
          <w:tcPr>
            <w:tcW w:w="1777" w:type="dxa"/>
            <w:vAlign w:val="center"/>
          </w:tcPr>
          <w:p w14:paraId="6249063B">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2680F28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50t/a</w:t>
            </w:r>
          </w:p>
        </w:tc>
        <w:tc>
          <w:tcPr>
            <w:tcW w:w="831" w:type="dxa"/>
            <w:vAlign w:val="center"/>
          </w:tcPr>
          <w:p w14:paraId="3BE510DE">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23A01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restart"/>
            <w:vAlign w:val="center"/>
          </w:tcPr>
          <w:p w14:paraId="636ECC14">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t>危险废物</w:t>
            </w:r>
          </w:p>
        </w:tc>
        <w:tc>
          <w:tcPr>
            <w:tcW w:w="1646" w:type="dxa"/>
            <w:vAlign w:val="center"/>
          </w:tcPr>
          <w:p w14:paraId="2C97F6A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废活性炭</w:t>
            </w:r>
          </w:p>
        </w:tc>
        <w:tc>
          <w:tcPr>
            <w:tcW w:w="1717" w:type="dxa"/>
            <w:vAlign w:val="center"/>
          </w:tcPr>
          <w:p w14:paraId="5CDF3BC3">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7B049DC6">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7B25B162">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7012F19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lang w:val="en-US" w:eastAsia="zh-CN"/>
                <w14:textFill>
                  <w14:solidFill>
                    <w14:schemeClr w14:val="tx1">
                      <w14:lumMod w14:val="95000"/>
                      <w14:lumOff w14:val="5000"/>
                    </w14:schemeClr>
                  </w14:solidFill>
                </w14:textFill>
              </w:rPr>
              <w:t>2.268</w:t>
            </w: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t/a</w:t>
            </w:r>
          </w:p>
        </w:tc>
        <w:tc>
          <w:tcPr>
            <w:tcW w:w="1777" w:type="dxa"/>
            <w:vAlign w:val="center"/>
          </w:tcPr>
          <w:p w14:paraId="21CA0FFC">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5FD3F4F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lang w:eastAsia="zh-CN"/>
                <w14:textFill>
                  <w14:solidFill>
                    <w14:schemeClr w14:val="tx1">
                      <w14:lumMod w14:val="95000"/>
                      <w14:lumOff w14:val="5000"/>
                    </w14:schemeClr>
                  </w14:solidFill>
                </w14:textFill>
              </w:rPr>
              <w:t>2.268</w:t>
            </w: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t/a</w:t>
            </w:r>
          </w:p>
        </w:tc>
        <w:tc>
          <w:tcPr>
            <w:tcW w:w="831" w:type="dxa"/>
            <w:vAlign w:val="center"/>
          </w:tcPr>
          <w:p w14:paraId="616966F8">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06EEB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86" w:type="dxa"/>
            <w:vMerge w:val="continue"/>
            <w:vAlign w:val="center"/>
          </w:tcPr>
          <w:p w14:paraId="4F05C563">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2B724899">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废抹布、废手套</w:t>
            </w:r>
          </w:p>
        </w:tc>
        <w:tc>
          <w:tcPr>
            <w:tcW w:w="1717" w:type="dxa"/>
            <w:vAlign w:val="center"/>
          </w:tcPr>
          <w:p w14:paraId="5A57E30E">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78AE893E">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5AD404B6">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12C59742">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0.02t/a</w:t>
            </w:r>
          </w:p>
        </w:tc>
        <w:tc>
          <w:tcPr>
            <w:tcW w:w="1777" w:type="dxa"/>
            <w:vAlign w:val="center"/>
          </w:tcPr>
          <w:p w14:paraId="414869FC">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1216CC6E">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0.02t/a</w:t>
            </w:r>
          </w:p>
        </w:tc>
        <w:tc>
          <w:tcPr>
            <w:tcW w:w="831" w:type="dxa"/>
            <w:vAlign w:val="center"/>
          </w:tcPr>
          <w:p w14:paraId="0FAD504F">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3BF13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386" w:type="dxa"/>
            <w:vMerge w:val="continue"/>
            <w:vAlign w:val="center"/>
          </w:tcPr>
          <w:p w14:paraId="0E075AB5">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4B2F91F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废油桶</w:t>
            </w:r>
          </w:p>
        </w:tc>
        <w:tc>
          <w:tcPr>
            <w:tcW w:w="1717" w:type="dxa"/>
            <w:vAlign w:val="center"/>
          </w:tcPr>
          <w:p w14:paraId="7AFFA41E">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3C48089D">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327F304D">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546CB577">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0.005t/a</w:t>
            </w:r>
          </w:p>
        </w:tc>
        <w:tc>
          <w:tcPr>
            <w:tcW w:w="1777" w:type="dxa"/>
            <w:vAlign w:val="center"/>
          </w:tcPr>
          <w:p w14:paraId="697A789C">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1A71E578">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0.005t/a</w:t>
            </w:r>
          </w:p>
        </w:tc>
        <w:tc>
          <w:tcPr>
            <w:tcW w:w="831" w:type="dxa"/>
            <w:vAlign w:val="center"/>
          </w:tcPr>
          <w:p w14:paraId="1E7CFC8B">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r w14:paraId="2F8F2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86" w:type="dxa"/>
            <w:vMerge w:val="continue"/>
            <w:vAlign w:val="center"/>
          </w:tcPr>
          <w:p w14:paraId="2F40F376">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b/>
                <w:bCs/>
                <w:snapToGrid w:val="0"/>
                <w:color w:val="0D0D0D" w:themeColor="text1" w:themeTint="F2"/>
                <w:kern w:val="21"/>
                <w:sz w:val="21"/>
                <w:szCs w:val="21"/>
                <w14:textFill>
                  <w14:solidFill>
                    <w14:schemeClr w14:val="tx1">
                      <w14:lumMod w14:val="95000"/>
                      <w14:lumOff w14:val="5000"/>
                    </w14:schemeClr>
                  </w14:solidFill>
                </w14:textFill>
              </w:rPr>
            </w:pPr>
          </w:p>
        </w:tc>
        <w:tc>
          <w:tcPr>
            <w:tcW w:w="1646" w:type="dxa"/>
            <w:vAlign w:val="center"/>
          </w:tcPr>
          <w:p w14:paraId="69C8B90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废润滑油</w:t>
            </w:r>
          </w:p>
        </w:tc>
        <w:tc>
          <w:tcPr>
            <w:tcW w:w="1717" w:type="dxa"/>
            <w:vAlign w:val="center"/>
          </w:tcPr>
          <w:p w14:paraId="546E2B9C">
            <w:pPr>
              <w:keepNext w:val="0"/>
              <w:keepLines w:val="0"/>
              <w:suppressLineNumbers w:val="0"/>
              <w:adjustRightInd w:val="0"/>
              <w:snapToGrid w:val="0"/>
              <w:spacing w:before="0" w:beforeAutospacing="0" w:after="0" w:afterAutospacing="0" w:line="240" w:lineRule="auto"/>
              <w:ind w:left="0" w:right="0" w:firstLine="420"/>
              <w:jc w:val="center"/>
              <w:rPr>
                <w:rFonts w:hint="default" w:ascii="宋体" w:hAnsi="宋体" w:cs="宋体"/>
                <w:snapToGrid w:val="0"/>
                <w:color w:val="0D0D0D" w:themeColor="text1" w:themeTint="F2"/>
                <w:kern w:val="21"/>
                <w:sz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 w:val="21"/>
                <w:szCs w:val="21"/>
                <w14:textFill>
                  <w14:solidFill>
                    <w14:schemeClr w14:val="tx1">
                      <w14:lumMod w14:val="95000"/>
                      <w14:lumOff w14:val="5000"/>
                    </w14:schemeClr>
                  </w14:solidFill>
                </w14:textFill>
              </w:rPr>
              <w:t>/</w:t>
            </w:r>
          </w:p>
        </w:tc>
        <w:tc>
          <w:tcPr>
            <w:tcW w:w="1289" w:type="dxa"/>
            <w:vAlign w:val="center"/>
          </w:tcPr>
          <w:p w14:paraId="218BEE1E">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717" w:type="dxa"/>
            <w:vAlign w:val="center"/>
          </w:tcPr>
          <w:p w14:paraId="103AC4B3">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w:t>
            </w:r>
          </w:p>
        </w:tc>
        <w:tc>
          <w:tcPr>
            <w:tcW w:w="1574" w:type="dxa"/>
            <w:vAlign w:val="center"/>
          </w:tcPr>
          <w:p w14:paraId="3998CBAA">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0.03t/a</w:t>
            </w:r>
          </w:p>
        </w:tc>
        <w:tc>
          <w:tcPr>
            <w:tcW w:w="1777" w:type="dxa"/>
            <w:vAlign w:val="center"/>
          </w:tcPr>
          <w:p w14:paraId="35C9FAEC">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c>
          <w:tcPr>
            <w:tcW w:w="1979" w:type="dxa"/>
            <w:vAlign w:val="center"/>
          </w:tcPr>
          <w:p w14:paraId="20ABF220">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r>
              <w:rPr>
                <w:rFonts w:hint="eastAsia" w:ascii="宋体" w:hAnsi="宋体" w:cs="宋体"/>
                <w:snapToGrid w:val="0"/>
                <w:color w:val="0D0D0D" w:themeColor="text1" w:themeTint="F2"/>
                <w:kern w:val="21"/>
                <w:szCs w:val="21"/>
                <w14:textFill>
                  <w14:solidFill>
                    <w14:schemeClr w14:val="tx1">
                      <w14:lumMod w14:val="95000"/>
                      <w14:lumOff w14:val="5000"/>
                    </w14:schemeClr>
                  </w14:solidFill>
                </w14:textFill>
              </w:rPr>
              <w:t>0.03t/a</w:t>
            </w:r>
          </w:p>
        </w:tc>
        <w:tc>
          <w:tcPr>
            <w:tcW w:w="831" w:type="dxa"/>
            <w:vAlign w:val="center"/>
          </w:tcPr>
          <w:p w14:paraId="7F74668D">
            <w:pPr>
              <w:keepNext w:val="0"/>
              <w:keepLines w:val="0"/>
              <w:suppressLineNumbers w:val="0"/>
              <w:adjustRightInd w:val="0"/>
              <w:snapToGrid w:val="0"/>
              <w:spacing w:before="0" w:beforeAutospacing="0" w:after="0" w:afterAutospacing="0" w:line="240" w:lineRule="auto"/>
              <w:ind w:left="0" w:right="0" w:firstLine="480"/>
              <w:jc w:val="center"/>
              <w:rPr>
                <w:rFonts w:hint="default" w:ascii="宋体" w:hAnsi="宋体" w:cs="宋体"/>
                <w:snapToGrid w:val="0"/>
                <w:color w:val="0D0D0D" w:themeColor="text1" w:themeTint="F2"/>
                <w:kern w:val="21"/>
                <w:szCs w:val="21"/>
                <w14:textFill>
                  <w14:solidFill>
                    <w14:schemeClr w14:val="tx1">
                      <w14:lumMod w14:val="95000"/>
                      <w14:lumOff w14:val="5000"/>
                    </w14:schemeClr>
                  </w14:solidFill>
                </w14:textFill>
              </w:rPr>
            </w:pPr>
          </w:p>
        </w:tc>
      </w:tr>
    </w:tbl>
    <w:p w14:paraId="20DF3402">
      <w:pPr>
        <w:tabs>
          <w:tab w:val="right" w:pos="13296"/>
        </w:tabs>
        <w:spacing w:line="240" w:lineRule="auto"/>
        <w:ind w:firstLine="420"/>
        <w:jc w:val="left"/>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pPr>
      <w:r>
        <w:rPr>
          <w:rFonts w:ascii="宋体" w:hAnsi="宋体"/>
          <w:snapToGrid w:val="0"/>
          <w:color w:val="0D0D0D" w:themeColor="text1" w:themeTint="F2"/>
          <w:kern w:val="21"/>
          <w:sz w:val="21"/>
          <w:szCs w:val="21"/>
          <w14:textFill>
            <w14:solidFill>
              <w14:schemeClr w14:val="tx1">
                <w14:lumMod w14:val="95000"/>
                <w14:lumOff w14:val="5000"/>
              </w14:schemeClr>
            </w14:solidFill>
          </w14:textFill>
        </w:rPr>
        <w:t>注：</w: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instrText xml:space="preserve"> = 6 \* GB3 \* MERGEFORMAT </w:instrTex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⑥</w: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instrText xml:space="preserve"> = 1 \* GB3 \* MERGEFORMAT </w:instrTex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①</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instrText xml:space="preserve"> = 3 \* GB3 \* MERGEFORMAT </w:instrTex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③</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instrText xml:space="preserve"> = 4 \* GB3 \* MERGEFORMAT </w:instrTex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④</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instrText xml:space="preserve"> = 5 \* GB3 \* MERGEFORMAT </w:instrTex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⑤</w: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instrText xml:space="preserve"> = 7 \* GB3 \* MERGEFORMAT </w:instrTex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⑦</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instrText xml:space="preserve"> = 6 \* GB3 \* MERGEFORMAT </w:instrTex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⑥</w:t>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fldChar w:fldCharType="end"/>
      </w:r>
      <w:r>
        <w:rPr>
          <w:rFonts w:ascii="宋体" w:hAnsi="宋体"/>
          <w:snapToGrid w:val="0"/>
          <w:color w:val="0D0D0D" w:themeColor="text1" w:themeTint="F2"/>
          <w:spacing w:val="-16"/>
          <w:kern w:val="21"/>
          <w:sz w:val="21"/>
          <w:szCs w:val="21"/>
          <w14:textFill>
            <w14:solidFill>
              <w14:schemeClr w14:val="tx1">
                <w14:lumMod w14:val="95000"/>
                <w14:lumOff w14:val="5000"/>
              </w14:schemeClr>
            </w14:solidFill>
          </w14:textFill>
        </w:rPr>
        <w:t>-</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begin"/>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instrText xml:space="preserve"> = 1 \* GB3 \* MERGEFORMAT </w:instrTex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separate"/>
      </w:r>
      <w:r>
        <w:rPr>
          <w:rFonts w:hint="eastAsia" w:ascii="宋体" w:hAnsi="宋体"/>
          <w:color w:val="0D0D0D" w:themeColor="text1" w:themeTint="F2"/>
          <w:kern w:val="0"/>
          <w:sz w:val="21"/>
          <w:szCs w:val="21"/>
          <w14:textFill>
            <w14:solidFill>
              <w14:schemeClr w14:val="tx1">
                <w14:lumMod w14:val="95000"/>
                <w14:lumOff w14:val="5000"/>
              </w14:schemeClr>
            </w14:solidFill>
          </w14:textFill>
        </w:rPr>
        <w:t>①</w:t>
      </w:r>
      <w:r>
        <w:rPr>
          <w:rFonts w:ascii="宋体" w:hAnsi="宋体"/>
          <w:snapToGrid w:val="0"/>
          <w:color w:val="0D0D0D" w:themeColor="text1" w:themeTint="F2"/>
          <w:spacing w:val="-6"/>
          <w:kern w:val="21"/>
          <w:sz w:val="21"/>
          <w:szCs w:val="21"/>
          <w14:textFill>
            <w14:solidFill>
              <w14:schemeClr w14:val="tx1">
                <w14:lumMod w14:val="95000"/>
                <w14:lumOff w14:val="5000"/>
              </w14:schemeClr>
            </w14:solidFill>
          </w14:textFill>
        </w:rPr>
        <w:fldChar w:fldCharType="end"/>
      </w:r>
    </w:p>
    <w:sectPr>
      <w:footerReference r:id="rId6"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3D1C">
    <w:pPr>
      <w:tabs>
        <w:tab w:val="center" w:pos="4153"/>
        <w:tab w:val="right" w:pos="8306"/>
      </w:tabs>
      <w:snapToGrid w:val="0"/>
      <w:ind w:right="360" w:firstLine="360"/>
      <w:jc w:val="center"/>
      <w:rPr>
        <w:kern w:val="0"/>
        <w:sz w:val="18"/>
        <w:szCs w:val="20"/>
      </w:rPr>
    </w:pPr>
    <w:r>
      <w:rPr>
        <w:kern w:val="0"/>
        <w:sz w:val="18"/>
        <w:szCs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1280C2">
                          <w:pPr>
                            <w:tabs>
                              <w:tab w:val="center" w:pos="4153"/>
                              <w:tab w:val="right" w:pos="8306"/>
                            </w:tabs>
                            <w:snapToGrid w:val="0"/>
                            <w:ind w:firstLine="360"/>
                            <w:jc w:val="left"/>
                            <w:rPr>
                              <w:kern w:val="0"/>
                              <w:sz w:val="18"/>
                              <w:szCs w:val="20"/>
                            </w:rPr>
                          </w:pPr>
                          <w:r>
                            <w:rPr>
                              <w:kern w:val="0"/>
                              <w:sz w:val="18"/>
                              <w:szCs w:val="20"/>
                            </w:rPr>
                            <w:fldChar w:fldCharType="begin"/>
                          </w:r>
                          <w:r>
                            <w:rPr>
                              <w:kern w:val="0"/>
                              <w:sz w:val="18"/>
                              <w:szCs w:val="20"/>
                            </w:rPr>
                            <w:instrText xml:space="preserve"> PAGE  \* MERGEFORMAT </w:instrText>
                          </w:r>
                          <w:r>
                            <w:rPr>
                              <w:kern w:val="0"/>
                              <w:sz w:val="18"/>
                              <w:szCs w:val="20"/>
                            </w:rPr>
                            <w:fldChar w:fldCharType="separate"/>
                          </w:r>
                          <w:r>
                            <w:rPr>
                              <w:kern w:val="0"/>
                              <w:sz w:val="18"/>
                              <w:szCs w:val="20"/>
                            </w:rPr>
                            <w:t>24</w:t>
                          </w:r>
                          <w:r>
                            <w:rPr>
                              <w:kern w:val="0"/>
                              <w:sz w:val="18"/>
                              <w:szCs w:val="20"/>
                            </w:rP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6pebnPAAAABQEAAA8AAAAAAAAAAQAgAAAA&#10;IgAAAGRycy9kb3ducmV2LnhtbFBLAQIUABQAAAAIAIdO4kA0JNf42wEAALYDAAAOAAAAAAAAAAEA&#10;IAAAAB4BAABkcnMvZTJvRG9jLnhtbFBLBQYAAAAABgAGAFkBAABrBQAAAAA=&#10;">
              <v:fill on="f" focussize="0,0"/>
              <v:stroke on="f"/>
              <v:imagedata o:title=""/>
              <o:lock v:ext="edit" aspectratio="f"/>
              <v:textbox inset="0mm,0mm,0mm,0mm" style="mso-fit-shape-to-text:t;">
                <w:txbxContent>
                  <w:p w14:paraId="6E1280C2">
                    <w:pPr>
                      <w:tabs>
                        <w:tab w:val="center" w:pos="4153"/>
                        <w:tab w:val="right" w:pos="8306"/>
                      </w:tabs>
                      <w:snapToGrid w:val="0"/>
                      <w:ind w:firstLine="360"/>
                      <w:jc w:val="left"/>
                      <w:rPr>
                        <w:kern w:val="0"/>
                        <w:sz w:val="18"/>
                        <w:szCs w:val="20"/>
                      </w:rPr>
                    </w:pPr>
                    <w:r>
                      <w:rPr>
                        <w:kern w:val="0"/>
                        <w:sz w:val="18"/>
                        <w:szCs w:val="20"/>
                      </w:rPr>
                      <w:fldChar w:fldCharType="begin"/>
                    </w:r>
                    <w:r>
                      <w:rPr>
                        <w:kern w:val="0"/>
                        <w:sz w:val="18"/>
                        <w:szCs w:val="20"/>
                      </w:rPr>
                      <w:instrText xml:space="preserve"> PAGE  \* MERGEFORMAT </w:instrText>
                    </w:r>
                    <w:r>
                      <w:rPr>
                        <w:kern w:val="0"/>
                        <w:sz w:val="18"/>
                        <w:szCs w:val="20"/>
                      </w:rPr>
                      <w:fldChar w:fldCharType="separate"/>
                    </w:r>
                    <w:r>
                      <w:rPr>
                        <w:kern w:val="0"/>
                        <w:sz w:val="18"/>
                        <w:szCs w:val="20"/>
                      </w:rPr>
                      <w:t>24</w:t>
                    </w:r>
                    <w:r>
                      <w:rPr>
                        <w:kern w:val="0"/>
                        <w:sz w:val="18"/>
                        <w:szCs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D7D6E">
    <w:pPr>
      <w:tabs>
        <w:tab w:val="center" w:pos="4153"/>
        <w:tab w:val="right" w:pos="8306"/>
      </w:tabs>
      <w:snapToGrid w:val="0"/>
      <w:ind w:right="360" w:firstLine="360"/>
      <w:jc w:val="center"/>
      <w:rPr>
        <w:kern w:val="0"/>
        <w:sz w:val="18"/>
        <w:szCs w:val="20"/>
      </w:rPr>
    </w:pPr>
    <w:r>
      <w:rPr>
        <w:kern w:val="0"/>
        <w:sz w:val="18"/>
        <w:szCs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31960">
                          <w:pPr>
                            <w:tabs>
                              <w:tab w:val="center" w:pos="4153"/>
                              <w:tab w:val="right" w:pos="8306"/>
                            </w:tabs>
                            <w:snapToGrid w:val="0"/>
                            <w:ind w:firstLine="360"/>
                            <w:jc w:val="left"/>
                            <w:rPr>
                              <w:kern w:val="0"/>
                              <w:sz w:val="18"/>
                              <w:szCs w:val="20"/>
                            </w:rPr>
                          </w:pPr>
                          <w:r>
                            <w:rPr>
                              <w:kern w:val="0"/>
                              <w:sz w:val="18"/>
                              <w:szCs w:val="20"/>
                            </w:rPr>
                            <w:fldChar w:fldCharType="begin"/>
                          </w:r>
                          <w:r>
                            <w:rPr>
                              <w:kern w:val="0"/>
                              <w:sz w:val="18"/>
                              <w:szCs w:val="20"/>
                            </w:rPr>
                            <w:instrText xml:space="preserve"> PAGE  \* MERGEFORMAT </w:instrText>
                          </w:r>
                          <w:r>
                            <w:rPr>
                              <w:kern w:val="0"/>
                              <w:sz w:val="18"/>
                              <w:szCs w:val="20"/>
                            </w:rPr>
                            <w:fldChar w:fldCharType="separate"/>
                          </w:r>
                          <w:r>
                            <w:rPr>
                              <w:kern w:val="0"/>
                              <w:sz w:val="18"/>
                              <w:szCs w:val="20"/>
                            </w:rPr>
                            <w:t>53</w:t>
                          </w:r>
                          <w:r>
                            <w:rPr>
                              <w:kern w:val="0"/>
                              <w:sz w:val="18"/>
                              <w:szCs w:val="20"/>
                            </w:rPr>
                            <w:fldChar w:fldCharType="end"/>
                          </w:r>
                        </w:p>
                      </w:txbxContent>
                    </wps:txbx>
                    <wps:bodyPr vert="horz" wrap="none" lIns="0" tIns="0" rIns="0" bIns="0" anchor="t" anchorCtr="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BDv+0HaAQAAtQMAAA4AAAAAAAAAAQAg&#10;AAAAHgEAAGRycy9lMm9Eb2MueG1sUEsFBgAAAAAGAAYAWQEAAGoFAAAAAA==&#10;">
              <v:fill on="f" focussize="0,0"/>
              <v:stroke on="f"/>
              <v:imagedata o:title=""/>
              <o:lock v:ext="edit" aspectratio="f"/>
              <v:textbox inset="0mm,0mm,0mm,0mm" style="mso-fit-shape-to-text:t;">
                <w:txbxContent>
                  <w:p w14:paraId="49731960">
                    <w:pPr>
                      <w:tabs>
                        <w:tab w:val="center" w:pos="4153"/>
                        <w:tab w:val="right" w:pos="8306"/>
                      </w:tabs>
                      <w:snapToGrid w:val="0"/>
                      <w:ind w:firstLine="360"/>
                      <w:jc w:val="left"/>
                      <w:rPr>
                        <w:kern w:val="0"/>
                        <w:sz w:val="18"/>
                        <w:szCs w:val="20"/>
                      </w:rPr>
                    </w:pPr>
                    <w:r>
                      <w:rPr>
                        <w:kern w:val="0"/>
                        <w:sz w:val="18"/>
                        <w:szCs w:val="20"/>
                      </w:rPr>
                      <w:fldChar w:fldCharType="begin"/>
                    </w:r>
                    <w:r>
                      <w:rPr>
                        <w:kern w:val="0"/>
                        <w:sz w:val="18"/>
                        <w:szCs w:val="20"/>
                      </w:rPr>
                      <w:instrText xml:space="preserve"> PAGE  \* MERGEFORMAT </w:instrText>
                    </w:r>
                    <w:r>
                      <w:rPr>
                        <w:kern w:val="0"/>
                        <w:sz w:val="18"/>
                        <w:szCs w:val="20"/>
                      </w:rPr>
                      <w:fldChar w:fldCharType="separate"/>
                    </w:r>
                    <w:r>
                      <w:rPr>
                        <w:kern w:val="0"/>
                        <w:sz w:val="18"/>
                        <w:szCs w:val="20"/>
                      </w:rPr>
                      <w:t>53</w:t>
                    </w:r>
                    <w:r>
                      <w:rPr>
                        <w:kern w:val="0"/>
                        <w:sz w:val="18"/>
                        <w:szCs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F0208"/>
    <w:multiLevelType w:val="singleLevel"/>
    <w:tmpl w:val="002F0208"/>
    <w:lvl w:ilvl="0" w:tentative="0">
      <w:start w:val="8"/>
      <w:numFmt w:val="decimal"/>
      <w:suff w:val="nothing"/>
      <w:lvlText w:val="%1、"/>
      <w:lvlJc w:val="left"/>
    </w:lvl>
  </w:abstractNum>
  <w:abstractNum w:abstractNumId="1">
    <w:nsid w:val="0B33E163"/>
    <w:multiLevelType w:val="singleLevel"/>
    <w:tmpl w:val="0B33E16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93"/>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5YjE5YTM2Njc0YTFkOTBjYjRiYzU0OWVkNWU4NDAifQ=="/>
  </w:docVars>
  <w:rsids>
    <w:rsidRoot w:val="66464E7E"/>
    <w:rsid w:val="003E3E8A"/>
    <w:rsid w:val="00C0651A"/>
    <w:rsid w:val="00D6456B"/>
    <w:rsid w:val="020531A4"/>
    <w:rsid w:val="035E7C2D"/>
    <w:rsid w:val="03B10EED"/>
    <w:rsid w:val="03BD60FB"/>
    <w:rsid w:val="053D5600"/>
    <w:rsid w:val="056D178C"/>
    <w:rsid w:val="05CD5D86"/>
    <w:rsid w:val="06A0349B"/>
    <w:rsid w:val="07923B8C"/>
    <w:rsid w:val="07BB7F20"/>
    <w:rsid w:val="0B452387"/>
    <w:rsid w:val="0C450D6C"/>
    <w:rsid w:val="0C9F0AE6"/>
    <w:rsid w:val="0D246853"/>
    <w:rsid w:val="0ED11397"/>
    <w:rsid w:val="0F341A2E"/>
    <w:rsid w:val="0F694ED0"/>
    <w:rsid w:val="101341C7"/>
    <w:rsid w:val="113807C8"/>
    <w:rsid w:val="119234C8"/>
    <w:rsid w:val="12FE3D24"/>
    <w:rsid w:val="140432BB"/>
    <w:rsid w:val="14AA4EE0"/>
    <w:rsid w:val="15051A01"/>
    <w:rsid w:val="15FA7A7E"/>
    <w:rsid w:val="1649149B"/>
    <w:rsid w:val="16BE5831"/>
    <w:rsid w:val="16FE2981"/>
    <w:rsid w:val="17232ACC"/>
    <w:rsid w:val="176E7133"/>
    <w:rsid w:val="182C6AC3"/>
    <w:rsid w:val="18405A8C"/>
    <w:rsid w:val="1864257A"/>
    <w:rsid w:val="1B843A53"/>
    <w:rsid w:val="1C1B29EE"/>
    <w:rsid w:val="1CCD2C6F"/>
    <w:rsid w:val="1EA52683"/>
    <w:rsid w:val="1ED16490"/>
    <w:rsid w:val="1EDF292B"/>
    <w:rsid w:val="1F7C1DF0"/>
    <w:rsid w:val="1F982427"/>
    <w:rsid w:val="205056F9"/>
    <w:rsid w:val="20ED5AAC"/>
    <w:rsid w:val="215153E9"/>
    <w:rsid w:val="21764AE3"/>
    <w:rsid w:val="219000B6"/>
    <w:rsid w:val="219A0DBB"/>
    <w:rsid w:val="21E03584"/>
    <w:rsid w:val="22BD1205"/>
    <w:rsid w:val="22FD6550"/>
    <w:rsid w:val="2307383D"/>
    <w:rsid w:val="23076924"/>
    <w:rsid w:val="23531B69"/>
    <w:rsid w:val="23B20D97"/>
    <w:rsid w:val="23C877EF"/>
    <w:rsid w:val="25176129"/>
    <w:rsid w:val="25255112"/>
    <w:rsid w:val="25DC1009"/>
    <w:rsid w:val="27457105"/>
    <w:rsid w:val="27F21951"/>
    <w:rsid w:val="28216C2D"/>
    <w:rsid w:val="28DF1A1B"/>
    <w:rsid w:val="293F65B1"/>
    <w:rsid w:val="297B28D3"/>
    <w:rsid w:val="29D079AB"/>
    <w:rsid w:val="2A497D2D"/>
    <w:rsid w:val="2BAE323B"/>
    <w:rsid w:val="2BEB45DA"/>
    <w:rsid w:val="2C2B68CC"/>
    <w:rsid w:val="2C4604BD"/>
    <w:rsid w:val="2C9250EB"/>
    <w:rsid w:val="2CF5574C"/>
    <w:rsid w:val="2CF90FE0"/>
    <w:rsid w:val="2D031975"/>
    <w:rsid w:val="2DAD396C"/>
    <w:rsid w:val="2E1E6EF6"/>
    <w:rsid w:val="2EFD6442"/>
    <w:rsid w:val="2F2C7572"/>
    <w:rsid w:val="2FD302BA"/>
    <w:rsid w:val="3049232A"/>
    <w:rsid w:val="30913CD1"/>
    <w:rsid w:val="3180261F"/>
    <w:rsid w:val="33674F0E"/>
    <w:rsid w:val="33F50A6A"/>
    <w:rsid w:val="3522139B"/>
    <w:rsid w:val="35234AC0"/>
    <w:rsid w:val="36057042"/>
    <w:rsid w:val="37304882"/>
    <w:rsid w:val="373C071E"/>
    <w:rsid w:val="37BA6A30"/>
    <w:rsid w:val="391B7903"/>
    <w:rsid w:val="39925CD0"/>
    <w:rsid w:val="3BEB698B"/>
    <w:rsid w:val="3BEE7189"/>
    <w:rsid w:val="3BF5789C"/>
    <w:rsid w:val="3C487939"/>
    <w:rsid w:val="3CA5756E"/>
    <w:rsid w:val="40D60B4C"/>
    <w:rsid w:val="413F3551"/>
    <w:rsid w:val="41AB61C9"/>
    <w:rsid w:val="421E2009"/>
    <w:rsid w:val="422E75D1"/>
    <w:rsid w:val="425877AA"/>
    <w:rsid w:val="42895E35"/>
    <w:rsid w:val="428D0561"/>
    <w:rsid w:val="42BC2E2F"/>
    <w:rsid w:val="431A5637"/>
    <w:rsid w:val="438B4955"/>
    <w:rsid w:val="43EE2C61"/>
    <w:rsid w:val="451E5E47"/>
    <w:rsid w:val="45617CBE"/>
    <w:rsid w:val="463D39C2"/>
    <w:rsid w:val="46CE4EDF"/>
    <w:rsid w:val="46DE380B"/>
    <w:rsid w:val="470F110C"/>
    <w:rsid w:val="477E7E6B"/>
    <w:rsid w:val="49A53A6D"/>
    <w:rsid w:val="49D97069"/>
    <w:rsid w:val="4AD54A8E"/>
    <w:rsid w:val="4B2D3CD3"/>
    <w:rsid w:val="4B58746D"/>
    <w:rsid w:val="4B8D190A"/>
    <w:rsid w:val="4BEC2A9A"/>
    <w:rsid w:val="4C2A274B"/>
    <w:rsid w:val="4CFF6A2B"/>
    <w:rsid w:val="4D702B40"/>
    <w:rsid w:val="4E264991"/>
    <w:rsid w:val="4F4D76E9"/>
    <w:rsid w:val="4F5F4528"/>
    <w:rsid w:val="4FCD2415"/>
    <w:rsid w:val="4FE51562"/>
    <w:rsid w:val="50684182"/>
    <w:rsid w:val="506E5D83"/>
    <w:rsid w:val="521D3453"/>
    <w:rsid w:val="5587381A"/>
    <w:rsid w:val="5613043C"/>
    <w:rsid w:val="56B85D14"/>
    <w:rsid w:val="56D106EB"/>
    <w:rsid w:val="57191793"/>
    <w:rsid w:val="571F4A8B"/>
    <w:rsid w:val="578B5E89"/>
    <w:rsid w:val="58327C4A"/>
    <w:rsid w:val="59084281"/>
    <w:rsid w:val="5B945774"/>
    <w:rsid w:val="5C861C80"/>
    <w:rsid w:val="5CD5202A"/>
    <w:rsid w:val="5CE80205"/>
    <w:rsid w:val="5EBA601D"/>
    <w:rsid w:val="5ED56C28"/>
    <w:rsid w:val="5FA82319"/>
    <w:rsid w:val="60867497"/>
    <w:rsid w:val="60A96349"/>
    <w:rsid w:val="60AE46B5"/>
    <w:rsid w:val="61F720B4"/>
    <w:rsid w:val="625C4C4D"/>
    <w:rsid w:val="62996D2E"/>
    <w:rsid w:val="62DF3C84"/>
    <w:rsid w:val="62E31CE0"/>
    <w:rsid w:val="630F1206"/>
    <w:rsid w:val="638E798F"/>
    <w:rsid w:val="63B345C4"/>
    <w:rsid w:val="64300262"/>
    <w:rsid w:val="65004425"/>
    <w:rsid w:val="658D448B"/>
    <w:rsid w:val="65A14D72"/>
    <w:rsid w:val="65C6571A"/>
    <w:rsid w:val="66464E7E"/>
    <w:rsid w:val="66F9345B"/>
    <w:rsid w:val="67112E9A"/>
    <w:rsid w:val="67B63965"/>
    <w:rsid w:val="68FB170C"/>
    <w:rsid w:val="69C05F4E"/>
    <w:rsid w:val="6B240B57"/>
    <w:rsid w:val="6B515669"/>
    <w:rsid w:val="6B7831AC"/>
    <w:rsid w:val="6B84301E"/>
    <w:rsid w:val="6C8E2897"/>
    <w:rsid w:val="6DA6473A"/>
    <w:rsid w:val="6DCA3B30"/>
    <w:rsid w:val="6F104E6D"/>
    <w:rsid w:val="6FA8314D"/>
    <w:rsid w:val="6FAE553C"/>
    <w:rsid w:val="706C2EEF"/>
    <w:rsid w:val="70893AA1"/>
    <w:rsid w:val="709D754D"/>
    <w:rsid w:val="71793AE5"/>
    <w:rsid w:val="718D41AF"/>
    <w:rsid w:val="724A17E8"/>
    <w:rsid w:val="73282016"/>
    <w:rsid w:val="73AD3F4B"/>
    <w:rsid w:val="73E91DAF"/>
    <w:rsid w:val="74402617"/>
    <w:rsid w:val="74EB1391"/>
    <w:rsid w:val="75793EC4"/>
    <w:rsid w:val="75AF7A9A"/>
    <w:rsid w:val="75ED4AD2"/>
    <w:rsid w:val="766205B1"/>
    <w:rsid w:val="7728340E"/>
    <w:rsid w:val="77502348"/>
    <w:rsid w:val="77FC7C4F"/>
    <w:rsid w:val="78092D44"/>
    <w:rsid w:val="782E34F2"/>
    <w:rsid w:val="787114DC"/>
    <w:rsid w:val="78823848"/>
    <w:rsid w:val="78B50533"/>
    <w:rsid w:val="7A1719B7"/>
    <w:rsid w:val="7AA02113"/>
    <w:rsid w:val="7B38461B"/>
    <w:rsid w:val="7B885CA0"/>
    <w:rsid w:val="7D0050EB"/>
    <w:rsid w:val="7EC43985"/>
    <w:rsid w:val="7EE770B0"/>
    <w:rsid w:val="7F6D27E0"/>
    <w:rsid w:val="7FE84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1"/>
    <w:autoRedefine/>
    <w:qFormat/>
    <w:uiPriority w:val="0"/>
    <w:pPr>
      <w:ind w:firstLine="0" w:firstLineChars="0"/>
      <w:jc w:val="left"/>
      <w:outlineLvl w:val="0"/>
    </w:pPr>
    <w:rPr>
      <w:rFonts w:eastAsia="黑体"/>
      <w:b/>
      <w:sz w:val="32"/>
      <w:szCs w:val="33"/>
    </w:rPr>
  </w:style>
  <w:style w:type="paragraph" w:styleId="3">
    <w:name w:val="heading 2"/>
    <w:basedOn w:val="1"/>
    <w:next w:val="1"/>
    <w:link w:val="20"/>
    <w:semiHidden/>
    <w:unhideWhenUsed/>
    <w:qFormat/>
    <w:uiPriority w:val="0"/>
    <w:pPr>
      <w:ind w:firstLine="0" w:firstLineChars="0"/>
      <w:outlineLvl w:val="1"/>
    </w:pPr>
    <w:rPr>
      <w:rFonts w:eastAsia="黑体"/>
      <w:b/>
      <w:sz w:val="28"/>
      <w:szCs w:val="28"/>
    </w:rPr>
  </w:style>
  <w:style w:type="paragraph" w:styleId="4">
    <w:name w:val="heading 3"/>
    <w:basedOn w:val="1"/>
    <w:link w:val="23"/>
    <w:semiHidden/>
    <w:unhideWhenUsed/>
    <w:qFormat/>
    <w:uiPriority w:val="0"/>
    <w:pPr>
      <w:outlineLvl w:val="2"/>
    </w:pPr>
    <w:rPr>
      <w:rFonts w:eastAsia="黑体"/>
      <w:b/>
      <w:szCs w:val="27"/>
    </w:rPr>
  </w:style>
  <w:style w:type="paragraph" w:styleId="5">
    <w:name w:val="heading 4"/>
    <w:basedOn w:val="1"/>
    <w:next w:val="1"/>
    <w:semiHidden/>
    <w:unhideWhenUsed/>
    <w:qFormat/>
    <w:uiPriority w:val="0"/>
    <w:pPr>
      <w:keepNext/>
      <w:keepLines/>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6">
    <w:name w:val="annotation text"/>
    <w:basedOn w:val="1"/>
    <w:link w:val="27"/>
    <w:qFormat/>
    <w:uiPriority w:val="0"/>
    <w:pPr>
      <w:jc w:val="left"/>
    </w:pPr>
  </w:style>
  <w:style w:type="paragraph" w:styleId="7">
    <w:name w:val="Body Text"/>
    <w:basedOn w:val="1"/>
    <w:link w:val="22"/>
    <w:qFormat/>
    <w:uiPriority w:val="0"/>
    <w:rPr>
      <w:rFonts w:hint="eastAsia" w:ascii="宋体" w:hAnsi="宋体"/>
    </w:rPr>
  </w:style>
  <w:style w:type="paragraph" w:styleId="8">
    <w:name w:val="toc 3"/>
    <w:basedOn w:val="1"/>
    <w:next w:val="1"/>
    <w:qFormat/>
    <w:uiPriority w:val="0"/>
    <w:pPr>
      <w:tabs>
        <w:tab w:val="right" w:leader="dot" w:pos="9750"/>
      </w:tabs>
      <w:ind w:left="1440" w:leftChars="600" w:firstLine="0" w:firstLineChars="0"/>
    </w:pPr>
    <w:rPr>
      <w:rFonts w:ascii="宋体" w:hAnsi="宋体"/>
    </w:rPr>
  </w:style>
  <w:style w:type="paragraph" w:styleId="9">
    <w:name w:val="Balloon Text"/>
    <w:basedOn w:val="1"/>
    <w:link w:val="29"/>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2">
    <w:name w:val="toc 1"/>
    <w:basedOn w:val="1"/>
    <w:next w:val="1"/>
    <w:qFormat/>
    <w:uiPriority w:val="0"/>
    <w:pPr>
      <w:ind w:firstLine="0" w:firstLineChars="0"/>
    </w:pPr>
    <w:rPr>
      <w:rFonts w:ascii="宋体" w:hAnsi="宋体" w:eastAsia="黑体"/>
      <w:b/>
      <w:szCs w:val="20"/>
    </w:rPr>
  </w:style>
  <w:style w:type="paragraph" w:styleId="13">
    <w:name w:val="toc 2"/>
    <w:basedOn w:val="1"/>
    <w:next w:val="1"/>
    <w:qFormat/>
    <w:uiPriority w:val="0"/>
    <w:pPr>
      <w:tabs>
        <w:tab w:val="right" w:leader="dot" w:pos="8880"/>
      </w:tabs>
      <w:ind w:firstLine="1124" w:firstLineChars="400"/>
    </w:pPr>
    <w:rPr>
      <w:bCs/>
      <w:szCs w:val="32"/>
    </w:rPr>
  </w:style>
  <w:style w:type="paragraph" w:styleId="14">
    <w:name w:val="Normal (Web)"/>
    <w:basedOn w:val="1"/>
    <w:qFormat/>
    <w:uiPriority w:val="0"/>
    <w:pPr>
      <w:widowControl/>
      <w:spacing w:before="100" w:beforeAutospacing="1" w:after="100" w:afterAutospacing="1"/>
      <w:jc w:val="left"/>
    </w:pPr>
    <w:rPr>
      <w:rFonts w:ascii="宋体" w:hAnsi="宋体"/>
      <w:kern w:val="0"/>
      <w:szCs w:val="20"/>
    </w:rPr>
  </w:style>
  <w:style w:type="paragraph" w:styleId="15">
    <w:name w:val="annotation subject"/>
    <w:basedOn w:val="6"/>
    <w:next w:val="6"/>
    <w:link w:val="28"/>
    <w:qFormat/>
    <w:uiPriority w:val="0"/>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annotation reference"/>
    <w:basedOn w:val="18"/>
    <w:qFormat/>
    <w:uiPriority w:val="0"/>
    <w:rPr>
      <w:sz w:val="21"/>
      <w:szCs w:val="21"/>
    </w:rPr>
  </w:style>
  <w:style w:type="character" w:customStyle="1" w:styleId="20">
    <w:name w:val="标题 2 Char"/>
    <w:link w:val="3"/>
    <w:qFormat/>
    <w:uiPriority w:val="0"/>
    <w:rPr>
      <w:rFonts w:hint="eastAsia" w:ascii="Arial" w:hAnsi="Arial" w:eastAsia="黑体"/>
      <w:b/>
      <w:sz w:val="24"/>
      <w:lang w:eastAsia="zh-CN"/>
    </w:rPr>
  </w:style>
  <w:style w:type="character" w:customStyle="1" w:styleId="21">
    <w:name w:val="标题 1 Char"/>
    <w:link w:val="2"/>
    <w:autoRedefine/>
    <w:qFormat/>
    <w:uiPriority w:val="1"/>
    <w:rPr>
      <w:rFonts w:ascii="宋体" w:hAnsi="宋体" w:eastAsia="黑体"/>
      <w:b/>
      <w:sz w:val="30"/>
      <w:szCs w:val="33"/>
    </w:rPr>
  </w:style>
  <w:style w:type="character" w:customStyle="1" w:styleId="22">
    <w:name w:val="正文文本 Char"/>
    <w:basedOn w:val="18"/>
    <w:link w:val="7"/>
    <w:autoRedefine/>
    <w:qFormat/>
    <w:uiPriority w:val="0"/>
    <w:rPr>
      <w:rFonts w:hint="eastAsia" w:ascii="宋体" w:hAnsi="宋体" w:eastAsia="宋体" w:cs="宋体"/>
      <w:kern w:val="2"/>
      <w:sz w:val="24"/>
      <w:szCs w:val="24"/>
      <w:u w:val="none"/>
      <w:lang w:val="en-US" w:eastAsia="zh-CN" w:bidi="ar"/>
    </w:rPr>
  </w:style>
  <w:style w:type="character" w:customStyle="1" w:styleId="23">
    <w:name w:val="标题 3 Char"/>
    <w:basedOn w:val="18"/>
    <w:link w:val="4"/>
    <w:autoRedefine/>
    <w:qFormat/>
    <w:uiPriority w:val="0"/>
    <w:rPr>
      <w:rFonts w:hint="eastAsia" w:ascii="宋体" w:hAnsi="宋体" w:eastAsia="黑体" w:cs="宋体"/>
      <w:b/>
      <w:bCs/>
      <w:kern w:val="2"/>
      <w:sz w:val="24"/>
      <w:szCs w:val="32"/>
      <w:lang w:bidi="ar"/>
    </w:rPr>
  </w:style>
  <w:style w:type="table" w:customStyle="1" w:styleId="24">
    <w:name w:val="TableGrid"/>
    <w:qFormat/>
    <w:uiPriority w:val="0"/>
    <w:tblPr>
      <w:tblCellMar>
        <w:top w:w="0" w:type="dxa"/>
        <w:left w:w="0" w:type="dxa"/>
        <w:bottom w:w="0" w:type="dxa"/>
        <w:right w:w="0" w:type="dxa"/>
      </w:tblCellMar>
    </w:tblPr>
  </w:style>
  <w:style w:type="paragraph" w:customStyle="1" w:styleId="25">
    <w:name w:val="Table Paragraph"/>
    <w:basedOn w:val="1"/>
    <w:unhideWhenUsed/>
    <w:qFormat/>
    <w:uiPriority w:val="1"/>
    <w:rPr>
      <w:rFonts w:hint="eastAsia"/>
    </w:rPr>
  </w:style>
  <w:style w:type="paragraph" w:customStyle="1" w:styleId="26">
    <w:name w:val="WPSOffice手动目录 1"/>
    <w:qFormat/>
    <w:uiPriority w:val="0"/>
    <w:rPr>
      <w:rFonts w:ascii="Times New Roman" w:hAnsi="Times New Roman" w:eastAsia="宋体" w:cs="Times New Roman"/>
      <w:lang w:val="en-US" w:eastAsia="zh-CN" w:bidi="ar-SA"/>
    </w:rPr>
  </w:style>
  <w:style w:type="character" w:customStyle="1" w:styleId="27">
    <w:name w:val="批注文字 Char"/>
    <w:basedOn w:val="18"/>
    <w:link w:val="6"/>
    <w:qFormat/>
    <w:uiPriority w:val="0"/>
    <w:rPr>
      <w:kern w:val="2"/>
      <w:sz w:val="24"/>
      <w:szCs w:val="24"/>
    </w:rPr>
  </w:style>
  <w:style w:type="character" w:customStyle="1" w:styleId="28">
    <w:name w:val="批注主题 Char"/>
    <w:basedOn w:val="27"/>
    <w:link w:val="15"/>
    <w:qFormat/>
    <w:uiPriority w:val="0"/>
    <w:rPr>
      <w:b/>
      <w:bCs/>
      <w:kern w:val="2"/>
      <w:sz w:val="24"/>
      <w:szCs w:val="24"/>
    </w:rPr>
  </w:style>
  <w:style w:type="character" w:customStyle="1" w:styleId="29">
    <w:name w:val="批注框文本 Char"/>
    <w:basedOn w:val="18"/>
    <w:link w:val="9"/>
    <w:qFormat/>
    <w:uiPriority w:val="0"/>
    <w:rPr>
      <w:kern w:val="2"/>
      <w:sz w:val="18"/>
      <w:szCs w:val="18"/>
    </w:rPr>
  </w:style>
  <w:style w:type="character" w:customStyle="1" w:styleId="30">
    <w:name w:val="15"/>
    <w:basedOn w:val="18"/>
    <w:uiPriority w:val="0"/>
    <w:rPr>
      <w:rFonts w:hint="default" w:ascii="Times New Roman" w:hAnsi="Times New Roman"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33736</Words>
  <Characters>37623</Characters>
  <Lines>1</Lines>
  <Paragraphs>1</Paragraphs>
  <TotalTime>47</TotalTime>
  <ScaleCrop>false</ScaleCrop>
  <LinksUpToDate>false</LinksUpToDate>
  <CharactersWithSpaces>37847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2024-09-09T01:23:00Z</dcterms:created>
  <dc:creator>流逝岁月</dc:creator>
  <cp:lastModifiedBy>流逝岁月</cp:lastModifiedBy>
  <dcterms:modified xsi:type="dcterms:W3CDTF">2024-09-13T15:48:46Z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8487DBC285B249FBAF0BE46739F0A185_13</vt:lpwstr>
  </property>
</Properties>
</file>