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ascii="??_GB2312" w:eastAsia="Times New Roman" w:cs="??_GB2312"/>
          <w:color w:val="000000" w:themeColor="text1"/>
          <w:sz w:val="32"/>
          <w:szCs w:val="32"/>
          <w:lang w:val="zh-CN"/>
          <w14:textFill>
            <w14:solidFill>
              <w14:schemeClr w14:val="tx1"/>
            </w14:solidFill>
          </w14:textFill>
        </w:rPr>
      </w:pPr>
    </w:p>
    <w:p>
      <w:pPr>
        <w:adjustRightInd w:val="0"/>
        <w:snapToGrid w:val="0"/>
        <w:spacing w:line="600" w:lineRule="exact"/>
        <w:jc w:val="center"/>
        <w:rPr>
          <w:rFonts w:ascii="??_GB2312" w:eastAsia="Times New Roman" w:cs="??_GB2312"/>
          <w:color w:val="000000" w:themeColor="text1"/>
          <w:sz w:val="32"/>
          <w:szCs w:val="32"/>
          <w:lang w:val="zh-CN"/>
          <w14:textFill>
            <w14:solidFill>
              <w14:schemeClr w14:val="tx1"/>
            </w14:solidFill>
          </w14:textFill>
        </w:rPr>
      </w:pPr>
    </w:p>
    <w:p>
      <w:pPr>
        <w:adjustRightInd w:val="0"/>
        <w:snapToGrid w:val="0"/>
        <w:spacing w:line="600" w:lineRule="exact"/>
        <w:jc w:val="center"/>
        <w:rPr>
          <w:rFonts w:ascii="??_GB2312" w:eastAsia="Times New Roman" w:cs="??_GB2312"/>
          <w:color w:val="000000" w:themeColor="text1"/>
          <w:sz w:val="32"/>
          <w:szCs w:val="32"/>
          <w:lang w:val="zh-CN"/>
          <w14:textFill>
            <w14:solidFill>
              <w14:schemeClr w14:val="tx1"/>
            </w14:solidFill>
          </w14:textFill>
        </w:rPr>
      </w:pPr>
    </w:p>
    <w:p>
      <w:pPr>
        <w:adjustRightInd w:val="0"/>
        <w:snapToGrid w:val="0"/>
        <w:spacing w:line="600" w:lineRule="exact"/>
        <w:jc w:val="center"/>
        <w:rPr>
          <w:rFonts w:ascii="仿宋_GB2312" w:hAnsi="仿宋" w:eastAsia="仿宋_GB2312" w:cs="??_GB2312"/>
          <w:color w:val="000000" w:themeColor="text1"/>
          <w:sz w:val="32"/>
          <w:szCs w:val="32"/>
          <w:lang w:val="zh-CN"/>
          <w14:textFill>
            <w14:solidFill>
              <w14:schemeClr w14:val="tx1"/>
            </w14:solidFill>
          </w14:textFill>
        </w:rPr>
      </w:pPr>
      <w:r>
        <w:rPr>
          <w:rFonts w:hint="eastAsia" w:ascii="仿宋_GB2312" w:hAnsi="仿宋" w:eastAsia="仿宋_GB2312" w:cs="??_GB2312"/>
          <w:color w:val="000000" w:themeColor="text1"/>
          <w:sz w:val="32"/>
          <w:szCs w:val="32"/>
          <w:lang w:val="zh-CN"/>
          <w14:textFill>
            <w14:solidFill>
              <w14:schemeClr w14:val="tx1"/>
            </w14:solidFill>
          </w14:textFill>
        </w:rPr>
        <w:t>零环评〔2024〕</w:t>
      </w:r>
      <w:r>
        <w:rPr>
          <w:rFonts w:hint="eastAsia" w:ascii="仿宋_GB2312" w:hAnsi="仿宋" w:eastAsia="仿宋_GB2312" w:cs="??_GB2312"/>
          <w:color w:val="000000" w:themeColor="text1"/>
          <w:sz w:val="32"/>
          <w:szCs w:val="32"/>
          <w14:textFill>
            <w14:solidFill>
              <w14:schemeClr w14:val="tx1"/>
            </w14:solidFill>
          </w14:textFill>
        </w:rPr>
        <w:t>1</w:t>
      </w:r>
      <w:r>
        <w:rPr>
          <w:rFonts w:hint="eastAsia" w:ascii="仿宋_GB2312" w:hAnsi="仿宋" w:eastAsia="仿宋_GB2312" w:cs="??_GB2312"/>
          <w:color w:val="000000" w:themeColor="text1"/>
          <w:sz w:val="32"/>
          <w:szCs w:val="32"/>
          <w:lang w:val="en-US" w:eastAsia="zh-CN"/>
          <w14:textFill>
            <w14:solidFill>
              <w14:schemeClr w14:val="tx1"/>
            </w14:solidFill>
          </w14:textFill>
        </w:rPr>
        <w:t>4</w:t>
      </w:r>
      <w:r>
        <w:rPr>
          <w:rFonts w:hint="eastAsia" w:ascii="仿宋_GB2312" w:hAnsi="仿宋" w:eastAsia="仿宋_GB2312" w:cs="??_GB2312"/>
          <w:color w:val="000000" w:themeColor="text1"/>
          <w:sz w:val="32"/>
          <w:szCs w:val="32"/>
          <w:lang w:val="zh-CN"/>
          <w14:textFill>
            <w14:solidFill>
              <w14:schemeClr w14:val="tx1"/>
            </w14:solidFill>
          </w14:textFill>
        </w:rPr>
        <w:t>号</w:t>
      </w:r>
    </w:p>
    <w:p>
      <w:pPr>
        <w:adjustRightInd w:val="0"/>
        <w:snapToGrid w:val="0"/>
        <w:spacing w:line="600" w:lineRule="exact"/>
        <w:rPr>
          <w:rFonts w:ascii="仿宋" w:hAnsi="仿宋" w:eastAsia="仿宋"/>
          <w:b/>
          <w:bCs/>
          <w:color w:val="000000" w:themeColor="text1"/>
          <w:sz w:val="32"/>
          <w:szCs w:val="32"/>
          <w14:textFill>
            <w14:solidFill>
              <w14:schemeClr w14:val="tx1"/>
            </w14:solidFill>
          </w14:textFill>
        </w:rPr>
      </w:pPr>
    </w:p>
    <w:p>
      <w:pPr>
        <w:spacing w:line="580" w:lineRule="exact"/>
        <w:jc w:val="center"/>
        <w:rPr>
          <w:rFonts w:hint="eastAsia" w:ascii="方正小标宋简体" w:hAnsi="方正小标宋简体" w:eastAsia="方正小标宋简体" w:cs="方正小标宋简体"/>
          <w:b w:val="0"/>
          <w:bCs w:val="0"/>
          <w:color w:val="000000" w:themeColor="text1"/>
          <w:sz w:val="44"/>
          <w:szCs w:val="44"/>
          <w:lang w:val="en-GB"/>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zh-CN"/>
          <w14:textFill>
            <w14:solidFill>
              <w14:schemeClr w14:val="tx1"/>
            </w14:solidFill>
          </w14:textFill>
        </w:rPr>
        <w:t>关于</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湖南永韵加气混凝土砌块协同处置一般工业固体废物改扩建项目环境影响报告表</w:t>
      </w:r>
      <w:r>
        <w:rPr>
          <w:rFonts w:hint="eastAsia" w:ascii="方正小标宋简体" w:hAnsi="方正小标宋简体" w:eastAsia="方正小标宋简体" w:cs="方正小标宋简体"/>
          <w:b w:val="0"/>
          <w:bCs w:val="0"/>
          <w:color w:val="000000" w:themeColor="text1"/>
          <w:sz w:val="44"/>
          <w:szCs w:val="44"/>
          <w:lang w:val="zh-CN"/>
          <w14:textFill>
            <w14:solidFill>
              <w14:schemeClr w14:val="tx1"/>
            </w14:solidFill>
          </w14:textFill>
        </w:rPr>
        <w:t>的批复</w:t>
      </w: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湖南永韵环保科技有限公司</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pStyle w:val="24"/>
        <w:keepNext w:val="0"/>
        <w:keepLines w:val="0"/>
        <w:pageBreakBefore w:val="0"/>
        <w:widowControl w:val="0"/>
        <w:kinsoku/>
        <w:wordWrap/>
        <w:overflowPunct/>
        <w:topLinePunct w:val="0"/>
        <w:autoSpaceDE/>
        <w:autoSpaceDN/>
        <w:bidi w:val="0"/>
        <w:spacing w:beforeLines="0" w:afterLines="0" w:line="560" w:lineRule="exact"/>
        <w:ind w:firstLine="64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你公司关于申请批复的请示和《湖南永韵加气混凝土砌块协同处置一般工业固体废物改扩建项目环境影响报告表》(报批稿)及相关附件收悉，经研究，现批复如下：</w:t>
      </w:r>
    </w:p>
    <w:p>
      <w:pPr>
        <w:pStyle w:val="24"/>
        <w:keepNext w:val="0"/>
        <w:keepLines w:val="0"/>
        <w:pageBreakBefore w:val="0"/>
        <w:widowControl w:val="0"/>
        <w:kinsoku/>
        <w:wordWrap/>
        <w:overflowPunct/>
        <w:topLinePunct w:val="0"/>
        <w:autoSpaceDE/>
        <w:autoSpaceDN/>
        <w:bidi w:val="0"/>
        <w:spacing w:beforeLines="0" w:afterLines="0"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一、你公司拟在永州市零陵区接履桥镇集义村现有厂区内建设湖南永韵加气混凝土砌块协同处置一般工业固体废物改扩建项目。项目系在现有厂区范围内建设，不涉及新增用地，总投资</w:t>
      </w:r>
      <w:r>
        <w:rPr>
          <w:rFonts w:hint="eastAsia"/>
          <w:color w:val="000000" w:themeColor="text1"/>
          <w:sz w:val="32"/>
          <w:szCs w:val="32"/>
          <w14:textFill>
            <w14:solidFill>
              <w14:schemeClr w14:val="tx1"/>
            </w14:solidFill>
          </w14:textFill>
        </w:rPr>
        <w:t>2000</w:t>
      </w:r>
      <w:r>
        <w:rPr>
          <w:rFonts w:hint="eastAsia" w:ascii="仿宋_GB2312" w:hAnsi="仿宋_GB2312" w:eastAsia="仿宋_GB2312" w:cs="仿宋_GB2312"/>
          <w:color w:val="000000" w:themeColor="text1"/>
          <w:sz w:val="32"/>
          <w:szCs w:val="32"/>
          <w14:textFill>
            <w14:solidFill>
              <w14:schemeClr w14:val="tx1"/>
            </w14:solidFill>
          </w14:textFill>
        </w:rPr>
        <w:t>万元（新增环保投资21万元，占总投资的1.05</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），工程主要建设两座共2600</w:t>
      </w:r>
      <w:r>
        <w:rPr>
          <w:rFonts w:ascii="仿宋_GB2312" w:hAnsi="仿宋_GB2312" w:eastAsia="仿宋_GB2312" w:cs="仿宋_GB2312"/>
          <w:color w:val="000000" w:themeColor="text1"/>
          <w:sz w:val="32"/>
          <w:szCs w:val="32"/>
          <w14:textFill>
            <w14:solidFill>
              <w14:schemeClr w14:val="tx1"/>
            </w14:solidFill>
          </w14:textFill>
        </w:rPr>
        <w:t>m</w:t>
      </w:r>
      <w:r>
        <w:rPr>
          <w:rFonts w:ascii="仿宋_GB2312" w:hAnsi="仿宋_GB2312" w:eastAsia="仿宋_GB2312" w:cs="仿宋_GB2312"/>
          <w:color w:val="000000" w:themeColor="text1"/>
          <w:sz w:val="32"/>
          <w:szCs w:val="32"/>
          <w:vertAlign w:val="superscript"/>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一般固废仓库、固废投加系统、环保工程等，购置1台1</w:t>
      </w:r>
      <w:r>
        <w:rPr>
          <w:rFonts w:ascii="仿宋_GB2312" w:hAnsi="仿宋_GB2312" w:eastAsia="仿宋_GB2312" w:cs="仿宋_GB2312"/>
          <w:color w:val="000000" w:themeColor="text1"/>
          <w:sz w:val="32"/>
          <w:szCs w:val="32"/>
          <w14:textFill>
            <w14:solidFill>
              <w14:schemeClr w14:val="tx1"/>
            </w14:solidFill>
          </w14:textFill>
        </w:rPr>
        <w:t>100吨双向静压机、履带式出砖机等，</w:t>
      </w:r>
      <w:r>
        <w:rPr>
          <w:rFonts w:hint="eastAsia" w:ascii="仿宋_GB2312" w:hAnsi="仿宋_GB2312" w:eastAsia="仿宋_GB2312" w:cs="仿宋_GB2312"/>
          <w:color w:val="000000" w:themeColor="text1"/>
          <w:sz w:val="32"/>
          <w:szCs w:val="32"/>
          <w14:textFill>
            <w14:solidFill>
              <w14:schemeClr w14:val="tx1"/>
            </w14:solidFill>
          </w14:textFill>
        </w:rPr>
        <w:t>并依托现有的球磨、搅拌等设备组成1蒸压灰砂砖生产线。在维持现有年产</w:t>
      </w:r>
      <w:r>
        <w:rPr>
          <w:rFonts w:eastAsia="仿宋_GB2312"/>
          <w:color w:val="000000" w:themeColor="text1"/>
          <w:sz w:val="32"/>
          <w:szCs w:val="32"/>
          <w14:textFill>
            <w14:solidFill>
              <w14:schemeClr w14:val="tx1"/>
            </w14:solidFill>
          </w14:textFill>
        </w:rPr>
        <w:t>20万m</w:t>
      </w:r>
      <w:r>
        <w:rPr>
          <w:rFonts w:eastAsia="仿宋_GB2312"/>
          <w:color w:val="000000" w:themeColor="text1"/>
          <w:sz w:val="32"/>
          <w:szCs w:val="32"/>
          <w:vertAlign w:val="superscript"/>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的混凝土加气砖能力的基础上</w:t>
      </w:r>
      <w:r>
        <w:rPr>
          <w:rFonts w:hint="eastAsia" w:ascii="仿宋_GB2312" w:hAnsi="仿宋_GB2312" w:eastAsia="仿宋_GB2312" w:cs="仿宋_GB2312"/>
          <w:color w:val="000000" w:themeColor="text1"/>
          <w:sz w:val="32"/>
          <w:szCs w:val="32"/>
          <w14:textFill>
            <w14:solidFill>
              <w14:schemeClr w14:val="tx1"/>
            </w14:solidFill>
          </w14:textFill>
        </w:rPr>
        <w:t>，新增年产</w:t>
      </w:r>
      <w:r>
        <w:rPr>
          <w:rFonts w:ascii="仿宋_GB2312" w:hAnsi="仿宋_GB2312" w:eastAsia="仿宋_GB2312" w:cs="仿宋_GB2312"/>
          <w:color w:val="000000" w:themeColor="text1"/>
          <w:sz w:val="32"/>
          <w:szCs w:val="32"/>
          <w14:textFill>
            <w14:solidFill>
              <w14:schemeClr w14:val="tx1"/>
            </w14:solidFill>
          </w14:textFill>
        </w:rPr>
        <w:t>12000万块蒸压灰砂砖</w:t>
      </w:r>
      <w:r>
        <w:rPr>
          <w:rFonts w:hint="eastAsia" w:ascii="仿宋_GB2312" w:hAnsi="仿宋_GB2312" w:eastAsia="仿宋_GB2312" w:cs="仿宋_GB2312"/>
          <w:color w:val="000000" w:themeColor="text1"/>
          <w:sz w:val="32"/>
          <w:szCs w:val="32"/>
          <w14:textFill>
            <w14:solidFill>
              <w14:schemeClr w14:val="tx1"/>
            </w14:solidFill>
          </w14:textFill>
        </w:rPr>
        <w:t>的产能</w:t>
      </w:r>
      <w:r>
        <w:rPr>
          <w:rFonts w:hint="eastAsia" w:ascii="仿宋_GB2312" w:hAnsi="仿宋_GB2312" w:eastAsia="仿宋_GB2312" w:cs="仿宋_GB2312"/>
          <w:color w:val="000000" w:themeColor="text1"/>
          <w:sz w:val="32"/>
          <w:szCs w:val="32"/>
          <w:lang w:val="en-GB"/>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改扩建完成后年综合利用一般工业固废规模为3</w:t>
      </w:r>
      <w:r>
        <w:rPr>
          <w:rFonts w:ascii="仿宋_GB2312" w:hAnsi="仿宋_GB2312" w:eastAsia="仿宋_GB2312" w:cs="仿宋_GB2312"/>
          <w:color w:val="000000" w:themeColor="text1"/>
          <w:sz w:val="32"/>
          <w:szCs w:val="32"/>
          <w14:textFill>
            <w14:solidFill>
              <w14:schemeClr w14:val="tx1"/>
            </w14:solidFill>
          </w14:textFill>
        </w:rPr>
        <w:t>0万t/a</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项目拟自行从光大环保能源（永州）有限公司引入蒸汽供热，场内现有的</w:t>
      </w:r>
      <w:r>
        <w:rPr>
          <w:rFonts w:hint="eastAsia" w:ascii="仿宋_GB2312" w:hAnsi="仿宋_GB2312" w:eastAsia="仿宋_GB2312" w:cs="仿宋_GB2312"/>
          <w:color w:val="000000" w:themeColor="text1"/>
          <w:sz w:val="32"/>
          <w:szCs w:val="32"/>
          <w14:textFill>
            <w14:solidFill>
              <w14:schemeClr w14:val="tx1"/>
            </w14:solidFill>
          </w14:textFill>
        </w:rPr>
        <w:t>6t/h的生物质锅炉改为备用。</w:t>
      </w:r>
    </w:p>
    <w:p>
      <w:pPr>
        <w:pStyle w:val="24"/>
        <w:keepNext w:val="0"/>
        <w:keepLines w:val="0"/>
        <w:pageBreakBefore w:val="0"/>
        <w:widowControl w:val="0"/>
        <w:kinsoku/>
        <w:wordWrap/>
        <w:overflowPunct/>
        <w:topLinePunct w:val="0"/>
        <w:autoSpaceDE/>
        <w:autoSpaceDN/>
        <w:bidi w:val="0"/>
        <w:spacing w:beforeLines="0" w:afterLines="0" w:line="560" w:lineRule="exact"/>
        <w:ind w:firstLine="640"/>
        <w:textAlignment w:val="auto"/>
        <w:rPr>
          <w:rFonts w:ascii="仿宋_GB2312" w:hAnsi="仿宋_GB2312" w:eastAsia="仿宋_GB2312" w:cs="仿宋_GB2312"/>
          <w:color w:val="000000" w:themeColor="text1"/>
          <w:kern w:val="32"/>
          <w:sz w:val="32"/>
          <w:szCs w:val="32"/>
          <w14:textFill>
            <w14:solidFill>
              <w14:schemeClr w14:val="tx1"/>
            </w14:solidFill>
          </w14:textFill>
        </w:rPr>
      </w:pPr>
      <w:r>
        <w:rPr>
          <w:rFonts w:hint="eastAsia" w:ascii="仿宋_GB2312" w:hAnsi="仿宋_GB2312" w:eastAsia="仿宋_GB2312" w:cs="仿宋_GB2312"/>
          <w:color w:val="000000" w:themeColor="text1"/>
          <w:kern w:val="32"/>
          <w:sz w:val="32"/>
          <w:szCs w:val="32"/>
          <w14:textFill>
            <w14:solidFill>
              <w14:schemeClr w14:val="tx1"/>
            </w14:solidFill>
          </w14:textFill>
        </w:rPr>
        <w:t>根据报告表评价结论和专家评审意见，在建设单位严格落实环评报告和本批复提出的各项环保要求及环境影响减缓措施，确保污染物达标排放的前提下，依据《中华人民共和国环境影响评价法》第二十二条等规定，</w:t>
      </w:r>
      <w:r>
        <w:rPr>
          <w:rFonts w:hint="eastAsia" w:ascii="仿宋_GB2312" w:hAnsi="仿宋_GB2312" w:eastAsia="仿宋_GB2312" w:cs="仿宋_GB2312"/>
          <w:bCs/>
          <w:color w:val="000000" w:themeColor="text1"/>
          <w:kern w:val="32"/>
          <w:sz w:val="32"/>
          <w:szCs w:val="32"/>
          <w14:textFill>
            <w14:solidFill>
              <w14:schemeClr w14:val="tx1"/>
            </w14:solidFill>
          </w14:textFill>
        </w:rPr>
        <w:t>从环保角度分析，我局同意</w:t>
      </w:r>
      <w:r>
        <w:rPr>
          <w:rFonts w:hint="eastAsia" w:ascii="仿宋_GB2312" w:hAnsi="仿宋_GB2312" w:eastAsia="仿宋_GB2312" w:cs="仿宋_GB2312"/>
          <w:color w:val="000000" w:themeColor="text1"/>
          <w:kern w:val="32"/>
          <w:sz w:val="32"/>
          <w:szCs w:val="32"/>
          <w14:textFill>
            <w14:solidFill>
              <w14:schemeClr w14:val="tx1"/>
            </w14:solidFill>
          </w14:textFill>
        </w:rPr>
        <w:t>该项目</w:t>
      </w:r>
      <w:r>
        <w:rPr>
          <w:rFonts w:hint="eastAsia" w:ascii="仿宋_GB2312" w:hAnsi="仿宋_GB2312" w:eastAsia="仿宋_GB2312" w:cs="仿宋_GB2312"/>
          <w:bCs/>
          <w:color w:val="000000" w:themeColor="text1"/>
          <w:kern w:val="32"/>
          <w:sz w:val="32"/>
          <w:szCs w:val="32"/>
          <w14:textFill>
            <w14:solidFill>
              <w14:schemeClr w14:val="tx1"/>
            </w14:solidFill>
          </w14:textFill>
        </w:rPr>
        <w:t>建设</w:t>
      </w:r>
      <w:r>
        <w:rPr>
          <w:rFonts w:hint="eastAsia" w:ascii="仿宋_GB2312" w:hAnsi="仿宋_GB2312" w:eastAsia="仿宋_GB2312" w:cs="仿宋_GB2312"/>
          <w:color w:val="000000" w:themeColor="text1"/>
          <w:kern w:val="32"/>
          <w:sz w:val="32"/>
          <w:szCs w:val="32"/>
          <w14:textFill>
            <w14:solidFill>
              <w14:schemeClr w14:val="tx1"/>
            </w14:solidFill>
          </w14:textFill>
        </w:rPr>
        <w:t>。本批复及有关附件是该项目环保审批的法律文件。自批复之日起超过5年方开工建设的，或改变项目性质、规模、地点、工艺、环境保护措施，必须依法重新报批。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二、建设单位在项目设计、建设和运行期间，</w:t>
      </w:r>
      <w:r>
        <w:rPr>
          <w:rFonts w:hint="eastAsia" w:ascii="仿宋_GB2312" w:hAnsi="仿宋_GB2312" w:eastAsia="仿宋_GB2312" w:cs="仿宋_GB2312"/>
          <w:bCs/>
          <w:color w:val="000000" w:themeColor="text1"/>
          <w:sz w:val="32"/>
          <w:szCs w:val="32"/>
          <w14:textFill>
            <w14:solidFill>
              <w14:schemeClr w14:val="tx1"/>
            </w14:solidFill>
          </w14:textFill>
        </w:rPr>
        <w:t>必须严格执行环保“三同时”制度，</w:t>
      </w:r>
      <w:r>
        <w:rPr>
          <w:rFonts w:hint="eastAsia" w:ascii="仿宋_GB2312" w:hAnsi="仿宋_GB2312" w:eastAsia="仿宋_GB2312" w:cs="仿宋_GB2312"/>
          <w:color w:val="000000" w:themeColor="text1"/>
          <w:sz w:val="32"/>
          <w:szCs w:val="32"/>
          <w14:textFill>
            <w14:solidFill>
              <w14:schemeClr w14:val="tx1"/>
            </w14:solidFill>
          </w14:textFill>
        </w:rPr>
        <w:t>并着重做好以下工作：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（一）落实</w:t>
      </w:r>
      <w:r>
        <w:rPr>
          <w:rFonts w:hint="eastAsia" w:ascii="仿宋_GB2312" w:hAnsi="仿宋_GB2312" w:eastAsia="仿宋_GB2312" w:cs="仿宋_GB2312"/>
          <w:color w:val="000000" w:themeColor="text1"/>
          <w:sz w:val="32"/>
          <w:szCs w:val="32"/>
          <w:lang w:val="zh-CN"/>
          <w14:textFill>
            <w14:solidFill>
              <w14:schemeClr w14:val="tx1"/>
            </w14:solidFill>
          </w14:textFill>
        </w:rPr>
        <w:t>相关政策要求。</w:t>
      </w:r>
      <w:r>
        <w:rPr>
          <w:rFonts w:hint="eastAsia" w:ascii="仿宋_GB2312" w:hAnsi="仿宋_GB2312" w:eastAsia="仿宋_GB2312" w:cs="仿宋_GB2312"/>
          <w:color w:val="000000" w:themeColor="text1"/>
          <w:sz w:val="32"/>
          <w:szCs w:val="32"/>
          <w14:textFill>
            <w14:solidFill>
              <w14:schemeClr w14:val="tx1"/>
            </w14:solidFill>
          </w14:textFill>
        </w:rPr>
        <w:t>所选用生产设备及环保设施应符合国家质量安全要求，禁止选用国家明令禁止的淘汰、落后设备及工艺。落实好各项安全措施，避免因安全问题引发次生环境问题。按照《环境保护图形标志——排放口（源）》（GB15562.1-1995）、《环境保护图形标志—固体废物贮存（处置）场》（GB15562.2-1995）及2023年修改单的规定和要求，设置环境保护图形标志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落实废水污染防治。项目不新增生活污水，生产过程中设备清洗等产生的废水全部收集处理后回用于原料搅拌工序，不外排，项目不得设置生产废水排放口。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（三）落实废气污染防治。严格落实大气污染防治措施。在</w:t>
      </w:r>
      <w:r>
        <w:rPr>
          <w:rFonts w:ascii="仿宋_GB2312" w:hAnsi="仿宋_GB2312" w:eastAsia="仿宋_GB2312" w:cs="仿宋_GB2312"/>
          <w:color w:val="000000" w:themeColor="text1"/>
          <w:sz w:val="32"/>
          <w:szCs w:val="32"/>
          <w14:textFill>
            <w14:solidFill>
              <w14:schemeClr w14:val="tx1"/>
            </w14:solidFill>
          </w14:textFill>
        </w:rPr>
        <w:t>光大环保能源（永州）有限公司</w:t>
      </w:r>
      <w:r>
        <w:rPr>
          <w:rFonts w:hint="eastAsia" w:ascii="仿宋_GB2312" w:hAnsi="仿宋_GB2312" w:eastAsia="仿宋_GB2312" w:cs="仿宋_GB2312"/>
          <w:color w:val="000000" w:themeColor="text1"/>
          <w:sz w:val="32"/>
          <w:szCs w:val="32"/>
          <w14:textFill>
            <w14:solidFill>
              <w14:schemeClr w14:val="tx1"/>
            </w14:solidFill>
          </w14:textFill>
        </w:rPr>
        <w:t>蒸汽</w:t>
      </w:r>
      <w:r>
        <w:rPr>
          <w:rFonts w:ascii="仿宋_GB2312" w:hAnsi="仿宋_GB2312" w:eastAsia="仿宋_GB2312" w:cs="仿宋_GB2312"/>
          <w:color w:val="000000" w:themeColor="text1"/>
          <w:sz w:val="32"/>
          <w:szCs w:val="32"/>
          <w14:textFill>
            <w14:solidFill>
              <w14:schemeClr w14:val="tx1"/>
            </w14:solidFill>
          </w14:textFill>
        </w:rPr>
        <w:t>管道未接入项目区域前，项目不得投入运行</w:t>
      </w:r>
      <w:r>
        <w:rPr>
          <w:rFonts w:hint="eastAsia" w:ascii="仿宋_GB2312" w:hAnsi="仿宋_GB2312" w:eastAsia="仿宋_GB2312" w:cs="仿宋_GB2312"/>
          <w:color w:val="000000" w:themeColor="text1"/>
          <w:sz w:val="32"/>
          <w:szCs w:val="32"/>
          <w14:textFill>
            <w14:solidFill>
              <w14:schemeClr w14:val="tx1"/>
            </w14:solidFill>
          </w14:textFill>
        </w:rPr>
        <w:t>，项目需完善现有的废气治理措施，确保改扩建后全厂废气排放满足</w:t>
      </w:r>
      <w:r>
        <w:rPr>
          <w:rFonts w:ascii="仿宋_GB2312" w:hAnsi="仿宋_GB2312" w:eastAsia="仿宋_GB2312" w:cs="仿宋_GB2312"/>
          <w:color w:val="000000" w:themeColor="text1"/>
          <w:sz w:val="32"/>
          <w:szCs w:val="32"/>
          <w14:textFill>
            <w14:solidFill>
              <w14:schemeClr w14:val="tx1"/>
            </w14:solidFill>
          </w14:textFill>
        </w:rPr>
        <w:t>《大气污染物综合排放标准》</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GB16297-1996</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14:textFill>
            <w14:solidFill>
              <w14:schemeClr w14:val="tx1"/>
            </w14:solidFill>
          </w14:textFill>
        </w:rPr>
        <w:t>排放限值要求。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落实噪声污染防治。选用低噪声设备，合理调整车间内平面布局，并采取消声、隔声等措施，确保厂界噪声达到《工业企业厂界环境噪声排放标准》（GB12348-2008）标准要求。合理安排各类机械、生产设备和运输车辆的工作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落实固体废物管理措施。项目协同处置一般工业固废应严格执行报告表及专家评审意见中的固废类别和规模，严禁超范围或超量协同处置一般固废，并确保产品满足相关国家标准要求。场内应做好固体废物的收集与贮存。一般固体废物按照《一般工业固体废物贮存和填埋污染控制标准》（GB18599-2020）要求管理。危险废物须严格执行国家和湖南省危险废物管理有关规定，按照《危险废物贮存污染控制标准》（GB18597-2023）要求规范贮存、转移和处置。生活垃圾经分类收集后，交由当地环卫部门统一回收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落实生态保护措施。建立健全环境管理制度，明确环境保护管理人员和职责。做好日常环境管理工作，加强环境保护设施的运行管理，确保环境保护设施正常运行和污染物稳定达标排放。加强环境风险防范措施，制定环境风险应急预案及防范措施，提高事故风险防范和污染控制能力，确保项目周边环境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（七）维护社会稳定。加强对项目附近环境敏感点的环境保护，处理好与周边的关系，防止因环保诉求而引发矛盾，自觉维护社会稳定。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项目建设必须严格执行配套的环境保护设施与主体工程同时设计、同时施工、同时投产使用的环境保护“三同时”制度。项目完工后，应按规定程序实施竣工环境保护验收，并按照相关要求做好监测和信息公开。建设项目发生实际排污行为之前，应按规定办理相关排污许可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四、报告表经批准后，建设项目的性质、规模、地点、采用的生产工艺或者防治污染、防止生态破坏的措施发生重大变动的，或自批准之日起超过五年开工建设的，须重新报批。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五、若发现本项目存在承诺弄虚作假或环评文件有严重质量问题等情形的，将依法撤销行政审批决定。建设单位应承担生态环境保护主体责任，按规定接受各级生态环境部门的监督检查。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六、永州市生态环境保护综合行政执法支队零陵大队组织开展该项目“三同时”监督检查及管理工作，建设单位按规定接受各级生态部门日常检查。</w:t>
      </w:r>
    </w:p>
    <w:p>
      <w:pPr>
        <w:keepNext w:val="0"/>
        <w:keepLines w:val="0"/>
        <w:pageBreakBefore w:val="0"/>
        <w:widowControl w:val="0"/>
        <w:kinsoku/>
        <w:wordWrap/>
        <w:overflowPunct/>
        <w:topLinePunct w:val="0"/>
        <w:autoSpaceDE/>
        <w:autoSpaceDN/>
        <w:bidi w:val="0"/>
        <w:adjustRightInd w:val="0"/>
        <w:snapToGrid w:val="0"/>
        <w:spacing w:line="560" w:lineRule="exact"/>
        <w:ind w:firstLine="4419" w:firstLineChars="1381"/>
        <w:jc w:val="center"/>
        <w:textAlignment w:val="auto"/>
        <w:outlineLvl w:val="0"/>
        <w:rPr>
          <w:rFonts w:hint="eastAsia" w:ascii="仿宋_GB2312" w:hAns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4419" w:firstLineChars="1381"/>
        <w:jc w:val="center"/>
        <w:textAlignment w:val="auto"/>
        <w:outlineLvl w:val="0"/>
        <w:rPr>
          <w:rFonts w:hint="eastAsia" w:ascii="仿宋_GB2312" w:hAns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4419" w:firstLineChars="1381"/>
        <w:jc w:val="center"/>
        <w:textAlignment w:val="auto"/>
        <w:outlineLvl w:val="0"/>
        <w:rPr>
          <w:rFonts w:hint="eastAsia" w:ascii="仿宋_GB2312" w:hAns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4419" w:firstLineChars="1381"/>
        <w:jc w:val="center"/>
        <w:textAlignment w:val="auto"/>
        <w:outlineLvl w:val="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永州市生态环境局</w:t>
      </w:r>
    </w:p>
    <w:p>
      <w:pPr>
        <w:keepNext w:val="0"/>
        <w:keepLines w:val="0"/>
        <w:pageBreakBefore w:val="0"/>
        <w:widowControl w:val="0"/>
        <w:kinsoku/>
        <w:wordWrap/>
        <w:overflowPunct/>
        <w:topLinePunct w:val="0"/>
        <w:autoSpaceDE/>
        <w:autoSpaceDN/>
        <w:bidi w:val="0"/>
        <w:adjustRightInd w:val="0"/>
        <w:snapToGrid w:val="0"/>
        <w:spacing w:line="560" w:lineRule="exact"/>
        <w:ind w:firstLine="4419" w:firstLineChars="1381"/>
        <w:jc w:val="center"/>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lang w:val="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val="zh-CN"/>
          <w14:textFill>
            <w14:solidFill>
              <w14:schemeClr w14:val="tx1"/>
            </w14:solidFill>
          </w14:textFill>
        </w:rPr>
        <w:t>日</w:t>
      </w:r>
    </w:p>
    <w:p>
      <w:pPr>
        <w:pStyle w:val="2"/>
        <w:rPr>
          <w:rFonts w:hint="eastAsia" w:ascii="仿宋_GB2312" w:hAnsi="仿宋_GB2312" w:eastAsia="仿宋_GB2312" w:cs="仿宋_GB2312"/>
          <w:color w:val="000000" w:themeColor="text1"/>
          <w:sz w:val="32"/>
          <w:szCs w:val="32"/>
          <w:lang w:val="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val="zh-CN"/>
          <w14:textFill>
            <w14:solidFill>
              <w14:schemeClr w14:val="tx1"/>
            </w14:solidFill>
          </w14:textFill>
        </w:rPr>
      </w:pPr>
    </w:p>
    <w:tbl>
      <w:tblPr>
        <w:tblStyle w:val="12"/>
        <w:tblW w:w="884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45"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cs="??_GB2312"/>
                <w:color w:val="000000" w:themeColor="text1"/>
                <w:sz w:val="32"/>
                <w:szCs w:val="32"/>
                <w14:textFill>
                  <w14:solidFill>
                    <w14:schemeClr w14:val="tx1"/>
                  </w14:solidFill>
                </w14:textFill>
              </w:rPr>
            </w:pPr>
            <w:r>
              <w:rPr>
                <w:rFonts w:hint="eastAsia" w:ascii="仿宋_GB2312" w:hAnsi="仿宋" w:eastAsia="仿宋_GB2312" w:cs="??_GB2312"/>
                <w:color w:val="000000" w:themeColor="text1"/>
                <w:sz w:val="32"/>
                <w:szCs w:val="32"/>
                <w:lang w:val="zh-CN"/>
                <w14:textFill>
                  <w14:solidFill>
                    <w14:schemeClr w14:val="tx1"/>
                  </w14:solidFill>
                </w14:textFill>
              </w:rPr>
              <w:t>抄送：湖南雅邦环保科技有限公司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45"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cs="??_GB2312"/>
                <w:color w:val="000000" w:themeColor="text1"/>
                <w:sz w:val="32"/>
                <w:szCs w:val="32"/>
                <w:lang w:val="zh-CN"/>
                <w14:textFill>
                  <w14:solidFill>
                    <w14:schemeClr w14:val="tx1"/>
                  </w14:solidFill>
                </w14:textFill>
              </w:rPr>
            </w:pPr>
            <w:r>
              <w:rPr>
                <w:rFonts w:hint="eastAsia" w:ascii="仿宋_GB2312" w:hAnsi="仿宋" w:eastAsia="仿宋_GB2312" w:cs="??_GB2312"/>
                <w:color w:val="000000" w:themeColor="text1"/>
                <w:sz w:val="32"/>
                <w:szCs w:val="32"/>
                <w:lang w:val="zh-CN"/>
                <w14:textFill>
                  <w14:solidFill>
                    <w14:schemeClr w14:val="tx1"/>
                  </w14:solidFill>
                </w14:textFill>
              </w:rPr>
              <w:t>永州市生态环境局零陵分局          2024年</w:t>
            </w:r>
            <w:r>
              <w:rPr>
                <w:rFonts w:hint="eastAsia" w:ascii="仿宋_GB2312" w:hAnsi="仿宋" w:eastAsia="仿宋_GB2312" w:cs="??_GB2312"/>
                <w:color w:val="000000" w:themeColor="text1"/>
                <w:sz w:val="32"/>
                <w:szCs w:val="32"/>
                <w14:textFill>
                  <w14:solidFill>
                    <w14:schemeClr w14:val="tx1"/>
                  </w14:solidFill>
                </w14:textFill>
              </w:rPr>
              <w:t>9</w:t>
            </w:r>
            <w:r>
              <w:rPr>
                <w:rFonts w:hint="eastAsia" w:ascii="仿宋_GB2312" w:hAnsi="仿宋" w:eastAsia="仿宋_GB2312" w:cs="??_GB2312"/>
                <w:color w:val="000000" w:themeColor="text1"/>
                <w:sz w:val="32"/>
                <w:szCs w:val="32"/>
                <w:lang w:val="zh-CN"/>
                <w14:textFill>
                  <w14:solidFill>
                    <w14:schemeClr w14:val="tx1"/>
                  </w14:solidFill>
                </w14:textFill>
              </w:rPr>
              <w:t>月</w:t>
            </w:r>
            <w:r>
              <w:rPr>
                <w:rFonts w:hint="eastAsia" w:ascii="仿宋_GB2312" w:hAnsi="仿宋" w:eastAsia="仿宋_GB2312" w:cs="??_GB2312"/>
                <w:color w:val="000000" w:themeColor="text1"/>
                <w:sz w:val="32"/>
                <w:szCs w:val="32"/>
                <w:lang w:val="en-US" w:eastAsia="zh-CN"/>
                <w14:textFill>
                  <w14:solidFill>
                    <w14:schemeClr w14:val="tx1"/>
                  </w14:solidFill>
                </w14:textFill>
              </w:rPr>
              <w:t>21</w:t>
            </w:r>
            <w:bookmarkStart w:id="0" w:name="_GoBack"/>
            <w:bookmarkEnd w:id="0"/>
            <w:r>
              <w:rPr>
                <w:rFonts w:hint="eastAsia" w:ascii="仿宋_GB2312" w:hAnsi="仿宋" w:eastAsia="仿宋_GB2312" w:cs="??_GB2312"/>
                <w:color w:val="000000" w:themeColor="text1"/>
                <w:sz w:val="32"/>
                <w:szCs w:val="32"/>
                <w:lang w:val="zh-CN"/>
                <w14:textFill>
                  <w14:solidFill>
                    <w14:schemeClr w14:val="tx1"/>
                  </w14:solidFill>
                </w14:textFill>
              </w:rPr>
              <w:t>日印发</w:t>
            </w:r>
          </w:p>
        </w:tc>
      </w:tr>
    </w:tbl>
    <w:p>
      <w:pPr>
        <w:adjustRightInd w:val="0"/>
        <w:snapToGrid w:val="0"/>
        <w:spacing w:line="600" w:lineRule="exact"/>
        <w:rPr>
          <w:rFonts w:ascii="仿宋_GB2312" w:hAnsi="仿宋" w:eastAsia="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1701" w:right="1644" w:bottom="1474"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t xml:space="preserve"> </w: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Y2RmMTdmNzZmMWIwYjJkOWNmNDZiNzY1M2NmZmUifQ=="/>
  </w:docVars>
  <w:rsids>
    <w:rsidRoot w:val="00172A27"/>
    <w:rsid w:val="000172CD"/>
    <w:rsid w:val="000208B3"/>
    <w:rsid w:val="00022CAE"/>
    <w:rsid w:val="000334D0"/>
    <w:rsid w:val="00043C70"/>
    <w:rsid w:val="00044519"/>
    <w:rsid w:val="00046999"/>
    <w:rsid w:val="00052DEB"/>
    <w:rsid w:val="00053BE9"/>
    <w:rsid w:val="00054CD8"/>
    <w:rsid w:val="00062696"/>
    <w:rsid w:val="00077D77"/>
    <w:rsid w:val="000906DC"/>
    <w:rsid w:val="000919AA"/>
    <w:rsid w:val="00095508"/>
    <w:rsid w:val="000A3175"/>
    <w:rsid w:val="000B0A56"/>
    <w:rsid w:val="000D3930"/>
    <w:rsid w:val="000D4372"/>
    <w:rsid w:val="000D4F97"/>
    <w:rsid w:val="000D6070"/>
    <w:rsid w:val="000E4047"/>
    <w:rsid w:val="000E41F7"/>
    <w:rsid w:val="000E4561"/>
    <w:rsid w:val="000F3EDB"/>
    <w:rsid w:val="001043B0"/>
    <w:rsid w:val="001059E3"/>
    <w:rsid w:val="00106CF1"/>
    <w:rsid w:val="00115C3C"/>
    <w:rsid w:val="0012379F"/>
    <w:rsid w:val="001250F0"/>
    <w:rsid w:val="00133C52"/>
    <w:rsid w:val="00134DD7"/>
    <w:rsid w:val="00143821"/>
    <w:rsid w:val="00146AEF"/>
    <w:rsid w:val="0014766C"/>
    <w:rsid w:val="001551A7"/>
    <w:rsid w:val="001563D1"/>
    <w:rsid w:val="001647AE"/>
    <w:rsid w:val="00164BC5"/>
    <w:rsid w:val="00172A27"/>
    <w:rsid w:val="001A52DE"/>
    <w:rsid w:val="001B0A03"/>
    <w:rsid w:val="001C0A22"/>
    <w:rsid w:val="001C2D3D"/>
    <w:rsid w:val="001C2F62"/>
    <w:rsid w:val="001D5F75"/>
    <w:rsid w:val="001D6C0D"/>
    <w:rsid w:val="001D6DE1"/>
    <w:rsid w:val="001D7341"/>
    <w:rsid w:val="001E370C"/>
    <w:rsid w:val="001E52EA"/>
    <w:rsid w:val="001E7BBA"/>
    <w:rsid w:val="001F5FA2"/>
    <w:rsid w:val="00205DBE"/>
    <w:rsid w:val="0021131E"/>
    <w:rsid w:val="002131E8"/>
    <w:rsid w:val="00226372"/>
    <w:rsid w:val="00227011"/>
    <w:rsid w:val="00232BFF"/>
    <w:rsid w:val="00241539"/>
    <w:rsid w:val="00254E67"/>
    <w:rsid w:val="002614F7"/>
    <w:rsid w:val="00264AA7"/>
    <w:rsid w:val="0026579E"/>
    <w:rsid w:val="00265EED"/>
    <w:rsid w:val="00266A7B"/>
    <w:rsid w:val="00266FFB"/>
    <w:rsid w:val="00270FC3"/>
    <w:rsid w:val="002748C4"/>
    <w:rsid w:val="00275B09"/>
    <w:rsid w:val="00282869"/>
    <w:rsid w:val="00291960"/>
    <w:rsid w:val="00293543"/>
    <w:rsid w:val="00297EDA"/>
    <w:rsid w:val="002A0A67"/>
    <w:rsid w:val="002A3772"/>
    <w:rsid w:val="002B36DC"/>
    <w:rsid w:val="002C074A"/>
    <w:rsid w:val="002C1AC7"/>
    <w:rsid w:val="002C3203"/>
    <w:rsid w:val="002C5098"/>
    <w:rsid w:val="002E5EC0"/>
    <w:rsid w:val="002E76F3"/>
    <w:rsid w:val="002F0422"/>
    <w:rsid w:val="002F1801"/>
    <w:rsid w:val="002F56B5"/>
    <w:rsid w:val="002F7BE1"/>
    <w:rsid w:val="00320119"/>
    <w:rsid w:val="00321F65"/>
    <w:rsid w:val="0032235E"/>
    <w:rsid w:val="003242F2"/>
    <w:rsid w:val="003248E5"/>
    <w:rsid w:val="00342072"/>
    <w:rsid w:val="00343D73"/>
    <w:rsid w:val="0034403A"/>
    <w:rsid w:val="00344384"/>
    <w:rsid w:val="003612A5"/>
    <w:rsid w:val="00375057"/>
    <w:rsid w:val="003760ED"/>
    <w:rsid w:val="003809FA"/>
    <w:rsid w:val="00386598"/>
    <w:rsid w:val="0039084A"/>
    <w:rsid w:val="003909A2"/>
    <w:rsid w:val="00391F05"/>
    <w:rsid w:val="003945C7"/>
    <w:rsid w:val="003978D5"/>
    <w:rsid w:val="00397F21"/>
    <w:rsid w:val="003A0092"/>
    <w:rsid w:val="003A2324"/>
    <w:rsid w:val="003A2AEE"/>
    <w:rsid w:val="003A507C"/>
    <w:rsid w:val="003A7091"/>
    <w:rsid w:val="003C3238"/>
    <w:rsid w:val="003C709E"/>
    <w:rsid w:val="003D6D86"/>
    <w:rsid w:val="003E1D3A"/>
    <w:rsid w:val="003E214E"/>
    <w:rsid w:val="003F41CD"/>
    <w:rsid w:val="003F4348"/>
    <w:rsid w:val="003F7440"/>
    <w:rsid w:val="003F7D8D"/>
    <w:rsid w:val="0040106E"/>
    <w:rsid w:val="0041101E"/>
    <w:rsid w:val="004171EB"/>
    <w:rsid w:val="00417952"/>
    <w:rsid w:val="00427B2F"/>
    <w:rsid w:val="00430331"/>
    <w:rsid w:val="00432F30"/>
    <w:rsid w:val="0044342C"/>
    <w:rsid w:val="00452CC7"/>
    <w:rsid w:val="00453997"/>
    <w:rsid w:val="004608D8"/>
    <w:rsid w:val="00490009"/>
    <w:rsid w:val="00494B1F"/>
    <w:rsid w:val="00494DC8"/>
    <w:rsid w:val="00496A6F"/>
    <w:rsid w:val="004970F7"/>
    <w:rsid w:val="004A03C4"/>
    <w:rsid w:val="004A45BA"/>
    <w:rsid w:val="004A4CF5"/>
    <w:rsid w:val="004B33F1"/>
    <w:rsid w:val="004B3E81"/>
    <w:rsid w:val="004B4265"/>
    <w:rsid w:val="004B623F"/>
    <w:rsid w:val="004D34B2"/>
    <w:rsid w:val="004D3A82"/>
    <w:rsid w:val="004E1458"/>
    <w:rsid w:val="004E1EA1"/>
    <w:rsid w:val="004E31C2"/>
    <w:rsid w:val="004E52FC"/>
    <w:rsid w:val="004F47DA"/>
    <w:rsid w:val="004F799C"/>
    <w:rsid w:val="005016FA"/>
    <w:rsid w:val="00505303"/>
    <w:rsid w:val="00506FA1"/>
    <w:rsid w:val="005108F7"/>
    <w:rsid w:val="00511EDC"/>
    <w:rsid w:val="00517638"/>
    <w:rsid w:val="005209DF"/>
    <w:rsid w:val="005272C3"/>
    <w:rsid w:val="005353F4"/>
    <w:rsid w:val="00536E57"/>
    <w:rsid w:val="0054067C"/>
    <w:rsid w:val="0055048A"/>
    <w:rsid w:val="00551306"/>
    <w:rsid w:val="00565905"/>
    <w:rsid w:val="00565C6B"/>
    <w:rsid w:val="005671F6"/>
    <w:rsid w:val="005856A6"/>
    <w:rsid w:val="005A42AF"/>
    <w:rsid w:val="005B45BF"/>
    <w:rsid w:val="005C1DEC"/>
    <w:rsid w:val="005C6F4F"/>
    <w:rsid w:val="005C7567"/>
    <w:rsid w:val="005D08C7"/>
    <w:rsid w:val="005D2DFF"/>
    <w:rsid w:val="005D5823"/>
    <w:rsid w:val="005E018E"/>
    <w:rsid w:val="005E38D8"/>
    <w:rsid w:val="005F28F4"/>
    <w:rsid w:val="005F3F60"/>
    <w:rsid w:val="005F5C4C"/>
    <w:rsid w:val="00603136"/>
    <w:rsid w:val="006258B2"/>
    <w:rsid w:val="00632922"/>
    <w:rsid w:val="0067173D"/>
    <w:rsid w:val="006723D5"/>
    <w:rsid w:val="0067412D"/>
    <w:rsid w:val="00680034"/>
    <w:rsid w:val="00685679"/>
    <w:rsid w:val="00687A95"/>
    <w:rsid w:val="0069085B"/>
    <w:rsid w:val="006910F7"/>
    <w:rsid w:val="006C0528"/>
    <w:rsid w:val="006C6113"/>
    <w:rsid w:val="006D4094"/>
    <w:rsid w:val="006D4A6A"/>
    <w:rsid w:val="006E0F8D"/>
    <w:rsid w:val="006E17F3"/>
    <w:rsid w:val="006F003D"/>
    <w:rsid w:val="006F2CCB"/>
    <w:rsid w:val="007075D0"/>
    <w:rsid w:val="00707A91"/>
    <w:rsid w:val="00712B79"/>
    <w:rsid w:val="007151D1"/>
    <w:rsid w:val="00715EB0"/>
    <w:rsid w:val="00726E52"/>
    <w:rsid w:val="00735892"/>
    <w:rsid w:val="0073615A"/>
    <w:rsid w:val="0074285D"/>
    <w:rsid w:val="0074598B"/>
    <w:rsid w:val="007467E9"/>
    <w:rsid w:val="00747E5B"/>
    <w:rsid w:val="00751C3E"/>
    <w:rsid w:val="00753D03"/>
    <w:rsid w:val="00756A29"/>
    <w:rsid w:val="00757A63"/>
    <w:rsid w:val="00763B9F"/>
    <w:rsid w:val="00773847"/>
    <w:rsid w:val="00776FE4"/>
    <w:rsid w:val="00783ED3"/>
    <w:rsid w:val="00793CBD"/>
    <w:rsid w:val="007A0B9A"/>
    <w:rsid w:val="007A2CB7"/>
    <w:rsid w:val="007A6445"/>
    <w:rsid w:val="007B4420"/>
    <w:rsid w:val="007B573C"/>
    <w:rsid w:val="007C5158"/>
    <w:rsid w:val="007D0BB5"/>
    <w:rsid w:val="007D0D45"/>
    <w:rsid w:val="007E209A"/>
    <w:rsid w:val="007E219D"/>
    <w:rsid w:val="007E4A1E"/>
    <w:rsid w:val="007F0DBF"/>
    <w:rsid w:val="007F2508"/>
    <w:rsid w:val="007F5DDE"/>
    <w:rsid w:val="00805A1D"/>
    <w:rsid w:val="008124FB"/>
    <w:rsid w:val="00812E95"/>
    <w:rsid w:val="00821623"/>
    <w:rsid w:val="008248D3"/>
    <w:rsid w:val="00834755"/>
    <w:rsid w:val="0083600A"/>
    <w:rsid w:val="00841445"/>
    <w:rsid w:val="00841E03"/>
    <w:rsid w:val="00846AE4"/>
    <w:rsid w:val="008501A4"/>
    <w:rsid w:val="008518E1"/>
    <w:rsid w:val="00853297"/>
    <w:rsid w:val="00862659"/>
    <w:rsid w:val="00863449"/>
    <w:rsid w:val="00864F3C"/>
    <w:rsid w:val="00873755"/>
    <w:rsid w:val="00876D59"/>
    <w:rsid w:val="00886F6B"/>
    <w:rsid w:val="00890F81"/>
    <w:rsid w:val="00892D45"/>
    <w:rsid w:val="0089364C"/>
    <w:rsid w:val="008A17B2"/>
    <w:rsid w:val="008A3A15"/>
    <w:rsid w:val="008A5BCD"/>
    <w:rsid w:val="008A6805"/>
    <w:rsid w:val="008B0E82"/>
    <w:rsid w:val="008C3121"/>
    <w:rsid w:val="008C35EE"/>
    <w:rsid w:val="008D4538"/>
    <w:rsid w:val="008E1E76"/>
    <w:rsid w:val="008E2069"/>
    <w:rsid w:val="008E4827"/>
    <w:rsid w:val="008F011F"/>
    <w:rsid w:val="008F033A"/>
    <w:rsid w:val="008F3E9F"/>
    <w:rsid w:val="008F6FF7"/>
    <w:rsid w:val="00905FC1"/>
    <w:rsid w:val="00913049"/>
    <w:rsid w:val="00920C99"/>
    <w:rsid w:val="00921A92"/>
    <w:rsid w:val="009258EC"/>
    <w:rsid w:val="0092786C"/>
    <w:rsid w:val="009340EF"/>
    <w:rsid w:val="00934B42"/>
    <w:rsid w:val="009358E2"/>
    <w:rsid w:val="009367E8"/>
    <w:rsid w:val="0094051A"/>
    <w:rsid w:val="00951F05"/>
    <w:rsid w:val="00957726"/>
    <w:rsid w:val="00960BA3"/>
    <w:rsid w:val="009679A2"/>
    <w:rsid w:val="00970582"/>
    <w:rsid w:val="009730E7"/>
    <w:rsid w:val="00973B68"/>
    <w:rsid w:val="009838E9"/>
    <w:rsid w:val="00987189"/>
    <w:rsid w:val="00992913"/>
    <w:rsid w:val="00995B22"/>
    <w:rsid w:val="009B7B36"/>
    <w:rsid w:val="009C059E"/>
    <w:rsid w:val="009C07FE"/>
    <w:rsid w:val="009C38E9"/>
    <w:rsid w:val="009C3D09"/>
    <w:rsid w:val="009C5226"/>
    <w:rsid w:val="009C5D11"/>
    <w:rsid w:val="009C5DB9"/>
    <w:rsid w:val="009C60C7"/>
    <w:rsid w:val="009C6658"/>
    <w:rsid w:val="009D6929"/>
    <w:rsid w:val="009E3F42"/>
    <w:rsid w:val="009F1E09"/>
    <w:rsid w:val="009F4284"/>
    <w:rsid w:val="00A00347"/>
    <w:rsid w:val="00A030C1"/>
    <w:rsid w:val="00A12612"/>
    <w:rsid w:val="00A16DFC"/>
    <w:rsid w:val="00A24252"/>
    <w:rsid w:val="00A260F7"/>
    <w:rsid w:val="00A4019D"/>
    <w:rsid w:val="00A407C0"/>
    <w:rsid w:val="00A475AD"/>
    <w:rsid w:val="00A51458"/>
    <w:rsid w:val="00A51FE8"/>
    <w:rsid w:val="00A53C13"/>
    <w:rsid w:val="00A54165"/>
    <w:rsid w:val="00A5449F"/>
    <w:rsid w:val="00A566C3"/>
    <w:rsid w:val="00A56B08"/>
    <w:rsid w:val="00A63418"/>
    <w:rsid w:val="00A63CD3"/>
    <w:rsid w:val="00A7130B"/>
    <w:rsid w:val="00A83499"/>
    <w:rsid w:val="00A844A6"/>
    <w:rsid w:val="00A848A0"/>
    <w:rsid w:val="00A854D0"/>
    <w:rsid w:val="00A92FC9"/>
    <w:rsid w:val="00AA3D82"/>
    <w:rsid w:val="00AB7231"/>
    <w:rsid w:val="00AC2F29"/>
    <w:rsid w:val="00AC6FA0"/>
    <w:rsid w:val="00AC7B37"/>
    <w:rsid w:val="00AD38AF"/>
    <w:rsid w:val="00AE4822"/>
    <w:rsid w:val="00AF4AF9"/>
    <w:rsid w:val="00AF799E"/>
    <w:rsid w:val="00AF7CB7"/>
    <w:rsid w:val="00B12438"/>
    <w:rsid w:val="00B2201D"/>
    <w:rsid w:val="00B22EA0"/>
    <w:rsid w:val="00B34AAD"/>
    <w:rsid w:val="00B429B8"/>
    <w:rsid w:val="00B51452"/>
    <w:rsid w:val="00B53748"/>
    <w:rsid w:val="00B53857"/>
    <w:rsid w:val="00B55B83"/>
    <w:rsid w:val="00B61324"/>
    <w:rsid w:val="00B625F0"/>
    <w:rsid w:val="00B65CBA"/>
    <w:rsid w:val="00B75A64"/>
    <w:rsid w:val="00B800B0"/>
    <w:rsid w:val="00B81752"/>
    <w:rsid w:val="00B8234A"/>
    <w:rsid w:val="00B82AC5"/>
    <w:rsid w:val="00B85DDE"/>
    <w:rsid w:val="00B9186D"/>
    <w:rsid w:val="00BA3AD6"/>
    <w:rsid w:val="00BA6E30"/>
    <w:rsid w:val="00BC0871"/>
    <w:rsid w:val="00BC1406"/>
    <w:rsid w:val="00BC409E"/>
    <w:rsid w:val="00BC4643"/>
    <w:rsid w:val="00BC4E5F"/>
    <w:rsid w:val="00BD5E44"/>
    <w:rsid w:val="00BE082C"/>
    <w:rsid w:val="00BE3019"/>
    <w:rsid w:val="00BF05AD"/>
    <w:rsid w:val="00BF61D5"/>
    <w:rsid w:val="00C02CE5"/>
    <w:rsid w:val="00C07C48"/>
    <w:rsid w:val="00C144C0"/>
    <w:rsid w:val="00C2064B"/>
    <w:rsid w:val="00C21036"/>
    <w:rsid w:val="00C40192"/>
    <w:rsid w:val="00C55887"/>
    <w:rsid w:val="00C56F9A"/>
    <w:rsid w:val="00C5722C"/>
    <w:rsid w:val="00C572E1"/>
    <w:rsid w:val="00C6400B"/>
    <w:rsid w:val="00C64F3D"/>
    <w:rsid w:val="00C65B3E"/>
    <w:rsid w:val="00C7486B"/>
    <w:rsid w:val="00C74A9A"/>
    <w:rsid w:val="00C7793B"/>
    <w:rsid w:val="00C8168B"/>
    <w:rsid w:val="00C8690F"/>
    <w:rsid w:val="00C86C5D"/>
    <w:rsid w:val="00C916B2"/>
    <w:rsid w:val="00C931CA"/>
    <w:rsid w:val="00C94B4A"/>
    <w:rsid w:val="00C95E61"/>
    <w:rsid w:val="00CA202A"/>
    <w:rsid w:val="00CA3B67"/>
    <w:rsid w:val="00CB229D"/>
    <w:rsid w:val="00CB5B42"/>
    <w:rsid w:val="00CD07E8"/>
    <w:rsid w:val="00CD4CCC"/>
    <w:rsid w:val="00CD66D1"/>
    <w:rsid w:val="00CD767F"/>
    <w:rsid w:val="00CF1235"/>
    <w:rsid w:val="00CF6162"/>
    <w:rsid w:val="00D065FA"/>
    <w:rsid w:val="00D223D4"/>
    <w:rsid w:val="00D26775"/>
    <w:rsid w:val="00D327E8"/>
    <w:rsid w:val="00D37BD9"/>
    <w:rsid w:val="00D4203A"/>
    <w:rsid w:val="00D426A4"/>
    <w:rsid w:val="00D42F3E"/>
    <w:rsid w:val="00D451A0"/>
    <w:rsid w:val="00D47295"/>
    <w:rsid w:val="00D53374"/>
    <w:rsid w:val="00D60C18"/>
    <w:rsid w:val="00D64109"/>
    <w:rsid w:val="00D66B77"/>
    <w:rsid w:val="00D8098E"/>
    <w:rsid w:val="00D907AE"/>
    <w:rsid w:val="00DB0F0B"/>
    <w:rsid w:val="00DC5BCA"/>
    <w:rsid w:val="00DC7C1B"/>
    <w:rsid w:val="00DD1EE9"/>
    <w:rsid w:val="00DD4D63"/>
    <w:rsid w:val="00DD5A54"/>
    <w:rsid w:val="00DD75B5"/>
    <w:rsid w:val="00DE760A"/>
    <w:rsid w:val="00DF1948"/>
    <w:rsid w:val="00DF1A99"/>
    <w:rsid w:val="00E0096C"/>
    <w:rsid w:val="00E07B1A"/>
    <w:rsid w:val="00E14DDC"/>
    <w:rsid w:val="00E175A1"/>
    <w:rsid w:val="00E21872"/>
    <w:rsid w:val="00E22F42"/>
    <w:rsid w:val="00E3470A"/>
    <w:rsid w:val="00E44062"/>
    <w:rsid w:val="00E534AB"/>
    <w:rsid w:val="00E6611E"/>
    <w:rsid w:val="00E76A89"/>
    <w:rsid w:val="00E77318"/>
    <w:rsid w:val="00E77F8A"/>
    <w:rsid w:val="00E805BC"/>
    <w:rsid w:val="00E849BF"/>
    <w:rsid w:val="00E93A79"/>
    <w:rsid w:val="00EA63E6"/>
    <w:rsid w:val="00EA7479"/>
    <w:rsid w:val="00EB304B"/>
    <w:rsid w:val="00EC4634"/>
    <w:rsid w:val="00EC7276"/>
    <w:rsid w:val="00ED1E40"/>
    <w:rsid w:val="00ED30FD"/>
    <w:rsid w:val="00ED59B9"/>
    <w:rsid w:val="00EE0235"/>
    <w:rsid w:val="00EE3BE6"/>
    <w:rsid w:val="00EE54AE"/>
    <w:rsid w:val="00EF4802"/>
    <w:rsid w:val="00F01B8B"/>
    <w:rsid w:val="00F04840"/>
    <w:rsid w:val="00F055C8"/>
    <w:rsid w:val="00F0662B"/>
    <w:rsid w:val="00F1094B"/>
    <w:rsid w:val="00F11777"/>
    <w:rsid w:val="00F13AFA"/>
    <w:rsid w:val="00F26999"/>
    <w:rsid w:val="00F320BD"/>
    <w:rsid w:val="00F33F0E"/>
    <w:rsid w:val="00F36987"/>
    <w:rsid w:val="00F41731"/>
    <w:rsid w:val="00F47D15"/>
    <w:rsid w:val="00F52ABA"/>
    <w:rsid w:val="00F52FC2"/>
    <w:rsid w:val="00F610A9"/>
    <w:rsid w:val="00F63DE1"/>
    <w:rsid w:val="00F80D75"/>
    <w:rsid w:val="00F8203B"/>
    <w:rsid w:val="00F90CFC"/>
    <w:rsid w:val="00F91DEA"/>
    <w:rsid w:val="00F95562"/>
    <w:rsid w:val="00FA3F21"/>
    <w:rsid w:val="00FA4A2B"/>
    <w:rsid w:val="00FC3769"/>
    <w:rsid w:val="00FC4ACA"/>
    <w:rsid w:val="00FC5ED1"/>
    <w:rsid w:val="00FD3178"/>
    <w:rsid w:val="00FD5932"/>
    <w:rsid w:val="00FE2C97"/>
    <w:rsid w:val="00FE2E64"/>
    <w:rsid w:val="00FE43B7"/>
    <w:rsid w:val="00FE6AB0"/>
    <w:rsid w:val="00FF583F"/>
    <w:rsid w:val="029E162E"/>
    <w:rsid w:val="04FB66CD"/>
    <w:rsid w:val="05790857"/>
    <w:rsid w:val="06456F2D"/>
    <w:rsid w:val="067601CC"/>
    <w:rsid w:val="06B75113"/>
    <w:rsid w:val="07A80227"/>
    <w:rsid w:val="08861C8C"/>
    <w:rsid w:val="0A76233A"/>
    <w:rsid w:val="0A7A21BB"/>
    <w:rsid w:val="0C3C1484"/>
    <w:rsid w:val="0D4973AE"/>
    <w:rsid w:val="0E290DD5"/>
    <w:rsid w:val="0E8B4F4C"/>
    <w:rsid w:val="0EAC50D3"/>
    <w:rsid w:val="0F8E4E74"/>
    <w:rsid w:val="127A5C8A"/>
    <w:rsid w:val="12BF1FCA"/>
    <w:rsid w:val="13200E62"/>
    <w:rsid w:val="135750B9"/>
    <w:rsid w:val="141D25CF"/>
    <w:rsid w:val="165450A1"/>
    <w:rsid w:val="16B40FC8"/>
    <w:rsid w:val="16C277E9"/>
    <w:rsid w:val="16F97DBF"/>
    <w:rsid w:val="18623FB7"/>
    <w:rsid w:val="1AB30DF8"/>
    <w:rsid w:val="1BA62502"/>
    <w:rsid w:val="1DD862F0"/>
    <w:rsid w:val="1DFE7894"/>
    <w:rsid w:val="1F141D14"/>
    <w:rsid w:val="1F3857F3"/>
    <w:rsid w:val="20D51C6C"/>
    <w:rsid w:val="212A3ECD"/>
    <w:rsid w:val="212D2F22"/>
    <w:rsid w:val="21925A69"/>
    <w:rsid w:val="27035D34"/>
    <w:rsid w:val="288B74A1"/>
    <w:rsid w:val="2956626B"/>
    <w:rsid w:val="2AAE2D33"/>
    <w:rsid w:val="2CC27AB5"/>
    <w:rsid w:val="2DB10A51"/>
    <w:rsid w:val="2E864E3C"/>
    <w:rsid w:val="30A725BF"/>
    <w:rsid w:val="3155674E"/>
    <w:rsid w:val="31B36D73"/>
    <w:rsid w:val="32FC0B6A"/>
    <w:rsid w:val="3313038A"/>
    <w:rsid w:val="34C573BD"/>
    <w:rsid w:val="352C5EFF"/>
    <w:rsid w:val="35A10A01"/>
    <w:rsid w:val="38CE6310"/>
    <w:rsid w:val="39DC0460"/>
    <w:rsid w:val="3A1221C3"/>
    <w:rsid w:val="40AD74A2"/>
    <w:rsid w:val="41070884"/>
    <w:rsid w:val="418B202B"/>
    <w:rsid w:val="433206AE"/>
    <w:rsid w:val="43650488"/>
    <w:rsid w:val="45925068"/>
    <w:rsid w:val="480F1458"/>
    <w:rsid w:val="48592450"/>
    <w:rsid w:val="4895625A"/>
    <w:rsid w:val="49060960"/>
    <w:rsid w:val="4B215F25"/>
    <w:rsid w:val="4B627223"/>
    <w:rsid w:val="4DA73E7B"/>
    <w:rsid w:val="4E0B633E"/>
    <w:rsid w:val="4E1F03A5"/>
    <w:rsid w:val="4F68050E"/>
    <w:rsid w:val="4F9C4909"/>
    <w:rsid w:val="4FD741B9"/>
    <w:rsid w:val="5199361E"/>
    <w:rsid w:val="545F7ABE"/>
    <w:rsid w:val="54F5454A"/>
    <w:rsid w:val="55DF7E14"/>
    <w:rsid w:val="56666AD6"/>
    <w:rsid w:val="56AF5AF8"/>
    <w:rsid w:val="59376914"/>
    <w:rsid w:val="5975770A"/>
    <w:rsid w:val="5A347D92"/>
    <w:rsid w:val="5B136F0D"/>
    <w:rsid w:val="5BFF2E8A"/>
    <w:rsid w:val="5C013209"/>
    <w:rsid w:val="5E366531"/>
    <w:rsid w:val="5EA63B95"/>
    <w:rsid w:val="5EE72E9E"/>
    <w:rsid w:val="617A5C72"/>
    <w:rsid w:val="631A1780"/>
    <w:rsid w:val="634A4F24"/>
    <w:rsid w:val="64FF3D0D"/>
    <w:rsid w:val="6604014C"/>
    <w:rsid w:val="66644AC0"/>
    <w:rsid w:val="666563CF"/>
    <w:rsid w:val="67597C98"/>
    <w:rsid w:val="67D45756"/>
    <w:rsid w:val="69376833"/>
    <w:rsid w:val="69B31FE7"/>
    <w:rsid w:val="6BF37D88"/>
    <w:rsid w:val="6CD5739E"/>
    <w:rsid w:val="6D775ADE"/>
    <w:rsid w:val="6DF66946"/>
    <w:rsid w:val="6F5E4A4D"/>
    <w:rsid w:val="71AF3137"/>
    <w:rsid w:val="72141A90"/>
    <w:rsid w:val="7328760D"/>
    <w:rsid w:val="73EF5B48"/>
    <w:rsid w:val="74AB761F"/>
    <w:rsid w:val="74D8656F"/>
    <w:rsid w:val="76214607"/>
    <w:rsid w:val="76780840"/>
    <w:rsid w:val="76832D41"/>
    <w:rsid w:val="76A64B6F"/>
    <w:rsid w:val="76B441CE"/>
    <w:rsid w:val="7A455929"/>
    <w:rsid w:val="7A583CAC"/>
    <w:rsid w:val="7CA53FB3"/>
    <w:rsid w:val="7DD17A9C"/>
    <w:rsid w:val="7E055DC0"/>
    <w:rsid w:val="7F8D1A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qFormat="1" w:uiPriority="0" w:semiHidden="0"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guo-正文缩进2"/>
    <w:basedOn w:val="3"/>
    <w:qFormat/>
    <w:uiPriority w:val="0"/>
    <w:pPr>
      <w:tabs>
        <w:tab w:val="left" w:pos="1021"/>
      </w:tabs>
      <w:ind w:firstLine="562"/>
    </w:pPr>
  </w:style>
  <w:style w:type="paragraph" w:customStyle="1" w:styleId="3">
    <w:name w:val="guo-正文不缩进"/>
    <w:basedOn w:val="1"/>
    <w:qFormat/>
    <w:uiPriority w:val="0"/>
    <w:pPr>
      <w:tabs>
        <w:tab w:val="left" w:pos="1021"/>
      </w:tabs>
    </w:pPr>
  </w:style>
  <w:style w:type="paragraph" w:styleId="4">
    <w:name w:val="Document Map"/>
    <w:basedOn w:val="1"/>
    <w:link w:val="16"/>
    <w:semiHidden/>
    <w:qFormat/>
    <w:uiPriority w:val="99"/>
    <w:pPr>
      <w:shd w:val="clear" w:color="auto" w:fill="000080"/>
    </w:pPr>
  </w:style>
  <w:style w:type="paragraph" w:styleId="5">
    <w:name w:val="Balloon Text"/>
    <w:basedOn w:val="1"/>
    <w:link w:val="17"/>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unhideWhenUsed/>
    <w:qFormat/>
    <w:locked/>
    <w:uiPriority w:val="0"/>
    <w:rPr>
      <w:rFonts w:ascii="等线 Light" w:hAnsi="等线 Light" w:eastAsia="等线 Light"/>
      <w:b/>
      <w:bCs/>
      <w:sz w:val="24"/>
      <w:szCs w:val="20"/>
    </w:rPr>
  </w:style>
  <w:style w:type="paragraph" w:styleId="9">
    <w:name w:val="index 1"/>
    <w:basedOn w:val="1"/>
    <w:next w:val="1"/>
    <w:qFormat/>
    <w:locked/>
    <w:uiPriority w:val="0"/>
  </w:style>
  <w:style w:type="character" w:styleId="11">
    <w:name w:val="page number"/>
    <w:basedOn w:val="10"/>
    <w:qFormat/>
    <w:uiPriority w:val="99"/>
    <w:rPr>
      <w:rFonts w:cs="Times New Roman"/>
    </w:rPr>
  </w:style>
  <w:style w:type="paragraph" w:customStyle="1" w:styleId="13">
    <w:name w:val="Default"/>
    <w:basedOn w:val="14"/>
    <w:next w:val="15"/>
    <w:qFormat/>
    <w:uiPriority w:val="0"/>
    <w:pPr>
      <w:autoSpaceDE w:val="0"/>
      <w:autoSpaceDN w:val="0"/>
    </w:pPr>
    <w:rPr>
      <w:rFonts w:ascii="宋体" w:hAnsi="宋体" w:cs="宋体"/>
      <w:color w:val="000000"/>
      <w:sz w:val="24"/>
    </w:rPr>
  </w:style>
  <w:style w:type="paragraph" w:customStyle="1" w:styleId="14">
    <w:name w:val="纯文本1"/>
    <w:basedOn w:val="1"/>
    <w:qFormat/>
    <w:uiPriority w:val="0"/>
    <w:pPr>
      <w:adjustRightInd w:val="0"/>
    </w:pPr>
    <w:rPr>
      <w:rFonts w:hAnsi="Courier New"/>
    </w:rPr>
  </w:style>
  <w:style w:type="paragraph" w:customStyle="1" w:styleId="15">
    <w:name w:val="样式1"/>
    <w:basedOn w:val="8"/>
    <w:next w:val="1"/>
    <w:qFormat/>
    <w:uiPriority w:val="0"/>
    <w:pPr>
      <w:spacing w:beforeLines="50" w:line="440" w:lineRule="exact"/>
      <w:ind w:left="100" w:leftChars="100"/>
    </w:pPr>
    <w:rPr>
      <w:rFonts w:ascii="宋体" w:hAnsi="宋体" w:eastAsia="宋体"/>
      <w:b w:val="0"/>
      <w:bCs w:val="0"/>
    </w:rPr>
  </w:style>
  <w:style w:type="character" w:customStyle="1" w:styleId="16">
    <w:name w:val="文档结构图 Char"/>
    <w:basedOn w:val="10"/>
    <w:link w:val="4"/>
    <w:semiHidden/>
    <w:qFormat/>
    <w:locked/>
    <w:uiPriority w:val="99"/>
    <w:rPr>
      <w:rFonts w:eastAsia="宋体" w:cs="Times New Roman"/>
      <w:sz w:val="2"/>
    </w:rPr>
  </w:style>
  <w:style w:type="character" w:customStyle="1" w:styleId="17">
    <w:name w:val="批注框文本 Char"/>
    <w:basedOn w:val="10"/>
    <w:link w:val="5"/>
    <w:semiHidden/>
    <w:qFormat/>
    <w:locked/>
    <w:uiPriority w:val="99"/>
    <w:rPr>
      <w:rFonts w:eastAsia="宋体" w:cs="Times New Roman"/>
      <w:sz w:val="2"/>
    </w:rPr>
  </w:style>
  <w:style w:type="character" w:customStyle="1" w:styleId="18">
    <w:name w:val="页脚 Char"/>
    <w:basedOn w:val="10"/>
    <w:link w:val="6"/>
    <w:semiHidden/>
    <w:qFormat/>
    <w:locked/>
    <w:uiPriority w:val="99"/>
    <w:rPr>
      <w:rFonts w:eastAsia="宋体" w:cs="Times New Roman"/>
      <w:sz w:val="18"/>
      <w:szCs w:val="18"/>
    </w:rPr>
  </w:style>
  <w:style w:type="character" w:customStyle="1" w:styleId="19">
    <w:name w:val="页眉 Char"/>
    <w:basedOn w:val="10"/>
    <w:link w:val="7"/>
    <w:semiHidden/>
    <w:qFormat/>
    <w:locked/>
    <w:uiPriority w:val="99"/>
    <w:rPr>
      <w:rFonts w:eastAsia="宋体" w:cs="Times New Roman"/>
      <w:sz w:val="18"/>
      <w:szCs w:val="18"/>
    </w:rPr>
  </w:style>
  <w:style w:type="paragraph" w:customStyle="1" w:styleId="20">
    <w:name w:val="Char Char Char"/>
    <w:basedOn w:val="4"/>
    <w:qFormat/>
    <w:uiPriority w:val="99"/>
    <w:pPr>
      <w:adjustRightInd w:val="0"/>
      <w:spacing w:line="436" w:lineRule="exact"/>
      <w:ind w:left="357"/>
      <w:jc w:val="left"/>
      <w:outlineLvl w:val="3"/>
    </w:pPr>
    <w:rPr>
      <w:rFonts w:ascii="Tahoma" w:hAnsi="Tahoma"/>
      <w:b/>
      <w:sz w:val="44"/>
    </w:rPr>
  </w:style>
  <w:style w:type="paragraph" w:customStyle="1" w:styleId="21">
    <w:name w:val="Char1"/>
    <w:basedOn w:val="1"/>
    <w:qFormat/>
    <w:uiPriority w:val="99"/>
    <w:pPr>
      <w:spacing w:line="360" w:lineRule="auto"/>
      <w:ind w:firstLine="200" w:firstLineChars="200"/>
    </w:pPr>
    <w:rPr>
      <w:rFonts w:ascii="宋体" w:cs="宋体"/>
      <w:sz w:val="24"/>
    </w:rPr>
  </w:style>
  <w:style w:type="paragraph" w:customStyle="1" w:styleId="22">
    <w:name w:val="1 Char"/>
    <w:basedOn w:val="1"/>
    <w:qFormat/>
    <w:uiPriority w:val="99"/>
    <w:rPr>
      <w:sz w:val="24"/>
    </w:rPr>
  </w:style>
  <w:style w:type="paragraph" w:customStyle="1" w:styleId="23">
    <w:name w:val="正文小四"/>
    <w:qFormat/>
    <w:uiPriority w:val="99"/>
    <w:pPr>
      <w:ind w:firstLine="150" w:firstLineChars="150"/>
    </w:pPr>
    <w:rPr>
      <w:rFonts w:ascii="宋体" w:hAnsi="Times New Roman" w:eastAsia="宋体" w:cs="Times New Roman"/>
      <w:kern w:val="2"/>
      <w:sz w:val="24"/>
      <w:szCs w:val="24"/>
      <w:lang w:val="en-US" w:eastAsia="zh-CN" w:bidi="ar-SA"/>
    </w:rPr>
  </w:style>
  <w:style w:type="paragraph" w:customStyle="1" w:styleId="24">
    <w:name w:val="永环书正文"/>
    <w:basedOn w:val="1"/>
    <w:qFormat/>
    <w:uiPriority w:val="99"/>
    <w:pPr>
      <w:spacing w:beforeLines="20" w:afterLines="20"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309</Words>
  <Characters>1765</Characters>
  <Lines>14</Lines>
  <Paragraphs>4</Paragraphs>
  <TotalTime>25</TotalTime>
  <ScaleCrop>false</ScaleCrop>
  <LinksUpToDate>false</LinksUpToDate>
  <CharactersWithSpaces>2070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2024-09-02T03:29:00Z</dcterms:created>
  <dc:creator>微软用户</dc:creator>
  <cp:lastModifiedBy>Administrator</cp:lastModifiedBy>
  <cp:lastPrinted>2024-09-21T07:48:55Z</cp:lastPrinted>
  <dcterms:modified xsi:type="dcterms:W3CDTF">2024-09-21T07:49:04Z</dcterms:modified>
  <dc:title>永环评[2012]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365F7923C85E4D37B8C1165E5577E38E_12</vt:lpwstr>
  </property>
</Properties>
</file>