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方正小标宋_GBK" w:eastAsia="方正小标宋_GBK"/>
          <w:bCs/>
          <w:color w:val="auto"/>
          <w:sz w:val="72"/>
          <w:szCs w:val="72"/>
          <w:highlight w:val="none"/>
        </w:rPr>
      </w:pPr>
      <w:bookmarkStart w:id="0" w:name="_Toc16386"/>
      <w:r>
        <w:rPr>
          <w:rFonts w:hint="eastAsia" w:ascii="方正小标宋_GBK" w:eastAsia="方正小标宋_GBK"/>
          <w:bCs/>
          <w:color w:val="auto"/>
          <w:sz w:val="72"/>
          <w:szCs w:val="72"/>
          <w:highlight w:val="none"/>
        </w:rPr>
        <w:t>建设项目环境影响报告表</w:t>
      </w:r>
      <w:bookmarkEnd w:id="0"/>
    </w:p>
    <w:p>
      <w:pPr>
        <w:adjustRightInd w:val="0"/>
        <w:snapToGrid w:val="0"/>
        <w:spacing w:before="192" w:beforeLines="80"/>
        <w:jc w:val="center"/>
        <w:rPr>
          <w:rFonts w:hint="eastAsia" w:ascii="楷体_GB2312" w:eastAsia="楷体_GB2312"/>
          <w:bCs/>
          <w:color w:val="auto"/>
          <w:sz w:val="48"/>
          <w:szCs w:val="48"/>
          <w:highlight w:val="none"/>
        </w:rPr>
      </w:pPr>
      <w:r>
        <w:rPr>
          <w:rFonts w:hint="eastAsia" w:ascii="楷体_GB2312" w:eastAsia="楷体_GB2312"/>
          <w:bCs/>
          <w:color w:val="auto"/>
          <w:sz w:val="48"/>
          <w:szCs w:val="48"/>
          <w:highlight w:val="none"/>
        </w:rPr>
        <w:t>（污染影响类）</w:t>
      </w:r>
    </w:p>
    <w:p>
      <w:pPr>
        <w:adjustRightInd w:val="0"/>
        <w:snapToGrid w:val="0"/>
        <w:spacing w:before="192" w:beforeLines="80"/>
        <w:jc w:val="center"/>
        <w:rPr>
          <w:rFonts w:hint="eastAsia" w:ascii="楷体_GB2312" w:eastAsia="楷体_GB2312"/>
          <w:bCs/>
          <w:color w:val="auto"/>
          <w:sz w:val="36"/>
          <w:szCs w:val="36"/>
          <w:highlight w:val="none"/>
          <w:lang w:eastAsia="zh-CN"/>
        </w:rPr>
      </w:pPr>
      <w:r>
        <w:rPr>
          <w:rFonts w:hint="eastAsia" w:ascii="楷体_GB2312" w:eastAsia="楷体_GB2312"/>
          <w:bCs/>
          <w:color w:val="auto"/>
          <w:sz w:val="36"/>
          <w:szCs w:val="36"/>
          <w:highlight w:val="none"/>
          <w:lang w:eastAsia="zh-CN"/>
        </w:rPr>
        <w:t>（公示稿）</w:t>
      </w:r>
    </w:p>
    <w:p>
      <w:pPr>
        <w:pStyle w:val="8"/>
      </w:pPr>
    </w:p>
    <w:p>
      <w:pPr>
        <w:ind w:firstLine="1040"/>
        <w:rPr>
          <w:rFonts w:eastAsia="仿宋"/>
          <w:color w:val="auto"/>
          <w:sz w:val="44"/>
          <w:szCs w:val="44"/>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
      <w:pPr>
        <w:ind w:firstLine="1040"/>
        <w:rPr>
          <w:rFonts w:eastAsia="仿宋"/>
          <w:b/>
          <w:bCs/>
          <w:color w:val="auto"/>
          <w:sz w:val="44"/>
          <w:szCs w:val="44"/>
          <w:highlight w:val="none"/>
        </w:rPr>
      </w:pPr>
    </w:p>
    <w:p>
      <w:pPr>
        <w:adjustRightInd w:val="0"/>
        <w:snapToGrid w:val="0"/>
        <w:spacing w:line="480" w:lineRule="auto"/>
        <w:ind w:firstLine="723" w:firstLineChars="200"/>
        <w:rPr>
          <w:rFonts w:hint="eastAsia" w:ascii="仿宋_GB2312" w:eastAsia="仿宋_GB2312"/>
          <w:b w:val="0"/>
          <w:bCs w:val="0"/>
          <w:color w:val="auto"/>
          <w:sz w:val="36"/>
          <w:szCs w:val="36"/>
          <w:highlight w:val="none"/>
          <w:u w:val="single"/>
        </w:rPr>
      </w:pPr>
      <w:r>
        <w:rPr>
          <w:rFonts w:hint="eastAsia" w:ascii="仿宋_GB2312" w:eastAsia="仿宋_GB2312"/>
          <w:b/>
          <w:bCs/>
          <w:color w:val="auto"/>
          <w:sz w:val="36"/>
          <w:szCs w:val="36"/>
          <w:highlight w:val="none"/>
        </w:rPr>
        <w:t>项目名称：</w:t>
      </w:r>
      <w:r>
        <w:rPr>
          <w:rFonts w:hint="eastAsia" w:ascii="仿宋_GB2312" w:hAnsi="Times New Roman" w:eastAsia="仿宋_GB2312" w:cs="Times New Roman"/>
          <w:b w:val="0"/>
          <w:bCs w:val="0"/>
          <w:color w:val="auto"/>
          <w:sz w:val="36"/>
          <w:szCs w:val="36"/>
          <w:highlight w:val="none"/>
          <w:u w:val="single"/>
          <w:lang w:val="en-US" w:eastAsia="zh-CN"/>
        </w:rPr>
        <w:t xml:space="preserve">  永州市第四人民医院（市老年医院）服务能力提升项目    </w:t>
      </w:r>
    </w:p>
    <w:p>
      <w:pPr>
        <w:adjustRightInd w:val="0"/>
        <w:snapToGrid w:val="0"/>
        <w:spacing w:line="480" w:lineRule="auto"/>
        <w:ind w:firstLine="723" w:firstLineChars="200"/>
        <w:rPr>
          <w:rFonts w:ascii="仿宋_GB2312" w:eastAsia="仿宋_GB2312"/>
          <w:b w:val="0"/>
          <w:bCs w:val="0"/>
          <w:color w:val="auto"/>
          <w:sz w:val="36"/>
          <w:szCs w:val="36"/>
          <w:highlight w:val="none"/>
          <w:u w:val="single"/>
        </w:rPr>
      </w:pPr>
      <w:r>
        <w:rPr>
          <w:rFonts w:hint="eastAsia" w:ascii="仿宋_GB2312" w:eastAsia="仿宋_GB2312"/>
          <w:b/>
          <w:bCs/>
          <w:color w:val="auto"/>
          <w:sz w:val="36"/>
          <w:szCs w:val="36"/>
          <w:highlight w:val="none"/>
        </w:rPr>
        <w:t>建设单位（盖章）：</w:t>
      </w:r>
      <w:r>
        <w:rPr>
          <w:rFonts w:hint="eastAsia" w:ascii="仿宋_GB2312" w:hAnsi="Times New Roman" w:eastAsia="仿宋_GB2312" w:cs="Times New Roman"/>
          <w:b w:val="0"/>
          <w:bCs w:val="0"/>
          <w:color w:val="auto"/>
          <w:sz w:val="36"/>
          <w:szCs w:val="36"/>
          <w:highlight w:val="none"/>
          <w:u w:val="single"/>
        </w:rPr>
        <w:t xml:space="preserve">  </w:t>
      </w:r>
      <w:r>
        <w:rPr>
          <w:rFonts w:hint="eastAsia" w:ascii="仿宋_GB2312" w:hAnsi="Times New Roman" w:eastAsia="仿宋_GB2312" w:cs="Times New Roman"/>
          <w:b w:val="0"/>
          <w:bCs w:val="0"/>
          <w:color w:val="auto"/>
          <w:sz w:val="36"/>
          <w:szCs w:val="36"/>
          <w:highlight w:val="none"/>
          <w:u w:val="single"/>
          <w:lang w:val="en-US" w:eastAsia="zh-CN"/>
        </w:rPr>
        <w:t>永州市第四人民医院</w:t>
      </w:r>
      <w:r>
        <w:rPr>
          <w:rFonts w:hint="eastAsia" w:ascii="仿宋_GB2312" w:hAnsi="Times New Roman" w:eastAsia="仿宋_GB2312" w:cs="Times New Roman"/>
          <w:b w:val="0"/>
          <w:bCs w:val="0"/>
          <w:color w:val="auto"/>
          <w:sz w:val="36"/>
          <w:szCs w:val="36"/>
          <w:highlight w:val="none"/>
          <w:u w:val="single"/>
        </w:rPr>
        <w:t xml:space="preserve"> </w:t>
      </w:r>
      <w:r>
        <w:rPr>
          <w:rFonts w:hint="eastAsia" w:ascii="仿宋_GB2312" w:hAnsi="Times New Roman" w:eastAsia="仿宋_GB2312" w:cs="Times New Roman"/>
          <w:b w:val="0"/>
          <w:bCs w:val="0"/>
          <w:color w:val="auto"/>
          <w:sz w:val="36"/>
          <w:szCs w:val="36"/>
          <w:highlight w:val="none"/>
          <w:u w:val="single"/>
          <w:lang w:val="en-US" w:eastAsia="zh-CN"/>
        </w:rPr>
        <w:t xml:space="preserve">  </w:t>
      </w:r>
      <w:r>
        <w:rPr>
          <w:rFonts w:hint="eastAsia" w:ascii="仿宋_GB2312" w:hAnsi="Times New Roman" w:eastAsia="仿宋_GB2312" w:cs="Times New Roman"/>
          <w:b w:val="0"/>
          <w:bCs w:val="0"/>
          <w:color w:val="auto"/>
          <w:sz w:val="36"/>
          <w:szCs w:val="36"/>
          <w:highlight w:val="none"/>
          <w:u w:val="single"/>
        </w:rPr>
        <w:t xml:space="preserve"> </w:t>
      </w:r>
    </w:p>
    <w:p>
      <w:pPr>
        <w:adjustRightInd w:val="0"/>
        <w:snapToGrid w:val="0"/>
        <w:spacing w:line="480" w:lineRule="auto"/>
        <w:ind w:firstLine="723" w:firstLineChars="200"/>
        <w:rPr>
          <w:rFonts w:hint="default" w:ascii="仿宋_GB2312" w:hAnsi="Times New Roman" w:eastAsia="仿宋_GB2312" w:cs="Times New Roman"/>
          <w:b/>
          <w:bCs/>
          <w:color w:val="auto"/>
          <w:sz w:val="36"/>
          <w:szCs w:val="36"/>
          <w:highlight w:val="none"/>
          <w:u w:val="single"/>
          <w:lang w:val="en-US" w:eastAsia="zh-CN"/>
        </w:rPr>
      </w:pPr>
      <w:bookmarkStart w:id="1" w:name="_Hlk57884087"/>
      <w:r>
        <w:rPr>
          <w:rFonts w:hint="eastAsia" w:ascii="仿宋_GB2312" w:eastAsia="仿宋_GB2312"/>
          <w:b/>
          <w:bCs/>
          <w:color w:val="auto"/>
          <w:sz w:val="36"/>
          <w:szCs w:val="36"/>
          <w:highlight w:val="none"/>
        </w:rPr>
        <w:t>编制日期：</w:t>
      </w:r>
      <w:r>
        <w:rPr>
          <w:rFonts w:hint="eastAsia" w:ascii="仿宋_GB2312" w:hAnsi="Times New Roman" w:eastAsia="仿宋_GB2312" w:cs="Times New Roman"/>
          <w:b w:val="0"/>
          <w:bCs w:val="0"/>
          <w:color w:val="auto"/>
          <w:sz w:val="36"/>
          <w:szCs w:val="36"/>
          <w:highlight w:val="none"/>
          <w:u w:val="single"/>
          <w:lang w:val="en-US" w:eastAsia="zh-CN"/>
        </w:rPr>
        <w:t xml:space="preserve">         </w:t>
      </w:r>
      <w:r>
        <w:rPr>
          <w:rFonts w:hint="eastAsia" w:ascii="仿宋_GB2312" w:hAnsi="Times New Roman" w:eastAsia="仿宋_GB2312" w:cs="Times New Roman"/>
          <w:b w:val="0"/>
          <w:bCs w:val="0"/>
          <w:color w:val="auto"/>
          <w:sz w:val="36"/>
          <w:szCs w:val="36"/>
          <w:highlight w:val="none"/>
          <w:u w:val="single"/>
        </w:rPr>
        <w:t>二〇二</w:t>
      </w:r>
      <w:r>
        <w:rPr>
          <w:rFonts w:hint="eastAsia" w:ascii="仿宋_GB2312" w:hAnsi="Times New Roman" w:eastAsia="仿宋_GB2312" w:cs="Times New Roman"/>
          <w:b w:val="0"/>
          <w:bCs w:val="0"/>
          <w:color w:val="auto"/>
          <w:sz w:val="36"/>
          <w:szCs w:val="36"/>
          <w:highlight w:val="none"/>
          <w:u w:val="single"/>
          <w:lang w:val="en-US" w:eastAsia="zh-CN"/>
        </w:rPr>
        <w:t>四</w:t>
      </w:r>
      <w:r>
        <w:rPr>
          <w:rFonts w:hint="eastAsia" w:ascii="仿宋_GB2312" w:hAnsi="Times New Roman" w:eastAsia="仿宋_GB2312" w:cs="Times New Roman"/>
          <w:b w:val="0"/>
          <w:bCs w:val="0"/>
          <w:color w:val="auto"/>
          <w:sz w:val="36"/>
          <w:szCs w:val="36"/>
          <w:highlight w:val="none"/>
          <w:u w:val="single"/>
        </w:rPr>
        <w:t>年</w:t>
      </w:r>
      <w:r>
        <w:rPr>
          <w:rFonts w:hint="eastAsia" w:ascii="仿宋_GB2312" w:eastAsia="仿宋_GB2312" w:cs="Times New Roman"/>
          <w:b w:val="0"/>
          <w:bCs w:val="0"/>
          <w:color w:val="auto"/>
          <w:sz w:val="36"/>
          <w:szCs w:val="36"/>
          <w:highlight w:val="none"/>
          <w:u w:val="single"/>
          <w:lang w:eastAsia="zh-CN"/>
        </w:rPr>
        <w:t>九</w:t>
      </w:r>
      <w:r>
        <w:rPr>
          <w:rFonts w:hint="eastAsia" w:ascii="仿宋_GB2312" w:hAnsi="Times New Roman" w:eastAsia="仿宋_GB2312" w:cs="Times New Roman"/>
          <w:b w:val="0"/>
          <w:bCs w:val="0"/>
          <w:color w:val="auto"/>
          <w:sz w:val="36"/>
          <w:szCs w:val="36"/>
          <w:highlight w:val="none"/>
          <w:u w:val="single"/>
        </w:rPr>
        <w:t>月</w:t>
      </w:r>
      <w:r>
        <w:rPr>
          <w:rFonts w:hint="eastAsia" w:ascii="仿宋_GB2312" w:hAnsi="Times New Roman" w:eastAsia="仿宋_GB2312" w:cs="Times New Roman"/>
          <w:b w:val="0"/>
          <w:bCs w:val="0"/>
          <w:color w:val="auto"/>
          <w:sz w:val="36"/>
          <w:szCs w:val="36"/>
          <w:highlight w:val="none"/>
          <w:u w:val="single"/>
          <w:lang w:val="en-US" w:eastAsia="zh-CN"/>
        </w:rPr>
        <w:t xml:space="preserve">          </w:t>
      </w:r>
      <w:r>
        <w:rPr>
          <w:rFonts w:hint="eastAsia" w:ascii="仿宋_GB2312" w:hAnsi="Times New Roman" w:eastAsia="仿宋_GB2312" w:cs="Times New Roman"/>
          <w:b/>
          <w:bCs/>
          <w:color w:val="auto"/>
          <w:sz w:val="36"/>
          <w:szCs w:val="36"/>
          <w:highlight w:val="none"/>
          <w:u w:val="single"/>
          <w:lang w:val="en-US" w:eastAsia="zh-CN"/>
        </w:rPr>
        <w:t xml:space="preserve">    </w:t>
      </w:r>
    </w:p>
    <w:p>
      <w:pPr>
        <w:adjustRightInd w:val="0"/>
        <w:snapToGrid w:val="0"/>
        <w:spacing w:line="288" w:lineRule="auto"/>
        <w:ind w:firstLine="1040"/>
        <w:rPr>
          <w:rFonts w:ascii="仿宋_GB2312" w:eastAsia="仿宋_GB2312"/>
          <w:b/>
          <w:bCs/>
          <w:color w:val="auto"/>
          <w:sz w:val="36"/>
          <w:szCs w:val="36"/>
          <w:highlight w:val="none"/>
        </w:rPr>
      </w:pPr>
    </w:p>
    <w:p>
      <w:pPr>
        <w:adjustRightInd w:val="0"/>
        <w:snapToGrid w:val="0"/>
        <w:spacing w:line="288" w:lineRule="auto"/>
        <w:ind w:firstLine="1040"/>
        <w:rPr>
          <w:rFonts w:ascii="仿宋_GB2312" w:eastAsia="仿宋_GB2312"/>
          <w:b/>
          <w:bCs/>
          <w:color w:val="auto"/>
          <w:sz w:val="36"/>
          <w:szCs w:val="36"/>
          <w:highlight w:val="none"/>
        </w:rPr>
      </w:pPr>
    </w:p>
    <w:p>
      <w:pPr>
        <w:adjustRightInd w:val="0"/>
        <w:snapToGrid w:val="0"/>
        <w:spacing w:line="480" w:lineRule="auto"/>
        <w:jc w:val="center"/>
        <w:rPr>
          <w:rFonts w:hint="eastAsia" w:ascii="仿宋_GB2312" w:eastAsia="仿宋_GB2312"/>
          <w:b/>
          <w:bCs/>
          <w:color w:val="auto"/>
          <w:sz w:val="36"/>
          <w:szCs w:val="36"/>
          <w:highlight w:val="none"/>
          <w:u w:val="single"/>
        </w:rPr>
      </w:pPr>
    </w:p>
    <w:bookmarkEnd w:id="1"/>
    <w:p>
      <w:pPr>
        <w:keepNext w:val="0"/>
        <w:keepLines w:val="0"/>
        <w:pageBreakBefore w:val="0"/>
        <w:widowControl w:val="0"/>
        <w:kinsoku/>
        <w:wordWrap/>
        <w:overflowPunct/>
        <w:topLinePunct w:val="0"/>
        <w:autoSpaceDE/>
        <w:autoSpaceDN/>
        <w:bidi w:val="0"/>
        <w:adjustRightInd w:val="0"/>
        <w:snapToGrid w:val="0"/>
        <w:spacing w:line="480" w:lineRule="auto"/>
        <w:jc w:val="center"/>
        <w:textAlignment w:val="auto"/>
        <w:outlineLvl w:val="9"/>
        <w:rPr>
          <w:rFonts w:hint="eastAsia" w:ascii="仿宋_GB2312" w:eastAsia="仿宋_GB2312"/>
          <w:b/>
          <w:bCs/>
          <w:color w:val="auto"/>
          <w:sz w:val="36"/>
          <w:szCs w:val="36"/>
          <w:highlight w:val="none"/>
        </w:rPr>
      </w:pPr>
      <w:bookmarkStart w:id="2" w:name="_Toc30671"/>
      <w:r>
        <w:rPr>
          <w:rFonts w:hint="eastAsia" w:ascii="仿宋_GB2312" w:eastAsia="仿宋_GB2312"/>
          <w:b/>
          <w:bCs/>
          <w:color w:val="auto"/>
          <w:sz w:val="36"/>
          <w:szCs w:val="36"/>
          <w:highlight w:val="none"/>
        </w:rPr>
        <w:t>中华人民共和国生态环境部制</w:t>
      </w:r>
      <w:bookmarkEnd w:id="2"/>
    </w:p>
    <w:p>
      <w:pPr>
        <w:bidi w:val="0"/>
        <w:rPr>
          <w:rFonts w:hint="eastAsia" w:eastAsia="宋体"/>
          <w:lang w:eastAsia="zh-CN"/>
        </w:rPr>
      </w:pPr>
      <w:r>
        <w:drawing>
          <wp:inline distT="0" distB="0" distL="114300" distR="114300">
            <wp:extent cx="5271135" cy="6869430"/>
            <wp:effectExtent l="0" t="0" r="571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271135" cy="6869430"/>
                    </a:xfrm>
                    <a:prstGeom prst="rect">
                      <a:avLst/>
                    </a:prstGeom>
                    <a:noFill/>
                    <a:ln>
                      <a:noFill/>
                    </a:ln>
                  </pic:spPr>
                </pic:pic>
              </a:graphicData>
            </a:graphic>
          </wp:inline>
        </w:drawing>
      </w:r>
      <w:r>
        <w:drawing>
          <wp:inline distT="0" distB="0" distL="114300" distR="114300">
            <wp:extent cx="5271770" cy="6911975"/>
            <wp:effectExtent l="0" t="0" r="5080" b="317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5271770" cy="6911975"/>
                    </a:xfrm>
                    <a:prstGeom prst="rect">
                      <a:avLst/>
                    </a:prstGeom>
                    <a:noFill/>
                    <a:ln>
                      <a:noFill/>
                    </a:ln>
                  </pic:spPr>
                </pic:pic>
              </a:graphicData>
            </a:graphic>
          </wp:inline>
        </w:drawing>
      </w:r>
      <w:r>
        <w:drawing>
          <wp:inline distT="0" distB="0" distL="114300" distR="114300">
            <wp:extent cx="5271135" cy="6786880"/>
            <wp:effectExtent l="0" t="0" r="5715" b="139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5271135" cy="6786880"/>
                    </a:xfrm>
                    <a:prstGeom prst="rect">
                      <a:avLst/>
                    </a:prstGeom>
                    <a:noFill/>
                    <a:ln>
                      <a:noFill/>
                    </a:ln>
                  </pic:spPr>
                </pic:pic>
              </a:graphicData>
            </a:graphic>
          </wp:inline>
        </w:drawing>
      </w:r>
      <w:r>
        <w:drawing>
          <wp:inline distT="0" distB="0" distL="114300" distR="114300">
            <wp:extent cx="5273675" cy="6534785"/>
            <wp:effectExtent l="0" t="0" r="3175" b="1841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5273675" cy="6534785"/>
                    </a:xfrm>
                    <a:prstGeom prst="rect">
                      <a:avLst/>
                    </a:prstGeom>
                    <a:noFill/>
                    <a:ln>
                      <a:noFill/>
                    </a:ln>
                  </pic:spPr>
                </pic:pic>
              </a:graphicData>
            </a:graphic>
          </wp:inline>
        </w:drawing>
      </w:r>
      <w:r>
        <w:drawing>
          <wp:inline distT="0" distB="0" distL="114300" distR="114300">
            <wp:extent cx="5268595" cy="7145655"/>
            <wp:effectExtent l="0" t="0" r="8255" b="1714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5268595" cy="7145655"/>
                    </a:xfrm>
                    <a:prstGeom prst="rect">
                      <a:avLst/>
                    </a:prstGeom>
                    <a:noFill/>
                    <a:ln>
                      <a:noFill/>
                    </a:ln>
                  </pic:spPr>
                </pic:pic>
              </a:graphicData>
            </a:graphic>
          </wp:inline>
        </w:drawing>
      </w:r>
      <w:r>
        <w:drawing>
          <wp:inline distT="0" distB="0" distL="114300" distR="114300">
            <wp:extent cx="5273675" cy="6762115"/>
            <wp:effectExtent l="0" t="0" r="3175" b="63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2"/>
                    <a:stretch>
                      <a:fillRect/>
                    </a:stretch>
                  </pic:blipFill>
                  <pic:spPr>
                    <a:xfrm>
                      <a:off x="0" y="0"/>
                      <a:ext cx="5273675" cy="6762115"/>
                    </a:xfrm>
                    <a:prstGeom prst="rect">
                      <a:avLst/>
                    </a:prstGeom>
                    <a:noFill/>
                    <a:ln>
                      <a:noFill/>
                    </a:ln>
                  </pic:spPr>
                </pic:pic>
              </a:graphicData>
            </a:graphic>
          </wp:inline>
        </w:drawing>
      </w:r>
    </w:p>
    <w:p>
      <w:pPr>
        <w:bidi w:val="0"/>
        <w:rPr>
          <w:rFonts w:hint="eastAsia" w:eastAsia="宋体"/>
          <w:lang w:eastAsia="zh-CN"/>
        </w:rPr>
        <w:sectPr>
          <w:footerReference r:id="rId3" w:type="default"/>
          <w:footerReference r:id="rId4" w:type="even"/>
          <w:pgSz w:w="11906" w:h="16838"/>
          <w:pgMar w:top="1440" w:right="1800" w:bottom="1440" w:left="1800"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eastAsia="宋体"/>
          <w:lang w:eastAsia="zh-CN"/>
        </w:rPr>
        <w:drawing>
          <wp:inline distT="0" distB="0" distL="114300" distR="114300">
            <wp:extent cx="5274310" cy="7454900"/>
            <wp:effectExtent l="0" t="0" r="2540" b="12700"/>
            <wp:docPr id="70" name="图片 70" descr="元青营业执照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元青营业执照_00"/>
                    <pic:cNvPicPr>
                      <a:picLocks noChangeAspect="1"/>
                    </pic:cNvPicPr>
                  </pic:nvPicPr>
                  <pic:blipFill>
                    <a:blip r:embed="rId13"/>
                    <a:stretch>
                      <a:fillRect/>
                    </a:stretch>
                  </pic:blipFill>
                  <pic:spPr>
                    <a:xfrm>
                      <a:off x="0" y="0"/>
                      <a:ext cx="5274310" cy="7454900"/>
                    </a:xfrm>
                    <a:prstGeom prst="rect">
                      <a:avLst/>
                    </a:prstGeom>
                  </pic:spPr>
                </pic:pic>
              </a:graphicData>
            </a:graphic>
          </wp:inline>
        </w:drawing>
      </w:r>
    </w:p>
    <w:p>
      <w:pPr>
        <w:jc w:val="center"/>
        <w:rPr>
          <w:rFonts w:hint="eastAsia" w:asciiTheme="minorAscii"/>
          <w:b/>
          <w:bCs/>
          <w:sz w:val="32"/>
          <w:szCs w:val="32"/>
          <w:lang w:val="en-US" w:eastAsia="zh-CN"/>
        </w:rPr>
      </w:pPr>
      <w:r>
        <w:rPr>
          <w:rFonts w:hint="default" w:ascii="Times New Roman" w:hAnsi="Times New Roman" w:cs="Times New Roman"/>
          <w:sz w:val="32"/>
          <w:szCs w:val="32"/>
        </w:rPr>
        <w:t>《</w:t>
      </w:r>
      <w:r>
        <w:rPr>
          <w:rFonts w:hint="eastAsia" w:cs="Times New Roman"/>
          <w:b/>
          <w:bCs/>
          <w:sz w:val="32"/>
          <w:szCs w:val="32"/>
          <w:lang w:eastAsia="zh-CN"/>
        </w:rPr>
        <w:t>永州市第四人民医院（市老年医院）服务能力提升项目</w:t>
      </w:r>
      <w:r>
        <w:rPr>
          <w:rFonts w:hint="default" w:ascii="Times New Roman" w:hAnsi="Times New Roman" w:cs="Times New Roman"/>
          <w:b/>
          <w:bCs/>
          <w:sz w:val="32"/>
          <w:szCs w:val="32"/>
        </w:rPr>
        <w:t>环境影响报告表》</w:t>
      </w:r>
      <w:r>
        <w:rPr>
          <w:rFonts w:hint="default" w:ascii="Times New Roman" w:hAnsi="Times New Roman" w:cs="Times New Roman"/>
          <w:b/>
          <w:bCs/>
          <w:sz w:val="32"/>
          <w:szCs w:val="32"/>
          <w:lang w:val="en-US" w:eastAsia="zh-CN"/>
        </w:rPr>
        <w:t>修改说明</w:t>
      </w:r>
    </w:p>
    <w:tbl>
      <w:tblPr>
        <w:tblStyle w:val="27"/>
        <w:tblW w:w="83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67"/>
        <w:gridCol w:w="4151"/>
        <w:gridCol w:w="994"/>
        <w:gridCol w:w="1549"/>
        <w:gridCol w:w="11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67" w:type="dxa"/>
            <w:tcBorders>
              <w:tl2br w:val="nil"/>
              <w:tr2bl w:val="nil"/>
            </w:tcBorders>
            <w:noWrap w:val="0"/>
            <w:tcMar>
              <w:left w:w="28" w:type="dxa"/>
              <w:right w:w="28" w:type="dxa"/>
            </w:tcMar>
            <w:vAlign w:val="center"/>
          </w:tcPr>
          <w:p>
            <w:pPr>
              <w:pStyle w:val="30"/>
              <w:bidi w:val="0"/>
            </w:pPr>
            <w:r>
              <w:t>序号</w:t>
            </w:r>
          </w:p>
        </w:tc>
        <w:tc>
          <w:tcPr>
            <w:tcW w:w="4151" w:type="dxa"/>
            <w:tcBorders>
              <w:tl2br w:val="nil"/>
              <w:tr2bl w:val="nil"/>
            </w:tcBorders>
            <w:noWrap w:val="0"/>
            <w:tcMar>
              <w:left w:w="28" w:type="dxa"/>
              <w:right w:w="28" w:type="dxa"/>
            </w:tcMar>
            <w:vAlign w:val="center"/>
          </w:tcPr>
          <w:p>
            <w:pPr>
              <w:pStyle w:val="30"/>
              <w:bidi w:val="0"/>
            </w:pPr>
            <w:r>
              <w:t>评审意见</w:t>
            </w:r>
          </w:p>
        </w:tc>
        <w:tc>
          <w:tcPr>
            <w:tcW w:w="994" w:type="dxa"/>
            <w:tcBorders>
              <w:tl2br w:val="nil"/>
              <w:tr2bl w:val="nil"/>
            </w:tcBorders>
            <w:noWrap w:val="0"/>
            <w:tcMar>
              <w:left w:w="28" w:type="dxa"/>
              <w:right w:w="28" w:type="dxa"/>
            </w:tcMar>
            <w:vAlign w:val="center"/>
          </w:tcPr>
          <w:p>
            <w:pPr>
              <w:pStyle w:val="30"/>
              <w:bidi w:val="0"/>
            </w:pPr>
            <w:r>
              <w:t>采纳情况</w:t>
            </w:r>
          </w:p>
        </w:tc>
        <w:tc>
          <w:tcPr>
            <w:tcW w:w="1549" w:type="dxa"/>
            <w:tcBorders>
              <w:tl2br w:val="nil"/>
              <w:tr2bl w:val="nil"/>
            </w:tcBorders>
            <w:noWrap w:val="0"/>
            <w:tcMar>
              <w:left w:w="28" w:type="dxa"/>
              <w:right w:w="28" w:type="dxa"/>
            </w:tcMar>
            <w:vAlign w:val="center"/>
          </w:tcPr>
          <w:p>
            <w:pPr>
              <w:pStyle w:val="30"/>
              <w:bidi w:val="0"/>
            </w:pPr>
            <w:r>
              <w:t>说  明</w:t>
            </w:r>
          </w:p>
        </w:tc>
        <w:tc>
          <w:tcPr>
            <w:tcW w:w="1101" w:type="dxa"/>
            <w:tcBorders>
              <w:tl2br w:val="nil"/>
              <w:tr2bl w:val="nil"/>
            </w:tcBorders>
            <w:noWrap w:val="0"/>
            <w:tcMar>
              <w:left w:w="28" w:type="dxa"/>
              <w:right w:w="28" w:type="dxa"/>
            </w:tcMar>
            <w:vAlign w:val="center"/>
          </w:tcPr>
          <w:p>
            <w:pPr>
              <w:pStyle w:val="30"/>
              <w:bidi w:val="0"/>
            </w:pPr>
            <w:r>
              <w:t>索引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67" w:type="dxa"/>
            <w:tcBorders>
              <w:tl2br w:val="nil"/>
              <w:tr2bl w:val="nil"/>
            </w:tcBorders>
            <w:noWrap w:val="0"/>
            <w:tcMar>
              <w:left w:w="28" w:type="dxa"/>
              <w:right w:w="28" w:type="dxa"/>
            </w:tcMar>
            <w:vAlign w:val="center"/>
          </w:tcPr>
          <w:p>
            <w:pPr>
              <w:pStyle w:val="30"/>
              <w:bidi w:val="0"/>
            </w:pPr>
            <w:r>
              <w:t>1</w:t>
            </w:r>
          </w:p>
        </w:tc>
        <w:tc>
          <w:tcPr>
            <w:tcW w:w="4151" w:type="dxa"/>
            <w:tcBorders>
              <w:tl2br w:val="nil"/>
              <w:tr2bl w:val="nil"/>
            </w:tcBorders>
            <w:noWrap w:val="0"/>
            <w:tcMar>
              <w:left w:w="28" w:type="dxa"/>
              <w:right w:w="28" w:type="dxa"/>
            </w:tcMar>
            <w:vAlign w:val="center"/>
          </w:tcPr>
          <w:p>
            <w:pPr>
              <w:pStyle w:val="30"/>
              <w:bidi w:val="0"/>
              <w:rPr>
                <w:rFonts w:hint="default"/>
                <w:lang w:val="en-US" w:eastAsia="zh-CN"/>
              </w:rPr>
            </w:pPr>
            <w:r>
              <w:rPr>
                <w:rFonts w:hint="eastAsia"/>
                <w:lang w:eastAsia="zh-CN"/>
              </w:rPr>
              <w:t>进一步细化项目由来，并明确项目的功能定位等</w:t>
            </w:r>
            <w:r>
              <w:rPr>
                <w:rFonts w:hint="eastAsia"/>
                <w:lang w:val="en-US" w:eastAsia="zh-CN"/>
              </w:rPr>
              <w:t>。</w:t>
            </w:r>
          </w:p>
        </w:tc>
        <w:tc>
          <w:tcPr>
            <w:tcW w:w="994" w:type="dxa"/>
            <w:tcBorders>
              <w:tl2br w:val="nil"/>
              <w:tr2bl w:val="nil"/>
            </w:tcBorders>
            <w:noWrap w:val="0"/>
            <w:tcMar>
              <w:left w:w="28" w:type="dxa"/>
              <w:right w:w="28" w:type="dxa"/>
            </w:tcMar>
            <w:vAlign w:val="center"/>
          </w:tcPr>
          <w:p>
            <w:pPr>
              <w:pStyle w:val="30"/>
              <w:bidi w:val="0"/>
            </w:pPr>
            <w:r>
              <w:rPr>
                <w:rFonts w:hint="eastAsia"/>
              </w:rPr>
              <w:t>已采纳</w:t>
            </w:r>
          </w:p>
        </w:tc>
        <w:tc>
          <w:tcPr>
            <w:tcW w:w="1549" w:type="dxa"/>
            <w:tcBorders>
              <w:tl2br w:val="nil"/>
              <w:tr2bl w:val="nil"/>
            </w:tcBorders>
            <w:noWrap w:val="0"/>
            <w:tcMar>
              <w:left w:w="28" w:type="dxa"/>
              <w:right w:w="28" w:type="dxa"/>
            </w:tcMar>
            <w:vAlign w:val="center"/>
          </w:tcPr>
          <w:p>
            <w:pPr>
              <w:pStyle w:val="30"/>
              <w:bidi w:val="0"/>
            </w:pPr>
            <w:r>
              <w:t>根据专家意见进行核实和完善。</w:t>
            </w:r>
          </w:p>
        </w:tc>
        <w:tc>
          <w:tcPr>
            <w:tcW w:w="1101" w:type="dxa"/>
            <w:tcBorders>
              <w:tl2br w:val="nil"/>
              <w:tr2bl w:val="nil"/>
            </w:tcBorders>
            <w:shd w:val="clear" w:color="auto" w:fill="auto"/>
            <w:noWrap w:val="0"/>
            <w:tcMar>
              <w:left w:w="28" w:type="dxa"/>
              <w:right w:w="28" w:type="dxa"/>
            </w:tcMar>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P10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67" w:type="dxa"/>
            <w:tcBorders>
              <w:tl2br w:val="nil"/>
              <w:tr2bl w:val="nil"/>
            </w:tcBorders>
            <w:noWrap w:val="0"/>
            <w:tcMar>
              <w:left w:w="28" w:type="dxa"/>
              <w:right w:w="28" w:type="dxa"/>
            </w:tcMar>
            <w:vAlign w:val="center"/>
          </w:tcPr>
          <w:p>
            <w:pPr>
              <w:pStyle w:val="30"/>
              <w:bidi w:val="0"/>
            </w:pPr>
            <w:r>
              <w:t>2</w:t>
            </w:r>
          </w:p>
        </w:tc>
        <w:tc>
          <w:tcPr>
            <w:tcW w:w="4151" w:type="dxa"/>
            <w:tcBorders>
              <w:tl2br w:val="nil"/>
              <w:tr2bl w:val="nil"/>
            </w:tcBorders>
            <w:noWrap w:val="0"/>
            <w:tcMar>
              <w:left w:w="28" w:type="dxa"/>
              <w:right w:w="28" w:type="dxa"/>
            </w:tcMar>
            <w:vAlign w:val="center"/>
          </w:tcPr>
          <w:p>
            <w:pPr>
              <w:pStyle w:val="30"/>
              <w:bidi w:val="0"/>
              <w:rPr>
                <w:rFonts w:hint="default"/>
                <w:lang w:val="en-US" w:eastAsia="zh-CN"/>
              </w:rPr>
            </w:pPr>
            <w:r>
              <w:rPr>
                <w:rFonts w:hint="eastAsia"/>
                <w:lang w:eastAsia="zh-CN"/>
              </w:rPr>
              <w:t>细化项目建设内容。核实医院科室建设设置及布局等（需要与平面布置图对应），核实项目废水分类及分质措施等，据此细化项目水平衡图</w:t>
            </w:r>
            <w:r>
              <w:rPr>
                <w:rFonts w:hint="eastAsia"/>
              </w:rPr>
              <w:t>。</w:t>
            </w:r>
          </w:p>
        </w:tc>
        <w:tc>
          <w:tcPr>
            <w:tcW w:w="994" w:type="dxa"/>
            <w:tcBorders>
              <w:tl2br w:val="nil"/>
              <w:tr2bl w:val="nil"/>
            </w:tcBorders>
            <w:noWrap w:val="0"/>
            <w:tcMar>
              <w:left w:w="28" w:type="dxa"/>
              <w:right w:w="28" w:type="dxa"/>
            </w:tcMar>
            <w:vAlign w:val="center"/>
          </w:tcPr>
          <w:p>
            <w:pPr>
              <w:pStyle w:val="30"/>
              <w:bidi w:val="0"/>
            </w:pPr>
            <w:r>
              <w:rPr>
                <w:rFonts w:hint="eastAsia"/>
              </w:rPr>
              <w:t>已采纳</w:t>
            </w:r>
          </w:p>
        </w:tc>
        <w:tc>
          <w:tcPr>
            <w:tcW w:w="1549" w:type="dxa"/>
            <w:tcBorders>
              <w:tl2br w:val="nil"/>
              <w:tr2bl w:val="nil"/>
            </w:tcBorders>
            <w:noWrap w:val="0"/>
            <w:tcMar>
              <w:left w:w="28" w:type="dxa"/>
              <w:right w:w="28" w:type="dxa"/>
            </w:tcMar>
            <w:vAlign w:val="center"/>
          </w:tcPr>
          <w:p>
            <w:pPr>
              <w:pStyle w:val="30"/>
              <w:bidi w:val="0"/>
            </w:pPr>
            <w:r>
              <w:t>根据专家意见进行核实和完善</w:t>
            </w:r>
            <w:r>
              <w:rPr>
                <w:rFonts w:hint="eastAsia"/>
              </w:rPr>
              <w:t>。</w:t>
            </w:r>
          </w:p>
        </w:tc>
        <w:tc>
          <w:tcPr>
            <w:tcW w:w="1101" w:type="dxa"/>
            <w:tcBorders>
              <w:tl2br w:val="nil"/>
              <w:tr2bl w:val="nil"/>
            </w:tcBorders>
            <w:shd w:val="clear" w:color="auto" w:fill="auto"/>
            <w:noWrap w:val="0"/>
            <w:tcMar>
              <w:left w:w="28" w:type="dxa"/>
              <w:right w:w="28" w:type="dxa"/>
            </w:tcMar>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P12、P16-18、附图2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67" w:type="dxa"/>
            <w:tcBorders>
              <w:tl2br w:val="nil"/>
              <w:tr2bl w:val="nil"/>
            </w:tcBorders>
            <w:noWrap w:val="0"/>
            <w:tcMar>
              <w:left w:w="28" w:type="dxa"/>
              <w:right w:w="28" w:type="dxa"/>
            </w:tcMar>
            <w:vAlign w:val="center"/>
          </w:tcPr>
          <w:p>
            <w:pPr>
              <w:pStyle w:val="30"/>
              <w:bidi w:val="0"/>
            </w:pPr>
            <w:r>
              <w:rPr>
                <w:rFonts w:hint="eastAsia"/>
              </w:rPr>
              <w:t>3</w:t>
            </w:r>
          </w:p>
        </w:tc>
        <w:tc>
          <w:tcPr>
            <w:tcW w:w="4151" w:type="dxa"/>
            <w:tcBorders>
              <w:tl2br w:val="nil"/>
              <w:tr2bl w:val="nil"/>
            </w:tcBorders>
            <w:noWrap w:val="0"/>
            <w:tcMar>
              <w:left w:w="28" w:type="dxa"/>
              <w:right w:w="28" w:type="dxa"/>
            </w:tcMar>
            <w:vAlign w:val="center"/>
          </w:tcPr>
          <w:p>
            <w:pPr>
              <w:pStyle w:val="30"/>
              <w:bidi w:val="0"/>
              <w:rPr>
                <w:rFonts w:hint="default"/>
                <w:lang w:val="en-US" w:eastAsia="zh-CN"/>
              </w:rPr>
            </w:pPr>
            <w:r>
              <w:rPr>
                <w:rFonts w:hint="eastAsia"/>
                <w:lang w:eastAsia="zh-CN"/>
              </w:rPr>
              <w:t>核实环境敏感目标，进一步调查区域市政污水管网建设情况，核实区域废水最终去向；</w:t>
            </w:r>
            <w:r>
              <w:rPr>
                <w:rFonts w:hint="eastAsia"/>
                <w:lang w:val="en-US" w:eastAsia="zh-CN"/>
              </w:rPr>
              <w:t>核实项目执行</w:t>
            </w:r>
            <w:r>
              <w:rPr>
                <w:rFonts w:hint="eastAsia"/>
                <w:lang w:eastAsia="zh-CN"/>
              </w:rPr>
              <w:t>排放标准</w:t>
            </w:r>
            <w:r>
              <w:rPr>
                <w:rFonts w:hint="eastAsia"/>
              </w:rPr>
              <w:t>。</w:t>
            </w:r>
          </w:p>
        </w:tc>
        <w:tc>
          <w:tcPr>
            <w:tcW w:w="994" w:type="dxa"/>
            <w:tcBorders>
              <w:tl2br w:val="nil"/>
              <w:tr2bl w:val="nil"/>
            </w:tcBorders>
            <w:noWrap w:val="0"/>
            <w:tcMar>
              <w:left w:w="28" w:type="dxa"/>
              <w:right w:w="28" w:type="dxa"/>
            </w:tcMar>
            <w:vAlign w:val="center"/>
          </w:tcPr>
          <w:p>
            <w:pPr>
              <w:pStyle w:val="30"/>
              <w:bidi w:val="0"/>
            </w:pPr>
            <w:r>
              <w:rPr>
                <w:rFonts w:hint="eastAsia"/>
              </w:rPr>
              <w:t>已采纳</w:t>
            </w:r>
          </w:p>
        </w:tc>
        <w:tc>
          <w:tcPr>
            <w:tcW w:w="1549" w:type="dxa"/>
            <w:tcBorders>
              <w:tl2br w:val="nil"/>
              <w:tr2bl w:val="nil"/>
            </w:tcBorders>
            <w:noWrap w:val="0"/>
            <w:tcMar>
              <w:left w:w="28" w:type="dxa"/>
              <w:right w:w="28" w:type="dxa"/>
            </w:tcMar>
            <w:vAlign w:val="center"/>
          </w:tcPr>
          <w:p>
            <w:pPr>
              <w:pStyle w:val="30"/>
              <w:bidi w:val="0"/>
            </w:pPr>
            <w:r>
              <w:t>根据专家意见进行核实和完善。</w:t>
            </w:r>
          </w:p>
        </w:tc>
        <w:tc>
          <w:tcPr>
            <w:tcW w:w="1101" w:type="dxa"/>
            <w:tcBorders>
              <w:tl2br w:val="nil"/>
              <w:tr2bl w:val="nil"/>
            </w:tcBorders>
            <w:shd w:val="clear" w:color="auto" w:fill="auto"/>
            <w:noWrap w:val="0"/>
            <w:tcMar>
              <w:left w:w="28" w:type="dxa"/>
              <w:right w:w="28" w:type="dxa"/>
            </w:tcMar>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rPr>
              <w:t>P</w:t>
            </w:r>
            <w:r>
              <w:rPr>
                <w:rFonts w:hint="eastAsia"/>
                <w:lang w:val="en-US" w:eastAsia="zh-CN"/>
              </w:rPr>
              <w:t>26-28、附图7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67" w:type="dxa"/>
            <w:tcBorders>
              <w:tl2br w:val="nil"/>
              <w:tr2bl w:val="nil"/>
            </w:tcBorders>
            <w:noWrap w:val="0"/>
            <w:tcMar>
              <w:left w:w="28" w:type="dxa"/>
              <w:right w:w="28" w:type="dxa"/>
            </w:tcMar>
            <w:vAlign w:val="center"/>
          </w:tcPr>
          <w:p>
            <w:pPr>
              <w:pStyle w:val="30"/>
              <w:bidi w:val="0"/>
            </w:pPr>
            <w:r>
              <w:t>4</w:t>
            </w:r>
          </w:p>
        </w:tc>
        <w:tc>
          <w:tcPr>
            <w:tcW w:w="4151" w:type="dxa"/>
            <w:tcBorders>
              <w:tl2br w:val="nil"/>
              <w:tr2bl w:val="nil"/>
            </w:tcBorders>
            <w:noWrap w:val="0"/>
            <w:tcMar>
              <w:left w:w="28" w:type="dxa"/>
              <w:right w:w="28" w:type="dxa"/>
            </w:tcMar>
            <w:vAlign w:val="center"/>
          </w:tcPr>
          <w:p>
            <w:pPr>
              <w:pStyle w:val="30"/>
              <w:bidi w:val="0"/>
              <w:rPr>
                <w:rFonts w:hint="eastAsia"/>
                <w:lang w:val="en-US" w:eastAsia="zh-CN"/>
              </w:rPr>
            </w:pPr>
            <w:r>
              <w:rPr>
                <w:rFonts w:hint="eastAsia"/>
                <w:lang w:eastAsia="zh-CN"/>
              </w:rPr>
              <w:t>进一步核实项目废水特别是医疗废水产生情况，明确特殊医疗废水的产生及预处理措施，对照《医疗机构污水处理工程技术标准》（GB 51459-2024）核实废水处置措施的合理性</w:t>
            </w:r>
            <w:r>
              <w:rPr>
                <w:rFonts w:hint="eastAsia"/>
              </w:rPr>
              <w:t>。</w:t>
            </w:r>
          </w:p>
        </w:tc>
        <w:tc>
          <w:tcPr>
            <w:tcW w:w="994" w:type="dxa"/>
            <w:tcBorders>
              <w:tl2br w:val="nil"/>
              <w:tr2bl w:val="nil"/>
            </w:tcBorders>
            <w:noWrap w:val="0"/>
            <w:tcMar>
              <w:left w:w="28" w:type="dxa"/>
              <w:right w:w="28" w:type="dxa"/>
            </w:tcMar>
            <w:vAlign w:val="center"/>
          </w:tcPr>
          <w:p>
            <w:pPr>
              <w:pStyle w:val="30"/>
              <w:bidi w:val="0"/>
            </w:pPr>
            <w:r>
              <w:rPr>
                <w:rFonts w:hint="eastAsia"/>
              </w:rPr>
              <w:t>已采纳</w:t>
            </w:r>
          </w:p>
        </w:tc>
        <w:tc>
          <w:tcPr>
            <w:tcW w:w="1549" w:type="dxa"/>
            <w:tcBorders>
              <w:tl2br w:val="nil"/>
              <w:tr2bl w:val="nil"/>
            </w:tcBorders>
            <w:noWrap w:val="0"/>
            <w:tcMar>
              <w:left w:w="28" w:type="dxa"/>
              <w:right w:w="28" w:type="dxa"/>
            </w:tcMar>
            <w:vAlign w:val="center"/>
          </w:tcPr>
          <w:p>
            <w:pPr>
              <w:pStyle w:val="30"/>
              <w:bidi w:val="0"/>
            </w:pPr>
            <w:r>
              <w:t>根据专家意见进行核实和完善。</w:t>
            </w:r>
          </w:p>
        </w:tc>
        <w:tc>
          <w:tcPr>
            <w:tcW w:w="1101" w:type="dxa"/>
            <w:tcBorders>
              <w:tl2br w:val="nil"/>
              <w:tr2bl w:val="nil"/>
            </w:tcBorders>
            <w:shd w:val="clear" w:color="auto" w:fill="auto"/>
            <w:noWrap w:val="0"/>
            <w:tcMar>
              <w:left w:w="28" w:type="dxa"/>
              <w:right w:w="28" w:type="dxa"/>
            </w:tcMar>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rPr>
              <w:t>P</w:t>
            </w:r>
            <w:r>
              <w:rPr>
                <w:rFonts w:hint="eastAsia"/>
                <w:lang w:val="en-US" w:eastAsia="zh-CN"/>
              </w:rPr>
              <w:t>36-39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67" w:type="dxa"/>
            <w:tcBorders>
              <w:tl2br w:val="nil"/>
              <w:tr2bl w:val="nil"/>
            </w:tcBorders>
            <w:noWrap w:val="0"/>
            <w:tcMar>
              <w:left w:w="28" w:type="dxa"/>
              <w:right w:w="28" w:type="dxa"/>
            </w:tcMar>
            <w:vAlign w:val="center"/>
          </w:tcPr>
          <w:p>
            <w:pPr>
              <w:pStyle w:val="30"/>
              <w:bidi w:val="0"/>
            </w:pPr>
            <w:r>
              <w:t>5</w:t>
            </w:r>
          </w:p>
        </w:tc>
        <w:tc>
          <w:tcPr>
            <w:tcW w:w="4151" w:type="dxa"/>
            <w:tcBorders>
              <w:tl2br w:val="nil"/>
              <w:tr2bl w:val="nil"/>
            </w:tcBorders>
            <w:noWrap w:val="0"/>
            <w:tcMar>
              <w:left w:w="28" w:type="dxa"/>
              <w:right w:w="28" w:type="dxa"/>
            </w:tcMar>
            <w:vAlign w:val="center"/>
          </w:tcPr>
          <w:p>
            <w:pPr>
              <w:pStyle w:val="30"/>
              <w:bidi w:val="0"/>
              <w:rPr>
                <w:rFonts w:hint="eastAsia"/>
                <w:lang w:val="en-US" w:eastAsia="zh-CN"/>
              </w:rPr>
            </w:pPr>
            <w:r>
              <w:rPr>
                <w:rFonts w:hint="eastAsia"/>
                <w:lang w:eastAsia="zh-CN"/>
              </w:rPr>
              <w:t>进一步强化噪声预测内容，补充外环境对项目的影响分析</w:t>
            </w:r>
            <w:r>
              <w:rPr>
                <w:rFonts w:hint="eastAsia"/>
              </w:rPr>
              <w:t>。</w:t>
            </w:r>
          </w:p>
        </w:tc>
        <w:tc>
          <w:tcPr>
            <w:tcW w:w="994" w:type="dxa"/>
            <w:tcBorders>
              <w:tl2br w:val="nil"/>
              <w:tr2bl w:val="nil"/>
            </w:tcBorders>
            <w:noWrap w:val="0"/>
            <w:tcMar>
              <w:left w:w="28" w:type="dxa"/>
              <w:right w:w="28" w:type="dxa"/>
            </w:tcMar>
            <w:vAlign w:val="center"/>
          </w:tcPr>
          <w:p>
            <w:pPr>
              <w:pStyle w:val="30"/>
              <w:bidi w:val="0"/>
            </w:pPr>
            <w:r>
              <w:rPr>
                <w:rFonts w:hint="eastAsia"/>
              </w:rPr>
              <w:t>已采纳</w:t>
            </w:r>
          </w:p>
        </w:tc>
        <w:tc>
          <w:tcPr>
            <w:tcW w:w="1549" w:type="dxa"/>
            <w:tcBorders>
              <w:tl2br w:val="nil"/>
              <w:tr2bl w:val="nil"/>
            </w:tcBorders>
            <w:noWrap w:val="0"/>
            <w:tcMar>
              <w:left w:w="28" w:type="dxa"/>
              <w:right w:w="28" w:type="dxa"/>
            </w:tcMar>
            <w:vAlign w:val="center"/>
          </w:tcPr>
          <w:p>
            <w:pPr>
              <w:pStyle w:val="30"/>
              <w:bidi w:val="0"/>
            </w:pPr>
            <w:r>
              <w:t>根据专家意见进行核实和完善</w:t>
            </w:r>
            <w:r>
              <w:rPr>
                <w:rFonts w:hint="eastAsia"/>
              </w:rPr>
              <w:t>。</w:t>
            </w:r>
          </w:p>
        </w:tc>
        <w:tc>
          <w:tcPr>
            <w:tcW w:w="1101" w:type="dxa"/>
            <w:tcBorders>
              <w:tl2br w:val="nil"/>
              <w:tr2bl w:val="nil"/>
            </w:tcBorders>
            <w:shd w:val="clear" w:color="auto" w:fill="auto"/>
            <w:noWrap w:val="0"/>
            <w:tcMar>
              <w:left w:w="28" w:type="dxa"/>
              <w:right w:w="28" w:type="dxa"/>
            </w:tcMar>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rPr>
              <w:t>P</w:t>
            </w:r>
            <w:r>
              <w:rPr>
                <w:rFonts w:hint="eastAsia"/>
                <w:lang w:val="en-US" w:eastAsia="zh-CN"/>
              </w:rPr>
              <w:t>41-46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67" w:type="dxa"/>
            <w:tcBorders>
              <w:tl2br w:val="nil"/>
              <w:tr2bl w:val="nil"/>
            </w:tcBorders>
            <w:noWrap w:val="0"/>
            <w:tcMar>
              <w:left w:w="28" w:type="dxa"/>
              <w:right w:w="28" w:type="dxa"/>
            </w:tcMar>
            <w:vAlign w:val="center"/>
          </w:tcPr>
          <w:p>
            <w:pPr>
              <w:pStyle w:val="30"/>
              <w:bidi w:val="0"/>
              <w:rPr>
                <w:rFonts w:hint="eastAsia"/>
                <w:lang w:val="en-US" w:eastAsia="zh-CN"/>
              </w:rPr>
            </w:pPr>
            <w:r>
              <w:rPr>
                <w:rFonts w:hint="eastAsia"/>
                <w:lang w:val="en-US" w:eastAsia="zh-CN"/>
              </w:rPr>
              <w:t>6</w:t>
            </w:r>
          </w:p>
        </w:tc>
        <w:tc>
          <w:tcPr>
            <w:tcW w:w="4151" w:type="dxa"/>
            <w:tcBorders>
              <w:tl2br w:val="nil"/>
              <w:tr2bl w:val="nil"/>
            </w:tcBorders>
            <w:noWrap w:val="0"/>
            <w:tcMar>
              <w:left w:w="28" w:type="dxa"/>
              <w:right w:w="28" w:type="dxa"/>
            </w:tcMar>
            <w:vAlign w:val="center"/>
          </w:tcPr>
          <w:p>
            <w:pPr>
              <w:pStyle w:val="30"/>
              <w:bidi w:val="0"/>
              <w:rPr>
                <w:rFonts w:hint="default"/>
                <w:lang w:val="en-US" w:eastAsia="zh-CN"/>
              </w:rPr>
            </w:pPr>
            <w:r>
              <w:rPr>
                <w:rFonts w:hint="eastAsia"/>
                <w:lang w:val="en-US" w:eastAsia="zh-CN"/>
              </w:rPr>
              <w:t>强化固废产生种类、性质及处置措施，细化相关管理要求</w:t>
            </w:r>
            <w:r>
              <w:rPr>
                <w:rFonts w:hint="eastAsia"/>
              </w:rPr>
              <w:t>。</w:t>
            </w:r>
          </w:p>
        </w:tc>
        <w:tc>
          <w:tcPr>
            <w:tcW w:w="994" w:type="dxa"/>
            <w:tcBorders>
              <w:tl2br w:val="nil"/>
              <w:tr2bl w:val="nil"/>
            </w:tcBorders>
            <w:noWrap w:val="0"/>
            <w:tcMar>
              <w:left w:w="28" w:type="dxa"/>
              <w:right w:w="28" w:type="dxa"/>
            </w:tcMar>
            <w:vAlign w:val="center"/>
          </w:tcPr>
          <w:p>
            <w:pPr>
              <w:pStyle w:val="30"/>
              <w:bidi w:val="0"/>
              <w:rPr>
                <w:rFonts w:hint="eastAsia"/>
                <w:lang w:val="en-US" w:eastAsia="zh-CN"/>
              </w:rPr>
            </w:pPr>
            <w:r>
              <w:rPr>
                <w:rFonts w:hint="eastAsia"/>
              </w:rPr>
              <w:t>已采纳</w:t>
            </w:r>
          </w:p>
        </w:tc>
        <w:tc>
          <w:tcPr>
            <w:tcW w:w="1549" w:type="dxa"/>
            <w:tcBorders>
              <w:tl2br w:val="nil"/>
              <w:tr2bl w:val="nil"/>
            </w:tcBorders>
            <w:noWrap w:val="0"/>
            <w:tcMar>
              <w:left w:w="28" w:type="dxa"/>
              <w:right w:w="28" w:type="dxa"/>
            </w:tcMar>
            <w:vAlign w:val="center"/>
          </w:tcPr>
          <w:p>
            <w:pPr>
              <w:pStyle w:val="30"/>
              <w:bidi w:val="0"/>
              <w:rPr>
                <w:lang w:val="en-US" w:eastAsia="zh-CN"/>
              </w:rPr>
            </w:pPr>
            <w:r>
              <w:t>根据专家意见进行核实和完善。</w:t>
            </w:r>
          </w:p>
        </w:tc>
        <w:tc>
          <w:tcPr>
            <w:tcW w:w="1101" w:type="dxa"/>
            <w:tcBorders>
              <w:tl2br w:val="nil"/>
              <w:tr2bl w:val="nil"/>
            </w:tcBorders>
            <w:shd w:val="clear" w:color="auto" w:fill="auto"/>
            <w:noWrap w:val="0"/>
            <w:tcMar>
              <w:left w:w="28" w:type="dxa"/>
              <w:right w:w="28" w:type="dxa"/>
            </w:tcMar>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P47-52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67" w:type="dxa"/>
            <w:tcBorders>
              <w:tl2br w:val="nil"/>
              <w:tr2bl w:val="nil"/>
            </w:tcBorders>
            <w:noWrap w:val="0"/>
            <w:tcMar>
              <w:left w:w="28" w:type="dxa"/>
              <w:right w:w="28" w:type="dxa"/>
            </w:tcMar>
            <w:vAlign w:val="center"/>
          </w:tcPr>
          <w:p>
            <w:pPr>
              <w:pStyle w:val="30"/>
              <w:bidi w:val="0"/>
              <w:rPr>
                <w:rFonts w:hint="default"/>
                <w:lang w:val="en-US" w:eastAsia="zh-CN"/>
              </w:rPr>
            </w:pPr>
            <w:r>
              <w:rPr>
                <w:rFonts w:hint="eastAsia"/>
                <w:lang w:val="en-US" w:eastAsia="zh-CN"/>
              </w:rPr>
              <w:t>7</w:t>
            </w:r>
          </w:p>
        </w:tc>
        <w:tc>
          <w:tcPr>
            <w:tcW w:w="4151" w:type="dxa"/>
            <w:tcBorders>
              <w:tl2br w:val="nil"/>
              <w:tr2bl w:val="nil"/>
            </w:tcBorders>
            <w:noWrap w:val="0"/>
            <w:tcMar>
              <w:left w:w="28" w:type="dxa"/>
              <w:right w:w="28" w:type="dxa"/>
            </w:tcMar>
            <w:vAlign w:val="center"/>
          </w:tcPr>
          <w:p>
            <w:pPr>
              <w:pStyle w:val="30"/>
              <w:bidi w:val="0"/>
              <w:rPr>
                <w:rFonts w:hint="eastAsia"/>
                <w:lang w:val="en-US" w:eastAsia="zh-CN"/>
              </w:rPr>
            </w:pPr>
            <w:r>
              <w:rPr>
                <w:rFonts w:hint="eastAsia"/>
                <w:lang w:eastAsia="zh-CN"/>
              </w:rPr>
              <w:t>完善环境保护措施监督检查清单，补充完善相关附图附件（如项目排水路径图、</w:t>
            </w:r>
            <w:r>
              <w:rPr>
                <w:rFonts w:hint="eastAsia"/>
                <w:lang w:val="en-US" w:eastAsia="zh-CN"/>
              </w:rPr>
              <w:t>卫生部门审批意见、环境现状监测报告及质保单</w:t>
            </w:r>
            <w:r>
              <w:rPr>
                <w:rFonts w:hint="eastAsia"/>
                <w:lang w:eastAsia="zh-CN"/>
              </w:rPr>
              <w:t>等）</w:t>
            </w:r>
            <w:r>
              <w:rPr>
                <w:rFonts w:hint="eastAsia"/>
              </w:rPr>
              <w:t>。</w:t>
            </w:r>
          </w:p>
        </w:tc>
        <w:tc>
          <w:tcPr>
            <w:tcW w:w="994" w:type="dxa"/>
            <w:tcBorders>
              <w:tl2br w:val="nil"/>
              <w:tr2bl w:val="nil"/>
            </w:tcBorders>
            <w:noWrap w:val="0"/>
            <w:tcMar>
              <w:left w:w="28" w:type="dxa"/>
              <w:right w:w="28" w:type="dxa"/>
            </w:tcMar>
            <w:vAlign w:val="center"/>
          </w:tcPr>
          <w:p>
            <w:pPr>
              <w:pStyle w:val="30"/>
              <w:bidi w:val="0"/>
              <w:rPr>
                <w:rFonts w:hint="eastAsia"/>
                <w:lang w:val="en-US" w:eastAsia="zh-CN"/>
              </w:rPr>
            </w:pPr>
            <w:r>
              <w:rPr>
                <w:rFonts w:hint="eastAsia"/>
              </w:rPr>
              <w:t>已采纳</w:t>
            </w:r>
          </w:p>
        </w:tc>
        <w:tc>
          <w:tcPr>
            <w:tcW w:w="1549" w:type="dxa"/>
            <w:tcBorders>
              <w:tl2br w:val="nil"/>
              <w:tr2bl w:val="nil"/>
            </w:tcBorders>
            <w:noWrap w:val="0"/>
            <w:tcMar>
              <w:left w:w="28" w:type="dxa"/>
              <w:right w:w="28" w:type="dxa"/>
            </w:tcMar>
            <w:vAlign w:val="center"/>
          </w:tcPr>
          <w:p>
            <w:pPr>
              <w:pStyle w:val="30"/>
              <w:bidi w:val="0"/>
              <w:rPr>
                <w:lang w:val="en-US" w:eastAsia="zh-CN"/>
              </w:rPr>
            </w:pPr>
            <w:r>
              <w:t>根据专家意见进行核实和完善</w:t>
            </w:r>
            <w:r>
              <w:rPr>
                <w:rFonts w:hint="eastAsia"/>
              </w:rPr>
              <w:t>。</w:t>
            </w:r>
          </w:p>
        </w:tc>
        <w:tc>
          <w:tcPr>
            <w:tcW w:w="1101" w:type="dxa"/>
            <w:tcBorders>
              <w:tl2br w:val="nil"/>
              <w:tr2bl w:val="nil"/>
            </w:tcBorders>
            <w:shd w:val="clear" w:color="auto" w:fill="auto"/>
            <w:noWrap w:val="0"/>
            <w:tcMar>
              <w:left w:w="28" w:type="dxa"/>
              <w:right w:w="28" w:type="dxa"/>
            </w:tcMar>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P60-62、</w:t>
            </w:r>
            <w:r>
              <w:rPr>
                <w:rFonts w:hint="eastAsia"/>
                <w:lang w:eastAsia="zh-CN"/>
              </w:rPr>
              <w:t>附件</w:t>
            </w:r>
            <w:r>
              <w:rPr>
                <w:rFonts w:hint="eastAsia"/>
                <w:lang w:val="en-US" w:eastAsia="zh-CN"/>
              </w:rPr>
              <w:t>4、</w:t>
            </w:r>
            <w:r>
              <w:rPr>
                <w:rFonts w:hint="eastAsia"/>
                <w:lang w:eastAsia="zh-CN"/>
              </w:rPr>
              <w:t>附件</w:t>
            </w:r>
            <w:r>
              <w:rPr>
                <w:rFonts w:hint="eastAsia"/>
                <w:lang w:val="en-US" w:eastAsia="zh-CN"/>
              </w:rPr>
              <w:t>5、附图7</w:t>
            </w:r>
          </w:p>
        </w:tc>
      </w:tr>
    </w:tbl>
    <w:p>
      <w:pPr>
        <w:bidi w:val="0"/>
        <w:rPr>
          <w:rFonts w:hint="eastAsia" w:eastAsia="宋体"/>
          <w:lang w:eastAsia="zh-CN"/>
        </w:rPr>
        <w:sectPr>
          <w:pgSz w:w="11906" w:h="16838"/>
          <w:pgMar w:top="1440" w:right="1800" w:bottom="1440" w:left="1800" w:header="851" w:footer="1077" w:gutter="0"/>
          <w:pgBorders>
            <w:top w:val="none" w:sz="0" w:space="0"/>
            <w:left w:val="none" w:sz="0" w:space="0"/>
            <w:bottom w:val="none" w:sz="0" w:space="0"/>
            <w:right w:val="none" w:sz="0" w:space="0"/>
          </w:pgBorders>
          <w:pgNumType w:start="3"/>
          <w:cols w:space="720" w:num="1"/>
          <w:docGrid w:linePitch="312" w:charSpace="0"/>
        </w:sectPr>
      </w:pPr>
    </w:p>
    <w:p>
      <w:pPr>
        <w:jc w:val="center"/>
        <w:rPr>
          <w:rFonts w:hint="eastAsia"/>
          <w:b/>
          <w:bCs/>
          <w:sz w:val="30"/>
          <w:szCs w:val="30"/>
          <w:lang w:eastAsia="zh-CN"/>
        </w:rPr>
      </w:pPr>
      <w:r>
        <w:rPr>
          <w:rFonts w:hint="eastAsia"/>
          <w:b/>
          <w:bCs/>
          <w:sz w:val="30"/>
          <w:szCs w:val="30"/>
          <w:lang w:eastAsia="zh-CN"/>
        </w:rPr>
        <w:t>目录</w:t>
      </w:r>
    </w:p>
    <w:p>
      <w:pPr>
        <w:pStyle w:val="17"/>
        <w:tabs>
          <w:tab w:val="right" w:leader="dot" w:pos="8306"/>
        </w:tabs>
      </w:pPr>
      <w:r>
        <w:fldChar w:fldCharType="begin"/>
      </w:r>
      <w:r>
        <w:instrText xml:space="preserve">TOC \o "1-3" \h \u </w:instrText>
      </w:r>
      <w:r>
        <w:fldChar w:fldCharType="separate"/>
      </w:r>
      <w:r>
        <w:fldChar w:fldCharType="begin"/>
      </w:r>
      <w:r>
        <w:instrText xml:space="preserve"> HYPERLINK \l _Toc32187 </w:instrText>
      </w:r>
      <w:r>
        <w:fldChar w:fldCharType="separate"/>
      </w:r>
      <w:r>
        <w:rPr>
          <w:rFonts w:hint="eastAsia"/>
        </w:rPr>
        <w:t>一、 建设项目基本情况</w:t>
      </w:r>
      <w:r>
        <w:tab/>
      </w:r>
      <w:r>
        <w:fldChar w:fldCharType="begin"/>
      </w:r>
      <w:r>
        <w:instrText xml:space="preserve"> PAGEREF _Toc32187 \h </w:instrText>
      </w:r>
      <w:r>
        <w:fldChar w:fldCharType="separate"/>
      </w:r>
      <w:r>
        <w:t>1</w:t>
      </w:r>
      <w:r>
        <w:fldChar w:fldCharType="end"/>
      </w:r>
      <w:r>
        <w:fldChar w:fldCharType="end"/>
      </w:r>
    </w:p>
    <w:p>
      <w:pPr>
        <w:pStyle w:val="17"/>
        <w:tabs>
          <w:tab w:val="right" w:leader="dot" w:pos="8306"/>
        </w:tabs>
      </w:pPr>
      <w:r>
        <w:fldChar w:fldCharType="begin"/>
      </w:r>
      <w:r>
        <w:instrText xml:space="preserve"> HYPERLINK \l _Toc15777 </w:instrText>
      </w:r>
      <w:r>
        <w:fldChar w:fldCharType="separate"/>
      </w:r>
      <w:r>
        <w:rPr>
          <w:rFonts w:hint="eastAsia"/>
        </w:rPr>
        <w:t>二</w:t>
      </w:r>
      <w:r>
        <w:rPr>
          <w:rFonts w:hint="eastAsia"/>
          <w:lang w:eastAsia="zh-CN"/>
        </w:rPr>
        <w:t>、</w:t>
      </w:r>
      <w:r>
        <w:rPr>
          <w:rFonts w:hint="eastAsia"/>
        </w:rPr>
        <w:t>建设项目工程分析</w:t>
      </w:r>
      <w:r>
        <w:tab/>
      </w:r>
      <w:r>
        <w:fldChar w:fldCharType="begin"/>
      </w:r>
      <w:r>
        <w:instrText xml:space="preserve"> PAGEREF _Toc15777 \h </w:instrText>
      </w:r>
      <w:r>
        <w:fldChar w:fldCharType="separate"/>
      </w:r>
      <w:r>
        <w:t>10</w:t>
      </w:r>
      <w:r>
        <w:fldChar w:fldCharType="end"/>
      </w:r>
      <w:r>
        <w:fldChar w:fldCharType="end"/>
      </w:r>
    </w:p>
    <w:p>
      <w:pPr>
        <w:pStyle w:val="17"/>
        <w:tabs>
          <w:tab w:val="right" w:leader="dot" w:pos="8306"/>
        </w:tabs>
      </w:pPr>
      <w:r>
        <w:fldChar w:fldCharType="begin"/>
      </w:r>
      <w:r>
        <w:instrText xml:space="preserve"> HYPERLINK \l _Toc3725 </w:instrText>
      </w:r>
      <w:r>
        <w:fldChar w:fldCharType="separate"/>
      </w:r>
      <w:r>
        <w:rPr>
          <w:rFonts w:hint="eastAsia"/>
        </w:rPr>
        <w:t>三</w:t>
      </w:r>
      <w:r>
        <w:rPr>
          <w:rFonts w:hint="eastAsia"/>
          <w:lang w:eastAsia="zh-CN"/>
        </w:rPr>
        <w:t>、</w:t>
      </w:r>
      <w:r>
        <w:rPr>
          <w:rFonts w:hint="eastAsia"/>
        </w:rPr>
        <w:t>区域环境质量现状、环境保护目标及评价标准</w:t>
      </w:r>
      <w:r>
        <w:tab/>
      </w:r>
      <w:r>
        <w:fldChar w:fldCharType="begin"/>
      </w:r>
      <w:r>
        <w:instrText xml:space="preserve"> PAGEREF _Toc3725 \h </w:instrText>
      </w:r>
      <w:r>
        <w:fldChar w:fldCharType="separate"/>
      </w:r>
      <w:r>
        <w:t>25</w:t>
      </w:r>
      <w:r>
        <w:fldChar w:fldCharType="end"/>
      </w:r>
      <w:r>
        <w:fldChar w:fldCharType="end"/>
      </w:r>
    </w:p>
    <w:p>
      <w:pPr>
        <w:pStyle w:val="17"/>
        <w:tabs>
          <w:tab w:val="right" w:leader="dot" w:pos="8306"/>
        </w:tabs>
      </w:pPr>
      <w:r>
        <w:fldChar w:fldCharType="begin"/>
      </w:r>
      <w:r>
        <w:instrText xml:space="preserve"> HYPERLINK \l _Toc8350 </w:instrText>
      </w:r>
      <w:r>
        <w:fldChar w:fldCharType="separate"/>
      </w:r>
      <w:r>
        <w:rPr>
          <w:rFonts w:hint="eastAsia"/>
          <w:lang w:eastAsia="zh-CN"/>
        </w:rPr>
        <w:t>四、</w:t>
      </w:r>
      <w:r>
        <w:rPr>
          <w:rFonts w:hint="eastAsia"/>
        </w:rPr>
        <w:t>主要环境影响和保护措施</w:t>
      </w:r>
      <w:r>
        <w:tab/>
      </w:r>
      <w:r>
        <w:fldChar w:fldCharType="begin"/>
      </w:r>
      <w:r>
        <w:instrText xml:space="preserve"> PAGEREF _Toc8350 \h </w:instrText>
      </w:r>
      <w:r>
        <w:fldChar w:fldCharType="separate"/>
      </w:r>
      <w:r>
        <w:t>31</w:t>
      </w:r>
      <w:r>
        <w:fldChar w:fldCharType="end"/>
      </w:r>
      <w:r>
        <w:fldChar w:fldCharType="end"/>
      </w:r>
    </w:p>
    <w:p>
      <w:pPr>
        <w:pStyle w:val="17"/>
        <w:tabs>
          <w:tab w:val="right" w:leader="dot" w:pos="8306"/>
        </w:tabs>
      </w:pPr>
      <w:r>
        <w:fldChar w:fldCharType="begin"/>
      </w:r>
      <w:r>
        <w:instrText xml:space="preserve"> HYPERLINK \l _Toc30681 </w:instrText>
      </w:r>
      <w:r>
        <w:fldChar w:fldCharType="separate"/>
      </w:r>
      <w:r>
        <w:rPr>
          <w:rFonts w:hint="eastAsia"/>
          <w:lang w:eastAsia="zh-CN"/>
        </w:rPr>
        <w:t>五、</w:t>
      </w:r>
      <w:r>
        <w:rPr>
          <w:rFonts w:hint="eastAsia"/>
        </w:rPr>
        <w:t>环境保护措施监督检查清单</w:t>
      </w:r>
      <w:r>
        <w:tab/>
      </w:r>
      <w:r>
        <w:fldChar w:fldCharType="begin"/>
      </w:r>
      <w:r>
        <w:instrText xml:space="preserve"> PAGEREF _Toc30681 \h </w:instrText>
      </w:r>
      <w:r>
        <w:fldChar w:fldCharType="separate"/>
      </w:r>
      <w:r>
        <w:t>59</w:t>
      </w:r>
      <w:r>
        <w:fldChar w:fldCharType="end"/>
      </w:r>
      <w:r>
        <w:fldChar w:fldCharType="end"/>
      </w:r>
    </w:p>
    <w:p>
      <w:pPr>
        <w:pStyle w:val="17"/>
        <w:tabs>
          <w:tab w:val="right" w:leader="dot" w:pos="8306"/>
        </w:tabs>
      </w:pPr>
      <w:r>
        <w:fldChar w:fldCharType="begin"/>
      </w:r>
      <w:r>
        <w:instrText xml:space="preserve"> HYPERLINK \l _Toc13842 </w:instrText>
      </w:r>
      <w:r>
        <w:fldChar w:fldCharType="separate"/>
      </w:r>
      <w:r>
        <w:rPr>
          <w:rFonts w:hint="eastAsia"/>
          <w:lang w:eastAsia="zh-CN"/>
        </w:rPr>
        <w:t>六、</w:t>
      </w:r>
      <w:r>
        <w:rPr>
          <w:rFonts w:hint="eastAsia"/>
        </w:rPr>
        <w:t>结论</w:t>
      </w:r>
      <w:r>
        <w:tab/>
      </w:r>
      <w:r>
        <w:fldChar w:fldCharType="begin"/>
      </w:r>
      <w:r>
        <w:instrText xml:space="preserve"> PAGEREF _Toc13842 \h </w:instrText>
      </w:r>
      <w:r>
        <w:fldChar w:fldCharType="separate"/>
      </w:r>
      <w:r>
        <w:t>64</w:t>
      </w:r>
      <w:r>
        <w:fldChar w:fldCharType="end"/>
      </w:r>
      <w:r>
        <w:fldChar w:fldCharType="end"/>
      </w:r>
    </w:p>
    <w:p>
      <w:pPr>
        <w:pStyle w:val="17"/>
        <w:tabs>
          <w:tab w:val="right" w:leader="dot" w:pos="8306"/>
        </w:tabs>
      </w:pPr>
      <w:r>
        <w:fldChar w:fldCharType="begin"/>
      </w:r>
      <w:r>
        <w:instrText xml:space="preserve"> HYPERLINK \l _Toc11038 </w:instrText>
      </w:r>
      <w:r>
        <w:fldChar w:fldCharType="separate"/>
      </w:r>
      <w:r>
        <w:rPr>
          <w:rFonts w:hint="eastAsia"/>
        </w:rPr>
        <w:t>附表</w:t>
      </w:r>
      <w:r>
        <w:tab/>
      </w:r>
      <w:r>
        <w:fldChar w:fldCharType="begin"/>
      </w:r>
      <w:r>
        <w:instrText xml:space="preserve"> PAGEREF _Toc11038 \h </w:instrText>
      </w:r>
      <w:r>
        <w:fldChar w:fldCharType="separate"/>
      </w:r>
      <w:r>
        <w:t>65</w:t>
      </w:r>
      <w:r>
        <w:fldChar w:fldCharType="end"/>
      </w:r>
      <w:r>
        <w:fldChar w:fldCharType="end"/>
      </w:r>
    </w:p>
    <w:p>
      <w:pPr>
        <w:bidi w:val="0"/>
        <w:sectPr>
          <w:pgSz w:w="11906" w:h="16838"/>
          <w:pgMar w:top="1440" w:right="1800" w:bottom="1440" w:left="1800" w:header="851" w:footer="992" w:gutter="0"/>
          <w:cols w:space="425" w:num="1"/>
          <w:docGrid w:type="lines" w:linePitch="312" w:charSpace="0"/>
        </w:sectPr>
      </w:pPr>
      <w:r>
        <w:fldChar w:fldCharType="end"/>
      </w:r>
    </w:p>
    <w:p>
      <w:pPr>
        <w:pStyle w:val="2"/>
        <w:numPr>
          <w:ilvl w:val="0"/>
          <w:numId w:val="1"/>
        </w:numPr>
        <w:bidi w:val="0"/>
        <w:rPr>
          <w:rFonts w:hint="eastAsia"/>
        </w:rPr>
      </w:pPr>
      <w:bookmarkStart w:id="3" w:name="_Toc8500"/>
      <w:bookmarkStart w:id="4" w:name="_Toc19992"/>
      <w:bookmarkStart w:id="5" w:name="_Toc29001"/>
      <w:bookmarkStart w:id="6" w:name="_Toc15663"/>
      <w:bookmarkStart w:id="7" w:name="_Toc20301"/>
      <w:bookmarkStart w:id="8" w:name="_Toc300"/>
      <w:bookmarkStart w:id="9" w:name="_Toc13339"/>
      <w:bookmarkStart w:id="10" w:name="_Toc15209"/>
      <w:bookmarkStart w:id="11" w:name="_Toc14926"/>
      <w:bookmarkStart w:id="12" w:name="_Toc16693"/>
      <w:bookmarkStart w:id="13" w:name="_Toc1988"/>
      <w:bookmarkStart w:id="14" w:name="_Toc2612"/>
      <w:bookmarkStart w:id="15" w:name="_Toc13"/>
      <w:bookmarkStart w:id="16" w:name="_Toc32187"/>
      <w:bookmarkStart w:id="17" w:name="_Toc780"/>
      <w:bookmarkStart w:id="18" w:name="_Toc15795"/>
      <w:bookmarkStart w:id="19" w:name="_Toc30087"/>
      <w:r>
        <w:rPr>
          <w:rFonts w:hint="eastAsia"/>
        </w:rPr>
        <w:t>建设项目基本情况</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tbl>
      <w:tblPr>
        <w:tblStyle w:val="27"/>
        <w:tblW w:w="896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73"/>
        <w:gridCol w:w="2260"/>
        <w:gridCol w:w="2061"/>
        <w:gridCol w:w="26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973"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6995" w:type="dxa"/>
            <w:gridSpan w:val="3"/>
            <w:noWrap w:val="0"/>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永州市第四人民医院（市老年医院）服务能力提升项目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973"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6995" w:type="dxa"/>
            <w:gridSpan w:val="3"/>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2311-431102-04-01-232811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973"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2260" w:type="dxa"/>
            <w:noWrap w:val="0"/>
            <w:vAlign w:val="center"/>
          </w:tcPr>
          <w:p>
            <w:pPr>
              <w:jc w:val="center"/>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张造寅</w:t>
            </w:r>
          </w:p>
        </w:tc>
        <w:tc>
          <w:tcPr>
            <w:tcW w:w="2061" w:type="dxa"/>
            <w:noWrap w:val="0"/>
            <w:vAlign w:val="center"/>
          </w:tcPr>
          <w:p>
            <w:pPr>
              <w:jc w:val="center"/>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联系方式</w:t>
            </w:r>
          </w:p>
        </w:tc>
        <w:tc>
          <w:tcPr>
            <w:tcW w:w="2674" w:type="dxa"/>
            <w:noWrap w:val="0"/>
            <w:vAlign w:val="center"/>
          </w:tcPr>
          <w:p>
            <w:pPr>
              <w:jc w:val="center"/>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13807433199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973"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6995" w:type="dxa"/>
            <w:gridSpan w:val="3"/>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湖南省</w:t>
            </w:r>
            <w:r>
              <w:rPr>
                <w:rFonts w:hint="eastAsia" w:ascii="Times New Roman" w:hAnsi="Times New Roman" w:eastAsia="宋体" w:cs="Times New Roman"/>
                <w:color w:val="auto"/>
                <w:sz w:val="24"/>
                <w:szCs w:val="24"/>
                <w:highlight w:val="none"/>
                <w:lang w:val="en-US" w:eastAsia="zh-CN"/>
              </w:rPr>
              <w:t>永州市零陵区阳明大道386号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973"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6995" w:type="dxa"/>
            <w:gridSpan w:val="3"/>
            <w:noWrap w:val="0"/>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u w:val="single"/>
                <w:lang w:val="en-US" w:eastAsia="zh-CN"/>
              </w:rPr>
              <w:t>111</w:t>
            </w:r>
            <w:r>
              <w:rPr>
                <w:rFonts w:hint="default" w:ascii="Times New Roman" w:hAnsi="Times New Roman" w:eastAsia="宋体" w:cs="Times New Roman"/>
                <w:color w:val="auto"/>
                <w:sz w:val="24"/>
                <w:szCs w:val="24"/>
              </w:rPr>
              <w:t>度</w:t>
            </w:r>
            <w:r>
              <w:rPr>
                <w:rFonts w:hint="eastAsia" w:ascii="Times New Roman" w:hAnsi="Times New Roman" w:eastAsia="宋体" w:cs="Times New Roman"/>
                <w:color w:val="auto"/>
                <w:sz w:val="24"/>
                <w:szCs w:val="24"/>
                <w:u w:val="single"/>
                <w:lang w:val="en-US" w:eastAsia="zh-CN"/>
              </w:rPr>
              <w:t>3</w:t>
            </w:r>
            <w:r>
              <w:rPr>
                <w:rFonts w:hint="eastAsia" w:cs="Times New Roman"/>
                <w:color w:val="auto"/>
                <w:sz w:val="24"/>
                <w:szCs w:val="24"/>
                <w:u w:val="single"/>
                <w:lang w:val="en-US" w:eastAsia="zh-CN"/>
              </w:rPr>
              <w:t>8</w:t>
            </w:r>
            <w:r>
              <w:rPr>
                <w:rFonts w:hint="default" w:ascii="Times New Roman" w:hAnsi="Times New Roman" w:eastAsia="宋体" w:cs="Times New Roman"/>
                <w:color w:val="auto"/>
                <w:sz w:val="24"/>
                <w:szCs w:val="24"/>
                <w:u w:val="none"/>
              </w:rPr>
              <w:t>分</w:t>
            </w:r>
            <w:r>
              <w:rPr>
                <w:rFonts w:hint="eastAsia" w:cs="Times New Roman"/>
                <w:color w:val="auto"/>
                <w:sz w:val="24"/>
                <w:szCs w:val="24"/>
                <w:u w:val="single"/>
                <w:lang w:val="en-US" w:eastAsia="zh-CN"/>
              </w:rPr>
              <w:t>7.959</w:t>
            </w:r>
            <w:r>
              <w:rPr>
                <w:rFonts w:hint="default" w:ascii="Times New Roman" w:hAnsi="Times New Roman" w:eastAsia="宋体" w:cs="Times New Roman"/>
                <w:color w:val="auto"/>
                <w:sz w:val="24"/>
                <w:szCs w:val="24"/>
                <w:u w:val="none"/>
              </w:rPr>
              <w:t>秒，</w:t>
            </w:r>
            <w:r>
              <w:rPr>
                <w:rFonts w:hint="eastAsia" w:ascii="Times New Roman" w:hAnsi="Times New Roman" w:eastAsia="宋体" w:cs="Times New Roman"/>
                <w:color w:val="auto"/>
                <w:sz w:val="24"/>
                <w:szCs w:val="24"/>
                <w:u w:val="single"/>
                <w:lang w:val="en-US" w:eastAsia="zh-CN"/>
              </w:rPr>
              <w:t>26</w:t>
            </w:r>
            <w:r>
              <w:rPr>
                <w:rFonts w:hint="default" w:ascii="Times New Roman" w:hAnsi="Times New Roman" w:eastAsia="宋体" w:cs="Times New Roman"/>
                <w:color w:val="auto"/>
                <w:sz w:val="24"/>
                <w:szCs w:val="24"/>
                <w:u w:val="none"/>
              </w:rPr>
              <w:t>度</w:t>
            </w:r>
            <w:r>
              <w:rPr>
                <w:rFonts w:hint="eastAsia" w:ascii="Times New Roman" w:hAnsi="Times New Roman" w:eastAsia="宋体" w:cs="Times New Roman"/>
                <w:color w:val="auto"/>
                <w:sz w:val="24"/>
                <w:szCs w:val="24"/>
                <w:u w:val="single"/>
                <w:lang w:val="en-US" w:eastAsia="zh-CN"/>
              </w:rPr>
              <w:t>1</w:t>
            </w:r>
            <w:r>
              <w:rPr>
                <w:rFonts w:hint="eastAsia" w:cs="Times New Roman"/>
                <w:color w:val="auto"/>
                <w:sz w:val="24"/>
                <w:szCs w:val="24"/>
                <w:u w:val="single"/>
                <w:lang w:val="en-US" w:eastAsia="zh-CN"/>
              </w:rPr>
              <w:t>4</w:t>
            </w:r>
            <w:r>
              <w:rPr>
                <w:rFonts w:hint="default" w:ascii="Times New Roman" w:hAnsi="Times New Roman" w:eastAsia="宋体" w:cs="Times New Roman"/>
                <w:color w:val="auto"/>
                <w:sz w:val="24"/>
                <w:szCs w:val="24"/>
                <w:u w:val="none"/>
              </w:rPr>
              <w:t>分</w:t>
            </w:r>
            <w:r>
              <w:rPr>
                <w:rFonts w:hint="eastAsia" w:cs="Times New Roman"/>
                <w:color w:val="auto"/>
                <w:sz w:val="24"/>
                <w:szCs w:val="24"/>
                <w:u w:val="single"/>
                <w:lang w:val="en-US" w:eastAsia="zh-CN"/>
              </w:rPr>
              <w:t>18.623</w:t>
            </w:r>
            <w:r>
              <w:rPr>
                <w:rFonts w:hint="default" w:ascii="Times New Roman" w:hAnsi="Times New Roman" w:eastAsia="宋体" w:cs="Times New Roman"/>
                <w:color w:val="auto"/>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973"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260" w:type="dxa"/>
            <w:noWrap w:val="0"/>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Q8</w:t>
            </w:r>
            <w:r>
              <w:rPr>
                <w:rFonts w:hint="eastAsia" w:ascii="Times New Roman" w:hAnsi="Times New Roman" w:eastAsia="宋体" w:cs="Times New Roman"/>
                <w:color w:val="auto"/>
                <w:sz w:val="24"/>
                <w:szCs w:val="24"/>
                <w:lang w:val="en-US" w:eastAsia="zh-CN"/>
              </w:rPr>
              <w:t>41</w:t>
            </w:r>
            <w:r>
              <w:rPr>
                <w:rFonts w:hint="eastAsia" w:cs="Times New Roman"/>
                <w:color w:val="auto"/>
                <w:sz w:val="24"/>
                <w:szCs w:val="24"/>
                <w:lang w:val="en-US" w:eastAsia="zh-CN"/>
              </w:rPr>
              <w:t>1综合</w:t>
            </w:r>
            <w:r>
              <w:rPr>
                <w:rFonts w:hint="eastAsia" w:ascii="Times New Roman" w:hAnsi="Times New Roman" w:eastAsia="宋体" w:cs="Times New Roman"/>
                <w:color w:val="auto"/>
                <w:sz w:val="24"/>
                <w:szCs w:val="24"/>
                <w:lang w:val="en-US" w:eastAsia="zh-CN"/>
              </w:rPr>
              <w:t>医</w:t>
            </w:r>
            <w:r>
              <w:rPr>
                <w:rFonts w:hint="default" w:ascii="Times New Roman" w:hAnsi="Times New Roman" w:eastAsia="宋体" w:cs="Times New Roman"/>
                <w:color w:val="auto"/>
                <w:sz w:val="24"/>
                <w:szCs w:val="24"/>
                <w:lang w:val="en-US" w:eastAsia="zh-CN"/>
              </w:rPr>
              <w:t>院</w:t>
            </w:r>
          </w:p>
        </w:tc>
        <w:tc>
          <w:tcPr>
            <w:tcW w:w="2061" w:type="dxa"/>
            <w:noWrap w:val="0"/>
            <w:vAlign w:val="center"/>
          </w:tcPr>
          <w:p>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行业类别</w:t>
            </w:r>
          </w:p>
        </w:tc>
        <w:tc>
          <w:tcPr>
            <w:tcW w:w="2674" w:type="dxa"/>
            <w:noWrap w:val="0"/>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lang w:val="en-US" w:eastAsia="zh-CN"/>
              </w:rPr>
              <w:t>四十九、卫生中</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108、</w:t>
            </w:r>
            <w:r>
              <w:rPr>
                <w:rFonts w:hint="eastAsia" w:ascii="Times New Roman" w:hAnsi="Times New Roman" w:eastAsia="宋体" w:cs="Times New Roman"/>
                <w:color w:val="auto"/>
                <w:sz w:val="24"/>
                <w:szCs w:val="24"/>
                <w:lang w:val="en-US" w:eastAsia="zh-CN"/>
              </w:rPr>
              <w:t>医院</w:t>
            </w:r>
            <w:r>
              <w:rPr>
                <w:rFonts w:hint="default" w:ascii="Times New Roman" w:hAnsi="Times New Roman" w:eastAsia="宋体" w:cs="Times New Roman"/>
                <w:color w:val="auto"/>
                <w:sz w:val="24"/>
                <w:szCs w:val="24"/>
                <w:lang w:val="en-US" w:eastAsia="zh-CN"/>
              </w:rPr>
              <w:t>84</w:t>
            </w:r>
            <w:r>
              <w:rPr>
                <w:rFonts w:hint="eastAsia" w:ascii="Times New Roman" w:hAnsi="Times New Roman" w:eastAsia="宋体" w:cs="Times New Roman"/>
                <w:color w:val="auto"/>
                <w:sz w:val="24"/>
                <w:szCs w:val="24"/>
                <w:lang w:val="en-US" w:eastAsia="zh-CN"/>
              </w:rPr>
              <w:t>1</w:t>
            </w:r>
            <w:r>
              <w:rPr>
                <w:rFonts w:hint="eastAsia" w:ascii="宋体" w:hAnsi="宋体" w:eastAsia="宋体" w:cs="宋体"/>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973"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2260" w:type="dxa"/>
            <w:noWrap w:val="0"/>
            <w:vAlign w:val="center"/>
          </w:tcPr>
          <w:p>
            <w:pPr>
              <w:jc w:val="left"/>
              <w:rPr>
                <w:szCs w:val="21"/>
              </w:rPr>
            </w:pPr>
            <w:r>
              <w:rPr>
                <w:rFonts w:hint="eastAsia"/>
                <w:szCs w:val="21"/>
                <w:lang w:eastAsia="zh-CN"/>
              </w:rPr>
              <w:t>☑</w:t>
            </w:r>
            <w:r>
              <w:rPr>
                <w:rFonts w:hAnsi="宋体"/>
                <w:szCs w:val="21"/>
              </w:rPr>
              <w:t>新建（迁建）</w:t>
            </w:r>
          </w:p>
          <w:p>
            <w:pPr>
              <w:jc w:val="left"/>
              <w:rPr>
                <w:szCs w:val="21"/>
              </w:rPr>
            </w:pPr>
            <w:r>
              <w:rPr>
                <w:szCs w:val="21"/>
              </w:rPr>
              <w:t>□</w:t>
            </w:r>
            <w:r>
              <w:rPr>
                <w:rFonts w:hAnsi="宋体"/>
                <w:szCs w:val="21"/>
              </w:rPr>
              <w:t>改建</w:t>
            </w:r>
          </w:p>
          <w:p>
            <w:pPr>
              <w:jc w:val="left"/>
              <w:rPr>
                <w:szCs w:val="21"/>
              </w:rPr>
            </w:pPr>
            <w:r>
              <w:rPr>
                <w:szCs w:val="21"/>
              </w:rPr>
              <w:t>□</w:t>
            </w:r>
            <w:r>
              <w:rPr>
                <w:rFonts w:hAnsi="宋体"/>
                <w:szCs w:val="21"/>
              </w:rPr>
              <w:t>扩建</w:t>
            </w:r>
          </w:p>
          <w:p>
            <w:pPr>
              <w:jc w:val="left"/>
              <w:rPr>
                <w:rFonts w:hint="default" w:ascii="Times New Roman" w:hAnsi="Times New Roman" w:eastAsia="宋体" w:cs="Times New Roman"/>
                <w:color w:val="auto"/>
                <w:sz w:val="24"/>
                <w:szCs w:val="24"/>
                <w:highlight w:val="none"/>
              </w:rPr>
            </w:pPr>
            <w:r>
              <w:rPr>
                <w:szCs w:val="21"/>
              </w:rPr>
              <w:t>□</w:t>
            </w:r>
            <w:r>
              <w:rPr>
                <w:rFonts w:hAnsi="宋体"/>
                <w:szCs w:val="21"/>
              </w:rPr>
              <w:t>技术改造</w:t>
            </w:r>
          </w:p>
        </w:tc>
        <w:tc>
          <w:tcPr>
            <w:tcW w:w="2061" w:type="dxa"/>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2674" w:type="dxa"/>
            <w:noWrap w:val="0"/>
            <w:vAlign w:val="center"/>
          </w:tcPr>
          <w:p>
            <w:pPr>
              <w:jc w:val="left"/>
              <w:rPr>
                <w:rFonts w:hint="default" w:ascii="Times New Roman" w:hAnsi="Times New Roman" w:eastAsia="宋体" w:cs="Times New Roman"/>
                <w:color w:val="auto"/>
                <w:sz w:val="24"/>
                <w:szCs w:val="24"/>
                <w:highlight w:val="none"/>
              </w:rPr>
            </w:pPr>
            <w:r>
              <w:rPr>
                <w:rFonts w:hint="eastAsia"/>
                <w:szCs w:val="21"/>
                <w:lang w:eastAsia="zh-CN"/>
              </w:rPr>
              <w:t>☑</w:t>
            </w:r>
            <w:r>
              <w:rPr>
                <w:rFonts w:hint="default" w:ascii="Times New Roman" w:hAnsi="Times New Roman" w:eastAsia="宋体" w:cs="Times New Roman"/>
                <w:color w:val="auto"/>
                <w:sz w:val="24"/>
                <w:szCs w:val="24"/>
                <w:highlight w:val="none"/>
              </w:rPr>
              <w:t>首次申报项目</w:t>
            </w:r>
          </w:p>
          <w:p>
            <w:pPr>
              <w:jc w:val="left"/>
              <w:rPr>
                <w:rFonts w:hint="default" w:ascii="Times New Roman" w:hAnsi="Times New Roman" w:eastAsia="宋体" w:cs="Times New Roman"/>
                <w:color w:val="auto"/>
                <w:sz w:val="24"/>
                <w:szCs w:val="24"/>
                <w:highlight w:val="none"/>
              </w:rPr>
            </w:pPr>
            <w:r>
              <w:rPr>
                <w:szCs w:val="21"/>
              </w:rPr>
              <w:t>□</w:t>
            </w:r>
            <w:r>
              <w:rPr>
                <w:rFonts w:hint="default" w:ascii="Times New Roman" w:hAnsi="Times New Roman" w:eastAsia="宋体" w:cs="Times New Roman"/>
                <w:color w:val="auto"/>
                <w:sz w:val="24"/>
                <w:szCs w:val="24"/>
                <w:highlight w:val="none"/>
              </w:rPr>
              <w:t>不予批准后再次申报项目</w:t>
            </w:r>
          </w:p>
          <w:p>
            <w:pPr>
              <w:jc w:val="left"/>
              <w:rPr>
                <w:rFonts w:hint="default" w:ascii="Times New Roman" w:hAnsi="Times New Roman" w:eastAsia="宋体" w:cs="Times New Roman"/>
                <w:color w:val="auto"/>
                <w:sz w:val="24"/>
                <w:szCs w:val="24"/>
                <w:highlight w:val="none"/>
              </w:rPr>
            </w:pPr>
            <w:r>
              <w:rPr>
                <w:szCs w:val="21"/>
              </w:rPr>
              <w:t>□</w:t>
            </w:r>
            <w:r>
              <w:rPr>
                <w:rFonts w:hint="default" w:ascii="Times New Roman" w:hAnsi="Times New Roman" w:eastAsia="宋体" w:cs="Times New Roman"/>
                <w:color w:val="auto"/>
                <w:sz w:val="24"/>
                <w:szCs w:val="24"/>
                <w:highlight w:val="none"/>
              </w:rPr>
              <w:t>超五年重新审核项目</w:t>
            </w:r>
          </w:p>
          <w:p>
            <w:pPr>
              <w:jc w:val="left"/>
              <w:rPr>
                <w:rFonts w:hint="default" w:ascii="Times New Roman" w:hAnsi="Times New Roman" w:eastAsia="宋体" w:cs="Times New Roman"/>
                <w:color w:val="auto"/>
                <w:sz w:val="24"/>
                <w:szCs w:val="24"/>
                <w:highlight w:val="none"/>
              </w:rPr>
            </w:pPr>
            <w:r>
              <w:rPr>
                <w:szCs w:val="21"/>
              </w:rPr>
              <w:t>□</w:t>
            </w:r>
            <w:r>
              <w:rPr>
                <w:rFonts w:hint="default" w:ascii="Times New Roman" w:hAnsi="Times New Roman" w:eastAsia="宋体" w:cs="Times New Roman"/>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973"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备案）部门（选填）</w:t>
            </w:r>
          </w:p>
        </w:tc>
        <w:tc>
          <w:tcPr>
            <w:tcW w:w="226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永州市零陵区发展和改革局</w:t>
            </w:r>
          </w:p>
        </w:tc>
        <w:tc>
          <w:tcPr>
            <w:tcW w:w="2061" w:type="dxa"/>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备案）文号（选填）</w:t>
            </w:r>
          </w:p>
        </w:tc>
        <w:tc>
          <w:tcPr>
            <w:tcW w:w="2674" w:type="dxa"/>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零发改</w:t>
            </w:r>
            <w:r>
              <w:rPr>
                <w:rFonts w:hint="eastAsia" w:cs="Times New Roman"/>
                <w:color w:val="auto"/>
                <w:sz w:val="24"/>
                <w:szCs w:val="24"/>
                <w:highlight w:val="none"/>
                <w:lang w:val="en-US" w:eastAsia="zh-CN"/>
              </w:rPr>
              <w:t>投[2023]421号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973"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2260" w:type="dxa"/>
            <w:noWrap w:val="0"/>
            <w:vAlign w:val="center"/>
          </w:tcPr>
          <w:p>
            <w:pPr>
              <w:keepNext w:val="0"/>
              <w:keepLines w:val="0"/>
              <w:widowControl/>
              <w:suppressLineNumbers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9000</w:t>
            </w:r>
          </w:p>
        </w:tc>
        <w:tc>
          <w:tcPr>
            <w:tcW w:w="2061"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2674"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169.5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973"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226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1.88</w:t>
            </w:r>
          </w:p>
        </w:tc>
        <w:tc>
          <w:tcPr>
            <w:tcW w:w="2061"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2674"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973"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2260" w:type="dxa"/>
            <w:noWrap w:val="0"/>
            <w:vAlign w:val="center"/>
          </w:tcPr>
          <w:p>
            <w:pPr>
              <w:adjustRightInd w:val="0"/>
              <w:snapToGrid w:val="0"/>
              <w:jc w:val="left"/>
              <w:rPr>
                <w:rFonts w:hint="default" w:ascii="Times New Roman" w:hAnsi="Times New Roman" w:eastAsia="宋体" w:cs="Times New Roman"/>
                <w:color w:val="auto"/>
                <w:sz w:val="24"/>
                <w:szCs w:val="24"/>
                <w:highlight w:val="none"/>
              </w:rPr>
            </w:pPr>
            <w:r>
              <w:rPr>
                <w:rFonts w:hint="eastAsia"/>
                <w:szCs w:val="21"/>
                <w:lang w:eastAsia="zh-CN"/>
              </w:rPr>
              <w:t>☑</w:t>
            </w:r>
            <w:r>
              <w:rPr>
                <w:rFonts w:hint="default" w:ascii="Times New Roman" w:hAnsi="Times New Roman" w:eastAsia="宋体" w:cs="Times New Roman"/>
                <w:color w:val="auto"/>
                <w:sz w:val="24"/>
                <w:szCs w:val="24"/>
                <w:highlight w:val="none"/>
              </w:rPr>
              <w:t>否</w:t>
            </w:r>
          </w:p>
          <w:p>
            <w:pPr>
              <w:adjustRightInd w:val="0"/>
              <w:snapToGrid w:val="0"/>
              <w:jc w:val="left"/>
              <w:rPr>
                <w:rFonts w:hint="default" w:ascii="Times New Roman" w:hAnsi="Times New Roman" w:eastAsia="宋体" w:cs="Times New Roman"/>
                <w:color w:val="auto"/>
                <w:sz w:val="24"/>
                <w:szCs w:val="24"/>
                <w:highlight w:val="none"/>
                <w:lang w:val="en-US" w:eastAsia="zh-CN"/>
              </w:rPr>
            </w:pPr>
            <w:r>
              <w:rPr>
                <w:szCs w:val="21"/>
              </w:rPr>
              <w:t>□</w:t>
            </w:r>
            <w:r>
              <w:rPr>
                <w:rFonts w:hint="default" w:ascii="Times New Roman" w:hAnsi="Times New Roman" w:eastAsia="宋体" w:cs="Times New Roman"/>
                <w:color w:val="auto"/>
                <w:sz w:val="24"/>
                <w:szCs w:val="24"/>
                <w:highlight w:val="none"/>
              </w:rPr>
              <w:t>是：</w:t>
            </w:r>
          </w:p>
        </w:tc>
        <w:tc>
          <w:tcPr>
            <w:tcW w:w="2061"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用地（用海）</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2674"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11613</w:t>
            </w:r>
            <w:r>
              <w:rPr>
                <w:rFonts w:hint="eastAsia" w:cs="Times New Roman"/>
                <w:color w:val="auto"/>
                <w:sz w:val="24"/>
                <w:szCs w:val="24"/>
                <w:highlight w:val="none"/>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7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专项评价设置情况</w:t>
            </w:r>
          </w:p>
        </w:tc>
        <w:tc>
          <w:tcPr>
            <w:tcW w:w="6995"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7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规划情况</w:t>
            </w:r>
          </w:p>
        </w:tc>
        <w:tc>
          <w:tcPr>
            <w:tcW w:w="6995"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73" w:type="dxa"/>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评价情况</w:t>
            </w:r>
          </w:p>
        </w:tc>
        <w:tc>
          <w:tcPr>
            <w:tcW w:w="6995"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7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规划及规划环境</w:t>
            </w:r>
          </w:p>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影响评价符合性分析</w:t>
            </w:r>
          </w:p>
        </w:tc>
        <w:tc>
          <w:tcPr>
            <w:tcW w:w="6995" w:type="dxa"/>
            <w:gridSpan w:val="3"/>
            <w:noWrap w:val="0"/>
            <w:vAlign w:val="center"/>
          </w:tcPr>
          <w:p>
            <w:pPr>
              <w:numPr>
                <w:ilvl w:val="0"/>
                <w:numId w:val="0"/>
              </w:numPr>
              <w:spacing w:line="360" w:lineRule="auto"/>
              <w:jc w:val="center"/>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7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其他符合性分析</w:t>
            </w:r>
          </w:p>
        </w:tc>
        <w:tc>
          <w:tcPr>
            <w:tcW w:w="6995" w:type="dxa"/>
            <w:gridSpan w:val="3"/>
            <w:noWrap w:val="0"/>
            <w:vAlign w:val="center"/>
          </w:tcPr>
          <w:p>
            <w:pPr>
              <w:bidi w:val="0"/>
              <w:jc w:val="left"/>
              <w:rPr>
                <w:rFonts w:hint="default"/>
                <w:b/>
                <w:bCs/>
              </w:rPr>
            </w:pPr>
            <w:r>
              <w:rPr>
                <w:rFonts w:hint="default"/>
                <w:b/>
                <w:bCs/>
              </w:rPr>
              <w:t>1、产业政策符合性分析</w:t>
            </w:r>
          </w:p>
          <w:p>
            <w:pPr>
              <w:pStyle w:val="12"/>
              <w:bidi w:val="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本项目属于Q84</w:t>
            </w:r>
            <w:r>
              <w:rPr>
                <w:rFonts w:hint="eastAsia" w:ascii="Times New Roman" w:hAnsi="Times New Roman" w:eastAsia="宋体" w:cs="Times New Roman"/>
                <w:b w:val="0"/>
                <w:bCs w:val="0"/>
                <w:color w:val="auto"/>
                <w:sz w:val="24"/>
                <w:szCs w:val="24"/>
                <w:highlight w:val="none"/>
                <w:lang w:val="en-US" w:eastAsia="zh-CN"/>
              </w:rPr>
              <w:t>1</w:t>
            </w:r>
            <w:r>
              <w:rPr>
                <w:rFonts w:hint="eastAsia" w:cs="Times New Roman"/>
                <w:b w:val="0"/>
                <w:bCs w:val="0"/>
                <w:color w:val="auto"/>
                <w:sz w:val="24"/>
                <w:szCs w:val="24"/>
                <w:highlight w:val="none"/>
                <w:lang w:val="en-US" w:eastAsia="zh-CN"/>
              </w:rPr>
              <w:t>1综合医院</w:t>
            </w:r>
            <w:r>
              <w:rPr>
                <w:rFonts w:hint="default" w:ascii="Times New Roman" w:hAnsi="Times New Roman" w:eastAsia="宋体" w:cs="Times New Roman"/>
                <w:b w:val="0"/>
                <w:bCs w:val="0"/>
                <w:color w:val="auto"/>
                <w:sz w:val="24"/>
                <w:szCs w:val="24"/>
                <w:highlight w:val="none"/>
              </w:rPr>
              <w:t>，经查阅《产业结构调整指导目录（20</w:t>
            </w:r>
            <w:r>
              <w:rPr>
                <w:rFonts w:hint="eastAsia" w:ascii="Times New Roman" w:hAnsi="Times New Roman" w:eastAsia="宋体" w:cs="Times New Roman"/>
                <w:b w:val="0"/>
                <w:bCs w:val="0"/>
                <w:color w:val="auto"/>
                <w:sz w:val="24"/>
                <w:szCs w:val="24"/>
                <w:highlight w:val="none"/>
                <w:lang w:val="en-US" w:eastAsia="zh-CN"/>
              </w:rPr>
              <w:t>24</w:t>
            </w:r>
            <w:r>
              <w:rPr>
                <w:rFonts w:hint="default" w:ascii="Times New Roman" w:hAnsi="Times New Roman" w:eastAsia="宋体" w:cs="Times New Roman"/>
                <w:b w:val="0"/>
                <w:bCs w:val="0"/>
                <w:color w:val="auto"/>
                <w:sz w:val="24"/>
                <w:szCs w:val="24"/>
                <w:highlight w:val="none"/>
              </w:rPr>
              <w:t>年本）》，本项目属于鼓励类</w:t>
            </w:r>
            <w:r>
              <w:rPr>
                <w:rFonts w:hint="default" w:ascii="Times New Roman" w:hAnsi="Times New Roman" w:eastAsia="宋体" w:cs="Times New Roman"/>
                <w:b w:val="0"/>
                <w:bCs w:val="0"/>
                <w:color w:val="auto"/>
                <w:sz w:val="24"/>
                <w:szCs w:val="24"/>
                <w:highlight w:val="none"/>
                <w:lang w:val="en-US" w:eastAsia="zh-CN"/>
              </w:rPr>
              <w:t>中的第三十七条</w:t>
            </w:r>
            <w:r>
              <w:rPr>
                <w:rFonts w:hint="eastAsia" w:ascii="宋体" w:hAnsi="宋体" w:eastAsia="宋体" w:cs="宋体"/>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卫生健康</w:t>
            </w:r>
            <w:r>
              <w:rPr>
                <w:rFonts w:hint="eastAsia" w:ascii="宋体" w:hAnsi="宋体" w:eastAsia="宋体" w:cs="宋体"/>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中的第</w:t>
            </w:r>
            <w:r>
              <w:rPr>
                <w:rFonts w:hint="eastAsia" w:ascii="Times New Roman" w:hAnsi="Times New Roman" w:eastAsia="宋体" w:cs="Times New Roman"/>
                <w:b w:val="0"/>
                <w:bCs w:val="0"/>
                <w:color w:val="auto"/>
                <w:sz w:val="24"/>
                <w:szCs w:val="24"/>
                <w:highlight w:val="none"/>
                <w:lang w:val="en-US" w:eastAsia="zh-CN"/>
              </w:rPr>
              <w:t>1条</w:t>
            </w:r>
            <w:r>
              <w:rPr>
                <w:rFonts w:hint="eastAsia" w:ascii="宋体" w:hAnsi="宋体" w:eastAsia="宋体" w:cs="宋体"/>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医疗卫生服务设施建设</w:t>
            </w:r>
            <w:r>
              <w:rPr>
                <w:rFonts w:hint="eastAsia" w:ascii="宋体" w:hAnsi="宋体" w:eastAsia="宋体" w:cs="宋体"/>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故</w:t>
            </w:r>
            <w:r>
              <w:rPr>
                <w:rFonts w:hint="default" w:ascii="Times New Roman" w:hAnsi="Times New Roman" w:eastAsia="宋体" w:cs="Times New Roman"/>
                <w:b w:val="0"/>
                <w:bCs w:val="0"/>
                <w:color w:val="auto"/>
                <w:sz w:val="24"/>
                <w:szCs w:val="24"/>
                <w:highlight w:val="none"/>
              </w:rPr>
              <w:t>符合国家有关法律、法规和政策规定。</w:t>
            </w:r>
          </w:p>
          <w:p>
            <w:pPr>
              <w:bidi w:val="0"/>
              <w:jc w:val="left"/>
              <w:rPr>
                <w:rFonts w:hint="default"/>
                <w:b/>
                <w:bCs/>
              </w:rPr>
            </w:pPr>
            <w:r>
              <w:rPr>
                <w:rFonts w:hint="eastAsia"/>
                <w:b/>
                <w:bCs/>
                <w:lang w:val="en-US" w:eastAsia="zh-CN"/>
              </w:rPr>
              <w:t>2</w:t>
            </w:r>
            <w:r>
              <w:rPr>
                <w:rFonts w:hint="default"/>
                <w:b/>
                <w:bCs/>
              </w:rPr>
              <w:t>、与“三线一单”要求符合性分析</w:t>
            </w:r>
          </w:p>
          <w:p>
            <w:pPr>
              <w:pStyle w:val="12"/>
              <w:bidi w:val="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本项目位于</w:t>
            </w:r>
            <w:r>
              <w:rPr>
                <w:rFonts w:hint="eastAsia" w:ascii="Times New Roman" w:hAnsi="Times New Roman" w:eastAsia="宋体" w:cs="Times New Roman"/>
                <w:b w:val="0"/>
                <w:bCs w:val="0"/>
                <w:color w:val="auto"/>
                <w:sz w:val="24"/>
                <w:szCs w:val="24"/>
                <w:highlight w:val="none"/>
                <w:lang w:val="en-US" w:eastAsia="zh-CN"/>
              </w:rPr>
              <w:t>永州</w:t>
            </w:r>
            <w:r>
              <w:rPr>
                <w:rFonts w:hint="eastAsia" w:ascii="Times New Roman" w:hAnsi="Times New Roman" w:eastAsia="宋体" w:cs="Times New Roman"/>
                <w:b w:val="0"/>
                <w:bCs w:val="0"/>
                <w:color w:val="auto"/>
                <w:sz w:val="24"/>
                <w:szCs w:val="24"/>
                <w:highlight w:val="none"/>
              </w:rPr>
              <w:t>市</w:t>
            </w:r>
            <w:r>
              <w:rPr>
                <w:rFonts w:hint="eastAsia" w:ascii="Times New Roman" w:hAnsi="Times New Roman" w:eastAsia="宋体" w:cs="Times New Roman"/>
                <w:b w:val="0"/>
                <w:bCs w:val="0"/>
                <w:color w:val="auto"/>
                <w:sz w:val="24"/>
                <w:szCs w:val="24"/>
                <w:highlight w:val="none"/>
                <w:lang w:val="en-US" w:eastAsia="zh-CN"/>
              </w:rPr>
              <w:t>零陵区阳明大道386号</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根据</w:t>
            </w:r>
            <w:r>
              <w:rPr>
                <w:rFonts w:hint="default" w:ascii="Times New Roman" w:hAnsi="Times New Roman" w:eastAsia="宋体" w:cs="Times New Roman"/>
                <w:b w:val="0"/>
                <w:bCs w:val="0"/>
                <w:color w:val="auto"/>
                <w:sz w:val="24"/>
                <w:szCs w:val="24"/>
                <w:highlight w:val="none"/>
                <w:lang w:val="zh-CN"/>
              </w:rPr>
              <w:t>《湖南省人民政府关于实施</w:t>
            </w:r>
            <w:r>
              <w:rPr>
                <w:rFonts w:hint="eastAsia" w:ascii="Times New Roman" w:hAnsi="Times New Roman" w:eastAsia="宋体" w:cs="Times New Roman"/>
                <w:b w:val="0"/>
                <w:bCs w:val="0"/>
                <w:color w:val="auto"/>
                <w:sz w:val="24"/>
                <w:szCs w:val="24"/>
                <w:highlight w:val="none"/>
                <w:lang w:val="zh-CN"/>
              </w:rPr>
              <w:t>“</w:t>
            </w:r>
            <w:r>
              <w:rPr>
                <w:rFonts w:hint="default" w:ascii="Times New Roman" w:hAnsi="Times New Roman" w:eastAsia="宋体" w:cs="Times New Roman"/>
                <w:b w:val="0"/>
                <w:bCs w:val="0"/>
                <w:color w:val="auto"/>
                <w:sz w:val="24"/>
                <w:szCs w:val="24"/>
                <w:highlight w:val="none"/>
                <w:lang w:val="zh-CN"/>
              </w:rPr>
              <w:t>三线一单</w:t>
            </w:r>
            <w:r>
              <w:rPr>
                <w:rFonts w:hint="eastAsia" w:ascii="Times New Roman" w:hAnsi="Times New Roman" w:eastAsia="宋体" w:cs="Times New Roman"/>
                <w:b w:val="0"/>
                <w:bCs w:val="0"/>
                <w:color w:val="auto"/>
                <w:sz w:val="24"/>
                <w:szCs w:val="24"/>
                <w:highlight w:val="none"/>
                <w:lang w:val="zh-CN"/>
              </w:rPr>
              <w:t>”</w:t>
            </w:r>
            <w:r>
              <w:rPr>
                <w:rFonts w:hint="default" w:ascii="Times New Roman" w:hAnsi="Times New Roman" w:eastAsia="宋体" w:cs="Times New Roman"/>
                <w:b w:val="0"/>
                <w:bCs w:val="0"/>
                <w:color w:val="auto"/>
                <w:sz w:val="24"/>
                <w:szCs w:val="24"/>
                <w:highlight w:val="none"/>
                <w:lang w:val="zh-CN"/>
              </w:rPr>
              <w:t>生态环境分区管控的意见》</w:t>
            </w:r>
            <w:r>
              <w:rPr>
                <w:rFonts w:hint="eastAsia" w:ascii="宋体" w:hAnsi="宋体" w:eastAsia="宋体" w:cs="宋体"/>
                <w:b w:val="0"/>
                <w:bCs w:val="0"/>
                <w:color w:val="auto"/>
                <w:sz w:val="24"/>
                <w:szCs w:val="24"/>
                <w:highlight w:val="none"/>
                <w:lang w:val="zh-CN"/>
              </w:rPr>
              <w:t>(</w:t>
            </w:r>
            <w:r>
              <w:rPr>
                <w:rFonts w:hint="default" w:ascii="Times New Roman" w:hAnsi="Times New Roman" w:eastAsia="宋体" w:cs="Times New Roman"/>
                <w:b w:val="0"/>
                <w:bCs w:val="0"/>
                <w:color w:val="auto"/>
                <w:sz w:val="24"/>
                <w:szCs w:val="24"/>
                <w:highlight w:val="none"/>
                <w:lang w:val="zh-CN"/>
              </w:rPr>
              <w:t>湘政发〔2020〕12号</w:t>
            </w:r>
            <w:r>
              <w:rPr>
                <w:rFonts w:hint="eastAsia" w:ascii="宋体" w:hAnsi="宋体" w:eastAsia="宋体" w:cs="宋体"/>
                <w:b w:val="0"/>
                <w:bCs w:val="0"/>
                <w:color w:val="auto"/>
                <w:sz w:val="24"/>
                <w:szCs w:val="24"/>
                <w:highlight w:val="none"/>
                <w:lang w:val="zh-CN"/>
              </w:rPr>
              <w:t>)</w:t>
            </w:r>
            <w:r>
              <w:rPr>
                <w:rFonts w:hint="default" w:ascii="Times New Roman" w:hAnsi="Times New Roman" w:eastAsia="宋体" w:cs="Times New Roman"/>
                <w:b w:val="0"/>
                <w:bCs w:val="0"/>
                <w:color w:val="auto"/>
                <w:sz w:val="24"/>
                <w:szCs w:val="24"/>
                <w:highlight w:val="none"/>
              </w:rPr>
              <w:t>及</w:t>
            </w:r>
            <w:r>
              <w:rPr>
                <w:rFonts w:hint="default" w:ascii="Times New Roman" w:hAnsi="Times New Roman" w:eastAsia="宋体" w:cs="Times New Roman"/>
                <w:b w:val="0"/>
                <w:bCs w:val="0"/>
                <w:color w:val="auto"/>
                <w:sz w:val="24"/>
                <w:szCs w:val="24"/>
                <w:highlight w:val="none"/>
                <w:lang w:val="zh-CN"/>
              </w:rPr>
              <w:t>《永州市人民政府关于</w:t>
            </w:r>
            <w:r>
              <w:rPr>
                <w:rFonts w:hint="eastAsia" w:ascii="Times New Roman" w:hAnsi="Times New Roman" w:eastAsia="宋体" w:cs="Times New Roman"/>
                <w:b w:val="0"/>
                <w:bCs w:val="0"/>
                <w:color w:val="auto"/>
                <w:sz w:val="24"/>
                <w:szCs w:val="24"/>
                <w:highlight w:val="none"/>
                <w:lang w:val="zh-CN"/>
              </w:rPr>
              <w:t>“</w:t>
            </w:r>
            <w:r>
              <w:rPr>
                <w:rFonts w:hint="default" w:ascii="Times New Roman" w:hAnsi="Times New Roman" w:eastAsia="宋体" w:cs="Times New Roman"/>
                <w:b w:val="0"/>
                <w:bCs w:val="0"/>
                <w:color w:val="auto"/>
                <w:sz w:val="24"/>
                <w:szCs w:val="24"/>
                <w:highlight w:val="none"/>
                <w:lang w:val="zh-CN"/>
              </w:rPr>
              <w:t>三线一单</w:t>
            </w:r>
            <w:r>
              <w:rPr>
                <w:rFonts w:hint="eastAsia" w:ascii="Times New Roman" w:hAnsi="Times New Roman" w:eastAsia="宋体" w:cs="Times New Roman"/>
                <w:b w:val="0"/>
                <w:bCs w:val="0"/>
                <w:color w:val="auto"/>
                <w:sz w:val="24"/>
                <w:szCs w:val="24"/>
                <w:highlight w:val="none"/>
                <w:lang w:val="zh-CN"/>
              </w:rPr>
              <w:t>”</w:t>
            </w:r>
            <w:r>
              <w:rPr>
                <w:rFonts w:hint="default" w:ascii="Times New Roman" w:hAnsi="Times New Roman" w:eastAsia="宋体" w:cs="Times New Roman"/>
                <w:b w:val="0"/>
                <w:bCs w:val="0"/>
                <w:color w:val="auto"/>
                <w:sz w:val="24"/>
                <w:szCs w:val="24"/>
                <w:highlight w:val="none"/>
                <w:lang w:val="zh-CN"/>
              </w:rPr>
              <w:t>生态环境分区管控的实施意见》</w:t>
            </w:r>
            <w:r>
              <w:rPr>
                <w:rFonts w:hint="eastAsia" w:ascii="宋体" w:hAnsi="宋体" w:eastAsia="宋体" w:cs="宋体"/>
                <w:b w:val="0"/>
                <w:bCs w:val="0"/>
                <w:color w:val="auto"/>
                <w:sz w:val="24"/>
                <w:szCs w:val="24"/>
                <w:highlight w:val="none"/>
                <w:lang w:val="zh-CN"/>
              </w:rPr>
              <w:t>(</w:t>
            </w:r>
            <w:r>
              <w:rPr>
                <w:rFonts w:hint="default" w:ascii="Times New Roman" w:hAnsi="Times New Roman" w:eastAsia="宋体" w:cs="Times New Roman"/>
                <w:b w:val="0"/>
                <w:bCs w:val="0"/>
                <w:color w:val="auto"/>
                <w:sz w:val="24"/>
                <w:szCs w:val="24"/>
                <w:highlight w:val="none"/>
                <w:lang w:val="zh-CN"/>
              </w:rPr>
              <w:t>永政发[2020]11号</w:t>
            </w:r>
            <w:r>
              <w:rPr>
                <w:rFonts w:hint="eastAsia" w:ascii="宋体" w:hAnsi="宋体" w:eastAsia="宋体" w:cs="宋体"/>
                <w:b w:val="0"/>
                <w:bCs w:val="0"/>
                <w:color w:val="auto"/>
                <w:sz w:val="24"/>
                <w:szCs w:val="24"/>
                <w:highlight w:val="none"/>
                <w:lang w:val="zh-CN"/>
              </w:rPr>
              <w:t>)</w:t>
            </w:r>
            <w:r>
              <w:rPr>
                <w:rFonts w:hint="default" w:ascii="Times New Roman" w:hAnsi="Times New Roman" w:eastAsia="宋体" w:cs="Times New Roman"/>
                <w:b w:val="0"/>
                <w:bCs w:val="0"/>
                <w:color w:val="auto"/>
                <w:sz w:val="24"/>
                <w:szCs w:val="24"/>
                <w:highlight w:val="none"/>
              </w:rPr>
              <w:t>等文件可知，本项目</w:t>
            </w:r>
            <w:r>
              <w:rPr>
                <w:rFonts w:hint="eastAsia" w:ascii="Times New Roman" w:hAnsi="Times New Roman" w:cs="Times New Roman"/>
                <w:color w:val="auto"/>
                <w:sz w:val="24"/>
                <w:szCs w:val="24"/>
                <w:highlight w:val="none"/>
                <w:u w:val="none" w:color="auto"/>
                <w:lang w:val="en-US" w:eastAsia="zh-CN"/>
              </w:rPr>
              <w:t>地</w:t>
            </w:r>
            <w:r>
              <w:rPr>
                <w:rFonts w:hint="eastAsia" w:cs="Times New Roman"/>
                <w:color w:val="auto"/>
                <w:sz w:val="24"/>
                <w:szCs w:val="24"/>
                <w:highlight w:val="none"/>
                <w:u w:val="none" w:color="auto"/>
                <w:lang w:eastAsia="zh-CN"/>
              </w:rPr>
              <w:t>七里店街道</w:t>
            </w:r>
            <w:r>
              <w:rPr>
                <w:rFonts w:hint="default" w:ascii="Times New Roman" w:hAnsi="Times New Roman" w:eastAsia="宋体" w:cs="Times New Roman"/>
                <w:b w:val="0"/>
                <w:bCs w:val="0"/>
                <w:color w:val="auto"/>
                <w:sz w:val="24"/>
                <w:szCs w:val="24"/>
                <w:highlight w:val="none"/>
              </w:rPr>
              <w:t>属于</w:t>
            </w:r>
            <w:r>
              <w:rPr>
                <w:rFonts w:hint="eastAsia" w:ascii="Times New Roman" w:hAnsi="Times New Roman" w:eastAsia="宋体" w:cs="Times New Roman"/>
                <w:b w:val="0"/>
                <w:bCs w:val="0"/>
                <w:color w:val="auto"/>
                <w:sz w:val="24"/>
                <w:szCs w:val="24"/>
                <w:highlight w:val="none"/>
                <w:lang w:val="en-US" w:eastAsia="zh-CN"/>
              </w:rPr>
              <w:t>重点管控保护</w:t>
            </w:r>
            <w:r>
              <w:rPr>
                <w:rFonts w:hint="default" w:ascii="Times New Roman" w:hAnsi="Times New Roman" w:eastAsia="宋体" w:cs="Times New Roman"/>
                <w:b w:val="0"/>
                <w:bCs w:val="0"/>
                <w:color w:val="auto"/>
                <w:sz w:val="24"/>
                <w:szCs w:val="24"/>
                <w:highlight w:val="none"/>
              </w:rPr>
              <w:t>单元</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环境管控单元编码为：ZH43110220001</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w:t>
            </w:r>
          </w:p>
          <w:p>
            <w:pPr>
              <w:pStyle w:val="12"/>
              <w:bidi w:val="0"/>
              <w:rPr>
                <w:rFonts w:hint="default"/>
              </w:rPr>
            </w:pPr>
            <w:r>
              <w:rPr>
                <w:rFonts w:hint="default"/>
              </w:rPr>
              <w:t>①生态红线</w:t>
            </w:r>
          </w:p>
          <w:p>
            <w:pPr>
              <w:pStyle w:val="12"/>
              <w:bidi w:val="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根据《湖南省</w:t>
            </w:r>
            <w:r>
              <w:rPr>
                <w:rFonts w:hint="eastAsia" w:ascii="Times New Roman" w:hAnsi="Times New Roman" w:eastAsia="宋体" w:cs="Times New Roman"/>
                <w:b w:val="0"/>
                <w:bCs w:val="0"/>
                <w:color w:val="auto"/>
                <w:sz w:val="24"/>
                <w:szCs w:val="24"/>
                <w:highlight w:val="none"/>
                <w:lang w:val="zh-CN"/>
              </w:rPr>
              <w:t>“</w:t>
            </w:r>
            <w:r>
              <w:rPr>
                <w:rFonts w:hint="default" w:ascii="Times New Roman" w:hAnsi="Times New Roman" w:eastAsia="宋体" w:cs="Times New Roman"/>
                <w:b w:val="0"/>
                <w:bCs w:val="0"/>
                <w:color w:val="auto"/>
                <w:sz w:val="24"/>
                <w:szCs w:val="24"/>
                <w:highlight w:val="none"/>
                <w:lang w:val="zh-CN"/>
              </w:rPr>
              <w:t>三线一单</w:t>
            </w:r>
            <w:r>
              <w:rPr>
                <w:rFonts w:hint="eastAsia" w:ascii="Times New Roman" w:hAnsi="Times New Roman" w:eastAsia="宋体" w:cs="Times New Roman"/>
                <w:b w:val="0"/>
                <w:bCs w:val="0"/>
                <w:color w:val="auto"/>
                <w:sz w:val="24"/>
                <w:szCs w:val="24"/>
                <w:highlight w:val="none"/>
                <w:lang w:val="zh-CN"/>
              </w:rPr>
              <w:t>”</w:t>
            </w:r>
            <w:r>
              <w:rPr>
                <w:rFonts w:hint="default" w:ascii="Times New Roman" w:hAnsi="Times New Roman" w:eastAsia="宋体" w:cs="Times New Roman"/>
                <w:b w:val="0"/>
                <w:bCs w:val="0"/>
                <w:color w:val="auto"/>
                <w:sz w:val="24"/>
                <w:szCs w:val="24"/>
                <w:highlight w:val="none"/>
              </w:rPr>
              <w:t>生态环境总体管控要求暨省级以上产业园区生态环境准入清单》</w:t>
            </w:r>
            <w:r>
              <w:rPr>
                <w:rFonts w:hint="eastAsia" w:ascii="宋体" w:hAnsi="宋体" w:eastAsia="宋体" w:cs="宋体"/>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rPr>
              <w:t>2020年11月发布</w:t>
            </w:r>
            <w:r>
              <w:rPr>
                <w:rFonts w:hint="eastAsia" w:ascii="宋体" w:hAnsi="宋体" w:eastAsia="宋体" w:cs="宋体"/>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rPr>
              <w:t>中湖南省</w:t>
            </w:r>
            <w:r>
              <w:rPr>
                <w:rFonts w:hint="eastAsia" w:ascii="Times New Roman" w:hAnsi="Times New Roman" w:eastAsia="宋体" w:cs="Times New Roman"/>
                <w:b w:val="0"/>
                <w:bCs w:val="0"/>
                <w:color w:val="auto"/>
                <w:sz w:val="24"/>
                <w:szCs w:val="24"/>
                <w:highlight w:val="none"/>
                <w:lang w:val="zh-CN"/>
              </w:rPr>
              <w:t>“</w:t>
            </w:r>
            <w:r>
              <w:rPr>
                <w:rFonts w:hint="default" w:ascii="Times New Roman" w:hAnsi="Times New Roman" w:eastAsia="宋体" w:cs="Times New Roman"/>
                <w:b w:val="0"/>
                <w:bCs w:val="0"/>
                <w:color w:val="auto"/>
                <w:sz w:val="24"/>
                <w:szCs w:val="24"/>
                <w:highlight w:val="none"/>
                <w:lang w:val="zh-CN"/>
              </w:rPr>
              <w:t>三线一单</w:t>
            </w:r>
            <w:r>
              <w:rPr>
                <w:rFonts w:hint="eastAsia" w:ascii="Times New Roman" w:hAnsi="Times New Roman" w:eastAsia="宋体" w:cs="Times New Roman"/>
                <w:b w:val="0"/>
                <w:bCs w:val="0"/>
                <w:color w:val="auto"/>
                <w:sz w:val="24"/>
                <w:szCs w:val="24"/>
                <w:highlight w:val="none"/>
                <w:lang w:val="zh-CN"/>
              </w:rPr>
              <w:t>”</w:t>
            </w:r>
            <w:r>
              <w:rPr>
                <w:rFonts w:hint="default" w:ascii="Times New Roman" w:hAnsi="Times New Roman" w:eastAsia="宋体" w:cs="Times New Roman"/>
                <w:b w:val="0"/>
                <w:bCs w:val="0"/>
                <w:color w:val="auto"/>
                <w:sz w:val="24"/>
                <w:szCs w:val="24"/>
                <w:highlight w:val="none"/>
              </w:rPr>
              <w:t>生态环境总体管控要求：生态保护红线是生态空间范围内具有特殊重要生态功能、必须强制性严格保护的区域。生态保护红线内，自然保护地核心保护区原则上禁止人为活动，其他区域严格禁止开发性、生产性建设活动，在符合现行法律法规前提下，除国家重大战略项目外，仅允许对生态功能不造成破坏的有限人为活动；生态保护红线内的国家公园、自然保护区、风景名胜区、森林公园、地质公园、世界自然遗产、湿地公园、石漠公园、饮用水水源保护区等各类自然保护地还应执行现有法律、法规、规章及自然资源部、国家林业和草原局《关于做好自然保护区范围及功能分区优化调整前期工作的函》等相关规定；国家公园和自然保护区实行分区管控，原则上核心保护区内禁止人为活动，一般控制区内限制人为活动。本项目位于</w:t>
            </w:r>
            <w:r>
              <w:rPr>
                <w:rFonts w:hint="eastAsia" w:ascii="Times New Roman" w:hAnsi="Times New Roman" w:eastAsia="宋体" w:cs="Times New Roman"/>
                <w:b w:val="0"/>
                <w:bCs w:val="0"/>
                <w:color w:val="auto"/>
                <w:sz w:val="24"/>
                <w:szCs w:val="24"/>
                <w:highlight w:val="none"/>
                <w:lang w:val="en-US" w:eastAsia="zh-CN"/>
              </w:rPr>
              <w:t>永州</w:t>
            </w:r>
            <w:r>
              <w:rPr>
                <w:rFonts w:hint="eastAsia" w:ascii="Times New Roman" w:hAnsi="Times New Roman" w:eastAsia="宋体" w:cs="Times New Roman"/>
                <w:b w:val="0"/>
                <w:bCs w:val="0"/>
                <w:color w:val="auto"/>
                <w:sz w:val="24"/>
                <w:szCs w:val="24"/>
                <w:highlight w:val="none"/>
              </w:rPr>
              <w:t>市</w:t>
            </w:r>
            <w:r>
              <w:rPr>
                <w:rFonts w:hint="eastAsia" w:ascii="Times New Roman" w:hAnsi="Times New Roman" w:eastAsia="宋体" w:cs="Times New Roman"/>
                <w:b w:val="0"/>
                <w:bCs w:val="0"/>
                <w:color w:val="auto"/>
                <w:sz w:val="24"/>
                <w:szCs w:val="24"/>
                <w:highlight w:val="none"/>
                <w:lang w:val="en-US" w:eastAsia="zh-CN"/>
              </w:rPr>
              <w:t>零陵区阳明大道386号</w:t>
            </w:r>
            <w:r>
              <w:rPr>
                <w:rFonts w:hint="default" w:ascii="Times New Roman" w:hAnsi="Times New Roman" w:eastAsia="宋体" w:cs="Times New Roman"/>
                <w:b w:val="0"/>
                <w:bCs w:val="0"/>
                <w:color w:val="auto"/>
                <w:sz w:val="24"/>
                <w:szCs w:val="24"/>
                <w:highlight w:val="none"/>
              </w:rPr>
              <w:t>，根据《湖南省人民政府关于印发&lt;湖南省生态保护红线&gt;的通知》</w:t>
            </w:r>
            <w:r>
              <w:rPr>
                <w:rFonts w:hint="eastAsia" w:ascii="宋体" w:hAnsi="宋体" w:eastAsia="宋体" w:cs="宋体"/>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rPr>
              <w:t>湘政发〔2018〕20号</w:t>
            </w:r>
            <w:r>
              <w:rPr>
                <w:rFonts w:hint="eastAsia" w:ascii="宋体" w:hAnsi="宋体" w:eastAsia="宋体" w:cs="宋体"/>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rPr>
              <w:t>和永州市生态保护红线划定情况，本项目不在生态保护红线范围内。</w:t>
            </w:r>
          </w:p>
          <w:p>
            <w:pPr>
              <w:pStyle w:val="12"/>
              <w:bidi w:val="0"/>
              <w:rPr>
                <w:rFonts w:hint="default"/>
              </w:rPr>
            </w:pPr>
            <w:r>
              <w:rPr>
                <w:rFonts w:hint="default"/>
              </w:rPr>
              <w:t>②环境质量底线</w:t>
            </w:r>
          </w:p>
          <w:p>
            <w:pPr>
              <w:pStyle w:val="12"/>
              <w:bidi w:val="0"/>
              <w:rPr>
                <w:rFonts w:hint="default"/>
              </w:rPr>
            </w:pPr>
            <w:r>
              <w:rPr>
                <w:rFonts w:hint="default"/>
              </w:rPr>
              <w:t>本项目所在区域</w:t>
            </w:r>
            <w:r>
              <w:rPr>
                <w:rFonts w:hint="eastAsia"/>
                <w:lang w:eastAsia="zh-CN"/>
              </w:rPr>
              <w:t>（</w:t>
            </w:r>
            <w:r>
              <w:rPr>
                <w:rFonts w:hint="eastAsia"/>
                <w:lang w:val="en-US" w:eastAsia="zh-CN"/>
              </w:rPr>
              <w:t>永州市）</w:t>
            </w:r>
            <w:r>
              <w:rPr>
                <w:rFonts w:hint="default"/>
              </w:rPr>
              <w:t>近一年常规大气污染物PM</w:t>
            </w:r>
            <w:r>
              <w:rPr>
                <w:rFonts w:hint="default"/>
                <w:vertAlign w:val="subscript"/>
              </w:rPr>
              <w:t>10</w:t>
            </w:r>
            <w:r>
              <w:rPr>
                <w:rFonts w:hint="default"/>
              </w:rPr>
              <w:t>、PM</w:t>
            </w:r>
            <w:r>
              <w:rPr>
                <w:rFonts w:hint="default"/>
                <w:vertAlign w:val="subscript"/>
              </w:rPr>
              <w:t>2.5</w:t>
            </w:r>
            <w:r>
              <w:rPr>
                <w:rFonts w:hint="default"/>
              </w:rPr>
              <w:t>、SO</w:t>
            </w:r>
            <w:r>
              <w:rPr>
                <w:rFonts w:hint="default"/>
                <w:vertAlign w:val="subscript"/>
              </w:rPr>
              <w:t>2</w:t>
            </w:r>
            <w:r>
              <w:rPr>
                <w:rFonts w:hint="default"/>
              </w:rPr>
              <w:t>、NO</w:t>
            </w:r>
            <w:r>
              <w:rPr>
                <w:rFonts w:hint="default"/>
                <w:vertAlign w:val="subscript"/>
              </w:rPr>
              <w:t>2</w:t>
            </w:r>
            <w:r>
              <w:rPr>
                <w:rFonts w:hint="default"/>
              </w:rPr>
              <w:t>、O</w:t>
            </w:r>
            <w:r>
              <w:rPr>
                <w:rFonts w:hint="eastAsia"/>
                <w:vertAlign w:val="subscript"/>
              </w:rPr>
              <w:t>3</w:t>
            </w:r>
            <w:r>
              <w:rPr>
                <w:rFonts w:hint="default"/>
              </w:rPr>
              <w:t>、</w:t>
            </w:r>
            <w:r>
              <w:rPr>
                <w:rFonts w:hint="eastAsia"/>
              </w:rPr>
              <w:t>CO</w:t>
            </w:r>
            <w:r>
              <w:rPr>
                <w:rFonts w:hint="default"/>
              </w:rPr>
              <w:t>监测因子的年均值浓度满足《环境空气质量标准》</w:t>
            </w:r>
            <w:r>
              <w:rPr>
                <w:rFonts w:hint="eastAsia"/>
                <w:lang w:eastAsia="zh-CN"/>
              </w:rPr>
              <w:t>（</w:t>
            </w:r>
            <w:r>
              <w:rPr>
                <w:rFonts w:hint="default"/>
              </w:rPr>
              <w:t>GB3095-2012</w:t>
            </w:r>
            <w:r>
              <w:rPr>
                <w:rFonts w:hint="eastAsia"/>
                <w:lang w:eastAsia="zh-CN"/>
              </w:rPr>
              <w:t>）</w:t>
            </w:r>
            <w:r>
              <w:rPr>
                <w:rFonts w:hint="default"/>
              </w:rPr>
              <w:t>二级标准年均值要求，属于达标区。地表水环境质量为《地表水环境质量标准》</w:t>
            </w:r>
            <w:r>
              <w:rPr>
                <w:rFonts w:hint="eastAsia"/>
                <w:lang w:eastAsia="zh-CN"/>
              </w:rPr>
              <w:t>（</w:t>
            </w:r>
            <w:r>
              <w:rPr>
                <w:rFonts w:hint="default"/>
              </w:rPr>
              <w:t>GB3838-2002</w:t>
            </w:r>
            <w:r>
              <w:rPr>
                <w:rFonts w:hint="eastAsia"/>
                <w:lang w:eastAsia="zh-CN"/>
              </w:rPr>
              <w:t>）</w:t>
            </w:r>
            <w:r>
              <w:rPr>
                <w:rFonts w:hint="default"/>
              </w:rPr>
              <w:t>Ⅲ类，声环境质量为《声环境质量标准》</w:t>
            </w:r>
            <w:r>
              <w:rPr>
                <w:rFonts w:hint="eastAsia"/>
                <w:lang w:eastAsia="zh-CN"/>
              </w:rPr>
              <w:t>（</w:t>
            </w:r>
            <w:r>
              <w:rPr>
                <w:rFonts w:hint="default"/>
              </w:rPr>
              <w:t>GB3096-2008</w:t>
            </w:r>
            <w:r>
              <w:rPr>
                <w:rFonts w:hint="eastAsia"/>
                <w:lang w:eastAsia="zh-CN"/>
              </w:rPr>
              <w:t>）</w:t>
            </w:r>
            <w:r>
              <w:rPr>
                <w:rFonts w:hint="default"/>
              </w:rPr>
              <w:t>2类。本项目产生的三废均能有效处理，采取相应治理措施后可达标排放。因此本项目建设不会对当地环境质量底线造成冲击。</w:t>
            </w:r>
          </w:p>
          <w:p>
            <w:pPr>
              <w:pStyle w:val="12"/>
              <w:bidi w:val="0"/>
              <w:rPr>
                <w:rFonts w:hint="default"/>
              </w:rPr>
            </w:pPr>
            <w:r>
              <w:rPr>
                <w:rFonts w:hint="default"/>
              </w:rPr>
              <w:t>③与资源利用上线的对照分析</w:t>
            </w:r>
          </w:p>
          <w:p>
            <w:pPr>
              <w:pStyle w:val="12"/>
              <w:bidi w:val="0"/>
              <w:rPr>
                <w:rFonts w:hint="default"/>
              </w:rPr>
            </w:pPr>
            <w:r>
              <w:rPr>
                <w:rFonts w:hint="default"/>
              </w:rPr>
              <w:t>本项目为医疗卫生服务行业，营运过程中消耗一</w:t>
            </w:r>
            <w:r>
              <w:rPr>
                <w:rFonts w:hint="eastAsia"/>
                <w:lang w:eastAsia="zh-CN"/>
              </w:rPr>
              <w:t>定</w:t>
            </w:r>
            <w:r>
              <w:rPr>
                <w:rFonts w:hint="default"/>
              </w:rPr>
              <w:t>量的水资源、电资源，区域内生产和生活用水均使用自来水，能源主要依托当地电网供电，项目资源消耗相对区域资源利用总量较小，符合资源利用上线要求。</w:t>
            </w:r>
          </w:p>
          <w:p>
            <w:pPr>
              <w:pStyle w:val="12"/>
              <w:bidi w:val="0"/>
              <w:rPr>
                <w:rFonts w:hint="default"/>
              </w:rPr>
            </w:pPr>
            <w:r>
              <w:rPr>
                <w:rFonts w:hint="default"/>
              </w:rPr>
              <w:t>④</w:t>
            </w:r>
            <w:r>
              <w:rPr>
                <w:rFonts w:hint="eastAsia"/>
                <w:lang w:val="en-US" w:eastAsia="zh-CN"/>
              </w:rPr>
              <w:t>生态环境准入清单</w:t>
            </w:r>
          </w:p>
          <w:p>
            <w:pPr>
              <w:pStyle w:val="12"/>
              <w:bidi w:val="0"/>
              <w:rPr>
                <w:rFonts w:hint="default"/>
              </w:rPr>
            </w:pPr>
            <w:r>
              <w:rPr>
                <w:rFonts w:hint="default"/>
                <w:lang w:val="zh-CN"/>
              </w:rPr>
              <w:t>项目符合国家及地方产业政策，未被列入环境准入负面清单。项目采取有效三废处理措施，符合区域总体规划、产业定位及环保规划要求。</w:t>
            </w:r>
          </w:p>
          <w:p>
            <w:pPr>
              <w:pStyle w:val="12"/>
              <w:bidi w:val="0"/>
              <w:rPr>
                <w:rFonts w:hint="default"/>
                <w:lang w:val="en-US" w:eastAsia="zh-CN"/>
              </w:rPr>
            </w:pPr>
            <w:r>
              <w:rPr>
                <w:rFonts w:hint="default"/>
                <w:lang w:val="zh-CN"/>
              </w:rPr>
              <w:t>根据永州市人民政府关于</w:t>
            </w:r>
            <w:r>
              <w:rPr>
                <w:rFonts w:hint="eastAsia"/>
                <w:lang w:val="zh-CN"/>
              </w:rPr>
              <w:t>“</w:t>
            </w:r>
            <w:r>
              <w:rPr>
                <w:rFonts w:hint="default"/>
                <w:lang w:val="zh-CN"/>
              </w:rPr>
              <w:t>三线一单</w:t>
            </w:r>
            <w:r>
              <w:rPr>
                <w:rFonts w:hint="eastAsia"/>
                <w:lang w:val="zh-CN"/>
              </w:rPr>
              <w:t>”</w:t>
            </w:r>
            <w:r>
              <w:rPr>
                <w:rFonts w:hint="default"/>
                <w:lang w:val="zh-CN"/>
              </w:rPr>
              <w:t>生态环境分区管控的实施意见，项目所在地为</w:t>
            </w:r>
            <w:r>
              <w:rPr>
                <w:rFonts w:hint="default"/>
              </w:rPr>
              <w:t>属于</w:t>
            </w:r>
            <w:r>
              <w:rPr>
                <w:rFonts w:hint="eastAsia"/>
                <w:lang w:val="en-US" w:eastAsia="zh-CN"/>
              </w:rPr>
              <w:t>七里店街道</w:t>
            </w:r>
            <w:r>
              <w:rPr>
                <w:rFonts w:hint="default"/>
              </w:rPr>
              <w:t>，</w:t>
            </w:r>
            <w:r>
              <w:rPr>
                <w:rFonts w:hint="default"/>
                <w:lang w:val="zh-CN"/>
              </w:rPr>
              <w:t>为</w:t>
            </w:r>
            <w:r>
              <w:rPr>
                <w:rFonts w:hint="eastAsia"/>
                <w:lang w:val="en-US" w:eastAsia="zh-CN"/>
              </w:rPr>
              <w:t>零陵区重点管控</w:t>
            </w:r>
            <w:r>
              <w:rPr>
                <w:rFonts w:hint="default"/>
                <w:lang w:val="zh-CN"/>
              </w:rPr>
              <w:t>单元，环境管控单元编码</w:t>
            </w:r>
            <w:r>
              <w:rPr>
                <w:rFonts w:hint="default"/>
              </w:rPr>
              <w:t>ZH43110220001</w:t>
            </w:r>
            <w:r>
              <w:rPr>
                <w:rFonts w:hint="default"/>
                <w:lang w:val="zh-CN"/>
              </w:rPr>
              <w:t>，管控要求如下：</w:t>
            </w:r>
          </w:p>
          <w:p>
            <w:pPr>
              <w:pStyle w:val="29"/>
              <w:numPr>
                <w:ilvl w:val="0"/>
                <w:numId w:val="2"/>
              </w:numPr>
              <w:bidi w:val="0"/>
              <w:rPr>
                <w:rFonts w:hint="default"/>
                <w:lang w:val="en-US" w:eastAsia="zh-CN"/>
              </w:rPr>
            </w:pPr>
            <w:r>
              <w:rPr>
                <w:rFonts w:hint="default"/>
                <w:lang w:val="en-US" w:eastAsia="zh-CN"/>
              </w:rPr>
              <w:t>本项目与</w:t>
            </w:r>
            <w:r>
              <w:rPr>
                <w:rFonts w:hint="eastAsia"/>
                <w:lang w:val="en-US" w:eastAsia="zh-CN"/>
              </w:rPr>
              <w:t>“</w:t>
            </w:r>
            <w:r>
              <w:rPr>
                <w:rFonts w:hint="default"/>
                <w:lang w:val="en-US" w:eastAsia="zh-CN"/>
              </w:rPr>
              <w:t>三线一单</w:t>
            </w:r>
            <w:r>
              <w:rPr>
                <w:rFonts w:hint="eastAsia"/>
                <w:lang w:val="en-US" w:eastAsia="zh-CN"/>
              </w:rPr>
              <w:t>”</w:t>
            </w:r>
            <w:r>
              <w:rPr>
                <w:rFonts w:hint="default"/>
                <w:lang w:val="en-US" w:eastAsia="zh-CN"/>
              </w:rPr>
              <w:t>要求符合性分析</w:t>
            </w:r>
          </w:p>
          <w:tbl>
            <w:tblPr>
              <w:tblStyle w:val="27"/>
              <w:tblW w:w="67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7"/>
              <w:gridCol w:w="3095"/>
              <w:gridCol w:w="1705"/>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47" w:type="dxa"/>
                  <w:noWrap w:val="0"/>
                  <w:vAlign w:val="center"/>
                </w:tcPr>
                <w:p>
                  <w:pPr>
                    <w:pStyle w:val="30"/>
                    <w:bidi w:val="0"/>
                  </w:pPr>
                  <w:r>
                    <w:t>管控</w:t>
                  </w:r>
                </w:p>
                <w:p>
                  <w:pPr>
                    <w:pStyle w:val="30"/>
                    <w:bidi w:val="0"/>
                    <w:rPr>
                      <w:rFonts w:hint="default"/>
                      <w:lang w:val="en-US" w:eastAsia="zh-CN"/>
                    </w:rPr>
                  </w:pPr>
                  <w:r>
                    <w:t>维度</w:t>
                  </w:r>
                </w:p>
              </w:tc>
              <w:tc>
                <w:tcPr>
                  <w:tcW w:w="3095" w:type="dxa"/>
                  <w:noWrap w:val="0"/>
                  <w:vAlign w:val="center"/>
                </w:tcPr>
                <w:p>
                  <w:pPr>
                    <w:pStyle w:val="30"/>
                    <w:bidi w:val="0"/>
                    <w:rPr>
                      <w:rFonts w:hint="default"/>
                      <w:lang w:val="en-US" w:eastAsia="zh-CN"/>
                    </w:rPr>
                  </w:pPr>
                  <w:r>
                    <w:t>管控要求</w:t>
                  </w:r>
                </w:p>
              </w:tc>
              <w:tc>
                <w:tcPr>
                  <w:tcW w:w="1705" w:type="dxa"/>
                  <w:noWrap w:val="0"/>
                  <w:vAlign w:val="center"/>
                </w:tcPr>
                <w:p>
                  <w:pPr>
                    <w:pStyle w:val="30"/>
                    <w:bidi w:val="0"/>
                    <w:rPr>
                      <w:rFonts w:hint="default"/>
                      <w:lang w:val="en-US" w:eastAsia="zh-CN"/>
                    </w:rPr>
                  </w:pPr>
                  <w:r>
                    <w:t>本项目情况</w:t>
                  </w:r>
                </w:p>
              </w:tc>
              <w:tc>
                <w:tcPr>
                  <w:tcW w:w="1121" w:type="dxa"/>
                  <w:noWrap w:val="0"/>
                  <w:vAlign w:val="center"/>
                </w:tcPr>
                <w:p>
                  <w:pPr>
                    <w:pStyle w:val="30"/>
                    <w:bidi w:val="0"/>
                    <w:rPr>
                      <w:rFonts w:hint="default"/>
                      <w:lang w:val="en-US" w:eastAsia="zh-CN"/>
                    </w:rPr>
                  </w:pPr>
                  <w: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47" w:type="dxa"/>
                  <w:noWrap w:val="0"/>
                  <w:vAlign w:val="center"/>
                </w:tcPr>
                <w:p>
                  <w:pPr>
                    <w:pStyle w:val="30"/>
                    <w:bidi w:val="0"/>
                    <w:rPr>
                      <w:rFonts w:hint="default"/>
                    </w:rPr>
                  </w:pPr>
                  <w:r>
                    <w:t>空间布局约束</w:t>
                  </w:r>
                </w:p>
              </w:tc>
              <w:tc>
                <w:tcPr>
                  <w:tcW w:w="3095" w:type="dxa"/>
                  <w:noWrap w:val="0"/>
                  <w:vAlign w:val="center"/>
                </w:tcPr>
                <w:p>
                  <w:pPr>
                    <w:pStyle w:val="30"/>
                    <w:bidi w:val="0"/>
                    <w:rPr>
                      <w:rFonts w:hint="default"/>
                    </w:rPr>
                  </w:pPr>
                  <w:r>
                    <w:rPr>
                      <w:rFonts w:hint="default"/>
                    </w:rPr>
                    <w:t>（1.1）永州市零陵区潇水饮用水水源保护区：严格控制旅游、航运、项目建设等开发行为，禁止燃油船舶在饮用水源保护区内游玩，严格控制二级保护区范围内新上旅游开发项目。禁止在南津渡水厂、娘子岭水厂取水口上游1000米，下游200米范围内垂钓、停泊渔船和电鱼捕鱼。</w:t>
                  </w:r>
                </w:p>
                <w:p>
                  <w:pPr>
                    <w:pStyle w:val="30"/>
                    <w:bidi w:val="0"/>
                    <w:rPr>
                      <w:rFonts w:hint="default"/>
                    </w:rPr>
                  </w:pPr>
                  <w:r>
                    <w:rPr>
                      <w:rFonts w:hint="default"/>
                    </w:rPr>
                    <w:t>（1.2）湖南零陵潇水国家湿地公园：湿地公园内不得设立开发区、度假区。禁止擅自在水面设置竹箔等障碍物，禁止非法引进外来物种或擅自放生，确需修建相关工程的，应当进行科学论证、评估，并征求相关部门的意见。已退耕还湿的地域禁止新建居民点或者其他永久性建筑物、构筑物。湿地公园管理局划定的植被恢复区，禁止放牧和种植。</w:t>
                  </w:r>
                </w:p>
                <w:p>
                  <w:pPr>
                    <w:pStyle w:val="30"/>
                    <w:bidi w:val="0"/>
                    <w:rPr>
                      <w:rFonts w:hint="default"/>
                    </w:rPr>
                  </w:pPr>
                  <w:r>
                    <w:rPr>
                      <w:rFonts w:hint="default"/>
                    </w:rPr>
                    <w:t>（1.3）畜禽养殖布局应符合《零陵区畜禽规模养殖“三区”划定方案》。</w:t>
                  </w:r>
                </w:p>
              </w:tc>
              <w:tc>
                <w:tcPr>
                  <w:tcW w:w="1705" w:type="dxa"/>
                  <w:noWrap w:val="0"/>
                  <w:vAlign w:val="center"/>
                </w:tcPr>
                <w:p>
                  <w:pPr>
                    <w:pStyle w:val="30"/>
                    <w:bidi w:val="0"/>
                    <w:rPr>
                      <w:rFonts w:hint="default"/>
                    </w:rPr>
                  </w:pPr>
                  <w:r>
                    <w:t>本项目不属于畜禽养殖行业；本项目选址不在</w:t>
                  </w:r>
                  <w:r>
                    <w:rPr>
                      <w:rFonts w:hint="default"/>
                    </w:rPr>
                    <w:t>永州市零陵区潇水饮用水水源保护区</w:t>
                  </w:r>
                  <w:r>
                    <w:rPr>
                      <w:rFonts w:hint="eastAsia"/>
                      <w:lang w:eastAsia="zh-CN"/>
                    </w:rPr>
                    <w:t>、</w:t>
                  </w:r>
                  <w:r>
                    <w:rPr>
                      <w:rFonts w:hint="default"/>
                    </w:rPr>
                    <w:t>湖南零陵潇水国家湿地公园</w:t>
                  </w:r>
                  <w:r>
                    <w:t>；本项目建成后通过加强环境监管，可确保污染物达标排放。</w:t>
                  </w:r>
                </w:p>
              </w:tc>
              <w:tc>
                <w:tcPr>
                  <w:tcW w:w="1121" w:type="dxa"/>
                  <w:noWrap w:val="0"/>
                  <w:vAlign w:val="center"/>
                </w:tcPr>
                <w:p>
                  <w:pPr>
                    <w:pStyle w:val="30"/>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849" w:hRule="atLeast"/>
                <w:jc w:val="center"/>
              </w:trPr>
              <w:tc>
                <w:tcPr>
                  <w:tcW w:w="847" w:type="dxa"/>
                  <w:noWrap w:val="0"/>
                  <w:vAlign w:val="center"/>
                </w:tcPr>
                <w:p>
                  <w:pPr>
                    <w:pStyle w:val="30"/>
                    <w:bidi w:val="0"/>
                    <w:rPr>
                      <w:rFonts w:hint="default"/>
                    </w:rPr>
                  </w:pPr>
                  <w:r>
                    <w:t>污染物排放管控</w:t>
                  </w:r>
                </w:p>
              </w:tc>
              <w:tc>
                <w:tcPr>
                  <w:tcW w:w="3095" w:type="dxa"/>
                  <w:noWrap w:val="0"/>
                  <w:vAlign w:val="center"/>
                </w:tcPr>
                <w:p>
                  <w:pPr>
                    <w:pStyle w:val="30"/>
                    <w:bidi w:val="0"/>
                    <w:rPr>
                      <w:rFonts w:hint="default"/>
                    </w:rPr>
                  </w:pPr>
                  <w:r>
                    <w:rPr>
                      <w:rFonts w:hint="default"/>
                    </w:rPr>
                    <w:t>（2.1）湖南零陵潇水国家湿地公园：禁止任意存储固体废弃物，对农用薄膜和渔网等不可降解的废弃物，使用者应当采取回收利用等措施。湿地公园内航行的船舶，应当配置符合国家规定的防污设备，不得排放污染物、生活污水及固体垃圾。</w:t>
                  </w:r>
                </w:p>
                <w:p>
                  <w:pPr>
                    <w:pStyle w:val="30"/>
                    <w:bidi w:val="0"/>
                    <w:rPr>
                      <w:rFonts w:hint="default"/>
                    </w:rPr>
                  </w:pPr>
                  <w:r>
                    <w:rPr>
                      <w:rFonts w:hint="default"/>
                    </w:rPr>
                    <w:t>（2.2）所有江河水库全部退出承包经营，采取“人放天养”生态养殖模式，力保水源水质达标。</w:t>
                  </w:r>
                </w:p>
                <w:p>
                  <w:pPr>
                    <w:pStyle w:val="30"/>
                    <w:bidi w:val="0"/>
                    <w:rPr>
                      <w:rFonts w:hint="default"/>
                    </w:rPr>
                  </w:pPr>
                  <w:r>
                    <w:rPr>
                      <w:rFonts w:hint="default"/>
                    </w:rPr>
                    <w:t>（2.3）石山脚街道：新建、改建、扩建规模化畜禽养殖场（小区）要实施雨污分流、粪便污水资源化利用，散养密集区要实行畜禽粪便污水分户收集、集中处理利用。</w:t>
                  </w:r>
                </w:p>
                <w:p>
                  <w:pPr>
                    <w:pStyle w:val="30"/>
                    <w:bidi w:val="0"/>
                    <w:rPr>
                      <w:rFonts w:hint="default"/>
                    </w:rPr>
                  </w:pPr>
                  <w:r>
                    <w:rPr>
                      <w:rFonts w:hint="default"/>
                    </w:rPr>
                    <w:t>（2.4）重点餐饮经营场所</w:t>
                  </w:r>
                  <w:r>
                    <w:rPr>
                      <w:rFonts w:hint="eastAsia"/>
                      <w:lang w:eastAsia="zh-CN"/>
                    </w:rPr>
                    <w:t>（</w:t>
                  </w:r>
                  <w:r>
                    <w:rPr>
                      <w:rFonts w:hint="default"/>
                    </w:rPr>
                    <w:t>6个灶头以上</w:t>
                  </w:r>
                  <w:r>
                    <w:rPr>
                      <w:rFonts w:hint="eastAsia"/>
                      <w:lang w:eastAsia="zh-CN"/>
                    </w:rPr>
                    <w:t>）</w:t>
                  </w:r>
                  <w:r>
                    <w:rPr>
                      <w:rFonts w:hint="default"/>
                    </w:rPr>
                    <w:t>全部要求安装高效油烟净化设施，实现油气分离，确保油烟达标排放，逐步推广到中小型餐饮经营场所。禁止露天无序烧烤。</w:t>
                  </w:r>
                </w:p>
                <w:p>
                  <w:pPr>
                    <w:pStyle w:val="30"/>
                    <w:bidi w:val="0"/>
                    <w:rPr>
                      <w:rFonts w:hint="default"/>
                    </w:rPr>
                  </w:pPr>
                  <w:r>
                    <w:rPr>
                      <w:rFonts w:hint="default"/>
                    </w:rPr>
                    <w:t>（2.5）严格执行《永州市人民政府关于中心城区全面禁止燃放烟花爆竹的通告》（永政函〔2016〕282号），全面禁止燃放烟花爆竹，全面取缔禁燃范围内违规销售烟花爆竹网点。</w:t>
                  </w:r>
                </w:p>
                <w:p>
                  <w:pPr>
                    <w:pStyle w:val="30"/>
                    <w:bidi w:val="0"/>
                    <w:rPr>
                      <w:rFonts w:hint="default"/>
                    </w:rPr>
                  </w:pPr>
                  <w:r>
                    <w:rPr>
                      <w:rFonts w:hint="default"/>
                    </w:rPr>
                    <w:t>（2.6）推进秸秆回收利用和处置，禁止露天焚烧秸秆。</w:t>
                  </w:r>
                </w:p>
              </w:tc>
              <w:tc>
                <w:tcPr>
                  <w:tcW w:w="1705" w:type="dxa"/>
                  <w:noWrap w:val="0"/>
                  <w:vAlign w:val="center"/>
                </w:tcPr>
                <w:p>
                  <w:pPr>
                    <w:pStyle w:val="30"/>
                    <w:bidi w:val="0"/>
                    <w:rPr>
                      <w:rFonts w:hint="default"/>
                    </w:rPr>
                  </w:pPr>
                  <w:r>
                    <w:t>本项目</w:t>
                  </w:r>
                  <w:r>
                    <w:rPr>
                      <w:rFonts w:hint="eastAsia"/>
                      <w:lang w:val="en-US" w:eastAsia="zh-CN"/>
                    </w:rPr>
                    <w:t>不涉及湖南</w:t>
                  </w:r>
                  <w:r>
                    <w:rPr>
                      <w:rFonts w:hint="default"/>
                    </w:rPr>
                    <w:t>零陵潇水国家湿地公园</w:t>
                  </w:r>
                  <w:r>
                    <w:rPr>
                      <w:rFonts w:hint="eastAsia"/>
                      <w:lang w:val="en-US" w:eastAsia="zh-CN"/>
                    </w:rPr>
                    <w:t>和江河水库、不在石山脚街道、餐饮业</w:t>
                  </w:r>
                  <w:r>
                    <w:t>。</w:t>
                  </w:r>
                </w:p>
              </w:tc>
              <w:tc>
                <w:tcPr>
                  <w:tcW w:w="1121" w:type="dxa"/>
                  <w:noWrap w:val="0"/>
                  <w:vAlign w:val="center"/>
                </w:tcPr>
                <w:p>
                  <w:pPr>
                    <w:pStyle w:val="30"/>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54" w:hRule="atLeast"/>
                <w:jc w:val="center"/>
              </w:trPr>
              <w:tc>
                <w:tcPr>
                  <w:tcW w:w="847" w:type="dxa"/>
                  <w:noWrap w:val="0"/>
                  <w:vAlign w:val="center"/>
                </w:tcPr>
                <w:p>
                  <w:pPr>
                    <w:pStyle w:val="30"/>
                    <w:bidi w:val="0"/>
                    <w:rPr>
                      <w:rFonts w:hint="default"/>
                      <w:lang w:val="en-US" w:eastAsia="zh-CN"/>
                    </w:rPr>
                  </w:pPr>
                  <w:r>
                    <w:rPr>
                      <w:rFonts w:hint="eastAsia"/>
                      <w:lang w:val="en-US" w:eastAsia="zh-CN"/>
                    </w:rPr>
                    <w:t>环境风险防控</w:t>
                  </w:r>
                </w:p>
              </w:tc>
              <w:tc>
                <w:tcPr>
                  <w:tcW w:w="3095" w:type="dxa"/>
                  <w:noWrap w:val="0"/>
                  <w:vAlign w:val="center"/>
                </w:tcPr>
                <w:p>
                  <w:pPr>
                    <w:pStyle w:val="30"/>
                    <w:bidi w:val="0"/>
                    <w:rPr>
                      <w:rFonts w:hint="default"/>
                    </w:rPr>
                  </w:pPr>
                  <w:r>
                    <w:rPr>
                      <w:rFonts w:hint="default"/>
                    </w:rPr>
                    <w:t>（3.1）执行湖南省总体要求、永州市基本要求中与环境风险防控有关的规定。</w:t>
                  </w:r>
                </w:p>
              </w:tc>
              <w:tc>
                <w:tcPr>
                  <w:tcW w:w="1705" w:type="dxa"/>
                  <w:noWrap w:val="0"/>
                  <w:vAlign w:val="center"/>
                </w:tcPr>
                <w:p>
                  <w:pPr>
                    <w:pStyle w:val="30"/>
                    <w:bidi w:val="0"/>
                  </w:pPr>
                  <w:r>
                    <w:rPr>
                      <w:rFonts w:hint="eastAsia"/>
                      <w:lang w:eastAsia="zh-CN"/>
                    </w:rPr>
                    <w:t>本项目按</w:t>
                  </w:r>
                  <w:r>
                    <w:rPr>
                      <w:rFonts w:hint="default"/>
                    </w:rPr>
                    <w:t>湖南省总体要求、永州市基本要求中与环境风险防控有关的规定</w:t>
                  </w:r>
                  <w:r>
                    <w:rPr>
                      <w:rFonts w:hint="eastAsia"/>
                      <w:lang w:val="en-US" w:eastAsia="zh-CN"/>
                    </w:rPr>
                    <w:t>加强院内风险源管控。</w:t>
                  </w:r>
                </w:p>
                <w:p>
                  <w:pPr>
                    <w:pStyle w:val="30"/>
                    <w:bidi w:val="0"/>
                    <w:rPr>
                      <w:rFonts w:hint="eastAsia"/>
                      <w:lang w:val="en-US" w:eastAsia="zh-CN"/>
                    </w:rPr>
                  </w:pPr>
                </w:p>
              </w:tc>
              <w:tc>
                <w:tcPr>
                  <w:tcW w:w="1121" w:type="dxa"/>
                  <w:noWrap w:val="0"/>
                  <w:vAlign w:val="center"/>
                </w:tcPr>
                <w:p>
                  <w:pPr>
                    <w:pStyle w:val="30"/>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74" w:hRule="atLeast"/>
                <w:jc w:val="center"/>
              </w:trPr>
              <w:tc>
                <w:tcPr>
                  <w:tcW w:w="847" w:type="dxa"/>
                  <w:noWrap w:val="0"/>
                  <w:vAlign w:val="center"/>
                </w:tcPr>
                <w:p>
                  <w:pPr>
                    <w:pStyle w:val="30"/>
                    <w:bidi w:val="0"/>
                    <w:rPr>
                      <w:rFonts w:hint="default"/>
                      <w:lang w:val="en-US" w:eastAsia="zh-CN"/>
                    </w:rPr>
                  </w:pPr>
                  <w:r>
                    <w:rPr>
                      <w:rFonts w:hint="default"/>
                      <w:lang w:val="en-US" w:eastAsia="zh-CN"/>
                    </w:rPr>
                    <w:t>资源开发</w:t>
                  </w:r>
                  <w:r>
                    <w:rPr>
                      <w:rFonts w:hint="eastAsia"/>
                      <w:lang w:val="en-US" w:eastAsia="zh-CN"/>
                    </w:rPr>
                    <w:t>效率要求</w:t>
                  </w:r>
                </w:p>
              </w:tc>
              <w:tc>
                <w:tcPr>
                  <w:tcW w:w="3095" w:type="dxa"/>
                  <w:noWrap w:val="0"/>
                  <w:vAlign w:val="center"/>
                </w:tcPr>
                <w:p>
                  <w:pPr>
                    <w:pStyle w:val="30"/>
                    <w:bidi w:val="0"/>
                    <w:rPr>
                      <w:rFonts w:hint="default"/>
                    </w:rPr>
                  </w:pPr>
                  <w:r>
                    <w:rPr>
                      <w:rFonts w:hint="default"/>
                    </w:rPr>
                    <w:t>（4.1）能源</w:t>
                  </w:r>
                </w:p>
                <w:p>
                  <w:pPr>
                    <w:pStyle w:val="30"/>
                    <w:bidi w:val="0"/>
                    <w:rPr>
                      <w:rFonts w:hint="default"/>
                    </w:rPr>
                  </w:pPr>
                  <w:r>
                    <w:rPr>
                      <w:rFonts w:hint="default"/>
                    </w:rPr>
                    <w:t>（4.1.1）实行低硫煤政策，禁止使用含硫量大于1%，含灰量大于20%的燃煤。</w:t>
                  </w:r>
                </w:p>
                <w:p>
                  <w:pPr>
                    <w:pStyle w:val="30"/>
                    <w:bidi w:val="0"/>
                    <w:rPr>
                      <w:rFonts w:hint="default"/>
                    </w:rPr>
                  </w:pPr>
                  <w:r>
                    <w:rPr>
                      <w:rFonts w:hint="default"/>
                    </w:rPr>
                    <w:t>（4.1.2）全面提高工业锅炉准入标准，禁止新建、扩建和改建燃煤锅炉，凡申请新、扩、改建锅炉的，一律要求使用电、天然气、液化石油气、轻质燃油、水煤浆、生物质成型燃料等低污染燃料。</w:t>
                  </w:r>
                </w:p>
                <w:p>
                  <w:pPr>
                    <w:pStyle w:val="30"/>
                    <w:bidi w:val="0"/>
                    <w:rPr>
                      <w:rFonts w:hint="default"/>
                    </w:rPr>
                  </w:pPr>
                  <w:r>
                    <w:rPr>
                      <w:rFonts w:hint="default"/>
                    </w:rPr>
                    <w:t>（4.1.3）高污染燃料禁燃区严格执行《永州市人民政府关于调整高污染燃料禁燃区的通告》（永政函〔2020〕30号）的规定。</w:t>
                  </w:r>
                </w:p>
              </w:tc>
              <w:tc>
                <w:tcPr>
                  <w:tcW w:w="1705" w:type="dxa"/>
                  <w:noWrap w:val="0"/>
                  <w:vAlign w:val="center"/>
                </w:tcPr>
                <w:p>
                  <w:pPr>
                    <w:pStyle w:val="30"/>
                    <w:bidi w:val="0"/>
                    <w:rPr>
                      <w:rFonts w:hint="default"/>
                    </w:rPr>
                  </w:pPr>
                  <w:r>
                    <w:rPr>
                      <w:rFonts w:hint="eastAsia"/>
                      <w:lang w:val="en-US" w:eastAsia="zh-CN"/>
                    </w:rPr>
                    <w:t>项目无锅炉，主要使用能源为电能</w:t>
                  </w:r>
                  <w:r>
                    <w:rPr>
                      <w:rFonts w:hint="default"/>
                    </w:rPr>
                    <w:t>。</w:t>
                  </w:r>
                </w:p>
              </w:tc>
              <w:tc>
                <w:tcPr>
                  <w:tcW w:w="1121" w:type="dxa"/>
                  <w:noWrap w:val="0"/>
                  <w:vAlign w:val="center"/>
                </w:tcPr>
                <w:p>
                  <w:pPr>
                    <w:pStyle w:val="30"/>
                    <w:bidi w:val="0"/>
                    <w:rPr>
                      <w:rFonts w:hint="eastAsia"/>
                      <w:lang w:val="en-US" w:eastAsia="zh-CN"/>
                    </w:rPr>
                  </w:pPr>
                  <w:r>
                    <w:rPr>
                      <w:rFonts w:hint="eastAsia"/>
                      <w:lang w:val="en-US" w:eastAsia="zh-CN"/>
                    </w:rPr>
                    <w:t>符合</w:t>
                  </w:r>
                </w:p>
              </w:tc>
            </w:tr>
          </w:tbl>
          <w:p>
            <w:pPr>
              <w:pStyle w:val="12"/>
              <w:bidi w:val="0"/>
              <w:rPr>
                <w:rFonts w:hint="default"/>
              </w:rPr>
            </w:pPr>
            <w:r>
              <w:rPr>
                <w:rFonts w:hint="default"/>
              </w:rPr>
              <w:t>由上表可知，本项目符合</w:t>
            </w:r>
            <w:r>
              <w:rPr>
                <w:rFonts w:hint="eastAsia" w:ascii="宋体" w:hAnsi="宋体" w:eastAsia="宋体" w:cs="宋体"/>
                <w:b w:val="0"/>
                <w:bCs w:val="0"/>
                <w:color w:val="auto"/>
                <w:sz w:val="24"/>
                <w:szCs w:val="24"/>
                <w:highlight w:val="none"/>
                <w:lang w:val="zh-CN"/>
              </w:rPr>
              <w:t>“</w:t>
            </w:r>
            <w:r>
              <w:rPr>
                <w:rFonts w:hint="default" w:ascii="Times New Roman" w:hAnsi="Times New Roman" w:eastAsia="宋体" w:cs="Times New Roman"/>
                <w:b w:val="0"/>
                <w:bCs w:val="0"/>
                <w:color w:val="auto"/>
                <w:sz w:val="24"/>
                <w:szCs w:val="24"/>
                <w:highlight w:val="none"/>
                <w:lang w:val="zh-CN"/>
              </w:rPr>
              <w:t>三线一单</w:t>
            </w:r>
            <w:r>
              <w:rPr>
                <w:rFonts w:hint="eastAsia" w:ascii="宋体" w:hAnsi="宋体" w:eastAsia="宋体" w:cs="宋体"/>
                <w:b w:val="0"/>
                <w:bCs w:val="0"/>
                <w:color w:val="auto"/>
                <w:sz w:val="24"/>
                <w:szCs w:val="24"/>
                <w:highlight w:val="none"/>
                <w:lang w:val="zh-CN"/>
              </w:rPr>
              <w:t>”</w:t>
            </w:r>
            <w:r>
              <w:rPr>
                <w:rFonts w:hint="default"/>
              </w:rPr>
              <w:t>（即生态保护红线、环境质量底线、资源利用上线和环境准入负面清单）的要求。</w:t>
            </w:r>
          </w:p>
          <w:p>
            <w:pPr>
              <w:bidi w:val="0"/>
              <w:jc w:val="left"/>
              <w:rPr>
                <w:rFonts w:hint="default"/>
                <w:b/>
                <w:bCs/>
                <w:lang w:val="en-US" w:eastAsia="zh-CN"/>
              </w:rPr>
            </w:pPr>
            <w:r>
              <w:rPr>
                <w:rFonts w:hint="eastAsia"/>
                <w:b/>
                <w:bCs/>
                <w:lang w:val="en-US" w:eastAsia="zh-CN"/>
              </w:rPr>
              <w:t>3、</w:t>
            </w:r>
            <w:r>
              <w:rPr>
                <w:rFonts w:hint="default"/>
                <w:b/>
                <w:bCs/>
                <w:lang w:val="en-US" w:eastAsia="zh-CN"/>
              </w:rPr>
              <w:t>与《医疗废物管理条例》符合性分析</w:t>
            </w:r>
          </w:p>
          <w:p>
            <w:pPr>
              <w:pStyle w:val="29"/>
              <w:numPr>
                <w:ilvl w:val="0"/>
                <w:numId w:val="2"/>
              </w:numPr>
              <w:bidi w:val="0"/>
              <w:rPr>
                <w:rFonts w:hint="default"/>
                <w:lang w:val="en-US" w:eastAsia="zh-CN"/>
              </w:rPr>
            </w:pPr>
            <w:r>
              <w:rPr>
                <w:rFonts w:hint="default"/>
                <w:lang w:val="en-US" w:eastAsia="zh-CN"/>
              </w:rPr>
              <w:t>与《医疗废物管理条例》相符性</w:t>
            </w:r>
          </w:p>
          <w:tbl>
            <w:tblPr>
              <w:tblStyle w:val="27"/>
              <w:tblW w:w="67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2"/>
              <w:gridCol w:w="2874"/>
              <w:gridCol w:w="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432" w:type="dxa"/>
                  <w:noWrap w:val="0"/>
                  <w:vAlign w:val="center"/>
                </w:tcPr>
                <w:p>
                  <w:pPr>
                    <w:pStyle w:val="30"/>
                    <w:bidi w:val="0"/>
                    <w:rPr>
                      <w:rFonts w:hint="default"/>
                    </w:rPr>
                  </w:pPr>
                  <w:r>
                    <w:rPr>
                      <w:rFonts w:hint="default"/>
                    </w:rPr>
                    <w:t>《医疗废物管理条例》中要求</w:t>
                  </w:r>
                </w:p>
              </w:tc>
              <w:tc>
                <w:tcPr>
                  <w:tcW w:w="2874" w:type="dxa"/>
                  <w:noWrap w:val="0"/>
                  <w:vAlign w:val="center"/>
                </w:tcPr>
                <w:p>
                  <w:pPr>
                    <w:pStyle w:val="30"/>
                    <w:bidi w:val="0"/>
                    <w:rPr>
                      <w:rFonts w:hint="default"/>
                    </w:rPr>
                  </w:pPr>
                  <w:r>
                    <w:rPr>
                      <w:rFonts w:hint="default"/>
                    </w:rPr>
                    <w:t>本项目情况</w:t>
                  </w:r>
                </w:p>
              </w:tc>
              <w:tc>
                <w:tcPr>
                  <w:tcW w:w="463" w:type="dxa"/>
                  <w:noWrap w:val="0"/>
                  <w:vAlign w:val="center"/>
                </w:tcPr>
                <w:p>
                  <w:pPr>
                    <w:pStyle w:val="30"/>
                    <w:bidi w:val="0"/>
                    <w:rPr>
                      <w:rFonts w:hint="default"/>
                    </w:rPr>
                  </w:pPr>
                  <w:r>
                    <w:rPr>
                      <w:rFonts w:hint="default"/>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432" w:type="dxa"/>
                  <w:noWrap w:val="0"/>
                  <w:vAlign w:val="center"/>
                </w:tcPr>
                <w:p>
                  <w:pPr>
                    <w:pStyle w:val="30"/>
                    <w:bidi w:val="0"/>
                    <w:rPr>
                      <w:rFonts w:hint="default"/>
                      <w:lang w:val="en-US" w:eastAsia="zh-CN"/>
                    </w:rPr>
                  </w:pPr>
                  <w:r>
                    <w:rPr>
                      <w:rFonts w:hint="default"/>
                    </w:rPr>
                    <w:t>第七条</w:t>
                  </w:r>
                  <w:r>
                    <w:rPr>
                      <w:rFonts w:hint="eastAsia"/>
                      <w:lang w:val="en-US" w:eastAsia="zh-CN"/>
                    </w:rPr>
                    <w:t xml:space="preserve"> </w:t>
                  </w:r>
                  <w:r>
                    <w:rPr>
                      <w:rFonts w:hint="default"/>
                    </w:rPr>
                    <w:t>医疗卫生机构和医疗废物集中处置单位，应当建立、健全</w:t>
                  </w:r>
                  <w:r>
                    <w:rPr>
                      <w:rFonts w:hint="eastAsia"/>
                      <w:lang w:val="en-US" w:eastAsia="zh-CN"/>
                    </w:rPr>
                    <w:t>医</w:t>
                  </w:r>
                  <w:r>
                    <w:rPr>
                      <w:rFonts w:hint="default"/>
                    </w:rPr>
                    <w:t>疗废物管理责任制，其法定代表人为第一责任人，切实履行职责，防止因医疗废物导致传染病传播和环 境污染事故。</w:t>
                  </w:r>
                </w:p>
              </w:tc>
              <w:tc>
                <w:tcPr>
                  <w:tcW w:w="2874" w:type="dxa"/>
                  <w:noWrap w:val="0"/>
                  <w:vAlign w:val="center"/>
                </w:tcPr>
                <w:p>
                  <w:pPr>
                    <w:pStyle w:val="30"/>
                    <w:bidi w:val="0"/>
                    <w:rPr>
                      <w:rFonts w:hint="default"/>
                      <w:lang w:val="en-US" w:eastAsia="zh-CN"/>
                    </w:rPr>
                  </w:pPr>
                  <w:r>
                    <w:rPr>
                      <w:rFonts w:hint="default"/>
                    </w:rPr>
                    <w:t>建设项目实施后，建立医疗废物管理责任制，确定法定代表人为第一责任人</w:t>
                  </w:r>
                </w:p>
              </w:tc>
              <w:tc>
                <w:tcPr>
                  <w:tcW w:w="463" w:type="dxa"/>
                  <w:noWrap w:val="0"/>
                  <w:vAlign w:val="center"/>
                </w:tcPr>
                <w:p>
                  <w:pPr>
                    <w:pStyle w:val="30"/>
                    <w:bidi w:val="0"/>
                    <w:rPr>
                      <w:rFonts w:hint="default"/>
                      <w:lang w:val="en-US" w:eastAsia="zh-CN"/>
                    </w:rPr>
                  </w:pPr>
                  <w:r>
                    <w:rPr>
                      <w:rFonts w:hint="default"/>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432" w:type="dxa"/>
                  <w:noWrap w:val="0"/>
                  <w:vAlign w:val="center"/>
                </w:tcPr>
                <w:p>
                  <w:pPr>
                    <w:pStyle w:val="30"/>
                    <w:bidi w:val="0"/>
                    <w:rPr>
                      <w:rFonts w:hint="default"/>
                    </w:rPr>
                  </w:pPr>
                  <w:r>
                    <w:rPr>
                      <w:rFonts w:hint="default"/>
                    </w:rPr>
                    <w:t>第八条</w:t>
                  </w:r>
                  <w:r>
                    <w:rPr>
                      <w:rFonts w:hint="eastAsia"/>
                      <w:lang w:val="en-US" w:eastAsia="zh-CN"/>
                    </w:rPr>
                    <w:t xml:space="preserve"> </w:t>
                  </w:r>
                  <w:r>
                    <w:rPr>
                      <w:rFonts w:hint="default"/>
                    </w:rPr>
                    <w:t>医疗卫生机构和医疗废物集中处置单位，应当制定与医疗废 物安全处置有关的规章制度和在发 生意外事故时的应急方案；设置监 控部门或者专（兼）职人员，负责检查、督促、落实本单位医疗废物的管理工作，防止违反本条例的行为发生。</w:t>
                  </w:r>
                </w:p>
              </w:tc>
              <w:tc>
                <w:tcPr>
                  <w:tcW w:w="2874" w:type="dxa"/>
                  <w:noWrap w:val="0"/>
                  <w:vAlign w:val="center"/>
                </w:tcPr>
                <w:p>
                  <w:pPr>
                    <w:pStyle w:val="30"/>
                    <w:bidi w:val="0"/>
                    <w:rPr>
                      <w:rFonts w:hint="default"/>
                      <w:lang w:val="en-US" w:eastAsia="zh-CN"/>
                    </w:rPr>
                  </w:pPr>
                  <w:r>
                    <w:rPr>
                      <w:rFonts w:hint="default"/>
                    </w:rPr>
                    <w:t>建设项目实施后，制定医疗废物全过程管理规章制度，制订医疗废物泄漏应急方案，设置医疗废物管理专（兼）职人员</w:t>
                  </w:r>
                </w:p>
              </w:tc>
              <w:tc>
                <w:tcPr>
                  <w:tcW w:w="463" w:type="dxa"/>
                  <w:noWrap w:val="0"/>
                  <w:vAlign w:val="center"/>
                </w:tcPr>
                <w:p>
                  <w:pPr>
                    <w:pStyle w:val="30"/>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432" w:type="dxa"/>
                  <w:noWrap w:val="0"/>
                  <w:vAlign w:val="center"/>
                </w:tcPr>
                <w:p>
                  <w:pPr>
                    <w:pStyle w:val="30"/>
                    <w:bidi w:val="0"/>
                    <w:rPr>
                      <w:rFonts w:hint="default"/>
                    </w:rPr>
                  </w:pPr>
                  <w:r>
                    <w:rPr>
                      <w:rFonts w:hint="default"/>
                    </w:rPr>
                    <w:t>第九条</w:t>
                  </w:r>
                  <w:r>
                    <w:rPr>
                      <w:rFonts w:hint="eastAsia"/>
                      <w:lang w:val="en-US" w:eastAsia="zh-CN"/>
                    </w:rPr>
                    <w:t xml:space="preserve"> </w:t>
                  </w:r>
                  <w:r>
                    <w:rPr>
                      <w:rFonts w:hint="default"/>
                    </w:rPr>
                    <w:t>医疗卫生机构和医疗废物 集中处置单位，应当对本单位从事 医疗废物收集、运送、贮存、处置等工作的人员和管理人员，进行相关法律和专业技术、安全防护以及紧急处理等知识的培训。</w:t>
                  </w:r>
                </w:p>
              </w:tc>
              <w:tc>
                <w:tcPr>
                  <w:tcW w:w="2874" w:type="dxa"/>
                  <w:noWrap w:val="0"/>
                  <w:vAlign w:val="center"/>
                </w:tcPr>
                <w:p>
                  <w:pPr>
                    <w:pStyle w:val="30"/>
                    <w:bidi w:val="0"/>
                    <w:rPr>
                      <w:rFonts w:hint="default"/>
                      <w:lang w:val="en-US"/>
                    </w:rPr>
                  </w:pPr>
                  <w:r>
                    <w:rPr>
                      <w:rFonts w:hint="default"/>
                    </w:rPr>
                    <w:t>建设项目实施后，对本院从事医疗废物收集、运送、贮存、处置等工作的人员和管理人员，定期进行相关法律和专业技术、安全防护以及紧急处理等知识的培训</w:t>
                  </w:r>
                </w:p>
              </w:tc>
              <w:tc>
                <w:tcPr>
                  <w:tcW w:w="463" w:type="dxa"/>
                  <w:noWrap w:val="0"/>
                  <w:vAlign w:val="center"/>
                </w:tcPr>
                <w:p>
                  <w:pPr>
                    <w:pStyle w:val="30"/>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432" w:type="dxa"/>
                  <w:noWrap w:val="0"/>
                  <w:vAlign w:val="center"/>
                </w:tcPr>
                <w:p>
                  <w:pPr>
                    <w:pStyle w:val="30"/>
                    <w:bidi w:val="0"/>
                    <w:rPr>
                      <w:rFonts w:hint="default"/>
                    </w:rPr>
                  </w:pPr>
                  <w:r>
                    <w:rPr>
                      <w:rFonts w:hint="default"/>
                    </w:rPr>
                    <w:t>第十条</w:t>
                  </w:r>
                  <w:r>
                    <w:rPr>
                      <w:rFonts w:hint="eastAsia"/>
                      <w:lang w:val="en-US" w:eastAsia="zh-CN"/>
                    </w:rPr>
                    <w:t xml:space="preserve"> </w:t>
                  </w:r>
                  <w:r>
                    <w:rPr>
                      <w:rFonts w:hint="default"/>
                    </w:rPr>
                    <w:t>医疗卫生机构和医疗废物集中处置单位，应当采取有效的职业卫生防护措施，为从事医疗废物收集、运送、贮存、处置等工作的人员和管理人员，配备必要的防护用品，定期进行健康检查；必要时，对有关人员进行免疫接种，防止其受到健康损害。</w:t>
                  </w:r>
                </w:p>
              </w:tc>
              <w:tc>
                <w:tcPr>
                  <w:tcW w:w="2874" w:type="dxa"/>
                  <w:noWrap w:val="0"/>
                  <w:vAlign w:val="center"/>
                </w:tcPr>
                <w:p>
                  <w:pPr>
                    <w:pStyle w:val="30"/>
                    <w:bidi w:val="0"/>
                    <w:rPr>
                      <w:rFonts w:hint="default"/>
                      <w:lang w:val="en-US" w:eastAsia="zh-CN"/>
                    </w:rPr>
                  </w:pPr>
                  <w:r>
                    <w:rPr>
                      <w:rFonts w:hint="default"/>
                    </w:rPr>
                    <w:t>建设项目实施后，为从事医疗废物收集、运送、贮存、处置等工作的人员和管理人员，配备特制成套工作服，并定期进行健康检查</w:t>
                  </w:r>
                </w:p>
              </w:tc>
              <w:tc>
                <w:tcPr>
                  <w:tcW w:w="463" w:type="dxa"/>
                  <w:noWrap w:val="0"/>
                  <w:vAlign w:val="center"/>
                </w:tcPr>
                <w:p>
                  <w:pPr>
                    <w:pStyle w:val="30"/>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432" w:type="dxa"/>
                  <w:noWrap w:val="0"/>
                  <w:vAlign w:val="center"/>
                </w:tcPr>
                <w:p>
                  <w:pPr>
                    <w:pStyle w:val="30"/>
                    <w:bidi w:val="0"/>
                    <w:rPr>
                      <w:rFonts w:hint="default"/>
                    </w:rPr>
                  </w:pPr>
                  <w:r>
                    <w:rPr>
                      <w:rFonts w:hint="default"/>
                    </w:rPr>
                    <w:t>第十一条</w:t>
                  </w:r>
                  <w:r>
                    <w:rPr>
                      <w:rFonts w:hint="eastAsia"/>
                      <w:lang w:val="en-US" w:eastAsia="zh-CN"/>
                    </w:rPr>
                    <w:t xml:space="preserve"> </w:t>
                  </w:r>
                  <w:r>
                    <w:rPr>
                      <w:rFonts w:hint="default"/>
                    </w:rPr>
                    <w:t>医疗卫生机构和医疗废物集中处置单位，应当依照《中华 人民共和国固体废物污染环境防治 法》的规定，执行危险废物转移联单管理制度</w:t>
                  </w:r>
                </w:p>
              </w:tc>
              <w:tc>
                <w:tcPr>
                  <w:tcW w:w="2874" w:type="dxa"/>
                  <w:noWrap w:val="0"/>
                  <w:vAlign w:val="center"/>
                </w:tcPr>
                <w:p>
                  <w:pPr>
                    <w:pStyle w:val="30"/>
                    <w:bidi w:val="0"/>
                    <w:rPr>
                      <w:rFonts w:hint="default"/>
                      <w:lang w:val="en-US" w:eastAsia="zh-CN"/>
                    </w:rPr>
                  </w:pPr>
                  <w:r>
                    <w:rPr>
                      <w:rFonts w:hint="default"/>
                    </w:rPr>
                    <w:t>本项目执行危险废物转移联单管理制度</w:t>
                  </w:r>
                </w:p>
              </w:tc>
              <w:tc>
                <w:tcPr>
                  <w:tcW w:w="463" w:type="dxa"/>
                  <w:noWrap w:val="0"/>
                  <w:vAlign w:val="center"/>
                </w:tcPr>
                <w:p>
                  <w:pPr>
                    <w:pStyle w:val="30"/>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432" w:type="dxa"/>
                  <w:noWrap w:val="0"/>
                  <w:vAlign w:val="center"/>
                </w:tcPr>
                <w:p>
                  <w:pPr>
                    <w:pStyle w:val="30"/>
                    <w:bidi w:val="0"/>
                    <w:rPr>
                      <w:rFonts w:hint="default"/>
                    </w:rPr>
                  </w:pPr>
                  <w:r>
                    <w:rPr>
                      <w:rFonts w:hint="default"/>
                    </w:rPr>
                    <w:t>第十二条</w:t>
                  </w:r>
                  <w:r>
                    <w:rPr>
                      <w:rFonts w:hint="eastAsia"/>
                      <w:lang w:val="en-US" w:eastAsia="zh-CN"/>
                    </w:rPr>
                    <w:t xml:space="preserve"> </w:t>
                  </w:r>
                  <w:r>
                    <w:rPr>
                      <w:rFonts w:hint="default"/>
                    </w:rPr>
                    <w:t>医疗卫生机构和医疗废 物集中处置单位，应当对医疗废物 进行登记，登记内容应当包括医疗 废物的来源、种类、重量或者数量、 交接时间、处置方法、最终去向以及经办人签名等项目。登记资料至少保存3年</w:t>
                  </w:r>
                </w:p>
              </w:tc>
              <w:tc>
                <w:tcPr>
                  <w:tcW w:w="2874" w:type="dxa"/>
                  <w:noWrap w:val="0"/>
                  <w:vAlign w:val="center"/>
                </w:tcPr>
                <w:p>
                  <w:pPr>
                    <w:pStyle w:val="30"/>
                    <w:bidi w:val="0"/>
                    <w:rPr>
                      <w:rFonts w:hint="default"/>
                      <w:lang w:val="en-US" w:eastAsia="zh-CN"/>
                    </w:rPr>
                  </w:pPr>
                  <w:r>
                    <w:rPr>
                      <w:rFonts w:hint="default"/>
                    </w:rPr>
                    <w:t>建设项目实施后，医院实施医疗废物全过程管理登记制度，并系统存档</w:t>
                  </w:r>
                </w:p>
              </w:tc>
              <w:tc>
                <w:tcPr>
                  <w:tcW w:w="463" w:type="dxa"/>
                  <w:noWrap w:val="0"/>
                  <w:vAlign w:val="center"/>
                </w:tcPr>
                <w:p>
                  <w:pPr>
                    <w:pStyle w:val="30"/>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432" w:type="dxa"/>
                  <w:noWrap w:val="0"/>
                  <w:vAlign w:val="center"/>
                </w:tcPr>
                <w:p>
                  <w:pPr>
                    <w:pStyle w:val="30"/>
                    <w:bidi w:val="0"/>
                    <w:rPr>
                      <w:rFonts w:hint="default"/>
                    </w:rPr>
                  </w:pPr>
                  <w:r>
                    <w:rPr>
                      <w:rFonts w:hint="default"/>
                    </w:rPr>
                    <w:t>第十三条</w:t>
                  </w:r>
                  <w:r>
                    <w:rPr>
                      <w:rFonts w:hint="eastAsia"/>
                      <w:lang w:val="en-US" w:eastAsia="zh-CN"/>
                    </w:rPr>
                    <w:t xml:space="preserve"> </w:t>
                  </w:r>
                  <w:r>
                    <w:rPr>
                      <w:rFonts w:hint="default"/>
                    </w:rPr>
                    <w:t>医疗卫生机构和医疗废物集中处置单位，应当采取有效措施，防止医疗废物流失、泄漏、扩散</w:t>
                  </w:r>
                </w:p>
              </w:tc>
              <w:tc>
                <w:tcPr>
                  <w:tcW w:w="2874" w:type="dxa"/>
                  <w:noWrap w:val="0"/>
                  <w:vAlign w:val="center"/>
                </w:tcPr>
                <w:p>
                  <w:pPr>
                    <w:pStyle w:val="30"/>
                    <w:bidi w:val="0"/>
                    <w:rPr>
                      <w:rFonts w:hint="eastAsia"/>
                      <w:lang w:val="en-US" w:eastAsia="zh-CN"/>
                    </w:rPr>
                  </w:pPr>
                  <w:r>
                    <w:rPr>
                      <w:rFonts w:hint="default"/>
                    </w:rPr>
                    <w:t>建设项目实施后，对相关工作人员定期培训，制订操作规章，实行医疗废物 全过程登记制度和医疗 废物管理责任制，防止医疗废物流失、泄漏、扩散</w:t>
                  </w:r>
                  <w:r>
                    <w:rPr>
                      <w:rFonts w:hint="eastAsia"/>
                      <w:lang w:eastAsia="zh-CN"/>
                    </w:rPr>
                    <w:t>。</w:t>
                  </w:r>
                </w:p>
              </w:tc>
              <w:tc>
                <w:tcPr>
                  <w:tcW w:w="463" w:type="dxa"/>
                  <w:noWrap w:val="0"/>
                  <w:vAlign w:val="center"/>
                </w:tcPr>
                <w:p>
                  <w:pPr>
                    <w:pStyle w:val="30"/>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432" w:type="dxa"/>
                  <w:noWrap w:val="0"/>
                  <w:vAlign w:val="center"/>
                </w:tcPr>
                <w:p>
                  <w:pPr>
                    <w:pStyle w:val="30"/>
                    <w:bidi w:val="0"/>
                    <w:rPr>
                      <w:rFonts w:hint="default"/>
                    </w:rPr>
                  </w:pPr>
                  <w:r>
                    <w:rPr>
                      <w:rFonts w:hint="default"/>
                    </w:rPr>
                    <w:t>第十六条</w:t>
                  </w:r>
                  <w:r>
                    <w:rPr>
                      <w:rFonts w:hint="eastAsia"/>
                      <w:lang w:val="en-US" w:eastAsia="zh-CN"/>
                    </w:rPr>
                    <w:t xml:space="preserve"> </w:t>
                  </w:r>
                  <w:r>
                    <w:rPr>
                      <w:rFonts w:hint="default"/>
                    </w:rPr>
                    <w:t>医疗卫生机构应当及时收集本单位产生的医疗废物，并按照类别分置于防渗漏、防锐器穿透的专用包装物或者密闭的容器内。医疗废物专用包装物、容器，应当有明显的警示标识和警示说明</w:t>
                  </w:r>
                </w:p>
              </w:tc>
              <w:tc>
                <w:tcPr>
                  <w:tcW w:w="2874" w:type="dxa"/>
                  <w:noWrap w:val="0"/>
                  <w:vAlign w:val="center"/>
                </w:tcPr>
                <w:p>
                  <w:pPr>
                    <w:pStyle w:val="30"/>
                    <w:bidi w:val="0"/>
                    <w:rPr>
                      <w:rFonts w:hint="eastAsia"/>
                      <w:lang w:val="en-US" w:eastAsia="zh-CN"/>
                    </w:rPr>
                  </w:pPr>
                  <w:r>
                    <w:rPr>
                      <w:rFonts w:hint="default"/>
                    </w:rPr>
                    <w:t>项目医疗废物包装袋和容器严格执行《医疗废物专用装物、容器标准和警示标识规定》</w:t>
                  </w:r>
                  <w:r>
                    <w:rPr>
                      <w:rFonts w:hint="eastAsia"/>
                      <w:lang w:eastAsia="zh-CN"/>
                    </w:rPr>
                    <w:t>。</w:t>
                  </w:r>
                </w:p>
              </w:tc>
              <w:tc>
                <w:tcPr>
                  <w:tcW w:w="463" w:type="dxa"/>
                  <w:noWrap w:val="0"/>
                  <w:vAlign w:val="center"/>
                </w:tcPr>
                <w:p>
                  <w:pPr>
                    <w:pStyle w:val="30"/>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432" w:type="dxa"/>
                  <w:noWrap w:val="0"/>
                  <w:vAlign w:val="center"/>
                </w:tcPr>
                <w:p>
                  <w:pPr>
                    <w:pStyle w:val="30"/>
                    <w:bidi w:val="0"/>
                    <w:rPr>
                      <w:rFonts w:hint="default"/>
                    </w:rPr>
                  </w:pPr>
                  <w:r>
                    <w:rPr>
                      <w:rFonts w:hint="default"/>
                    </w:rPr>
                    <w:t>第十七条</w:t>
                  </w:r>
                  <w:r>
                    <w:rPr>
                      <w:rFonts w:hint="eastAsia"/>
                      <w:lang w:val="en-US" w:eastAsia="zh-CN"/>
                    </w:rPr>
                    <w:t xml:space="preserve"> </w:t>
                  </w:r>
                  <w:r>
                    <w:rPr>
                      <w:rFonts w:hint="default"/>
                    </w:rPr>
                    <w:t>医疗卫生机构应当建立医疗废物的暂时贮存设施、设备，不得露天存放医疗废物；医疗废物暂时贮存的时间不得超过2天。医疗废物的暂时贮存设施、设备，应当远离医疗区、食品加工区和人员活动区以及生活垃圾存放场所，并设置明显的警示标识和防渗漏、防鼠、防蚊蝇、防蟑螂、防盗等安全措施。医疗废物的暂时贮存设施、设备应当定期消毒和清洁</w:t>
                  </w:r>
                </w:p>
              </w:tc>
              <w:tc>
                <w:tcPr>
                  <w:tcW w:w="2874" w:type="dxa"/>
                  <w:noWrap w:val="0"/>
                  <w:vAlign w:val="center"/>
                </w:tcPr>
                <w:p>
                  <w:pPr>
                    <w:pStyle w:val="30"/>
                    <w:bidi w:val="0"/>
                    <w:rPr>
                      <w:rFonts w:hint="eastAsia"/>
                      <w:lang w:val="en-US" w:eastAsia="zh-CN"/>
                    </w:rPr>
                  </w:pPr>
                  <w:r>
                    <w:rPr>
                      <w:rFonts w:hint="default"/>
                    </w:rPr>
                    <w:t>本项目医疗废物</w:t>
                  </w:r>
                  <w:r>
                    <w:rPr>
                      <w:rFonts w:hint="eastAsia"/>
                      <w:lang w:val="en-US" w:eastAsia="zh-CN"/>
                    </w:rPr>
                    <w:t>暂存间</w:t>
                  </w:r>
                  <w:r>
                    <w:rPr>
                      <w:rFonts w:hint="default"/>
                    </w:rPr>
                    <w:t>与医疗区和办公区等区域严格分</w:t>
                  </w:r>
                  <w:r>
                    <w:rPr>
                      <w:rFonts w:hint="eastAsia"/>
                      <w:lang w:val="en-US" w:eastAsia="zh-CN"/>
                    </w:rPr>
                    <w:t>离</w:t>
                  </w:r>
                  <w:r>
                    <w:rPr>
                      <w:rFonts w:hint="default"/>
                    </w:rPr>
                    <w:t>。医疗废物日产日清，每天清运后对</w:t>
                  </w:r>
                  <w:r>
                    <w:rPr>
                      <w:rFonts w:hint="eastAsia"/>
                      <w:lang w:val="en-US" w:eastAsia="zh-CN"/>
                    </w:rPr>
                    <w:t>暂存间</w:t>
                  </w:r>
                  <w:r>
                    <w:rPr>
                      <w:rFonts w:hint="default"/>
                    </w:rPr>
                    <w:t>进行消毒</w:t>
                  </w:r>
                  <w:r>
                    <w:rPr>
                      <w:rFonts w:hint="eastAsia"/>
                      <w:lang w:eastAsia="zh-CN"/>
                    </w:rPr>
                    <w:t>。</w:t>
                  </w:r>
                </w:p>
              </w:tc>
              <w:tc>
                <w:tcPr>
                  <w:tcW w:w="463" w:type="dxa"/>
                  <w:noWrap w:val="0"/>
                  <w:vAlign w:val="center"/>
                </w:tcPr>
                <w:p>
                  <w:pPr>
                    <w:pStyle w:val="30"/>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432" w:type="dxa"/>
                  <w:noWrap w:val="0"/>
                  <w:vAlign w:val="center"/>
                </w:tcPr>
                <w:p>
                  <w:pPr>
                    <w:pStyle w:val="30"/>
                    <w:bidi w:val="0"/>
                    <w:rPr>
                      <w:rFonts w:hint="default"/>
                    </w:rPr>
                  </w:pPr>
                  <w:r>
                    <w:rPr>
                      <w:rFonts w:hint="default"/>
                    </w:rPr>
                    <w:t>第十八条</w:t>
                  </w:r>
                  <w:r>
                    <w:rPr>
                      <w:rFonts w:hint="eastAsia"/>
                      <w:lang w:val="en-US" w:eastAsia="zh-CN"/>
                    </w:rPr>
                    <w:t xml:space="preserve"> </w:t>
                  </w:r>
                  <w:r>
                    <w:rPr>
                      <w:rFonts w:hint="default"/>
                    </w:rPr>
                    <w:t>医疗卫生机构应当使用防渗漏、防遗撒的专用运送工具</w:t>
                  </w:r>
                  <w:r>
                    <w:rPr>
                      <w:rFonts w:hint="eastAsia"/>
                      <w:lang w:eastAsia="zh-CN"/>
                    </w:rPr>
                    <w:t>，</w:t>
                  </w:r>
                  <w:r>
                    <w:rPr>
                      <w:rFonts w:hint="default"/>
                    </w:rPr>
                    <w:t>按照本单位确定的内部医疗废物运送时间、路线，将医疗废物收集、运送至暂时贮存地点。运送工具使用后应当在医疗卫生机构内指定的地点及时消毒和清洁</w:t>
                  </w:r>
                </w:p>
              </w:tc>
              <w:tc>
                <w:tcPr>
                  <w:tcW w:w="2874" w:type="dxa"/>
                  <w:noWrap w:val="0"/>
                  <w:vAlign w:val="center"/>
                </w:tcPr>
                <w:p>
                  <w:pPr>
                    <w:pStyle w:val="30"/>
                    <w:bidi w:val="0"/>
                    <w:rPr>
                      <w:rFonts w:hint="eastAsia"/>
                      <w:lang w:val="en-US" w:eastAsia="zh-CN"/>
                    </w:rPr>
                  </w:pPr>
                  <w:r>
                    <w:rPr>
                      <w:rFonts w:hint="default"/>
                    </w:rPr>
                    <w:t>本项目医疗废物内部运送工具使用周转箱（桶），严格执行《医疗废物专用包装物、容器标准和警示标识规定》，按照制订的操作规章，于指定时间、指定污物路线，运送到医疗废物处置房，并每天下班前定时消毒和清洁</w:t>
                  </w:r>
                  <w:r>
                    <w:rPr>
                      <w:rFonts w:hint="eastAsia"/>
                      <w:lang w:eastAsia="zh-CN"/>
                    </w:rPr>
                    <w:t>。</w:t>
                  </w:r>
                </w:p>
              </w:tc>
              <w:tc>
                <w:tcPr>
                  <w:tcW w:w="463" w:type="dxa"/>
                  <w:noWrap w:val="0"/>
                  <w:vAlign w:val="center"/>
                </w:tcPr>
                <w:p>
                  <w:pPr>
                    <w:pStyle w:val="30"/>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432" w:type="dxa"/>
                  <w:noWrap w:val="0"/>
                  <w:vAlign w:val="center"/>
                </w:tcPr>
                <w:p>
                  <w:pPr>
                    <w:pStyle w:val="30"/>
                    <w:bidi w:val="0"/>
                    <w:rPr>
                      <w:rFonts w:hint="default"/>
                    </w:rPr>
                  </w:pPr>
                  <w:r>
                    <w:rPr>
                      <w:rFonts w:hint="default"/>
                    </w:rPr>
                    <w:t>第十九条</w:t>
                  </w:r>
                  <w:r>
                    <w:rPr>
                      <w:rFonts w:hint="eastAsia"/>
                      <w:lang w:val="en-US" w:eastAsia="zh-CN"/>
                    </w:rPr>
                    <w:t xml:space="preserve"> </w:t>
                  </w:r>
                  <w:r>
                    <w:rPr>
                      <w:rFonts w:hint="default"/>
                    </w:rPr>
                    <w:t>医疗卫生机构应当根据就近集中处置的原则，及时将医疗废物交由医疗废物集中处置单位处置。医疗废物中病原体的培养基、标本和菌种、毒种保存液等高危险废物，在交医疗废物集中处置单位处置前应当就地消毒</w:t>
                  </w:r>
                </w:p>
              </w:tc>
              <w:tc>
                <w:tcPr>
                  <w:tcW w:w="2874" w:type="dxa"/>
                  <w:noWrap w:val="0"/>
                  <w:vAlign w:val="center"/>
                </w:tcPr>
                <w:p>
                  <w:pPr>
                    <w:pStyle w:val="30"/>
                    <w:bidi w:val="0"/>
                    <w:rPr>
                      <w:rFonts w:hint="default"/>
                      <w:lang w:val="en-US" w:eastAsia="zh-CN"/>
                    </w:rPr>
                  </w:pPr>
                  <w:r>
                    <w:rPr>
                      <w:rFonts w:hint="default"/>
                    </w:rPr>
                    <w:t>本项目医疗废物委托有资质的单位处理</w:t>
                  </w:r>
                  <w:r>
                    <w:rPr>
                      <w:rFonts w:hint="eastAsia"/>
                      <w:lang w:eastAsia="zh-CN"/>
                    </w:rPr>
                    <w:t>；</w:t>
                  </w:r>
                  <w:r>
                    <w:rPr>
                      <w:rFonts w:hint="default"/>
                    </w:rPr>
                    <w:t>由专职人员使用</w:t>
                  </w:r>
                  <w:r>
                    <w:rPr>
                      <w:rFonts w:hint="eastAsia"/>
                      <w:lang w:val="en-US" w:eastAsia="zh-CN"/>
                    </w:rPr>
                    <w:t>云氧消毒粉</w:t>
                  </w:r>
                  <w:r>
                    <w:rPr>
                      <w:rFonts w:hint="default"/>
                    </w:rPr>
                    <w:t>进行消毒，后交由</w:t>
                  </w:r>
                  <w:r>
                    <w:rPr>
                      <w:rFonts w:hint="eastAsia"/>
                      <w:lang w:val="en-US" w:eastAsia="zh-CN"/>
                    </w:rPr>
                    <w:t>有资质的单位</w:t>
                  </w:r>
                  <w:r>
                    <w:rPr>
                      <w:rFonts w:hint="default"/>
                    </w:rPr>
                    <w:t>进行处置</w:t>
                  </w:r>
                  <w:r>
                    <w:rPr>
                      <w:rFonts w:hint="eastAsia"/>
                      <w:lang w:val="en-US" w:eastAsia="zh-CN"/>
                    </w:rPr>
                    <w:t>。</w:t>
                  </w:r>
                </w:p>
              </w:tc>
              <w:tc>
                <w:tcPr>
                  <w:tcW w:w="463" w:type="dxa"/>
                  <w:noWrap w:val="0"/>
                  <w:vAlign w:val="center"/>
                </w:tcPr>
                <w:p>
                  <w:pPr>
                    <w:pStyle w:val="30"/>
                    <w:bidi w:val="0"/>
                    <w:rPr>
                      <w:rFonts w:hint="default"/>
                    </w:rPr>
                  </w:pPr>
                  <w:r>
                    <w:rPr>
                      <w:rFonts w:hint="default"/>
                    </w:rPr>
                    <w:t>符合</w:t>
                  </w:r>
                </w:p>
              </w:tc>
            </w:tr>
          </w:tbl>
          <w:p>
            <w:pPr>
              <w:bidi w:val="0"/>
              <w:rPr>
                <w:rFonts w:hint="default"/>
                <w:b/>
                <w:bCs/>
                <w:lang w:val="en-US" w:eastAsia="zh-CN"/>
              </w:rPr>
            </w:pPr>
            <w:r>
              <w:rPr>
                <w:rFonts w:hint="eastAsia"/>
                <w:b/>
                <w:bCs/>
                <w:lang w:val="en-US" w:eastAsia="zh-CN"/>
              </w:rPr>
              <w:t>4</w:t>
            </w:r>
            <w:r>
              <w:rPr>
                <w:rFonts w:hint="default"/>
                <w:b/>
                <w:bCs/>
                <w:lang w:val="zh-CN" w:eastAsia="zh-CN"/>
              </w:rPr>
              <w:t>、</w:t>
            </w:r>
            <w:r>
              <w:rPr>
                <w:rFonts w:hint="default"/>
                <w:b/>
                <w:bCs/>
              </w:rPr>
              <w:t>与《医院污水处理工程技术规范》</w:t>
            </w:r>
            <w:r>
              <w:rPr>
                <w:rFonts w:hint="default"/>
                <w:b/>
                <w:bCs/>
                <w:lang w:val="en-US" w:eastAsia="en-US"/>
              </w:rPr>
              <w:t>（HJ2029-2013）</w:t>
            </w:r>
            <w:r>
              <w:rPr>
                <w:rFonts w:hint="default"/>
                <w:b/>
                <w:bCs/>
              </w:rPr>
              <w:t>的符合性</w:t>
            </w:r>
            <w:r>
              <w:rPr>
                <w:rFonts w:hint="default"/>
                <w:b/>
                <w:bCs/>
                <w:lang w:val="en-US" w:eastAsia="zh-CN"/>
              </w:rPr>
              <w:t>分析</w:t>
            </w:r>
          </w:p>
          <w:p>
            <w:pPr>
              <w:pStyle w:val="29"/>
              <w:numPr>
                <w:ilvl w:val="0"/>
                <w:numId w:val="2"/>
              </w:numPr>
              <w:bidi w:val="0"/>
              <w:rPr>
                <w:rFonts w:hint="default"/>
                <w:lang w:val="en-US" w:eastAsia="zh-CN"/>
              </w:rPr>
            </w:pPr>
            <w:r>
              <w:rPr>
                <w:rFonts w:hint="default"/>
                <w:lang w:val="en-US" w:eastAsia="zh-CN"/>
              </w:rPr>
              <w:t>项目与《医院污水处理工程技术规范》符合性分析</w:t>
            </w:r>
          </w:p>
          <w:tbl>
            <w:tblPr>
              <w:tblStyle w:val="28"/>
              <w:tblW w:w="67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2"/>
              <w:gridCol w:w="2971"/>
              <w:gridCol w:w="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92" w:type="dxa"/>
                  <w:noWrap w:val="0"/>
                  <w:vAlign w:val="center"/>
                </w:tcPr>
                <w:p>
                  <w:pPr>
                    <w:pStyle w:val="30"/>
                    <w:bidi w:val="0"/>
                    <w:rPr>
                      <w:rFonts w:hint="default"/>
                    </w:rPr>
                  </w:pPr>
                  <w:r>
                    <w:rPr>
                      <w:rFonts w:hint="default"/>
                    </w:rPr>
                    <w:t>《医院污水处理工程技术规范》</w:t>
                  </w:r>
                </w:p>
              </w:tc>
              <w:tc>
                <w:tcPr>
                  <w:tcW w:w="2971" w:type="dxa"/>
                  <w:noWrap w:val="0"/>
                  <w:vAlign w:val="center"/>
                </w:tcPr>
                <w:p>
                  <w:pPr>
                    <w:pStyle w:val="30"/>
                    <w:bidi w:val="0"/>
                    <w:rPr>
                      <w:rFonts w:hint="default"/>
                      <w:lang w:val="en-US" w:eastAsia="zh-CN"/>
                    </w:rPr>
                  </w:pPr>
                  <w:r>
                    <w:rPr>
                      <w:rFonts w:hint="default"/>
                    </w:rPr>
                    <w:t>本项目</w:t>
                  </w:r>
                  <w:r>
                    <w:rPr>
                      <w:rFonts w:hint="default"/>
                      <w:lang w:val="en-US" w:eastAsia="zh-CN"/>
                    </w:rPr>
                    <w:t>情况</w:t>
                  </w:r>
                </w:p>
              </w:tc>
              <w:tc>
                <w:tcPr>
                  <w:tcW w:w="606" w:type="dxa"/>
                  <w:noWrap w:val="0"/>
                  <w:vAlign w:val="center"/>
                </w:tcPr>
                <w:p>
                  <w:pPr>
                    <w:pStyle w:val="30"/>
                    <w:bidi w:val="0"/>
                    <w:rPr>
                      <w:rFonts w:hint="default"/>
                    </w:rPr>
                  </w:pPr>
                  <w:r>
                    <w:rPr>
                      <w:rFonts w:hint="default"/>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92" w:type="dxa"/>
                  <w:noWrap w:val="0"/>
                  <w:vAlign w:val="center"/>
                </w:tcPr>
                <w:p>
                  <w:pPr>
                    <w:pStyle w:val="30"/>
                    <w:bidi w:val="0"/>
                    <w:rPr>
                      <w:rFonts w:hint="default"/>
                    </w:rPr>
                  </w:pPr>
                  <w:r>
                    <w:rPr>
                      <w:rFonts w:hint="default"/>
                    </w:rPr>
                    <w:t>第</w:t>
                  </w:r>
                  <w:r>
                    <w:rPr>
                      <w:rFonts w:hint="default"/>
                      <w:lang w:val="en-US" w:eastAsia="en-US"/>
                    </w:rPr>
                    <w:t>4.1.2</w:t>
                  </w:r>
                  <w:r>
                    <w:rPr>
                      <w:rFonts w:hint="default"/>
                    </w:rPr>
                    <w:t>条：新（改、扩）建医院，在设计医院污水处理系统时应考虑将医院病区、非病区、传染病房、非传染病房污水分别收集</w:t>
                  </w:r>
                </w:p>
              </w:tc>
              <w:tc>
                <w:tcPr>
                  <w:tcW w:w="2971" w:type="dxa"/>
                  <w:noWrap w:val="0"/>
                  <w:vAlign w:val="center"/>
                </w:tcPr>
                <w:p>
                  <w:pPr>
                    <w:pStyle w:val="30"/>
                    <w:bidi w:val="0"/>
                    <w:rPr>
                      <w:rFonts w:hint="default"/>
                      <w:lang w:val="en-US" w:eastAsia="zh-CN"/>
                    </w:rPr>
                  </w:pPr>
                  <w:r>
                    <w:rPr>
                      <w:rFonts w:hint="default"/>
                    </w:rPr>
                    <w:t>本项目污水分类收集，对医疗废水</w:t>
                  </w:r>
                  <w:r>
                    <w:rPr>
                      <w:rFonts w:hint="default"/>
                      <w:lang w:eastAsia="zh-CN"/>
                    </w:rPr>
                    <w:t>、</w:t>
                  </w:r>
                  <w:r>
                    <w:rPr>
                      <w:rFonts w:hint="default"/>
                    </w:rPr>
                    <w:t>检验</w:t>
                  </w:r>
                  <w:r>
                    <w:rPr>
                      <w:rFonts w:hint="eastAsia"/>
                      <w:lang w:val="en-US" w:eastAsia="zh-CN"/>
                    </w:rPr>
                    <w:t>室</w:t>
                  </w:r>
                  <w:r>
                    <w:rPr>
                      <w:rFonts w:hint="default"/>
                    </w:rPr>
                    <w:t>废水分类收集；检验</w:t>
                  </w:r>
                  <w:r>
                    <w:rPr>
                      <w:rFonts w:hint="eastAsia"/>
                      <w:lang w:val="en-US" w:eastAsia="zh-CN"/>
                    </w:rPr>
                    <w:t>室</w:t>
                  </w:r>
                  <w:r>
                    <w:rPr>
                      <w:rFonts w:hint="default"/>
                    </w:rPr>
                    <w:t>废水</w:t>
                  </w:r>
                  <w:r>
                    <w:rPr>
                      <w:rFonts w:hint="eastAsia"/>
                      <w:lang w:val="en-US" w:eastAsia="zh-CN"/>
                    </w:rPr>
                    <w:t>进行中和处理后，汇同其他</w:t>
                  </w:r>
                  <w:r>
                    <w:rPr>
                      <w:rFonts w:hint="default"/>
                    </w:rPr>
                    <w:t>医疗废水进入到厂区的污水处理站进行处理</w:t>
                  </w:r>
                  <w:r>
                    <w:rPr>
                      <w:rFonts w:hint="eastAsia"/>
                      <w:lang w:val="en-US" w:eastAsia="zh-CN"/>
                    </w:rPr>
                    <w:t>后排入向家亭污水处理厂。</w:t>
                  </w:r>
                </w:p>
              </w:tc>
              <w:tc>
                <w:tcPr>
                  <w:tcW w:w="606" w:type="dxa"/>
                  <w:noWrap w:val="0"/>
                  <w:vAlign w:val="center"/>
                </w:tcPr>
                <w:p>
                  <w:pPr>
                    <w:pStyle w:val="30"/>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92" w:type="dxa"/>
                  <w:noWrap w:val="0"/>
                  <w:vAlign w:val="center"/>
                </w:tcPr>
                <w:p>
                  <w:pPr>
                    <w:pStyle w:val="30"/>
                    <w:bidi w:val="0"/>
                    <w:rPr>
                      <w:rFonts w:hint="default"/>
                    </w:rPr>
                  </w:pPr>
                  <w:r>
                    <w:rPr>
                      <w:rFonts w:hint="default"/>
                    </w:rPr>
                    <w:t>第</w:t>
                  </w:r>
                  <w:r>
                    <w:rPr>
                      <w:rFonts w:hint="default"/>
                      <w:lang w:val="en-US" w:eastAsia="en-US"/>
                    </w:rPr>
                    <w:t>5.1.6</w:t>
                  </w:r>
                  <w:r>
                    <w:rPr>
                      <w:rFonts w:hint="default"/>
                    </w:rPr>
                    <w:t>条：医院污水处理构筑物应采取防腐蚀、防渗漏、防冻等技术措施， 各种构筑物宜加盖密闭，并设通气装置</w:t>
                  </w:r>
                </w:p>
              </w:tc>
              <w:tc>
                <w:tcPr>
                  <w:tcW w:w="2971" w:type="dxa"/>
                  <w:noWrap w:val="0"/>
                  <w:vAlign w:val="center"/>
                </w:tcPr>
                <w:p>
                  <w:pPr>
                    <w:pStyle w:val="30"/>
                    <w:bidi w:val="0"/>
                    <w:rPr>
                      <w:rFonts w:hint="eastAsia"/>
                      <w:lang w:eastAsia="zh-CN"/>
                    </w:rPr>
                  </w:pPr>
                  <w:r>
                    <w:rPr>
                      <w:rFonts w:hint="default"/>
                    </w:rPr>
                    <w:t>本项目污水处理站采取防腐蚀、防渗漏、防冻等技术措施，污水处理站密闭，并设通气装置</w:t>
                  </w:r>
                </w:p>
              </w:tc>
              <w:tc>
                <w:tcPr>
                  <w:tcW w:w="606" w:type="dxa"/>
                  <w:noWrap w:val="0"/>
                  <w:vAlign w:val="center"/>
                </w:tcPr>
                <w:p>
                  <w:pPr>
                    <w:pStyle w:val="30"/>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92" w:type="dxa"/>
                  <w:noWrap w:val="0"/>
                  <w:vAlign w:val="center"/>
                </w:tcPr>
                <w:p>
                  <w:pPr>
                    <w:pStyle w:val="30"/>
                    <w:bidi w:val="0"/>
                    <w:rPr>
                      <w:rFonts w:hint="default"/>
                    </w:rPr>
                  </w:pPr>
                  <w:r>
                    <w:rPr>
                      <w:rFonts w:hint="default"/>
                    </w:rPr>
                    <w:t>第</w:t>
                  </w:r>
                  <w:r>
                    <w:rPr>
                      <w:rFonts w:hint="default"/>
                      <w:lang w:val="en-US" w:eastAsia="en-US"/>
                    </w:rPr>
                    <w:t>5.1.8</w:t>
                  </w:r>
                  <w:r>
                    <w:rPr>
                      <w:rFonts w:hint="default"/>
                    </w:rPr>
                    <w:t>条：医院污水处理工程污染物排放应满足</w:t>
                  </w:r>
                  <w:r>
                    <w:rPr>
                      <w:rFonts w:hint="default"/>
                      <w:lang w:val="en-US" w:eastAsia="en-US"/>
                    </w:rPr>
                    <w:t>GB18466</w:t>
                  </w:r>
                  <w:r>
                    <w:rPr>
                      <w:rFonts w:hint="default"/>
                    </w:rPr>
                    <w:t>和地方污染物排放标准的有关要求</w:t>
                  </w:r>
                </w:p>
              </w:tc>
              <w:tc>
                <w:tcPr>
                  <w:tcW w:w="2971" w:type="dxa"/>
                  <w:noWrap w:val="0"/>
                  <w:vAlign w:val="center"/>
                </w:tcPr>
                <w:p>
                  <w:pPr>
                    <w:pStyle w:val="30"/>
                    <w:bidi w:val="0"/>
                    <w:rPr>
                      <w:rFonts w:hint="default"/>
                      <w:lang w:val="en-US" w:eastAsia="zh-CN"/>
                    </w:rPr>
                  </w:pPr>
                  <w:r>
                    <w:rPr>
                      <w:rFonts w:hint="default"/>
                    </w:rPr>
                    <w:t>本项目污水处理达到 《医疗机构水污染物排放标准》</w:t>
                  </w:r>
                  <w:r>
                    <w:rPr>
                      <w:rFonts w:hint="default"/>
                      <w:lang w:val="en-US" w:eastAsia="en-US"/>
                    </w:rPr>
                    <w:t>(GB18466-2005)</w:t>
                  </w:r>
                  <w:r>
                    <w:rPr>
                      <w:rFonts w:hint="default"/>
                    </w:rPr>
                    <w:t>中表2预处理标准</w:t>
                  </w:r>
                  <w:r>
                    <w:rPr>
                      <w:rFonts w:hint="default"/>
                      <w:lang w:val="en-US" w:eastAsia="zh-CN"/>
                    </w:rPr>
                    <w:t>和</w:t>
                  </w:r>
                  <w:r>
                    <w:rPr>
                      <w:rFonts w:hint="eastAsia"/>
                      <w:lang w:val="en-US" w:eastAsia="zh-CN"/>
                    </w:rPr>
                    <w:t>永州市向家亭</w:t>
                  </w:r>
                  <w:r>
                    <w:rPr>
                      <w:rFonts w:hint="default"/>
                      <w:lang w:val="en-US" w:eastAsia="zh-CN"/>
                    </w:rPr>
                    <w:t>污水处理厂接管标准</w:t>
                  </w:r>
                </w:p>
              </w:tc>
              <w:tc>
                <w:tcPr>
                  <w:tcW w:w="606" w:type="dxa"/>
                  <w:noWrap w:val="0"/>
                  <w:vAlign w:val="center"/>
                </w:tcPr>
                <w:p>
                  <w:pPr>
                    <w:pStyle w:val="30"/>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92" w:type="dxa"/>
                  <w:noWrap w:val="0"/>
                  <w:vAlign w:val="center"/>
                </w:tcPr>
                <w:p>
                  <w:pPr>
                    <w:pStyle w:val="30"/>
                    <w:bidi w:val="0"/>
                    <w:rPr>
                      <w:rFonts w:hint="default"/>
                    </w:rPr>
                  </w:pPr>
                  <w:r>
                    <w:rPr>
                      <w:rFonts w:hint="default"/>
                    </w:rPr>
                    <w:t>第</w:t>
                  </w:r>
                  <w:r>
                    <w:rPr>
                      <w:rFonts w:hint="default"/>
                      <w:lang w:val="en-US" w:eastAsia="en-US"/>
                    </w:rPr>
                    <w:t>6.1.3</w:t>
                  </w:r>
                  <w:r>
                    <w:rPr>
                      <w:rFonts w:hint="default"/>
                    </w:rPr>
                    <w:t>条：非传染病医院污水，…… 若处理出水排入终端已建有正常运行的二级污水处理厂的城市污水管网时，可采用一级强化处理+消毒工艺。</w:t>
                  </w:r>
                </w:p>
              </w:tc>
              <w:tc>
                <w:tcPr>
                  <w:tcW w:w="2971" w:type="dxa"/>
                  <w:noWrap w:val="0"/>
                  <w:vAlign w:val="center"/>
                </w:tcPr>
                <w:p>
                  <w:pPr>
                    <w:pStyle w:val="30"/>
                    <w:bidi w:val="0"/>
                    <w:rPr>
                      <w:rFonts w:hint="default"/>
                    </w:rPr>
                  </w:pPr>
                  <w:r>
                    <w:rPr>
                      <w:rFonts w:hint="default"/>
                    </w:rPr>
                    <w:t>本项目污水经处理后排入到</w:t>
                  </w:r>
                  <w:r>
                    <w:rPr>
                      <w:rFonts w:hint="eastAsia"/>
                      <w:lang w:val="en-US" w:eastAsia="zh-CN"/>
                    </w:rPr>
                    <w:t>向家亭</w:t>
                  </w:r>
                  <w:r>
                    <w:rPr>
                      <w:rFonts w:hint="default"/>
                      <w:lang w:val="en-US" w:eastAsia="zh-CN"/>
                    </w:rPr>
                    <w:t>污水处理厂</w:t>
                  </w:r>
                  <w:r>
                    <w:rPr>
                      <w:rFonts w:hint="default"/>
                    </w:rPr>
                    <w:t>中处理，污水处理站采用</w:t>
                  </w:r>
                  <w:r>
                    <w:rPr>
                      <w:rFonts w:hint="eastAsia"/>
                      <w:lang w:val="zh-CN" w:eastAsia="zh-CN"/>
                    </w:rPr>
                    <w:t>“</w:t>
                  </w:r>
                  <w:r>
                    <w:rPr>
                      <w:rFonts w:hint="eastAsia"/>
                      <w:lang w:eastAsia="zh-CN"/>
                    </w:rPr>
                    <w:t>格栅+调节池+AAO+二沉池</w:t>
                  </w:r>
                  <w:r>
                    <w:rPr>
                      <w:rFonts w:hint="eastAsia"/>
                      <w:lang w:val="en-US" w:eastAsia="zh-CN"/>
                    </w:rPr>
                    <w:t>+消毒</w:t>
                  </w:r>
                  <w:r>
                    <w:rPr>
                      <w:rFonts w:hint="eastAsia"/>
                      <w:lang w:val="zh-CN" w:eastAsia="zh-CN"/>
                    </w:rPr>
                    <w:t>”</w:t>
                  </w:r>
                  <w:r>
                    <w:rPr>
                      <w:rFonts w:hint="default"/>
                      <w:lang w:val="zh-CN" w:eastAsia="zh-CN"/>
                    </w:rPr>
                    <w:t>的处理工艺</w:t>
                  </w:r>
                </w:p>
              </w:tc>
              <w:tc>
                <w:tcPr>
                  <w:tcW w:w="606" w:type="dxa"/>
                  <w:noWrap w:val="0"/>
                  <w:vAlign w:val="center"/>
                </w:tcPr>
                <w:p>
                  <w:pPr>
                    <w:pStyle w:val="30"/>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92" w:type="dxa"/>
                  <w:noWrap w:val="0"/>
                  <w:vAlign w:val="center"/>
                </w:tcPr>
                <w:p>
                  <w:pPr>
                    <w:pStyle w:val="30"/>
                    <w:bidi w:val="0"/>
                    <w:rPr>
                      <w:rFonts w:hint="default"/>
                    </w:rPr>
                  </w:pPr>
                  <w:r>
                    <w:rPr>
                      <w:rFonts w:hint="default"/>
                    </w:rPr>
                    <w:t>第</w:t>
                  </w:r>
                  <w:r>
                    <w:rPr>
                      <w:rFonts w:hint="default"/>
                      <w:lang w:val="en-US" w:eastAsia="en-US"/>
                    </w:rPr>
                    <w:t>12.4.1</w:t>
                  </w:r>
                  <w:r>
                    <w:rPr>
                      <w:rFonts w:hint="default"/>
                    </w:rPr>
                    <w:t>条：医院污水处理工程应设应急事故池，以贮存处理系统事故或其它突发事件时医</w:t>
                  </w:r>
                  <w:r>
                    <w:rPr>
                      <w:rFonts w:hint="default"/>
                      <w:lang w:val="en-US" w:eastAsia="zh-CN"/>
                    </w:rPr>
                    <w:t>疗废</w:t>
                  </w:r>
                  <w:r>
                    <w:rPr>
                      <w:rFonts w:hint="default"/>
                    </w:rPr>
                    <w:t>水。……非传染病医院污水处理工程应急事故池容积不小于日排放量的30%</w:t>
                  </w:r>
                </w:p>
              </w:tc>
              <w:tc>
                <w:tcPr>
                  <w:tcW w:w="2971" w:type="dxa"/>
                  <w:noWrap w:val="0"/>
                  <w:vAlign w:val="center"/>
                </w:tcPr>
                <w:p>
                  <w:pPr>
                    <w:pStyle w:val="30"/>
                    <w:bidi w:val="0"/>
                    <w:rPr>
                      <w:rFonts w:hint="default"/>
                    </w:rPr>
                  </w:pPr>
                  <w:r>
                    <w:rPr>
                      <w:rFonts w:hint="default"/>
                    </w:rPr>
                    <w:t>本项目属于非传染病医院，日排水量约为</w:t>
                  </w:r>
                  <w:r>
                    <w:rPr>
                      <w:rFonts w:hint="eastAsia"/>
                      <w:lang w:val="en-US" w:eastAsia="zh-CN"/>
                    </w:rPr>
                    <w:t>140.6</w:t>
                  </w:r>
                  <w:r>
                    <w:rPr>
                      <w:rFonts w:hint="default"/>
                      <w:lang w:val="en-US" w:eastAsia="en-US"/>
                    </w:rPr>
                    <w:t>t</w:t>
                  </w:r>
                  <w:r>
                    <w:rPr>
                      <w:rFonts w:hint="eastAsia"/>
                      <w:lang w:val="en-US" w:eastAsia="zh-CN"/>
                    </w:rPr>
                    <w:t>/</w:t>
                  </w:r>
                  <w:r>
                    <w:rPr>
                      <w:rFonts w:hint="default"/>
                      <w:lang w:val="en-US" w:eastAsia="zh-CN"/>
                    </w:rPr>
                    <w:t>d</w:t>
                  </w:r>
                  <w:r>
                    <w:rPr>
                      <w:rFonts w:hint="default"/>
                      <w:lang w:val="en-US" w:eastAsia="en-US"/>
                    </w:rPr>
                    <w:t>，</w:t>
                  </w:r>
                  <w:r>
                    <w:rPr>
                      <w:rFonts w:hint="default"/>
                    </w:rPr>
                    <w:t>本项目设置</w:t>
                  </w:r>
                  <w:r>
                    <w:rPr>
                      <w:rFonts w:hint="eastAsia"/>
                      <w:lang w:val="en-US" w:eastAsia="zh-CN"/>
                    </w:rPr>
                    <w:t>50</w:t>
                  </w:r>
                  <w:r>
                    <w:rPr>
                      <w:rFonts w:hint="default"/>
                      <w:lang w:val="en-US" w:eastAsia="zh-CN"/>
                    </w:rPr>
                    <w:t>m</w:t>
                  </w:r>
                  <w:r>
                    <w:rPr>
                      <w:rFonts w:hint="default"/>
                      <w:lang w:val="en-US" w:eastAsia="en-US"/>
                    </w:rPr>
                    <w:t>³</w:t>
                  </w:r>
                  <w:r>
                    <w:rPr>
                      <w:rFonts w:hint="default"/>
                    </w:rPr>
                    <w:t>的应急事故池，用于贮存事故和突发事件时排放的污水</w:t>
                  </w:r>
                </w:p>
              </w:tc>
              <w:tc>
                <w:tcPr>
                  <w:tcW w:w="606" w:type="dxa"/>
                  <w:noWrap w:val="0"/>
                  <w:vAlign w:val="center"/>
                </w:tcPr>
                <w:p>
                  <w:pPr>
                    <w:pStyle w:val="30"/>
                    <w:bidi w:val="0"/>
                    <w:rPr>
                      <w:rFonts w:hint="default"/>
                    </w:rPr>
                  </w:pPr>
                  <w:r>
                    <w:rPr>
                      <w:rFonts w:hint="default"/>
                    </w:rPr>
                    <w:t>符合</w:t>
                  </w:r>
                </w:p>
              </w:tc>
            </w:tr>
          </w:tbl>
          <w:p>
            <w:pPr>
              <w:bidi w:val="0"/>
              <w:rPr>
                <w:rFonts w:hint="eastAsia"/>
                <w:b/>
                <w:bCs/>
              </w:rPr>
            </w:pPr>
            <w:r>
              <w:rPr>
                <w:rFonts w:hint="eastAsia"/>
                <w:b/>
                <w:bCs/>
                <w:lang w:val="en-US" w:eastAsia="zh-CN"/>
              </w:rPr>
              <w:t>5</w:t>
            </w:r>
            <w:r>
              <w:rPr>
                <w:rFonts w:hint="eastAsia"/>
                <w:b/>
                <w:bCs/>
              </w:rPr>
              <w:t>、与《永州市“十四五”生态环境保护规划》的符合性分析</w:t>
            </w:r>
          </w:p>
          <w:p>
            <w:pPr>
              <w:pStyle w:val="12"/>
              <w:bidi w:val="0"/>
              <w:rPr>
                <w:rFonts w:hint="eastAsia"/>
              </w:rPr>
            </w:pPr>
            <w:r>
              <w:rPr>
                <w:rFonts w:hint="eastAsia"/>
              </w:rPr>
              <w:t>根据《永州市“十四五”生态环境保护规划》中“（二）严格环境准入与管控”相关内容，分析如下：</w:t>
            </w:r>
          </w:p>
          <w:p>
            <w:pPr>
              <w:pStyle w:val="29"/>
              <w:bidi w:val="0"/>
              <w:rPr>
                <w:rFonts w:hint="eastAsia"/>
                <w:lang w:val="en-US" w:eastAsia="zh-CN"/>
              </w:rPr>
            </w:pPr>
            <w:r>
              <w:rPr>
                <w:rFonts w:hint="eastAsia"/>
                <w:lang w:val="en-US" w:eastAsia="zh-CN"/>
              </w:rPr>
              <w:t>表1-5与永州市“十四五”生态环境保护规划符合性分析</w:t>
            </w:r>
          </w:p>
          <w:tbl>
            <w:tblPr>
              <w:tblStyle w:val="27"/>
              <w:tblW w:w="676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15"/>
              <w:gridCol w:w="606"/>
              <w:gridCol w:w="3938"/>
              <w:gridCol w:w="1183"/>
              <w:gridCol w:w="61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415" w:type="dxa"/>
                  <w:noWrap w:val="0"/>
                  <w:vAlign w:val="center"/>
                </w:tcPr>
                <w:p>
                  <w:pPr>
                    <w:pStyle w:val="30"/>
                    <w:bidi w:val="0"/>
                  </w:pPr>
                  <w:r>
                    <w:t>序号</w:t>
                  </w:r>
                </w:p>
              </w:tc>
              <w:tc>
                <w:tcPr>
                  <w:tcW w:w="606" w:type="dxa"/>
                  <w:noWrap w:val="0"/>
                  <w:vAlign w:val="center"/>
                </w:tcPr>
                <w:p>
                  <w:pPr>
                    <w:pStyle w:val="30"/>
                    <w:bidi w:val="0"/>
                    <w:rPr>
                      <w:rFonts w:hint="eastAsia"/>
                    </w:rPr>
                  </w:pPr>
                  <w:r>
                    <w:t>规划</w:t>
                  </w:r>
                  <w:r>
                    <w:rPr>
                      <w:rFonts w:hint="eastAsia"/>
                    </w:rPr>
                    <w:t>内容</w:t>
                  </w:r>
                </w:p>
              </w:tc>
              <w:tc>
                <w:tcPr>
                  <w:tcW w:w="3938" w:type="dxa"/>
                  <w:noWrap w:val="0"/>
                  <w:vAlign w:val="center"/>
                </w:tcPr>
                <w:p>
                  <w:pPr>
                    <w:pStyle w:val="30"/>
                    <w:bidi w:val="0"/>
                  </w:pPr>
                  <w:r>
                    <w:t>相关要求</w:t>
                  </w:r>
                </w:p>
              </w:tc>
              <w:tc>
                <w:tcPr>
                  <w:tcW w:w="1183" w:type="dxa"/>
                  <w:noWrap w:val="0"/>
                  <w:vAlign w:val="center"/>
                </w:tcPr>
                <w:p>
                  <w:pPr>
                    <w:pStyle w:val="30"/>
                    <w:bidi w:val="0"/>
                  </w:pPr>
                  <w:r>
                    <w:t>本项目情况</w:t>
                  </w:r>
                </w:p>
              </w:tc>
              <w:tc>
                <w:tcPr>
                  <w:tcW w:w="618" w:type="dxa"/>
                  <w:noWrap w:val="0"/>
                  <w:vAlign w:val="center"/>
                </w:tcPr>
                <w:p>
                  <w:pPr>
                    <w:pStyle w:val="30"/>
                    <w:bidi w:val="0"/>
                  </w:pPr>
                  <w:r>
                    <w:t>符合性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09" w:hRule="atLeast"/>
              </w:trPr>
              <w:tc>
                <w:tcPr>
                  <w:tcW w:w="415" w:type="dxa"/>
                  <w:noWrap w:val="0"/>
                  <w:vAlign w:val="center"/>
                </w:tcPr>
                <w:p>
                  <w:pPr>
                    <w:pStyle w:val="30"/>
                    <w:bidi w:val="0"/>
                  </w:pPr>
                  <w:r>
                    <w:t>1</w:t>
                  </w:r>
                </w:p>
              </w:tc>
              <w:tc>
                <w:tcPr>
                  <w:tcW w:w="606" w:type="dxa"/>
                  <w:noWrap w:val="0"/>
                  <w:vAlign w:val="center"/>
                </w:tcPr>
                <w:p>
                  <w:pPr>
                    <w:pStyle w:val="30"/>
                    <w:bidi w:val="0"/>
                  </w:pPr>
                  <w:r>
                    <w:t>严格环境准入</w:t>
                  </w:r>
                </w:p>
              </w:tc>
              <w:tc>
                <w:tcPr>
                  <w:tcW w:w="3938" w:type="dxa"/>
                  <w:noWrap w:val="0"/>
                  <w:vAlign w:val="center"/>
                </w:tcPr>
                <w:p>
                  <w:pPr>
                    <w:pStyle w:val="30"/>
                    <w:bidi w:val="0"/>
                  </w:pPr>
                  <w:r>
                    <w:t>按照国家要求的产业准入目录，严把永州项目产业政策关，促进产业转型升级，防止落后产能和污染严重项目转入永州市，严控化工、建材、有色、电镀、印染等高污染项目的审批，禁止新建、扩建落后产能项目。坚持新建工业企业必须入园，严控高污染高能耗企业入园。加强高能耗高排放项目准入管理，必须符合产业政策、行业发展规划和市场准入要求。实行排污总量前置管理,将建设项目污染物排放总量指标作为项目环评审批的前提条件，严控新增排放量。加强永州市11家省级工业园区生态环境准入管理。推进</w:t>
                  </w:r>
                  <w:r>
                    <w:rPr>
                      <w:rFonts w:hint="eastAsia"/>
                      <w:lang w:eastAsia="zh-CN"/>
                    </w:rPr>
                    <w:t>“</w:t>
                  </w:r>
                  <w:r>
                    <w:t>三线一单</w:t>
                  </w:r>
                  <w:r>
                    <w:rPr>
                      <w:rFonts w:hint="eastAsia"/>
                      <w:lang w:eastAsia="zh-CN"/>
                    </w:rPr>
                    <w:t>”</w:t>
                  </w:r>
                  <w:r>
                    <w:t>与排污许可、环评审批、环境监测、环境执法等数据系统共享。探索构建以</w:t>
                  </w:r>
                  <w:r>
                    <w:rPr>
                      <w:rFonts w:hint="eastAsia"/>
                      <w:lang w:eastAsia="zh-CN"/>
                    </w:rPr>
                    <w:t>“</w:t>
                  </w:r>
                  <w:r>
                    <w:t>三线一单</w:t>
                  </w:r>
                  <w:r>
                    <w:rPr>
                      <w:rFonts w:hint="eastAsia"/>
                      <w:lang w:eastAsia="zh-CN"/>
                    </w:rPr>
                    <w:t>”</w:t>
                  </w:r>
                  <w:r>
                    <w:t>为环境空间管控基础，以规划环评和项目环评为环境准入关口，以排污许可为企业运行守法依据，以执法、督察为环境监管闭环的全过程环境管理框架。</w:t>
                  </w:r>
                </w:p>
              </w:tc>
              <w:tc>
                <w:tcPr>
                  <w:tcW w:w="1183" w:type="dxa"/>
                  <w:noWrap w:val="0"/>
                  <w:vAlign w:val="center"/>
                </w:tcPr>
                <w:p>
                  <w:pPr>
                    <w:pStyle w:val="30"/>
                    <w:bidi w:val="0"/>
                  </w:pPr>
                  <w:r>
                    <w:rPr>
                      <w:rFonts w:hint="eastAsia"/>
                    </w:rPr>
                    <w:t>本项目为</w:t>
                  </w:r>
                  <w:r>
                    <w:rPr>
                      <w:rFonts w:hint="eastAsia"/>
                      <w:lang w:val="en-US" w:eastAsia="zh-CN"/>
                    </w:rPr>
                    <w:t>综合医院</w:t>
                  </w:r>
                  <w:r>
                    <w:rPr>
                      <w:rFonts w:hint="eastAsia"/>
                    </w:rPr>
                    <w:t>，</w:t>
                  </w:r>
                  <w:r>
                    <w:rPr>
                      <w:rFonts w:hint="eastAsia"/>
                      <w:lang w:val="en-US" w:eastAsia="zh-CN"/>
                    </w:rPr>
                    <w:t>不属于工业类项目</w:t>
                  </w:r>
                </w:p>
              </w:tc>
              <w:tc>
                <w:tcPr>
                  <w:tcW w:w="618" w:type="dxa"/>
                  <w:noWrap w:val="0"/>
                  <w:vAlign w:val="center"/>
                </w:tcPr>
                <w:p>
                  <w:pPr>
                    <w:pStyle w:val="30"/>
                    <w:bidi w:val="0"/>
                  </w:pPr>
                  <w: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93" w:hRule="atLeast"/>
              </w:trPr>
              <w:tc>
                <w:tcPr>
                  <w:tcW w:w="415" w:type="dxa"/>
                  <w:noWrap w:val="0"/>
                  <w:vAlign w:val="center"/>
                </w:tcPr>
                <w:p>
                  <w:pPr>
                    <w:pStyle w:val="30"/>
                    <w:bidi w:val="0"/>
                  </w:pPr>
                  <w:r>
                    <w:t>2</w:t>
                  </w:r>
                </w:p>
              </w:tc>
              <w:tc>
                <w:tcPr>
                  <w:tcW w:w="606" w:type="dxa"/>
                  <w:noWrap w:val="0"/>
                  <w:vAlign w:val="center"/>
                </w:tcPr>
                <w:p>
                  <w:pPr>
                    <w:pStyle w:val="30"/>
                    <w:bidi w:val="0"/>
                  </w:pPr>
                  <w:r>
                    <w:t>加强规划环境影响评价</w:t>
                  </w:r>
                </w:p>
              </w:tc>
              <w:tc>
                <w:tcPr>
                  <w:tcW w:w="3938" w:type="dxa"/>
                  <w:noWrap w:val="0"/>
                  <w:vAlign w:val="center"/>
                </w:tcPr>
                <w:p>
                  <w:pPr>
                    <w:pStyle w:val="30"/>
                    <w:bidi w:val="0"/>
                  </w:pPr>
                  <w:r>
                    <w:t>严格执行以环评制度为主体的生态环境源头预防制度，以国土空间规划、区域规划、行业发展规划引导经济社会发展，全面推进重点区域、重点流域、重点行业规划环评。推动规划编制底线约束，前置考虑空间管制、总量管控和生态环境准入，统筹区域空间布局与生态安全格局，统筹发展目标与资源环境承载力。严格审查涉</w:t>
                  </w:r>
                  <w:r>
                    <w:rPr>
                      <w:rFonts w:hint="eastAsia"/>
                      <w:lang w:eastAsia="zh-CN"/>
                    </w:rPr>
                    <w:t>“两高”</w:t>
                  </w:r>
                  <w:r>
                    <w:t>行业的有关综合性规划和工业、能源等专项规划，严格控制</w:t>
                  </w:r>
                  <w:r>
                    <w:rPr>
                      <w:rFonts w:hint="eastAsia"/>
                      <w:lang w:eastAsia="zh-CN"/>
                    </w:rPr>
                    <w:t>“两高”</w:t>
                  </w:r>
                  <w:r>
                    <w:t>行业发展规模，优化规划布局与实施时序。推动在项目环评审批及事中事后监督管理中落实规划环评成果</w:t>
                  </w:r>
                  <w:r>
                    <w:rPr>
                      <w:rFonts w:hint="eastAsia"/>
                    </w:rPr>
                    <w:t>。</w:t>
                  </w:r>
                </w:p>
              </w:tc>
              <w:tc>
                <w:tcPr>
                  <w:tcW w:w="1183" w:type="dxa"/>
                  <w:noWrap w:val="0"/>
                  <w:vAlign w:val="center"/>
                </w:tcPr>
                <w:p>
                  <w:pPr>
                    <w:pStyle w:val="30"/>
                    <w:bidi w:val="0"/>
                    <w:rPr>
                      <w:rFonts w:hint="eastAsia" w:eastAsia="宋体"/>
                      <w:lang w:eastAsia="zh-CN"/>
                    </w:rPr>
                  </w:pPr>
                  <w:r>
                    <w:rPr>
                      <w:rFonts w:hint="eastAsia"/>
                    </w:rPr>
                    <w:t>本项目严格</w:t>
                  </w:r>
                  <w:r>
                    <w:t>执行以环评制度为主体的生态环境源头预防制度</w:t>
                  </w:r>
                  <w:r>
                    <w:rPr>
                      <w:rFonts w:hint="eastAsia"/>
                      <w:lang w:eastAsia="zh-CN"/>
                    </w:rPr>
                    <w:t>，本项目不属于“两高”项目</w:t>
                  </w:r>
                </w:p>
              </w:tc>
              <w:tc>
                <w:tcPr>
                  <w:tcW w:w="618" w:type="dxa"/>
                  <w:noWrap w:val="0"/>
                  <w:vAlign w:val="center"/>
                </w:tcPr>
                <w:p>
                  <w:pPr>
                    <w:pStyle w:val="30"/>
                    <w:bidi w:val="0"/>
                  </w:pPr>
                  <w: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415" w:type="dxa"/>
                  <w:noWrap w:val="0"/>
                  <w:vAlign w:val="center"/>
                </w:tcPr>
                <w:p>
                  <w:pPr>
                    <w:pStyle w:val="30"/>
                    <w:bidi w:val="0"/>
                  </w:pPr>
                  <w:r>
                    <w:t>3</w:t>
                  </w:r>
                </w:p>
              </w:tc>
              <w:tc>
                <w:tcPr>
                  <w:tcW w:w="606" w:type="dxa"/>
                  <w:noWrap w:val="0"/>
                  <w:vAlign w:val="center"/>
                </w:tcPr>
                <w:p>
                  <w:pPr>
                    <w:pStyle w:val="30"/>
                    <w:bidi w:val="0"/>
                  </w:pPr>
                  <w:r>
                    <w:t>全面实行排污许可制度</w:t>
                  </w:r>
                </w:p>
              </w:tc>
              <w:tc>
                <w:tcPr>
                  <w:tcW w:w="3938" w:type="dxa"/>
                  <w:noWrap w:val="0"/>
                  <w:vAlign w:val="center"/>
                </w:tcPr>
                <w:p>
                  <w:pPr>
                    <w:pStyle w:val="30"/>
                    <w:bidi w:val="0"/>
                  </w:pPr>
                  <w:r>
                    <w:t>推行以排污许可制为核心的固定污染源监管制度，推动工业固体废物、土壤环境要素全覆盖，实现固定污染源排污许可全覆盖。严格落实企业持证排污要求，按照</w:t>
                  </w:r>
                  <w:r>
                    <w:rPr>
                      <w:rFonts w:hint="eastAsia"/>
                      <w:lang w:eastAsia="zh-CN"/>
                    </w:rPr>
                    <w:t>“</w:t>
                  </w:r>
                  <w:r>
                    <w:t>新老有别、平稳过渡</w:t>
                  </w:r>
                  <w:r>
                    <w:rPr>
                      <w:rFonts w:hint="eastAsia"/>
                      <w:lang w:eastAsia="zh-CN"/>
                    </w:rPr>
                    <w:t>”</w:t>
                  </w:r>
                  <w:r>
                    <w:t>原则，推进排污口清理整治，规范排污口设置。依托排污许可证实施企事业单位污染物排放总量指标分配、监管和考核。加强对排污许可的事中事后监管管理，将排污许可执法检查纳入生态环境执法年度计划，落实排污许可</w:t>
                  </w:r>
                  <w:r>
                    <w:rPr>
                      <w:rFonts w:hint="eastAsia"/>
                      <w:lang w:eastAsia="zh-CN"/>
                    </w:rPr>
                    <w:t>“</w:t>
                  </w:r>
                  <w:r>
                    <w:t>一证式</w:t>
                  </w:r>
                  <w:r>
                    <w:rPr>
                      <w:rFonts w:hint="eastAsia"/>
                      <w:lang w:eastAsia="zh-CN"/>
                    </w:rPr>
                    <w:t>”</w:t>
                  </w:r>
                  <w:r>
                    <w:t>管理。持续做好排污许可证换证或登记延续动态更新。推进全市排污许可制度与环境影响评价制度有效融合，推动重点行业企业环境影响评价、排污许可、监管执法全闭环管理。</w:t>
                  </w:r>
                </w:p>
              </w:tc>
              <w:tc>
                <w:tcPr>
                  <w:tcW w:w="1183" w:type="dxa"/>
                  <w:noWrap w:val="0"/>
                  <w:vAlign w:val="center"/>
                </w:tcPr>
                <w:p>
                  <w:pPr>
                    <w:pStyle w:val="30"/>
                    <w:bidi w:val="0"/>
                  </w:pPr>
                  <w:r>
                    <w:rPr>
                      <w:rFonts w:hint="eastAsia"/>
                    </w:rPr>
                    <w:t>本项目严格执行</w:t>
                  </w:r>
                  <w:r>
                    <w:t>排污许可制为核心的固定污染源监管制度</w:t>
                  </w:r>
                </w:p>
              </w:tc>
              <w:tc>
                <w:tcPr>
                  <w:tcW w:w="618" w:type="dxa"/>
                  <w:noWrap w:val="0"/>
                  <w:vAlign w:val="center"/>
                </w:tcPr>
                <w:p>
                  <w:pPr>
                    <w:pStyle w:val="30"/>
                    <w:bidi w:val="0"/>
                  </w:pPr>
                  <w:r>
                    <w:t>符合</w:t>
                  </w:r>
                </w:p>
              </w:tc>
            </w:tr>
          </w:tbl>
          <w:p>
            <w:pPr>
              <w:bidi w:val="0"/>
              <w:rPr>
                <w:b/>
                <w:bCs/>
              </w:rPr>
            </w:pPr>
            <w:r>
              <w:rPr>
                <w:rFonts w:hint="eastAsia"/>
                <w:b/>
                <w:bCs/>
                <w:lang w:val="en-US" w:eastAsia="zh-CN"/>
              </w:rPr>
              <w:t>6、选址合理性</w:t>
            </w:r>
            <w:r>
              <w:rPr>
                <w:rFonts w:hint="eastAsia"/>
                <w:b/>
                <w:bCs/>
              </w:rPr>
              <w:t>分析</w:t>
            </w:r>
          </w:p>
          <w:p>
            <w:pPr>
              <w:pStyle w:val="12"/>
              <w:bidi w:val="0"/>
              <w:rPr>
                <w:rFonts w:hint="default"/>
                <w:lang w:val="zh-CN"/>
              </w:rPr>
            </w:pPr>
            <w:r>
              <w:rPr>
                <w:rFonts w:hint="default"/>
                <w:lang w:val="zh-CN"/>
              </w:rPr>
              <w:t>①用地合理性</w:t>
            </w:r>
          </w:p>
          <w:p>
            <w:pPr>
              <w:pStyle w:val="12"/>
              <w:bidi w:val="0"/>
              <w:rPr>
                <w:rFonts w:hint="default"/>
                <w:lang w:val="zh-CN"/>
              </w:rPr>
            </w:pPr>
            <w:r>
              <w:rPr>
                <w:rFonts w:hint="default"/>
                <w:lang w:val="zh-CN"/>
              </w:rPr>
              <w:t>本项目位于</w:t>
            </w:r>
            <w:r>
              <w:rPr>
                <w:rFonts w:hint="eastAsia"/>
                <w:lang w:val="en-US" w:eastAsia="zh-CN"/>
              </w:rPr>
              <w:t>永州</w:t>
            </w:r>
            <w:r>
              <w:rPr>
                <w:rFonts w:hint="eastAsia"/>
              </w:rPr>
              <w:t>市</w:t>
            </w:r>
            <w:r>
              <w:rPr>
                <w:rFonts w:hint="eastAsia"/>
                <w:lang w:val="en-US" w:eastAsia="zh-CN"/>
              </w:rPr>
              <w:t>零陵区阳明大道386号</w:t>
            </w:r>
            <w:r>
              <w:rPr>
                <w:rFonts w:hint="default"/>
                <w:lang w:val="zh-CN"/>
              </w:rPr>
              <w:t>，</w:t>
            </w:r>
            <w:r>
              <w:rPr>
                <w:rFonts w:hint="default"/>
              </w:rPr>
              <w:t>根据</w:t>
            </w:r>
            <w:r>
              <w:rPr>
                <w:rFonts w:hint="eastAsia"/>
                <w:lang w:val="en-US" w:eastAsia="zh-CN"/>
              </w:rPr>
              <w:t>建设单位提供的资料及根据《永州市城市总体规划（2001-2020）》（2010版2017年中心城区局部修改），本项目为医疗卫生用地，</w:t>
            </w:r>
            <w:r>
              <w:rPr>
                <w:rFonts w:hint="default"/>
              </w:rPr>
              <w:t>用地</w:t>
            </w:r>
            <w:r>
              <w:rPr>
                <w:rFonts w:hint="eastAsia"/>
                <w:lang w:val="en-US" w:eastAsia="zh-CN"/>
              </w:rPr>
              <w:t>手续</w:t>
            </w:r>
            <w:r>
              <w:rPr>
                <w:rFonts w:hint="default"/>
              </w:rPr>
              <w:t>合法</w:t>
            </w:r>
            <w:r>
              <w:rPr>
                <w:rFonts w:hint="eastAsia"/>
                <w:lang w:eastAsia="zh-CN"/>
              </w:rPr>
              <w:t>，</w:t>
            </w:r>
            <w:r>
              <w:rPr>
                <w:rFonts w:hint="eastAsia"/>
                <w:lang w:val="en-US" w:eastAsia="zh-CN"/>
              </w:rPr>
              <w:t>本项目</w:t>
            </w:r>
            <w:r>
              <w:rPr>
                <w:rFonts w:hint="default"/>
              </w:rPr>
              <w:t>是惠民利民的专业医疗工程项目，是加快补齐医疗短板的一项重要举措，符合区域医疗卫生规划</w:t>
            </w:r>
            <w:r>
              <w:rPr>
                <w:rFonts w:hint="default"/>
                <w:lang w:val="zh-CN"/>
              </w:rPr>
              <w:t>，综上所述，本项目选址</w:t>
            </w:r>
            <w:r>
              <w:rPr>
                <w:rFonts w:hint="eastAsia"/>
                <w:lang w:val="en-US" w:eastAsia="zh-CN"/>
              </w:rPr>
              <w:t>较</w:t>
            </w:r>
            <w:r>
              <w:rPr>
                <w:rFonts w:hint="default"/>
                <w:lang w:val="zh-CN"/>
              </w:rPr>
              <w:t>合理。</w:t>
            </w:r>
          </w:p>
          <w:p>
            <w:pPr>
              <w:pStyle w:val="12"/>
              <w:bidi w:val="0"/>
              <w:rPr>
                <w:rFonts w:hint="default"/>
                <w:lang w:val="zh-CN"/>
              </w:rPr>
            </w:pPr>
            <w:r>
              <w:rPr>
                <w:rFonts w:hint="default"/>
                <w:lang w:val="zh-CN"/>
              </w:rPr>
              <w:t>②环境影响角度</w:t>
            </w:r>
          </w:p>
          <w:p>
            <w:pPr>
              <w:pStyle w:val="12"/>
              <w:bidi w:val="0"/>
              <w:rPr>
                <w:rFonts w:hint="default"/>
                <w:lang w:val="zh-CN"/>
              </w:rPr>
            </w:pPr>
            <w:r>
              <w:rPr>
                <w:rFonts w:hint="default"/>
                <w:lang w:val="zh-CN"/>
              </w:rPr>
              <w:t>由工程分析以及各环境要素的影响评价结果可知，项目实施后各类污染物在采取防治措施后可以达标排放，各项污染防治措施技术可行，经济合理，在严格落实各项环保措施后，各污染因子对周围环境影响不大，对周围敏感区的影响在可接受范围内，从环境影响角度看，项目选址是合理的。</w:t>
            </w:r>
          </w:p>
          <w:p>
            <w:pPr>
              <w:pStyle w:val="12"/>
              <w:bidi w:val="0"/>
              <w:rPr>
                <w:rFonts w:hint="default"/>
                <w:lang w:val="zh-CN"/>
              </w:rPr>
            </w:pPr>
            <w:r>
              <w:rPr>
                <w:rFonts w:hint="default"/>
                <w:lang w:val="zh-CN"/>
              </w:rPr>
              <w:t>③环境敏感性和环境容量</w:t>
            </w:r>
          </w:p>
          <w:p>
            <w:pPr>
              <w:pStyle w:val="12"/>
              <w:bidi w:val="0"/>
              <w:rPr>
                <w:rFonts w:hint="default"/>
                <w:lang w:val="zh-CN"/>
              </w:rPr>
            </w:pPr>
            <w:r>
              <w:rPr>
                <w:rFonts w:hint="default"/>
                <w:lang w:val="zh-CN"/>
              </w:rPr>
              <w:t>本项目位于</w:t>
            </w:r>
            <w:r>
              <w:rPr>
                <w:rFonts w:hint="eastAsia"/>
                <w:lang w:val="en-US" w:eastAsia="zh-CN"/>
              </w:rPr>
              <w:t>永州</w:t>
            </w:r>
            <w:r>
              <w:rPr>
                <w:rFonts w:hint="eastAsia"/>
              </w:rPr>
              <w:t>市</w:t>
            </w:r>
            <w:r>
              <w:rPr>
                <w:rFonts w:hint="eastAsia"/>
                <w:lang w:val="en-US" w:eastAsia="zh-CN"/>
              </w:rPr>
              <w:t>零陵区阳明大道 386 号</w:t>
            </w:r>
            <w:r>
              <w:rPr>
                <w:rFonts w:hint="default"/>
                <w:lang w:val="zh-CN"/>
              </w:rPr>
              <w:t>，所在区域不属于环境敏感区。现状监测结果表明，项目所在地具有一定的环境容量。</w:t>
            </w:r>
          </w:p>
          <w:p>
            <w:pPr>
              <w:bidi w:val="0"/>
              <w:rPr>
                <w:rFonts w:hint="eastAsia"/>
                <w:b/>
                <w:bCs/>
                <w:u w:val="none"/>
                <w:lang w:val="en-US" w:eastAsia="zh-CN"/>
              </w:rPr>
            </w:pPr>
            <w:r>
              <w:rPr>
                <w:rFonts w:hint="eastAsia"/>
                <w:b/>
                <w:bCs/>
                <w:u w:val="none"/>
                <w:lang w:val="en-US" w:eastAsia="zh-CN"/>
              </w:rPr>
              <w:t>7、外环境对本项目的影响</w:t>
            </w:r>
          </w:p>
          <w:p>
            <w:pPr>
              <w:pStyle w:val="12"/>
              <w:bidi w:val="0"/>
              <w:rPr>
                <w:rFonts w:hint="default"/>
                <w:u w:val="none"/>
                <w:lang w:val="zh-CN"/>
              </w:rPr>
            </w:pPr>
            <w:r>
              <w:rPr>
                <w:rFonts w:hint="eastAsia"/>
                <w:u w:val="none"/>
                <w:lang w:val="en-US" w:eastAsia="zh-CN"/>
              </w:rPr>
              <w:t>项目位于永州</w:t>
            </w:r>
            <w:r>
              <w:rPr>
                <w:rFonts w:hint="eastAsia"/>
                <w:u w:val="none"/>
              </w:rPr>
              <w:t>市</w:t>
            </w:r>
            <w:r>
              <w:rPr>
                <w:rFonts w:hint="eastAsia"/>
                <w:u w:val="none"/>
                <w:lang w:val="en-US" w:eastAsia="zh-CN"/>
              </w:rPr>
              <w:t>零陵区阳明大道386号，外环境对本项目主要影响为交通噪声，医院通过给窗户安装了隔声玻璃来减小外环境噪声对医院的影响，项目周边无大型污染源，通过措施后噪声对项目影响有限。</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center"/>
              <w:textAlignment w:val="auto"/>
              <w:rPr>
                <w:rFonts w:hint="eastAsia" w:ascii="Times New Roman" w:hAnsi="Times New Roman" w:eastAsia="宋体" w:cs="Times New Roman"/>
                <w:b w:val="0"/>
                <w:bCs w:val="0"/>
                <w:color w:val="auto"/>
                <w:sz w:val="24"/>
                <w:szCs w:val="24"/>
                <w:highlight w:val="none"/>
                <w:lang w:val="en-US" w:eastAsia="zh-CN"/>
              </w:rPr>
            </w:pPr>
          </w:p>
        </w:tc>
      </w:tr>
    </w:tbl>
    <w:p>
      <w:pPr>
        <w:sectPr>
          <w:footerReference r:id="rId5" w:type="default"/>
          <w:pgSz w:w="11906" w:h="16838"/>
          <w:pgMar w:top="1440" w:right="1800" w:bottom="1440" w:left="1800" w:header="851" w:footer="992" w:gutter="0"/>
          <w:pgNumType w:fmt="decimal" w:start="1"/>
          <w:cols w:space="425" w:num="1"/>
          <w:docGrid w:type="lines" w:linePitch="312" w:charSpace="0"/>
        </w:sectPr>
      </w:pPr>
    </w:p>
    <w:p>
      <w:pPr>
        <w:pStyle w:val="2"/>
        <w:bidi w:val="0"/>
      </w:pPr>
      <w:bookmarkStart w:id="20" w:name="_Toc26836"/>
      <w:bookmarkStart w:id="21" w:name="_Toc15777"/>
      <w:bookmarkStart w:id="22" w:name="_Toc24334"/>
      <w:bookmarkStart w:id="23" w:name="_Toc17126"/>
      <w:bookmarkStart w:id="24" w:name="_Toc20956"/>
      <w:bookmarkStart w:id="25" w:name="_Toc23130"/>
      <w:bookmarkStart w:id="26" w:name="_Toc7052"/>
      <w:bookmarkStart w:id="27" w:name="_Toc12840"/>
      <w:bookmarkStart w:id="28" w:name="_Toc32031"/>
      <w:bookmarkStart w:id="29" w:name="_Toc17334"/>
      <w:bookmarkStart w:id="30" w:name="_Toc22091"/>
      <w:bookmarkStart w:id="31" w:name="_Toc17592"/>
      <w:bookmarkStart w:id="32" w:name="_Toc12920"/>
      <w:bookmarkStart w:id="33" w:name="_Toc8394"/>
      <w:bookmarkStart w:id="34" w:name="_Toc30215"/>
      <w:r>
        <w:rPr>
          <w:rFonts w:hint="eastAsia"/>
        </w:rPr>
        <w:t>二</w:t>
      </w:r>
      <w:r>
        <w:rPr>
          <w:rFonts w:hint="eastAsia"/>
          <w:lang w:eastAsia="zh-CN"/>
        </w:rPr>
        <w:t>、</w:t>
      </w:r>
      <w:r>
        <w:rPr>
          <w:rFonts w:hint="eastAsia"/>
        </w:rPr>
        <w:t>建设项目工程分析</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tbl>
      <w:tblPr>
        <w:tblStyle w:val="27"/>
        <w:tblW w:w="973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2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6" w:type="dxa"/>
            <w:noWrap w:val="0"/>
            <w:vAlign w:val="center"/>
          </w:tcPr>
          <w:p>
            <w:pPr>
              <w:pStyle w:val="22"/>
              <w:adjustRightInd w:val="0"/>
              <w:snapToGrid w:val="0"/>
              <w:spacing w:before="0" w:beforeAutospacing="0" w:after="0" w:afterAutospacing="0"/>
              <w:jc w:val="center"/>
              <w:rPr>
                <w:rFonts w:cs="宋体"/>
                <w:color w:val="auto"/>
                <w:sz w:val="24"/>
                <w:szCs w:val="24"/>
                <w:highlight w:val="none"/>
                <w:lang w:val="en-US" w:eastAsia="zh-CN"/>
              </w:rPr>
            </w:pPr>
            <w:r>
              <w:rPr>
                <w:rFonts w:hint="eastAsia" w:cs="宋体"/>
                <w:color w:val="auto"/>
                <w:sz w:val="24"/>
                <w:szCs w:val="24"/>
                <w:highlight w:val="none"/>
                <w:lang w:val="en-US" w:eastAsia="zh-CN"/>
              </w:rPr>
              <w:t>建设内容</w:t>
            </w:r>
          </w:p>
        </w:tc>
        <w:tc>
          <w:tcPr>
            <w:tcW w:w="9276" w:type="dxa"/>
            <w:noWrap w:val="0"/>
            <w:vAlign w:val="top"/>
          </w:tcPr>
          <w:p>
            <w:pPr>
              <w:bidi w:val="0"/>
              <w:rPr>
                <w:rFonts w:hint="default"/>
                <w:b/>
                <w:bCs/>
                <w:lang w:val="en-US" w:eastAsia="zh-CN"/>
              </w:rPr>
            </w:pPr>
            <w:r>
              <w:rPr>
                <w:rFonts w:hint="eastAsia"/>
                <w:b/>
                <w:bCs/>
                <w:lang w:val="en-US" w:eastAsia="zh-CN"/>
              </w:rPr>
              <w:t>1、项目建设背景及由来</w:t>
            </w:r>
          </w:p>
          <w:p>
            <w:pPr>
              <w:pStyle w:val="12"/>
              <w:bidi w:val="0"/>
            </w:pPr>
            <w:r>
              <w:rPr>
                <w:lang w:val="en-US" w:eastAsia="zh-CN"/>
              </w:rPr>
              <w:t>永州市第四人民医院创建于</w:t>
            </w:r>
            <w:r>
              <w:rPr>
                <w:rFonts w:hint="default"/>
                <w:lang w:val="en-US" w:eastAsia="zh-CN"/>
              </w:rPr>
              <w:t>1905</w:t>
            </w:r>
            <w:r>
              <w:rPr>
                <w:lang w:val="en-US" w:eastAsia="zh-CN"/>
              </w:rPr>
              <w:t>年，是在原零陵地区人民医院原址上筹建的一家集医疗、教学科研、预防保健为一体的二级综合医院，隶属于零陵区人民政府，又名零陵区人民医院</w:t>
            </w:r>
            <w:r>
              <w:rPr>
                <w:rFonts w:hint="default"/>
                <w:lang w:eastAsia="zh-CN"/>
              </w:rPr>
              <w:t>。</w:t>
            </w:r>
            <w:r>
              <w:rPr>
                <w:lang w:val="en-US" w:eastAsia="zh-CN"/>
              </w:rPr>
              <w:t>是湖南省人民医院定点指导医院，永州市紧急医疗救援中心（</w:t>
            </w:r>
            <w:r>
              <w:rPr>
                <w:rFonts w:hint="default"/>
                <w:lang w:val="en-US" w:eastAsia="zh-CN"/>
              </w:rPr>
              <w:t>120</w:t>
            </w:r>
            <w:r>
              <w:rPr>
                <w:lang w:val="en-US" w:eastAsia="zh-CN"/>
              </w:rPr>
              <w:t>）网点医院，零陵区高危孕产妇抢救中心，全国爱婴医院。医院医疗区占地面积</w:t>
            </w:r>
            <w:r>
              <w:rPr>
                <w:rFonts w:hint="default"/>
                <w:lang w:val="en-US" w:eastAsia="zh-CN"/>
              </w:rPr>
              <w:t>14652</w:t>
            </w:r>
            <w:r>
              <w:rPr>
                <w:lang w:val="en-US" w:eastAsia="zh-CN"/>
              </w:rPr>
              <w:t>平方米（</w:t>
            </w:r>
            <w:r>
              <w:rPr>
                <w:rFonts w:hint="default"/>
                <w:lang w:val="en-US" w:eastAsia="zh-CN"/>
              </w:rPr>
              <w:t>24</w:t>
            </w:r>
            <w:r>
              <w:rPr>
                <w:lang w:val="en-US" w:eastAsia="zh-CN"/>
              </w:rPr>
              <w:t>亩），业务用房面积</w:t>
            </w:r>
            <w:r>
              <w:rPr>
                <w:rFonts w:hint="default"/>
                <w:lang w:val="en-US" w:eastAsia="zh-CN"/>
              </w:rPr>
              <w:t>34600</w:t>
            </w:r>
            <w:r>
              <w:rPr>
                <w:lang w:val="en-US" w:eastAsia="zh-CN"/>
              </w:rPr>
              <w:t>平方米，医院现有在职职工</w:t>
            </w:r>
            <w:r>
              <w:rPr>
                <w:rFonts w:hint="default"/>
                <w:lang w:val="en-US" w:eastAsia="zh-CN"/>
              </w:rPr>
              <w:t>682</w:t>
            </w:r>
            <w:r>
              <w:rPr>
                <w:lang w:val="en-US" w:eastAsia="zh-CN"/>
              </w:rPr>
              <w:t>人，其中：高级职称</w:t>
            </w:r>
            <w:r>
              <w:rPr>
                <w:rFonts w:hint="default"/>
                <w:lang w:val="en-US" w:eastAsia="zh-CN"/>
              </w:rPr>
              <w:t>73</w:t>
            </w:r>
            <w:r>
              <w:rPr>
                <w:lang w:val="en-US" w:eastAsia="zh-CN"/>
              </w:rPr>
              <w:t>人，中级职称</w:t>
            </w:r>
            <w:r>
              <w:rPr>
                <w:rFonts w:hint="default"/>
                <w:lang w:val="en-US" w:eastAsia="zh-CN"/>
              </w:rPr>
              <w:t>182</w:t>
            </w:r>
            <w:r>
              <w:rPr>
                <w:lang w:val="en-US" w:eastAsia="zh-CN"/>
              </w:rPr>
              <w:t>人。编制床位</w:t>
            </w:r>
            <w:r>
              <w:rPr>
                <w:rFonts w:hint="default"/>
                <w:lang w:val="en-US" w:eastAsia="zh-CN"/>
              </w:rPr>
              <w:t>780</w:t>
            </w:r>
            <w:r>
              <w:rPr>
                <w:lang w:val="en-US" w:eastAsia="zh-CN"/>
              </w:rPr>
              <w:t>张，实际开放床位</w:t>
            </w:r>
            <w:r>
              <w:rPr>
                <w:rFonts w:hint="default"/>
                <w:lang w:val="en-US" w:eastAsia="zh-CN"/>
              </w:rPr>
              <w:t>798</w:t>
            </w:r>
            <w:r>
              <w:rPr>
                <w:lang w:val="en-US" w:eastAsia="zh-CN"/>
              </w:rPr>
              <w:t>张，病床使用率</w:t>
            </w:r>
            <w:r>
              <w:rPr>
                <w:rFonts w:hint="default"/>
                <w:lang w:val="en-US" w:eastAsia="zh-CN"/>
              </w:rPr>
              <w:t>76.49%</w:t>
            </w:r>
            <w:r>
              <w:rPr>
                <w:lang w:val="en-US" w:eastAsia="zh-CN"/>
              </w:rPr>
              <w:t>，全院设有</w:t>
            </w:r>
            <w:r>
              <w:rPr>
                <w:rFonts w:hint="default"/>
                <w:lang w:val="en-US" w:eastAsia="zh-CN"/>
              </w:rPr>
              <w:t>23</w:t>
            </w:r>
            <w:r>
              <w:rPr>
                <w:lang w:val="en-US" w:eastAsia="zh-CN"/>
              </w:rPr>
              <w:t>个临床科室，</w:t>
            </w:r>
            <w:r>
              <w:rPr>
                <w:rFonts w:hint="default"/>
                <w:lang w:val="en-US" w:eastAsia="zh-CN"/>
              </w:rPr>
              <w:t>5</w:t>
            </w:r>
            <w:r>
              <w:rPr>
                <w:lang w:val="en-US" w:eastAsia="zh-CN"/>
              </w:rPr>
              <w:t>个医技科室，医院拥有西门子</w:t>
            </w:r>
            <w:r>
              <w:rPr>
                <w:rFonts w:hint="default"/>
                <w:lang w:val="en-US" w:eastAsia="zh-CN"/>
              </w:rPr>
              <w:t>1.5TMRI</w:t>
            </w:r>
            <w:r>
              <w:rPr>
                <w:lang w:val="en-US" w:eastAsia="zh-CN"/>
              </w:rPr>
              <w:t>、</w:t>
            </w:r>
            <w:r>
              <w:rPr>
                <w:rFonts w:hint="default"/>
                <w:lang w:val="en-US" w:eastAsia="zh-CN"/>
              </w:rPr>
              <w:t>64</w:t>
            </w:r>
            <w:r>
              <w:rPr>
                <w:lang w:val="en-US" w:eastAsia="zh-CN"/>
              </w:rPr>
              <w:t>排螺旋</w:t>
            </w:r>
            <w:r>
              <w:rPr>
                <w:rFonts w:hint="default"/>
                <w:lang w:val="en-US" w:eastAsia="zh-CN"/>
              </w:rPr>
              <w:t>CT</w:t>
            </w:r>
            <w:r>
              <w:rPr>
                <w:lang w:val="en-US" w:eastAsia="zh-CN"/>
              </w:rPr>
              <w:t>、</w:t>
            </w:r>
            <w:r>
              <w:rPr>
                <w:rFonts w:hint="default"/>
                <w:lang w:val="en-US" w:eastAsia="zh-CN"/>
              </w:rPr>
              <w:t>DSA.</w:t>
            </w:r>
            <w:r>
              <w:rPr>
                <w:lang w:val="en-US" w:eastAsia="zh-CN"/>
              </w:rPr>
              <w:t>等离子消毒仪、膀胱镜、宫腔镜、前列腺电切镜、经皮肾镜、</w:t>
            </w:r>
            <w:r>
              <w:rPr>
                <w:rFonts w:hint="default"/>
                <w:lang w:val="en-US" w:eastAsia="zh-CN"/>
              </w:rPr>
              <w:t>DR</w:t>
            </w:r>
            <w:r>
              <w:rPr>
                <w:lang w:val="en-US" w:eastAsia="zh-CN"/>
              </w:rPr>
              <w:t>、</w:t>
            </w:r>
            <w:r>
              <w:rPr>
                <w:rFonts w:hint="default"/>
                <w:lang w:val="en-US" w:eastAsia="zh-CN"/>
              </w:rPr>
              <w:t xml:space="preserve">600MAX </w:t>
            </w:r>
            <w:r>
              <w:rPr>
                <w:lang w:val="en-US" w:eastAsia="zh-CN"/>
              </w:rPr>
              <w:t>光机、内窥镜、高频</w:t>
            </w:r>
            <w:r>
              <w:rPr>
                <w:rFonts w:hint="default"/>
                <w:lang w:val="en-US" w:eastAsia="zh-CN"/>
              </w:rPr>
              <w:t>C</w:t>
            </w:r>
            <w:r>
              <w:rPr>
                <w:lang w:val="en-US" w:eastAsia="zh-CN"/>
              </w:rPr>
              <w:t>臂机、麻醉机、呼吸机、意大利进口细菌鉴定仪、全自动血凝仪、全自动电解质分析仪、</w:t>
            </w:r>
            <w:r>
              <w:rPr>
                <w:rFonts w:hint="default"/>
                <w:lang w:val="en-US" w:eastAsia="zh-CN"/>
              </w:rPr>
              <w:t>4</w:t>
            </w:r>
            <w:r>
              <w:rPr>
                <w:lang w:val="en-US" w:eastAsia="zh-CN"/>
              </w:rPr>
              <w:t>维彩色</w:t>
            </w:r>
            <w:r>
              <w:rPr>
                <w:rFonts w:hint="default"/>
                <w:lang w:val="en-US" w:eastAsia="zh-CN"/>
              </w:rPr>
              <w:t>B</w:t>
            </w:r>
            <w:r>
              <w:rPr>
                <w:lang w:val="en-US" w:eastAsia="zh-CN"/>
              </w:rPr>
              <w:t>超、日本进口血液透析仪、三人高压氧舱等系列医疗设备，近年来我院得到县级医院信息化建设项目资助建立了电子计算机网络化管理系统，逐步实现电子信息化管理和信息共享</w:t>
            </w:r>
            <w:r>
              <w:rPr>
                <w:rFonts w:hint="eastAsia"/>
                <w:lang w:val="en-US" w:eastAsia="zh-CN"/>
              </w:rPr>
              <w:t>。</w:t>
            </w:r>
          </w:p>
          <w:p>
            <w:pPr>
              <w:pStyle w:val="12"/>
              <w:bidi w:val="0"/>
              <w:rPr>
                <w:u w:val="single"/>
              </w:rPr>
            </w:pPr>
            <w:r>
              <w:rPr>
                <w:lang w:val="en-US" w:eastAsia="zh-CN"/>
              </w:rPr>
              <w:t>目前，受制于资金限制，医院学科建设仍未完善，相关诊疗设备设施仍然短缺。截至</w:t>
            </w:r>
            <w:r>
              <w:rPr>
                <w:rFonts w:hint="default"/>
                <w:lang w:val="en-US" w:eastAsia="zh-CN"/>
              </w:rPr>
              <w:t>2022</w:t>
            </w:r>
            <w:r>
              <w:rPr>
                <w:lang w:val="en-US" w:eastAsia="zh-CN"/>
              </w:rPr>
              <w:t>年底，永州市总人口数</w:t>
            </w:r>
            <w:r>
              <w:rPr>
                <w:rFonts w:hint="default"/>
                <w:lang w:val="en-US" w:eastAsia="zh-CN"/>
              </w:rPr>
              <w:t>514.37</w:t>
            </w:r>
            <w:r>
              <w:rPr>
                <w:lang w:val="en-US" w:eastAsia="zh-CN"/>
              </w:rPr>
              <w:t>万人，其中</w:t>
            </w:r>
            <w:r>
              <w:rPr>
                <w:rFonts w:hint="default"/>
                <w:lang w:val="en-US" w:eastAsia="zh-CN"/>
              </w:rPr>
              <w:t>60</w:t>
            </w:r>
            <w:r>
              <w:rPr>
                <w:lang w:val="en-US" w:eastAsia="zh-CN"/>
              </w:rPr>
              <w:t>周岁及以上老年人口</w:t>
            </w:r>
            <w:r>
              <w:rPr>
                <w:rFonts w:hint="default"/>
                <w:lang w:val="en-US" w:eastAsia="zh-CN"/>
              </w:rPr>
              <w:t>103.84</w:t>
            </w:r>
            <w:r>
              <w:rPr>
                <w:lang w:val="en-US" w:eastAsia="zh-CN"/>
              </w:rPr>
              <w:t>万人，占总人口的</w:t>
            </w:r>
            <w:r>
              <w:rPr>
                <w:rFonts w:hint="default"/>
                <w:lang w:val="en-US" w:eastAsia="zh-CN"/>
              </w:rPr>
              <w:t>20.19%</w:t>
            </w:r>
            <w:r>
              <w:rPr>
                <w:lang w:val="en-US" w:eastAsia="zh-CN"/>
              </w:rPr>
              <w:t>；</w:t>
            </w:r>
            <w:r>
              <w:rPr>
                <w:rFonts w:hint="default"/>
                <w:lang w:val="en-US" w:eastAsia="zh-CN"/>
              </w:rPr>
              <w:t>65</w:t>
            </w:r>
            <w:r>
              <w:rPr>
                <w:lang w:val="en-US" w:eastAsia="zh-CN"/>
              </w:rPr>
              <w:t>周岁及以上老年人口</w:t>
            </w:r>
            <w:r>
              <w:rPr>
                <w:rFonts w:hint="default"/>
                <w:lang w:val="en-US" w:eastAsia="zh-CN"/>
              </w:rPr>
              <w:t>76.12</w:t>
            </w:r>
            <w:r>
              <w:rPr>
                <w:lang w:val="en-US" w:eastAsia="zh-CN"/>
              </w:rPr>
              <w:t>万人，占总人口的</w:t>
            </w:r>
            <w:r>
              <w:rPr>
                <w:rFonts w:hint="default"/>
                <w:lang w:val="en-US" w:eastAsia="zh-CN"/>
              </w:rPr>
              <w:t>14.80%</w:t>
            </w:r>
            <w:r>
              <w:rPr>
                <w:lang w:val="en-US" w:eastAsia="zh-CN"/>
              </w:rPr>
              <w:t>。老年人口基数大，增长快，高龄化、空巢化趋势明显，建设老年医院是实施积极应对人口老龄化国家战略的迫切需要。为积极稳妥推进我区医疗事业高质量发展，充分发挥区域医疗优势，经区政府常务会研究决定，将区妇幼保健院新综合大楼与我院颐养中心大楼进行互换，努力打造我区</w:t>
            </w:r>
            <w:r>
              <w:rPr>
                <w:rFonts w:hint="eastAsia"/>
                <w:lang w:val="en-US" w:eastAsia="zh-CN"/>
              </w:rPr>
              <w:t>“</w:t>
            </w:r>
            <w:r>
              <w:rPr>
                <w:lang w:val="en-US" w:eastAsia="zh-CN"/>
              </w:rPr>
              <w:t>健康零陵</w:t>
            </w:r>
            <w:r>
              <w:rPr>
                <w:rFonts w:hint="eastAsia"/>
                <w:lang w:val="en-US" w:eastAsia="zh-CN"/>
              </w:rPr>
              <w:t>”</w:t>
            </w:r>
            <w:r>
              <w:rPr>
                <w:lang w:val="en-US" w:eastAsia="zh-CN"/>
              </w:rPr>
              <w:t>新形象，</w:t>
            </w:r>
            <w:r>
              <w:rPr>
                <w:rFonts w:hint="eastAsia"/>
                <w:lang w:val="en-US" w:eastAsia="zh-CN"/>
              </w:rPr>
              <w:t>建设</w:t>
            </w:r>
            <w:r>
              <w:rPr>
                <w:lang w:val="en-US" w:eastAsia="zh-CN"/>
              </w:rPr>
              <w:t>永州市第四人民医院（市老年医院）服务能力提升项目。区妇幼保健院新综合大楼占地面积</w:t>
            </w:r>
            <w:r>
              <w:rPr>
                <w:rFonts w:hint="default"/>
                <w:lang w:val="en-US" w:eastAsia="zh-CN"/>
              </w:rPr>
              <w:t>17.42</w:t>
            </w:r>
            <w:r>
              <w:rPr>
                <w:lang w:val="en-US" w:eastAsia="zh-CN"/>
              </w:rPr>
              <w:t>亩，建筑面积</w:t>
            </w:r>
            <w:r>
              <w:rPr>
                <w:rFonts w:hint="default"/>
                <w:lang w:val="en-US" w:eastAsia="zh-CN"/>
              </w:rPr>
              <w:t>44300m²</w:t>
            </w:r>
            <w:r>
              <w:rPr>
                <w:lang w:val="en-US" w:eastAsia="zh-CN"/>
              </w:rPr>
              <w:t>，地下</w:t>
            </w:r>
            <w:r>
              <w:rPr>
                <w:rFonts w:hint="default"/>
                <w:lang w:val="en-US" w:eastAsia="zh-CN"/>
              </w:rPr>
              <w:t>2</w:t>
            </w:r>
            <w:r>
              <w:rPr>
                <w:lang w:val="en-US" w:eastAsia="zh-CN"/>
              </w:rPr>
              <w:t>层，地上</w:t>
            </w:r>
            <w:r>
              <w:rPr>
                <w:rFonts w:hint="default"/>
                <w:lang w:val="en-US" w:eastAsia="zh-CN"/>
              </w:rPr>
              <w:t>16</w:t>
            </w:r>
            <w:r>
              <w:rPr>
                <w:lang w:val="en-US" w:eastAsia="zh-CN"/>
              </w:rPr>
              <w:t>层</w:t>
            </w:r>
            <w:r>
              <w:rPr>
                <w:rFonts w:hint="eastAsia"/>
                <w:lang w:val="en-US" w:eastAsia="zh-CN"/>
              </w:rPr>
              <w:t>。本</w:t>
            </w:r>
            <w:r>
              <w:rPr>
                <w:lang w:val="en-US" w:eastAsia="zh-CN"/>
              </w:rPr>
              <w:t>项目</w:t>
            </w:r>
            <w:r>
              <w:rPr>
                <w:rFonts w:hint="eastAsia"/>
                <w:lang w:val="en-US" w:eastAsia="zh-CN"/>
              </w:rPr>
              <w:t>拟</w:t>
            </w:r>
            <w:r>
              <w:rPr>
                <w:lang w:val="en-US" w:eastAsia="zh-CN"/>
              </w:rPr>
              <w:t>投资</w:t>
            </w:r>
            <w:r>
              <w:rPr>
                <w:rFonts w:hint="default"/>
                <w:lang w:val="en-US" w:eastAsia="zh-CN"/>
              </w:rPr>
              <w:t>9000</w:t>
            </w:r>
            <w:r>
              <w:rPr>
                <w:lang w:val="en-US" w:eastAsia="zh-CN"/>
              </w:rPr>
              <w:t>万元</w:t>
            </w:r>
            <w:r>
              <w:rPr>
                <w:rFonts w:hint="eastAsia"/>
                <w:lang w:val="en-US" w:eastAsia="zh-CN"/>
              </w:rPr>
              <w:t>，利用</w:t>
            </w:r>
            <w:r>
              <w:rPr>
                <w:lang w:val="en-US" w:eastAsia="zh-CN"/>
              </w:rPr>
              <w:t>区妇幼保健院新综合大楼</w:t>
            </w:r>
            <w:r>
              <w:rPr>
                <w:rFonts w:hint="eastAsia"/>
                <w:lang w:val="en-US" w:eastAsia="zh-CN"/>
              </w:rPr>
              <w:t>，</w:t>
            </w:r>
            <w:r>
              <w:rPr>
                <w:lang w:val="en-US" w:eastAsia="zh-CN"/>
              </w:rPr>
              <w:t>设计床位</w:t>
            </w:r>
            <w:r>
              <w:rPr>
                <w:rFonts w:hint="default"/>
                <w:lang w:val="en-US" w:eastAsia="zh-CN"/>
              </w:rPr>
              <w:t>300</w:t>
            </w:r>
            <w:r>
              <w:rPr>
                <w:lang w:val="en-US" w:eastAsia="zh-CN"/>
              </w:rPr>
              <w:t>张</w:t>
            </w:r>
            <w:r>
              <w:rPr>
                <w:rFonts w:hint="eastAsia"/>
                <w:lang w:val="en-US" w:eastAsia="zh-CN"/>
              </w:rPr>
              <w:t>，</w:t>
            </w:r>
            <w:r>
              <w:t>配套相关科室医疗设备、信息化设备</w:t>
            </w:r>
            <w:r>
              <w:rPr>
                <w:rFonts w:hint="eastAsia"/>
                <w:lang w:eastAsia="zh-CN"/>
              </w:rPr>
              <w:t>及相关</w:t>
            </w:r>
            <w:r>
              <w:rPr>
                <w:rFonts w:hint="default"/>
              </w:rPr>
              <w:t>辅助设施</w:t>
            </w:r>
            <w:r>
              <w:rPr>
                <w:rFonts w:hint="eastAsia"/>
                <w:lang w:eastAsia="zh-CN"/>
              </w:rPr>
              <w:t>、环保设施等</w:t>
            </w:r>
            <w:r>
              <w:rPr>
                <w:rFonts w:hint="eastAsia"/>
                <w:lang w:val="en-US" w:eastAsia="zh-CN"/>
              </w:rPr>
              <w:t>，</w:t>
            </w:r>
            <w:r>
              <w:rPr>
                <w:rFonts w:hint="eastAsia"/>
                <w:u w:val="single"/>
                <w:lang w:val="en-US" w:eastAsia="zh-CN"/>
              </w:rPr>
              <w:t>建成集老年常见病、多发病的预防、保健和治疗于一体的全市老年健康综合体。</w:t>
            </w:r>
          </w:p>
          <w:p>
            <w:pPr>
              <w:pStyle w:val="12"/>
              <w:bidi w:val="0"/>
              <w:rPr>
                <w:rFonts w:hint="eastAsia"/>
              </w:rPr>
            </w:pPr>
            <w:r>
              <w:rPr>
                <w:rFonts w:hint="default"/>
                <w:lang w:eastAsia="zh-CN"/>
              </w:rPr>
              <w:t>按照国家《中华人民共和国环境</w:t>
            </w:r>
            <w:r>
              <w:rPr>
                <w:rFonts w:hint="eastAsia"/>
                <w:lang w:val="en-US" w:eastAsia="zh-CN"/>
              </w:rPr>
              <w:t>保</w:t>
            </w:r>
            <w:r>
              <w:rPr>
                <w:rFonts w:hint="default"/>
                <w:lang w:eastAsia="zh-CN"/>
              </w:rPr>
              <w:t>护法》、《中华人民共和国环境影响评价法》、《建设项目环境保护管理条例》、</w:t>
            </w:r>
            <w:r>
              <w:rPr>
                <w:rFonts w:hint="eastAsia"/>
                <w:lang w:val="en-US" w:eastAsia="zh-CN"/>
              </w:rPr>
              <w:t>根据《建设项目环境影响评价分类管理名录》（</w:t>
            </w:r>
            <w:r>
              <w:rPr>
                <w:rFonts w:hint="default"/>
                <w:lang w:val="en-US" w:eastAsia="zh-CN"/>
              </w:rPr>
              <w:t xml:space="preserve">2021 </w:t>
            </w:r>
            <w:r>
              <w:rPr>
                <w:rFonts w:hint="eastAsia"/>
                <w:lang w:val="en-US" w:eastAsia="zh-CN"/>
              </w:rPr>
              <w:t>版）</w:t>
            </w:r>
            <w:r>
              <w:rPr>
                <w:rFonts w:hint="default"/>
                <w:lang w:eastAsia="zh-CN"/>
              </w:rPr>
              <w:t>的规定，本项目</w:t>
            </w:r>
            <w:r>
              <w:rPr>
                <w:rFonts w:hint="eastAsia"/>
                <w:lang w:val="en-US" w:eastAsia="zh-CN"/>
              </w:rPr>
              <w:t>床位300张，属于名录中“</w:t>
            </w:r>
            <w:r>
              <w:t>四十九、卫生</w:t>
            </w:r>
            <w:r>
              <w:rPr>
                <w:rFonts w:hint="eastAsia"/>
                <w:lang w:val="en-US" w:eastAsia="zh-CN"/>
              </w:rPr>
              <w:t>84 -</w:t>
            </w:r>
            <w:r>
              <w:t>108</w:t>
            </w:r>
            <w:r>
              <w:rPr>
                <w:rFonts w:hint="eastAsia"/>
                <w:lang w:val="en-US" w:eastAsia="zh-CN"/>
              </w:rPr>
              <w:t>医院</w:t>
            </w:r>
            <w:r>
              <w:rPr>
                <w:rFonts w:hint="eastAsia"/>
                <w:lang w:eastAsia="zh-CN"/>
              </w:rPr>
              <w:t>（</w:t>
            </w:r>
            <w:r>
              <w:rPr>
                <w:rFonts w:hint="eastAsia"/>
                <w:lang w:val="en-US" w:eastAsia="zh-CN"/>
              </w:rPr>
              <w:t>841</w:t>
            </w:r>
            <w:r>
              <w:rPr>
                <w:rFonts w:hint="eastAsia"/>
                <w:lang w:eastAsia="zh-CN"/>
              </w:rPr>
              <w:t>）</w:t>
            </w:r>
            <w:r>
              <w:rPr>
                <w:lang w:val="en-US" w:eastAsia="zh-CN"/>
              </w:rPr>
              <w:t>-其他</w:t>
            </w:r>
            <w:r>
              <w:rPr>
                <w:rFonts w:hint="eastAsia"/>
                <w:lang w:val="en-US" w:eastAsia="zh-CN"/>
              </w:rPr>
              <w:t>（住院床位20张以下的除外）”</w:t>
            </w:r>
            <w:r>
              <w:rPr>
                <w:rFonts w:hint="default"/>
                <w:lang w:eastAsia="zh-CN"/>
              </w:rPr>
              <w:t>，应编制环境影响报告表。因此，</w:t>
            </w:r>
            <w:r>
              <w:rPr>
                <w:rFonts w:hint="eastAsia"/>
                <w:lang w:val="en-US" w:eastAsia="zh-CN"/>
              </w:rPr>
              <w:t>永州市第四人民医院</w:t>
            </w:r>
            <w:r>
              <w:rPr>
                <w:rFonts w:hint="default"/>
                <w:lang w:eastAsia="zh-CN"/>
              </w:rPr>
              <w:t>委托我公司编制</w:t>
            </w:r>
            <w:r>
              <w:rPr>
                <w:rFonts w:hint="eastAsia"/>
                <w:lang w:eastAsia="zh-CN"/>
              </w:rPr>
              <w:t>“</w:t>
            </w:r>
            <w:r>
              <w:rPr>
                <w:rFonts w:hint="eastAsia"/>
                <w:lang w:val="en-US" w:eastAsia="zh-CN"/>
              </w:rPr>
              <w:t>永州市第四人民医院（市老年医院）服务能力提升项目</w:t>
            </w:r>
            <w:r>
              <w:rPr>
                <w:rFonts w:hint="default"/>
                <w:lang w:eastAsia="zh-CN"/>
              </w:rPr>
              <w:t>环境影响报告表</w:t>
            </w:r>
            <w:r>
              <w:rPr>
                <w:rFonts w:hint="eastAsia"/>
                <w:lang w:eastAsia="zh-CN"/>
              </w:rPr>
              <w:t>”</w:t>
            </w:r>
            <w:r>
              <w:rPr>
                <w:rFonts w:hint="default"/>
                <w:lang w:eastAsia="zh-CN"/>
              </w:rPr>
              <w:t>。</w:t>
            </w:r>
            <w:r>
              <w:rPr>
                <w:rFonts w:hint="eastAsia"/>
                <w:lang w:val="en-US" w:eastAsia="zh-CN"/>
              </w:rPr>
              <w:t>我公司</w:t>
            </w:r>
            <w:r>
              <w:rPr>
                <w:rFonts w:hint="default"/>
                <w:lang w:eastAsia="zh-CN"/>
              </w:rPr>
              <w:t>接受委托后，及时组织有关专业人员组成工作组，在认真研读项目的有关文件资料、现场踏勘和现状监测等的基础上，编制完成了《</w:t>
            </w:r>
            <w:r>
              <w:rPr>
                <w:rFonts w:hint="eastAsia"/>
                <w:lang w:val="en-US" w:eastAsia="zh-CN"/>
              </w:rPr>
              <w:t>永州市第四人民医院（市老年医院）服务能力提升项目</w:t>
            </w:r>
            <w:r>
              <w:rPr>
                <w:rFonts w:hint="default"/>
                <w:lang w:eastAsia="zh-CN"/>
              </w:rPr>
              <w:t>环境影响报告表》，供建设单位上报审批。医院建设和运营过程中涉及的辐射设备及其影响应委托其他资质单位另行环评，本报告不对辐射相关影响进行评价。</w:t>
            </w:r>
          </w:p>
          <w:p>
            <w:pPr>
              <w:bidi w:val="0"/>
              <w:rPr>
                <w:b/>
                <w:bCs/>
              </w:rPr>
            </w:pPr>
            <w:r>
              <w:rPr>
                <w:rFonts w:hint="eastAsia"/>
                <w:b/>
                <w:bCs/>
                <w:lang w:val="en-US" w:eastAsia="zh-CN"/>
              </w:rPr>
              <w:t>2</w:t>
            </w:r>
            <w:r>
              <w:rPr>
                <w:rFonts w:hint="eastAsia"/>
                <w:b/>
                <w:bCs/>
              </w:rPr>
              <w:t>、</w:t>
            </w:r>
            <w:r>
              <w:rPr>
                <w:b/>
                <w:bCs/>
              </w:rPr>
              <w:t>项目建设内容</w:t>
            </w:r>
          </w:p>
          <w:p>
            <w:pPr>
              <w:pStyle w:val="12"/>
              <w:numPr>
                <w:ilvl w:val="0"/>
                <w:numId w:val="3"/>
              </w:numPr>
              <w:bidi w:val="0"/>
            </w:pPr>
            <w:r>
              <w:t>项目名称：</w:t>
            </w:r>
            <w:r>
              <w:rPr>
                <w:rFonts w:hint="eastAsia" w:ascii="Times New Roman" w:hAnsi="Times New Roman" w:eastAsia="宋体" w:cs="Times New Roman"/>
                <w:color w:val="auto"/>
                <w:sz w:val="24"/>
                <w:szCs w:val="24"/>
                <w:highlight w:val="none"/>
                <w:lang w:val="en-US" w:eastAsia="zh-CN"/>
              </w:rPr>
              <w:t>永州市第四人民医院（市老年医院）服务能力提升项目</w:t>
            </w:r>
            <w:r>
              <w:t>；</w:t>
            </w:r>
          </w:p>
          <w:p>
            <w:pPr>
              <w:pStyle w:val="12"/>
              <w:ind w:firstLine="480"/>
            </w:pPr>
            <w:r>
              <w:t>（2）建设单位：</w:t>
            </w:r>
            <w:r>
              <w:rPr>
                <w:rFonts w:hint="eastAsia" w:ascii="Times New Roman" w:hAnsi="Times New Roman" w:eastAsia="宋体" w:cs="Times New Roman"/>
                <w:color w:val="auto"/>
                <w:sz w:val="24"/>
                <w:szCs w:val="24"/>
                <w:highlight w:val="none"/>
                <w:lang w:val="en-US" w:eastAsia="zh-CN"/>
              </w:rPr>
              <w:t>永州市第四人民医院</w:t>
            </w:r>
            <w:r>
              <w:t>；</w:t>
            </w:r>
          </w:p>
          <w:p>
            <w:pPr>
              <w:pStyle w:val="12"/>
              <w:bidi w:val="0"/>
            </w:pPr>
            <w:r>
              <w:t>（3）建设性质：</w:t>
            </w:r>
            <w:r>
              <w:rPr>
                <w:rFonts w:hAnsi="宋体"/>
                <w:szCs w:val="21"/>
              </w:rPr>
              <w:t>新建</w:t>
            </w:r>
            <w:r>
              <w:t xml:space="preserve">； </w:t>
            </w:r>
          </w:p>
          <w:p>
            <w:pPr>
              <w:pStyle w:val="12"/>
              <w:bidi w:val="0"/>
            </w:pPr>
            <w:r>
              <w:t>（4）建设地址：</w:t>
            </w:r>
            <w:r>
              <w:rPr>
                <w:rFonts w:hint="eastAsia" w:ascii="Times New Roman" w:hAnsi="Times New Roman" w:eastAsia="宋体" w:cs="Times New Roman"/>
                <w:color w:val="auto"/>
                <w:sz w:val="24"/>
                <w:szCs w:val="24"/>
                <w:highlight w:val="none"/>
                <w:lang w:val="en-US" w:eastAsia="zh-CN"/>
              </w:rPr>
              <w:t>永州市零陵区阳明大道386号</w:t>
            </w:r>
            <w:r>
              <w:t>；</w:t>
            </w:r>
          </w:p>
          <w:p>
            <w:pPr>
              <w:pStyle w:val="12"/>
              <w:bidi w:val="0"/>
            </w:pPr>
            <w:r>
              <w:t>（5）项目投资：总投资</w:t>
            </w:r>
            <w:r>
              <w:rPr>
                <w:rFonts w:hint="eastAsia"/>
                <w:lang w:val="en-US" w:eastAsia="zh-CN"/>
              </w:rPr>
              <w:t>9000万元</w:t>
            </w:r>
            <w:r>
              <w:t>；</w:t>
            </w:r>
          </w:p>
          <w:p>
            <w:pPr>
              <w:pStyle w:val="12"/>
              <w:bidi w:val="0"/>
            </w:pPr>
            <w:r>
              <w:t>（6）项目用地：本项目总用地面积</w:t>
            </w:r>
            <w:r>
              <w:rPr>
                <w:rFonts w:hint="eastAsia" w:ascii="Times New Roman" w:hAnsi="Times New Roman" w:eastAsia="宋体" w:cs="Times New Roman"/>
                <w:color w:val="auto"/>
                <w:sz w:val="24"/>
                <w:szCs w:val="24"/>
                <w:highlight w:val="none"/>
                <w:lang w:val="en-US" w:eastAsia="zh-CN"/>
              </w:rPr>
              <w:t>11613</w:t>
            </w:r>
            <w:r>
              <w:rPr>
                <w:rFonts w:hint="eastAsia" w:cs="Times New Roman"/>
                <w:color w:val="auto"/>
                <w:sz w:val="24"/>
                <w:szCs w:val="24"/>
                <w:highlight w:val="none"/>
                <w:lang w:val="en-US" w:eastAsia="zh-CN"/>
              </w:rPr>
              <w:t>.3</w:t>
            </w:r>
            <w:r>
              <w:rPr>
                <w:rFonts w:hint="eastAsia"/>
              </w:rPr>
              <w:t>m²</w:t>
            </w:r>
            <w:r>
              <w:t>；</w:t>
            </w:r>
          </w:p>
          <w:p>
            <w:pPr>
              <w:pStyle w:val="12"/>
              <w:bidi w:val="0"/>
              <w:rPr>
                <w:rFonts w:hint="eastAsia"/>
                <w:lang w:val="en-US" w:eastAsia="zh-CN"/>
              </w:rPr>
            </w:pPr>
            <w:r>
              <w:t>（7）建设规模：</w:t>
            </w:r>
            <w:r>
              <w:rPr>
                <w:rFonts w:hint="eastAsia"/>
                <w:spacing w:val="-6"/>
                <w:sz w:val="24"/>
                <w:vertAlign w:val="baseline"/>
                <w:lang w:eastAsia="zh-CN"/>
              </w:rPr>
              <w:t>设置</w:t>
            </w:r>
            <w:r>
              <w:rPr>
                <w:rFonts w:hint="eastAsia"/>
                <w:lang w:val="en-US" w:eastAsia="zh-CN"/>
              </w:rPr>
              <w:t>床位300张</w:t>
            </w:r>
            <w:r>
              <w:t>。</w:t>
            </w:r>
          </w:p>
          <w:p>
            <w:pPr>
              <w:pStyle w:val="12"/>
              <w:bidi w:val="0"/>
            </w:pPr>
            <w:r>
              <w:rPr>
                <w:rFonts w:hint="eastAsia"/>
                <w:lang w:val="en-US" w:eastAsia="zh-CN"/>
              </w:rPr>
              <w:t>项目</w:t>
            </w:r>
            <w:r>
              <w:rPr>
                <w:rFonts w:hint="default"/>
                <w:lang w:val="en-US" w:eastAsia="zh-CN"/>
              </w:rPr>
              <w:t>位于</w:t>
            </w:r>
            <w:r>
              <w:rPr>
                <w:rFonts w:hint="eastAsia"/>
                <w:lang w:val="en-US" w:eastAsia="zh-CN"/>
              </w:rPr>
              <w:t>永州市零陵区阳明大道386号</w:t>
            </w:r>
            <w:r>
              <w:rPr>
                <w:rFonts w:hint="default"/>
                <w:lang w:eastAsia="zh-CN"/>
              </w:rPr>
              <w:t>，</w:t>
            </w:r>
            <w:r>
              <w:rPr>
                <w:rFonts w:hint="default"/>
              </w:rPr>
              <w:t>项目总用地面积</w:t>
            </w:r>
            <w:r>
              <w:rPr>
                <w:rFonts w:hint="default"/>
                <w:lang w:val="en-US" w:eastAsia="zh-CN"/>
              </w:rPr>
              <w:t>17.42</w:t>
            </w:r>
            <w:r>
              <w:rPr>
                <w:lang w:val="en-US" w:eastAsia="zh-CN"/>
              </w:rPr>
              <w:t>亩，建筑面积</w:t>
            </w:r>
            <w:r>
              <w:rPr>
                <w:rFonts w:hint="default"/>
                <w:lang w:val="en-US" w:eastAsia="zh-CN"/>
              </w:rPr>
              <w:t>44300m²</w:t>
            </w:r>
            <w:r>
              <w:rPr>
                <w:rFonts w:hint="default"/>
              </w:rPr>
              <w:t>，</w:t>
            </w:r>
            <w:r>
              <w:rPr>
                <w:rFonts w:hint="default"/>
                <w:lang w:val="en-US" w:eastAsia="zh-CN"/>
              </w:rPr>
              <w:t>项目设置</w:t>
            </w:r>
            <w:r>
              <w:rPr>
                <w:rFonts w:hint="default"/>
              </w:rPr>
              <w:t>病床</w:t>
            </w:r>
            <w:r>
              <w:rPr>
                <w:rFonts w:hint="eastAsia"/>
                <w:lang w:val="en-US" w:eastAsia="zh-CN"/>
              </w:rPr>
              <w:t>300张</w:t>
            </w:r>
            <w:r>
              <w:rPr>
                <w:rFonts w:hint="default"/>
              </w:rPr>
              <w:t>。项目建设内容及组成</w:t>
            </w:r>
            <w:r>
              <w:rPr>
                <w:rFonts w:hint="eastAsia"/>
                <w:lang w:eastAsia="zh-CN"/>
              </w:rPr>
              <w:t>、</w:t>
            </w:r>
            <w:r>
              <w:rPr>
                <w:rFonts w:hint="default"/>
              </w:rPr>
              <w:t>主要建</w:t>
            </w:r>
            <w:r>
              <w:rPr>
                <w:rFonts w:hint="eastAsia"/>
                <w:lang w:eastAsia="zh-CN"/>
              </w:rPr>
              <w:t>（</w:t>
            </w:r>
            <w:r>
              <w:rPr>
                <w:rFonts w:hint="default"/>
              </w:rPr>
              <w:t>构</w:t>
            </w:r>
            <w:r>
              <w:rPr>
                <w:rFonts w:hint="eastAsia"/>
                <w:lang w:eastAsia="zh-CN"/>
              </w:rPr>
              <w:t>）</w:t>
            </w:r>
            <w:r>
              <w:rPr>
                <w:rFonts w:hint="default"/>
              </w:rPr>
              <w:t>筑物及其功能布局</w:t>
            </w:r>
            <w:r>
              <w:rPr>
                <w:rFonts w:hint="default"/>
                <w:lang w:eastAsia="zh-CN"/>
              </w:rPr>
              <w:t>详见</w:t>
            </w:r>
            <w:r>
              <w:rPr>
                <w:rFonts w:hint="eastAsia"/>
                <w:lang w:eastAsia="zh-CN"/>
              </w:rPr>
              <w:t>下</w:t>
            </w:r>
            <w:r>
              <w:rPr>
                <w:rFonts w:hint="default"/>
              </w:rPr>
              <w:t>表</w:t>
            </w:r>
            <w:r>
              <w:rPr>
                <w:rFonts w:hint="default"/>
                <w:lang w:val="en-US" w:eastAsia="zh-CN"/>
              </w:rPr>
              <w:t>。</w:t>
            </w:r>
          </w:p>
          <w:p>
            <w:pPr>
              <w:pStyle w:val="29"/>
              <w:bidi w:val="0"/>
            </w:pPr>
            <w:r>
              <w:t>表</w:t>
            </w:r>
            <w:r>
              <w:rPr>
                <w:rFonts w:hint="eastAsia"/>
              </w:rPr>
              <w:t>2</w:t>
            </w:r>
            <w:r>
              <w:rPr>
                <w:rFonts w:hint="eastAsia"/>
                <w:lang w:val="en-US" w:eastAsia="zh-CN"/>
              </w:rPr>
              <w:t>.1</w:t>
            </w:r>
            <w:r>
              <w:rPr>
                <w:rFonts w:hint="eastAsia"/>
              </w:rPr>
              <w:t>-</w:t>
            </w:r>
            <w:r>
              <w:rPr>
                <w:rFonts w:hint="eastAsia"/>
                <w:lang w:val="en-US" w:eastAsia="zh-CN"/>
              </w:rPr>
              <w:t>1</w:t>
            </w:r>
            <w:r>
              <w:t xml:space="preserve">  项目建设组成一览表</w:t>
            </w:r>
          </w:p>
          <w:tbl>
            <w:tblPr>
              <w:tblStyle w:val="27"/>
              <w:tblW w:w="90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1406"/>
              <w:gridCol w:w="5806"/>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3" w:type="dxa"/>
                  <w:noWrap w:val="0"/>
                  <w:vAlign w:val="center"/>
                </w:tcPr>
                <w:p>
                  <w:pPr>
                    <w:pStyle w:val="30"/>
                    <w:bidi w:val="0"/>
                  </w:pPr>
                  <w:r>
                    <w:t>工程类别</w:t>
                  </w:r>
                </w:p>
              </w:tc>
              <w:tc>
                <w:tcPr>
                  <w:tcW w:w="1406" w:type="dxa"/>
                  <w:noWrap w:val="0"/>
                  <w:vAlign w:val="center"/>
                </w:tcPr>
                <w:p>
                  <w:pPr>
                    <w:pStyle w:val="30"/>
                    <w:bidi w:val="0"/>
                  </w:pPr>
                  <w:r>
                    <w:t>工程名称</w:t>
                  </w:r>
                </w:p>
              </w:tc>
              <w:tc>
                <w:tcPr>
                  <w:tcW w:w="5806" w:type="dxa"/>
                  <w:noWrap w:val="0"/>
                  <w:vAlign w:val="center"/>
                </w:tcPr>
                <w:p>
                  <w:pPr>
                    <w:pStyle w:val="30"/>
                    <w:bidi w:val="0"/>
                  </w:pPr>
                  <w:r>
                    <w:t>工程内容</w:t>
                  </w:r>
                </w:p>
              </w:tc>
              <w:tc>
                <w:tcPr>
                  <w:tcW w:w="860" w:type="dxa"/>
                  <w:noWrap w:val="0"/>
                  <w:vAlign w:val="center"/>
                </w:tcPr>
                <w:p>
                  <w:pPr>
                    <w:pStyle w:val="30"/>
                    <w:bidi w:val="0"/>
                    <w:rPr>
                      <w:rFonts w:hint="eastAsia"/>
                      <w:lang w:val="en-US" w:eastAsia="zh-CN"/>
                    </w:rPr>
                  </w:pPr>
                  <w:r>
                    <w:rPr>
                      <w:rFonts w:hint="eastAsia"/>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3" w:type="dxa"/>
                  <w:noWrap w:val="0"/>
                  <w:vAlign w:val="center"/>
                </w:tcPr>
                <w:p>
                  <w:pPr>
                    <w:pStyle w:val="30"/>
                    <w:bidi w:val="0"/>
                  </w:pPr>
                  <w:r>
                    <w:t>主体工程</w:t>
                  </w:r>
                </w:p>
              </w:tc>
              <w:tc>
                <w:tcPr>
                  <w:tcW w:w="1406" w:type="dxa"/>
                  <w:noWrap w:val="0"/>
                  <w:vAlign w:val="center"/>
                </w:tcPr>
                <w:p>
                  <w:pPr>
                    <w:pStyle w:val="30"/>
                    <w:bidi w:val="0"/>
                    <w:rPr>
                      <w:rFonts w:hint="eastAsia"/>
                      <w:lang w:eastAsia="zh-CN"/>
                    </w:rPr>
                  </w:pPr>
                  <w:r>
                    <w:rPr>
                      <w:rFonts w:hint="eastAsia"/>
                      <w:lang w:val="en-US" w:eastAsia="zh-CN"/>
                    </w:rPr>
                    <w:t>新综合大楼</w:t>
                  </w:r>
                </w:p>
              </w:tc>
              <w:tc>
                <w:tcPr>
                  <w:tcW w:w="5806" w:type="dxa"/>
                  <w:noWrap w:val="0"/>
                  <w:vAlign w:val="center"/>
                </w:tcPr>
                <w:p>
                  <w:pPr>
                    <w:pStyle w:val="30"/>
                    <w:bidi w:val="0"/>
                    <w:rPr>
                      <w:rFonts w:hint="default"/>
                      <w:lang w:val="en-US" w:eastAsia="zh-CN"/>
                    </w:rPr>
                  </w:pPr>
                  <w:r>
                    <w:rPr>
                      <w:rFonts w:hint="eastAsia"/>
                    </w:rPr>
                    <w:t>建筑面积约为</w:t>
                  </w:r>
                  <w:r>
                    <w:rPr>
                      <w:rFonts w:hint="default"/>
                      <w:lang w:val="en-US" w:eastAsia="zh-CN"/>
                    </w:rPr>
                    <w:t>44300m²</w:t>
                  </w:r>
                  <w:r>
                    <w:rPr>
                      <w:rFonts w:hint="eastAsia"/>
                    </w:rPr>
                    <w:t>，</w:t>
                  </w:r>
                  <w:r>
                    <w:rPr>
                      <w:lang w:val="en-US" w:eastAsia="zh-CN"/>
                    </w:rPr>
                    <w:t>地下</w:t>
                  </w:r>
                  <w:r>
                    <w:rPr>
                      <w:rFonts w:hint="default"/>
                      <w:lang w:val="en-US" w:eastAsia="zh-CN"/>
                    </w:rPr>
                    <w:t>2</w:t>
                  </w:r>
                  <w:r>
                    <w:rPr>
                      <w:lang w:val="en-US" w:eastAsia="zh-CN"/>
                    </w:rPr>
                    <w:t>层，地上</w:t>
                  </w:r>
                  <w:r>
                    <w:rPr>
                      <w:rFonts w:hint="default"/>
                      <w:lang w:val="en-US" w:eastAsia="zh-CN"/>
                    </w:rPr>
                    <w:t>16</w:t>
                  </w:r>
                  <w:r>
                    <w:rPr>
                      <w:lang w:val="en-US" w:eastAsia="zh-CN"/>
                    </w:rPr>
                    <w:t>层</w:t>
                  </w:r>
                  <w:r>
                    <w:rPr>
                      <w:rFonts w:hint="eastAsia"/>
                      <w:lang w:val="en-US" w:eastAsia="zh-CN"/>
                    </w:rPr>
                    <w:t>。</w:t>
                  </w:r>
                </w:p>
              </w:tc>
              <w:tc>
                <w:tcPr>
                  <w:tcW w:w="860" w:type="dxa"/>
                  <w:noWrap w:val="0"/>
                  <w:vAlign w:val="center"/>
                </w:tcPr>
                <w:p>
                  <w:pPr>
                    <w:pStyle w:val="30"/>
                    <w:bidi w:val="0"/>
                    <w:rPr>
                      <w:rFonts w:hint="default"/>
                      <w:lang w:val="en-US" w:eastAsia="zh-CN"/>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3" w:type="dxa"/>
                  <w:vMerge w:val="restart"/>
                  <w:noWrap w:val="0"/>
                  <w:vAlign w:val="center"/>
                </w:tcPr>
                <w:p>
                  <w:pPr>
                    <w:pStyle w:val="30"/>
                    <w:bidi w:val="0"/>
                  </w:pPr>
                  <w:r>
                    <w:t>公用工程</w:t>
                  </w:r>
                </w:p>
              </w:tc>
              <w:tc>
                <w:tcPr>
                  <w:tcW w:w="1406" w:type="dxa"/>
                  <w:shd w:val="clear" w:color="auto" w:fill="auto"/>
                  <w:noWrap w:val="0"/>
                  <w:vAlign w:val="center"/>
                </w:tcPr>
                <w:p>
                  <w:pPr>
                    <w:pStyle w:val="30"/>
                    <w:rPr>
                      <w:rFonts w:hint="eastAsia" w:ascii="Times New Roman" w:hAnsi="Times New Roman" w:eastAsia="宋体" w:cstheme="minorBidi"/>
                      <w:snapToGrid w:val="0"/>
                      <w:spacing w:val="6"/>
                      <w:kern w:val="2"/>
                      <w:sz w:val="21"/>
                      <w:szCs w:val="21"/>
                      <w:lang w:val="en-US" w:eastAsia="zh-CN" w:bidi="ar-SA"/>
                    </w:rPr>
                  </w:pPr>
                  <w:r>
                    <w:rPr>
                      <w:sz w:val="21"/>
                      <w:szCs w:val="21"/>
                      <w:lang w:val="en-US" w:eastAsia="zh-CN"/>
                    </w:rPr>
                    <w:t>供电</w:t>
                  </w:r>
                </w:p>
              </w:tc>
              <w:tc>
                <w:tcPr>
                  <w:tcW w:w="5806" w:type="dxa"/>
                  <w:shd w:val="clear" w:color="auto" w:fill="auto"/>
                  <w:noWrap w:val="0"/>
                  <w:vAlign w:val="center"/>
                </w:tcPr>
                <w:p>
                  <w:pPr>
                    <w:pStyle w:val="30"/>
                    <w:rPr>
                      <w:rFonts w:hint="eastAsia" w:ascii="Times New Roman" w:hAnsi="Times New Roman" w:eastAsia="宋体" w:cstheme="minorBidi"/>
                      <w:snapToGrid w:val="0"/>
                      <w:spacing w:val="6"/>
                      <w:kern w:val="2"/>
                      <w:sz w:val="21"/>
                      <w:szCs w:val="21"/>
                      <w:lang w:val="en-US" w:eastAsia="zh-CN" w:bidi="ar-SA"/>
                    </w:rPr>
                  </w:pPr>
                  <w:r>
                    <w:rPr>
                      <w:sz w:val="21"/>
                      <w:szCs w:val="21"/>
                      <w:lang w:val="en-US" w:eastAsia="zh-CN"/>
                    </w:rPr>
                    <w:t>市政电网供电，</w:t>
                  </w:r>
                  <w:r>
                    <w:rPr>
                      <w:rFonts w:hint="eastAsia"/>
                      <w:sz w:val="21"/>
                      <w:szCs w:val="21"/>
                      <w:lang w:val="en-US" w:eastAsia="zh-CN"/>
                    </w:rPr>
                    <w:t>各</w:t>
                  </w:r>
                  <w:r>
                    <w:rPr>
                      <w:sz w:val="21"/>
                      <w:szCs w:val="21"/>
                      <w:lang w:val="en-US" w:eastAsia="zh-CN"/>
                    </w:rPr>
                    <w:t>配置备用</w:t>
                  </w:r>
                  <w:r>
                    <w:rPr>
                      <w:rFonts w:hint="eastAsia"/>
                      <w:sz w:val="21"/>
                      <w:szCs w:val="21"/>
                      <w:lang w:val="en-US" w:eastAsia="zh-CN"/>
                    </w:rPr>
                    <w:t>1</w:t>
                  </w:r>
                  <w:r>
                    <w:rPr>
                      <w:sz w:val="21"/>
                      <w:szCs w:val="21"/>
                      <w:lang w:val="en-US" w:eastAsia="zh-CN"/>
                    </w:rPr>
                    <w:t>台柴油发电机（300KW）</w:t>
                  </w:r>
                </w:p>
              </w:tc>
              <w:tc>
                <w:tcPr>
                  <w:tcW w:w="860" w:type="dxa"/>
                  <w:noWrap w:val="0"/>
                  <w:vAlign w:val="center"/>
                </w:tcPr>
                <w:p>
                  <w:pPr>
                    <w:pStyle w:val="30"/>
                    <w:bidi w:val="0"/>
                    <w:rPr>
                      <w:rFonts w:hint="eastAsia"/>
                      <w:lang w:val="en-US" w:eastAsia="zh-CN"/>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3" w:type="dxa"/>
                  <w:vMerge w:val="continue"/>
                  <w:noWrap w:val="0"/>
                  <w:vAlign w:val="center"/>
                </w:tcPr>
                <w:p>
                  <w:pPr>
                    <w:pStyle w:val="30"/>
                    <w:bidi w:val="0"/>
                  </w:pPr>
                </w:p>
              </w:tc>
              <w:tc>
                <w:tcPr>
                  <w:tcW w:w="1406" w:type="dxa"/>
                  <w:shd w:val="clear" w:color="auto" w:fill="auto"/>
                  <w:noWrap w:val="0"/>
                  <w:vAlign w:val="center"/>
                </w:tcPr>
                <w:p>
                  <w:pPr>
                    <w:pStyle w:val="30"/>
                    <w:rPr>
                      <w:rFonts w:hint="eastAsia" w:ascii="Times New Roman" w:hAnsi="Times New Roman" w:eastAsia="宋体" w:cstheme="minorBidi"/>
                      <w:snapToGrid w:val="0"/>
                      <w:spacing w:val="6"/>
                      <w:kern w:val="2"/>
                      <w:sz w:val="21"/>
                      <w:szCs w:val="21"/>
                      <w:lang w:val="en-US" w:eastAsia="zh-CN" w:bidi="ar-SA"/>
                    </w:rPr>
                  </w:pPr>
                  <w:r>
                    <w:rPr>
                      <w:sz w:val="21"/>
                      <w:szCs w:val="21"/>
                      <w:lang w:val="en-US" w:eastAsia="zh-CN"/>
                    </w:rPr>
                    <w:t>供水</w:t>
                  </w:r>
                </w:p>
              </w:tc>
              <w:tc>
                <w:tcPr>
                  <w:tcW w:w="5806" w:type="dxa"/>
                  <w:shd w:val="clear" w:color="auto" w:fill="auto"/>
                  <w:noWrap w:val="0"/>
                  <w:vAlign w:val="center"/>
                </w:tcPr>
                <w:p>
                  <w:pPr>
                    <w:pStyle w:val="30"/>
                    <w:rPr>
                      <w:rFonts w:hint="eastAsia" w:ascii="Times New Roman" w:hAnsi="Times New Roman" w:eastAsia="宋体" w:cstheme="minorBidi"/>
                      <w:snapToGrid w:val="0"/>
                      <w:spacing w:val="6"/>
                      <w:kern w:val="2"/>
                      <w:sz w:val="21"/>
                      <w:szCs w:val="21"/>
                      <w:lang w:val="en-US" w:eastAsia="zh-CN" w:bidi="ar-SA"/>
                    </w:rPr>
                  </w:pPr>
                  <w:r>
                    <w:rPr>
                      <w:sz w:val="21"/>
                      <w:szCs w:val="21"/>
                      <w:lang w:val="en-US" w:eastAsia="zh-CN"/>
                    </w:rPr>
                    <w:t>由当地自来水管网提供</w:t>
                  </w:r>
                </w:p>
              </w:tc>
              <w:tc>
                <w:tcPr>
                  <w:tcW w:w="860" w:type="dxa"/>
                  <w:noWrap w:val="0"/>
                  <w:vAlign w:val="center"/>
                </w:tcPr>
                <w:p>
                  <w:pPr>
                    <w:pStyle w:val="30"/>
                    <w:bidi w:val="0"/>
                    <w:rPr>
                      <w:rFonts w:hint="eastAsia"/>
                      <w:lang w:val="en-US" w:eastAsia="zh-CN"/>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3" w:type="dxa"/>
                  <w:vMerge w:val="continue"/>
                  <w:noWrap w:val="0"/>
                  <w:vAlign w:val="center"/>
                </w:tcPr>
                <w:p>
                  <w:pPr>
                    <w:pStyle w:val="30"/>
                    <w:bidi w:val="0"/>
                  </w:pPr>
                </w:p>
              </w:tc>
              <w:tc>
                <w:tcPr>
                  <w:tcW w:w="1406" w:type="dxa"/>
                  <w:shd w:val="clear" w:color="auto" w:fill="auto"/>
                  <w:noWrap w:val="0"/>
                  <w:vAlign w:val="center"/>
                </w:tcPr>
                <w:p>
                  <w:pPr>
                    <w:pStyle w:val="30"/>
                    <w:rPr>
                      <w:rFonts w:hint="eastAsia" w:ascii="Times New Roman" w:hAnsi="Times New Roman" w:eastAsia="宋体" w:cstheme="minorBidi"/>
                      <w:snapToGrid w:val="0"/>
                      <w:spacing w:val="6"/>
                      <w:kern w:val="2"/>
                      <w:sz w:val="21"/>
                      <w:szCs w:val="21"/>
                      <w:lang w:val="en-US" w:eastAsia="zh-CN" w:bidi="ar-SA"/>
                    </w:rPr>
                  </w:pPr>
                  <w:r>
                    <w:rPr>
                      <w:rFonts w:hint="eastAsia"/>
                      <w:sz w:val="21"/>
                      <w:szCs w:val="21"/>
                      <w:lang w:val="en-US" w:eastAsia="zh-CN"/>
                    </w:rPr>
                    <w:t>排水</w:t>
                  </w:r>
                </w:p>
              </w:tc>
              <w:tc>
                <w:tcPr>
                  <w:tcW w:w="5806" w:type="dxa"/>
                  <w:shd w:val="clear" w:color="auto" w:fill="auto"/>
                  <w:noWrap w:val="0"/>
                  <w:vAlign w:val="center"/>
                </w:tcPr>
                <w:p>
                  <w:pPr>
                    <w:pStyle w:val="30"/>
                    <w:rPr>
                      <w:sz w:val="21"/>
                      <w:szCs w:val="21"/>
                      <w:lang w:val="en-US" w:eastAsia="zh-CN"/>
                    </w:rPr>
                  </w:pPr>
                  <w:r>
                    <w:rPr>
                      <w:sz w:val="21"/>
                      <w:szCs w:val="21"/>
                      <w:lang w:val="en-US" w:eastAsia="zh-CN"/>
                    </w:rPr>
                    <w:t>采用雨、污分流制。</w:t>
                  </w:r>
                  <w:r>
                    <w:rPr>
                      <w:rFonts w:hint="eastAsia"/>
                      <w:sz w:val="21"/>
                      <w:szCs w:val="21"/>
                      <w:lang w:val="en-US" w:eastAsia="zh-CN"/>
                    </w:rPr>
                    <w:t>雨水</w:t>
                  </w:r>
                  <w:r>
                    <w:rPr>
                      <w:sz w:val="21"/>
                      <w:szCs w:val="21"/>
                      <w:lang w:val="en-US" w:eastAsia="zh-CN"/>
                    </w:rPr>
                    <w:t>通过雨水管网排入市政雨水管网。</w:t>
                  </w:r>
                </w:p>
                <w:p>
                  <w:pPr>
                    <w:pStyle w:val="30"/>
                    <w:rPr>
                      <w:rFonts w:hint="eastAsia" w:ascii="Times New Roman" w:hAnsi="Times New Roman" w:eastAsia="宋体" w:cstheme="minorBidi"/>
                      <w:snapToGrid w:val="0"/>
                      <w:spacing w:val="6"/>
                      <w:kern w:val="2"/>
                      <w:sz w:val="21"/>
                      <w:szCs w:val="21"/>
                      <w:lang w:val="en-US" w:eastAsia="zh-CN" w:bidi="ar-SA"/>
                    </w:rPr>
                  </w:pPr>
                  <w:r>
                    <w:rPr>
                      <w:sz w:val="21"/>
                      <w:szCs w:val="21"/>
                      <w:lang w:val="en-US" w:eastAsia="zh-CN"/>
                    </w:rPr>
                    <w:t>运营期</w:t>
                  </w:r>
                  <w:r>
                    <w:rPr>
                      <w:rFonts w:hint="eastAsia"/>
                      <w:sz w:val="21"/>
                      <w:szCs w:val="21"/>
                      <w:lang w:val="en-US" w:eastAsia="zh-CN"/>
                    </w:rPr>
                    <w:t>综合</w:t>
                  </w:r>
                  <w:r>
                    <w:rPr>
                      <w:sz w:val="21"/>
                      <w:szCs w:val="21"/>
                      <w:lang w:val="en-US" w:eastAsia="zh-CN"/>
                    </w:rPr>
                    <w:t>废水进入医院污水处理站处理</w:t>
                  </w:r>
                  <w:r>
                    <w:rPr>
                      <w:rFonts w:hint="eastAsia"/>
                      <w:sz w:val="21"/>
                      <w:szCs w:val="21"/>
                      <w:lang w:val="en-US" w:eastAsia="zh-CN"/>
                    </w:rPr>
                    <w:t>达到《医疗机构水污染物排放标准》（</w:t>
                  </w:r>
                  <w:r>
                    <w:rPr>
                      <w:sz w:val="21"/>
                      <w:szCs w:val="21"/>
                      <w:lang w:val="en-US" w:eastAsia="zh-CN"/>
                    </w:rPr>
                    <w:t>GB18466-2005</w:t>
                  </w:r>
                  <w:r>
                    <w:rPr>
                      <w:rFonts w:hint="eastAsia"/>
                      <w:sz w:val="21"/>
                      <w:szCs w:val="21"/>
                      <w:lang w:val="en-US" w:eastAsia="zh-CN"/>
                    </w:rPr>
                    <w:t>）表</w:t>
                  </w:r>
                  <w:r>
                    <w:rPr>
                      <w:sz w:val="21"/>
                      <w:szCs w:val="21"/>
                      <w:lang w:val="en-US" w:eastAsia="zh-CN"/>
                    </w:rPr>
                    <w:t xml:space="preserve">2 </w:t>
                  </w:r>
                  <w:r>
                    <w:rPr>
                      <w:rFonts w:hint="eastAsia"/>
                      <w:sz w:val="21"/>
                      <w:szCs w:val="21"/>
                      <w:lang w:val="en-US" w:eastAsia="zh-CN"/>
                    </w:rPr>
                    <w:t>中的预处理标准后通过市政污水管网</w:t>
                  </w:r>
                  <w:r>
                    <w:rPr>
                      <w:color w:val="000000"/>
                      <w:sz w:val="21"/>
                      <w:szCs w:val="21"/>
                      <w:highlight w:val="none"/>
                      <w:u w:val="none"/>
                    </w:rPr>
                    <w:t>排入</w:t>
                  </w:r>
                  <w:r>
                    <w:rPr>
                      <w:rFonts w:hint="eastAsia"/>
                      <w:color w:val="000000"/>
                      <w:sz w:val="21"/>
                      <w:szCs w:val="21"/>
                      <w:highlight w:val="none"/>
                      <w:u w:val="none"/>
                      <w:lang w:val="en-US" w:eastAsia="zh-CN"/>
                    </w:rPr>
                    <w:t>向家亭</w:t>
                  </w:r>
                  <w:r>
                    <w:rPr>
                      <w:rFonts w:hint="eastAsia"/>
                      <w:color w:val="000000"/>
                      <w:sz w:val="21"/>
                      <w:szCs w:val="21"/>
                      <w:highlight w:val="none"/>
                      <w:u w:val="none"/>
                      <w:lang w:eastAsia="zh-CN"/>
                    </w:rPr>
                    <w:t>污水处理</w:t>
                  </w:r>
                  <w:r>
                    <w:rPr>
                      <w:rFonts w:hint="eastAsia"/>
                      <w:color w:val="000000"/>
                      <w:sz w:val="21"/>
                      <w:szCs w:val="21"/>
                      <w:highlight w:val="none"/>
                      <w:u w:val="none"/>
                      <w:lang w:val="en-US" w:eastAsia="zh-CN"/>
                    </w:rPr>
                    <w:t>厂</w:t>
                  </w:r>
                  <w:r>
                    <w:rPr>
                      <w:sz w:val="21"/>
                      <w:szCs w:val="21"/>
                      <w:lang w:val="en-US" w:eastAsia="zh-CN"/>
                    </w:rPr>
                    <w:t>处理</w:t>
                  </w:r>
                  <w:r>
                    <w:rPr>
                      <w:rFonts w:hint="eastAsia"/>
                      <w:sz w:val="21"/>
                      <w:szCs w:val="21"/>
                      <w:lang w:val="en-US" w:eastAsia="zh-CN"/>
                    </w:rPr>
                    <w:t>。</w:t>
                  </w:r>
                </w:p>
              </w:tc>
              <w:tc>
                <w:tcPr>
                  <w:tcW w:w="860" w:type="dxa"/>
                  <w:noWrap w:val="0"/>
                  <w:vAlign w:val="center"/>
                </w:tcPr>
                <w:p>
                  <w:pPr>
                    <w:pStyle w:val="30"/>
                    <w:bidi w:val="0"/>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3" w:type="dxa"/>
                  <w:vMerge w:val="continue"/>
                  <w:noWrap w:val="0"/>
                  <w:vAlign w:val="center"/>
                </w:tcPr>
                <w:p>
                  <w:pPr>
                    <w:pStyle w:val="30"/>
                    <w:bidi w:val="0"/>
                  </w:pPr>
                </w:p>
              </w:tc>
              <w:tc>
                <w:tcPr>
                  <w:tcW w:w="1406" w:type="dxa"/>
                  <w:shd w:val="clear" w:color="auto" w:fill="auto"/>
                  <w:noWrap w:val="0"/>
                  <w:vAlign w:val="center"/>
                </w:tcPr>
                <w:p>
                  <w:pPr>
                    <w:pStyle w:val="30"/>
                    <w:rPr>
                      <w:rFonts w:hint="eastAsia" w:ascii="Times New Roman" w:hAnsi="Times New Roman" w:eastAsia="宋体" w:cstheme="minorBidi"/>
                      <w:snapToGrid w:val="0"/>
                      <w:spacing w:val="6"/>
                      <w:kern w:val="2"/>
                      <w:sz w:val="21"/>
                      <w:szCs w:val="21"/>
                      <w:lang w:val="en-US" w:eastAsia="zh-CN" w:bidi="ar-SA"/>
                    </w:rPr>
                  </w:pPr>
                  <w:r>
                    <w:rPr>
                      <w:sz w:val="21"/>
                      <w:szCs w:val="21"/>
                      <w:lang w:val="en-US" w:eastAsia="zh-CN"/>
                    </w:rPr>
                    <w:t>供热、供暖</w:t>
                  </w:r>
                </w:p>
              </w:tc>
              <w:tc>
                <w:tcPr>
                  <w:tcW w:w="5806" w:type="dxa"/>
                  <w:shd w:val="clear" w:color="auto" w:fill="auto"/>
                  <w:noWrap w:val="0"/>
                  <w:vAlign w:val="center"/>
                </w:tcPr>
                <w:p>
                  <w:pPr>
                    <w:pStyle w:val="30"/>
                    <w:bidi w:val="0"/>
                    <w:rPr>
                      <w:rFonts w:hint="eastAsia" w:ascii="Times New Roman" w:hAnsi="Times New Roman" w:eastAsia="宋体" w:cstheme="minorBidi"/>
                      <w:snapToGrid w:val="0"/>
                      <w:spacing w:val="6"/>
                      <w:kern w:val="2"/>
                      <w:szCs w:val="21"/>
                      <w:lang w:val="en-US" w:eastAsia="zh-CN" w:bidi="ar-SA"/>
                    </w:rPr>
                  </w:pPr>
                  <w:r>
                    <w:rPr>
                      <w:sz w:val="21"/>
                      <w:szCs w:val="21"/>
                      <w:lang w:val="en-US" w:eastAsia="zh-CN"/>
                    </w:rPr>
                    <w:t>供热</w:t>
                  </w:r>
                  <w:r>
                    <w:t>热源采用空气源热泵+太阳能板</w:t>
                  </w:r>
                  <w:r>
                    <w:rPr>
                      <w:lang w:val="en-US" w:eastAsia="zh-CN"/>
                    </w:rPr>
                    <w:t>，</w:t>
                  </w:r>
                  <w:r>
                    <w:rPr>
                      <w:sz w:val="21"/>
                      <w:szCs w:val="21"/>
                      <w:lang w:val="en-US" w:eastAsia="zh-CN"/>
                    </w:rPr>
                    <w:t>供暖</w:t>
                  </w:r>
                  <w:r>
                    <w:rPr>
                      <w:lang w:val="en-US" w:eastAsia="zh-CN"/>
                    </w:rPr>
                    <w:t>采用中央空调及分体式空调分体式空调</w:t>
                  </w:r>
                  <w:r>
                    <w:rPr>
                      <w:rFonts w:hint="eastAsia"/>
                      <w:lang w:val="en-US" w:eastAsia="zh-CN"/>
                    </w:rPr>
                    <w:t>。</w:t>
                  </w:r>
                </w:p>
              </w:tc>
              <w:tc>
                <w:tcPr>
                  <w:tcW w:w="860" w:type="dxa"/>
                  <w:noWrap w:val="0"/>
                  <w:vAlign w:val="center"/>
                </w:tcPr>
                <w:p>
                  <w:pPr>
                    <w:pStyle w:val="30"/>
                    <w:bidi w:val="0"/>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3" w:type="dxa"/>
                  <w:vMerge w:val="continue"/>
                  <w:noWrap w:val="0"/>
                  <w:vAlign w:val="center"/>
                </w:tcPr>
                <w:p>
                  <w:pPr>
                    <w:pStyle w:val="30"/>
                    <w:bidi w:val="0"/>
                  </w:pPr>
                </w:p>
              </w:tc>
              <w:tc>
                <w:tcPr>
                  <w:tcW w:w="1406" w:type="dxa"/>
                  <w:shd w:val="clear" w:color="auto" w:fill="auto"/>
                  <w:noWrap w:val="0"/>
                  <w:vAlign w:val="center"/>
                </w:tcPr>
                <w:p>
                  <w:pPr>
                    <w:pStyle w:val="30"/>
                    <w:rPr>
                      <w:rFonts w:hint="eastAsia" w:ascii="Times New Roman" w:hAnsi="Times New Roman" w:eastAsia="宋体" w:cstheme="minorBidi"/>
                      <w:snapToGrid w:val="0"/>
                      <w:spacing w:val="6"/>
                      <w:kern w:val="2"/>
                      <w:sz w:val="21"/>
                      <w:szCs w:val="21"/>
                      <w:lang w:val="en-US" w:eastAsia="zh-CN" w:bidi="ar-SA"/>
                    </w:rPr>
                  </w:pPr>
                  <w:r>
                    <w:rPr>
                      <w:rFonts w:hint="eastAsia"/>
                      <w:sz w:val="21"/>
                      <w:szCs w:val="21"/>
                      <w:lang w:val="en-US" w:eastAsia="zh-CN"/>
                    </w:rPr>
                    <w:t>消防系统</w:t>
                  </w:r>
                </w:p>
              </w:tc>
              <w:tc>
                <w:tcPr>
                  <w:tcW w:w="5806" w:type="dxa"/>
                  <w:shd w:val="clear" w:color="auto" w:fill="auto"/>
                  <w:noWrap w:val="0"/>
                  <w:vAlign w:val="center"/>
                </w:tcPr>
                <w:p>
                  <w:pPr>
                    <w:pStyle w:val="30"/>
                    <w:rPr>
                      <w:rFonts w:hint="eastAsia" w:ascii="Times New Roman" w:hAnsi="Times New Roman" w:eastAsia="宋体" w:cstheme="minorBidi"/>
                      <w:snapToGrid w:val="0"/>
                      <w:spacing w:val="6"/>
                      <w:kern w:val="2"/>
                      <w:sz w:val="21"/>
                      <w:szCs w:val="21"/>
                      <w:lang w:val="en-US" w:eastAsia="zh-CN" w:bidi="ar-SA"/>
                    </w:rPr>
                  </w:pPr>
                  <w:r>
                    <w:rPr>
                      <w:sz w:val="21"/>
                      <w:szCs w:val="21"/>
                      <w:lang w:val="en-US" w:eastAsia="zh-CN"/>
                    </w:rPr>
                    <w:t>院区设置消防栓和灭火器，消防栓、灭火器数量与间距按照地方消防大队的要求布防。</w:t>
                  </w:r>
                </w:p>
              </w:tc>
              <w:tc>
                <w:tcPr>
                  <w:tcW w:w="860" w:type="dxa"/>
                  <w:noWrap w:val="0"/>
                  <w:vAlign w:val="center"/>
                </w:tcPr>
                <w:p>
                  <w:pPr>
                    <w:pStyle w:val="30"/>
                    <w:bidi w:val="0"/>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3" w:type="dxa"/>
                  <w:vMerge w:val="restart"/>
                  <w:noWrap w:val="0"/>
                  <w:vAlign w:val="center"/>
                </w:tcPr>
                <w:p>
                  <w:pPr>
                    <w:pStyle w:val="30"/>
                    <w:bidi w:val="0"/>
                  </w:pPr>
                  <w:r>
                    <w:t>环保工程</w:t>
                  </w:r>
                </w:p>
              </w:tc>
              <w:tc>
                <w:tcPr>
                  <w:tcW w:w="1406" w:type="dxa"/>
                  <w:shd w:val="clear" w:color="auto" w:fill="auto"/>
                  <w:noWrap w:val="0"/>
                  <w:vAlign w:val="center"/>
                </w:tcPr>
                <w:p>
                  <w:pPr>
                    <w:pStyle w:val="30"/>
                    <w:rPr>
                      <w:rFonts w:ascii="Times New Roman" w:hAnsi="Times New Roman" w:eastAsia="宋体" w:cstheme="minorBidi"/>
                      <w:snapToGrid w:val="0"/>
                      <w:spacing w:val="6"/>
                      <w:kern w:val="2"/>
                      <w:sz w:val="21"/>
                      <w:szCs w:val="21"/>
                      <w:lang w:val="en-US" w:eastAsia="zh-CN" w:bidi="ar-SA"/>
                    </w:rPr>
                  </w:pPr>
                  <w:r>
                    <w:rPr>
                      <w:sz w:val="21"/>
                      <w:szCs w:val="21"/>
                      <w:lang w:val="en-US" w:eastAsia="zh-CN"/>
                    </w:rPr>
                    <w:t>废</w:t>
                  </w:r>
                  <w:r>
                    <w:rPr>
                      <w:rFonts w:hint="eastAsia"/>
                      <w:sz w:val="21"/>
                      <w:szCs w:val="21"/>
                      <w:lang w:val="en-US" w:eastAsia="zh-CN"/>
                    </w:rPr>
                    <w:t>气处理</w:t>
                  </w:r>
                </w:p>
              </w:tc>
              <w:tc>
                <w:tcPr>
                  <w:tcW w:w="5806" w:type="dxa"/>
                  <w:shd w:val="clear" w:color="auto" w:fill="auto"/>
                  <w:noWrap w:val="0"/>
                  <w:vAlign w:val="center"/>
                </w:tcPr>
                <w:p>
                  <w:pPr>
                    <w:pStyle w:val="30"/>
                    <w:rPr>
                      <w:rFonts w:hint="default" w:ascii="Times New Roman" w:hAnsi="Times New Roman" w:eastAsia="宋体" w:cstheme="minorBidi"/>
                      <w:snapToGrid w:val="0"/>
                      <w:spacing w:val="6"/>
                      <w:kern w:val="2"/>
                      <w:sz w:val="21"/>
                      <w:szCs w:val="21"/>
                      <w:lang w:val="en-US" w:eastAsia="zh-CN" w:bidi="ar-SA"/>
                    </w:rPr>
                  </w:pPr>
                  <w:r>
                    <w:rPr>
                      <w:sz w:val="21"/>
                      <w:szCs w:val="21"/>
                      <w:lang w:val="en-US" w:eastAsia="zh-CN"/>
                    </w:rPr>
                    <w:t>医院地下停车场汽车尾气通过地下车库排气</w:t>
                  </w:r>
                  <w:r>
                    <w:rPr>
                      <w:rFonts w:hint="eastAsia"/>
                      <w:sz w:val="21"/>
                      <w:szCs w:val="21"/>
                      <w:lang w:val="en-US" w:eastAsia="zh-CN"/>
                    </w:rPr>
                    <w:t>系统</w:t>
                  </w:r>
                  <w:r>
                    <w:rPr>
                      <w:sz w:val="21"/>
                      <w:szCs w:val="21"/>
                      <w:lang w:val="en-US" w:eastAsia="zh-CN"/>
                    </w:rPr>
                    <w:t>引排至室外，无组织排放，自然扩散</w:t>
                  </w:r>
                  <w:r>
                    <w:rPr>
                      <w:rFonts w:hint="eastAsia"/>
                      <w:sz w:val="21"/>
                      <w:szCs w:val="21"/>
                      <w:lang w:val="en-US" w:eastAsia="zh-CN"/>
                    </w:rPr>
                    <w:t>；</w:t>
                  </w:r>
                  <w:r>
                    <w:rPr>
                      <w:sz w:val="21"/>
                      <w:szCs w:val="21"/>
                      <w:lang w:val="en-US" w:eastAsia="zh-CN"/>
                    </w:rPr>
                    <w:t>备用柴油发电机尾气通过专用烟道引排至室外，无组织排放，自然扩散</w:t>
                  </w:r>
                  <w:r>
                    <w:rPr>
                      <w:rFonts w:hint="eastAsia"/>
                      <w:sz w:val="21"/>
                      <w:szCs w:val="21"/>
                      <w:lang w:val="en-US" w:eastAsia="zh-CN"/>
                    </w:rPr>
                    <w:t>；</w:t>
                  </w:r>
                  <w:r>
                    <w:rPr>
                      <w:rFonts w:hint="eastAsia"/>
                    </w:rPr>
                    <w:t>污水处理站臭气通过封闭式</w:t>
                  </w:r>
                  <w:r>
                    <w:rPr>
                      <w:rFonts w:hint="default"/>
                      <w:lang w:val="en-US" w:eastAsia="zh-CN"/>
                    </w:rPr>
                    <w:t>+</w:t>
                  </w:r>
                  <w:r>
                    <w:rPr>
                      <w:rFonts w:hint="eastAsia"/>
                      <w:lang w:val="en-US" w:eastAsia="zh-CN"/>
                    </w:rPr>
                    <w:t>投加除臭剂</w:t>
                  </w:r>
                  <w:r>
                    <w:rPr>
                      <w:rFonts w:hint="eastAsia"/>
                    </w:rPr>
                    <w:t>减少臭气排放</w:t>
                  </w:r>
                  <w:r>
                    <w:rPr>
                      <w:rFonts w:hint="eastAsia"/>
                      <w:lang w:eastAsia="zh-CN"/>
                    </w:rPr>
                    <w:t>；</w:t>
                  </w:r>
                  <w:r>
                    <w:rPr>
                      <w:sz w:val="21"/>
                      <w:szCs w:val="21"/>
                      <w:lang w:val="en-US" w:eastAsia="zh-CN"/>
                    </w:rPr>
                    <w:t>食堂油烟采用油烟净化器净化处理</w:t>
                  </w:r>
                  <w:r>
                    <w:rPr>
                      <w:rFonts w:hint="eastAsia"/>
                      <w:sz w:val="21"/>
                      <w:szCs w:val="21"/>
                      <w:lang w:val="en-US" w:eastAsia="zh-CN"/>
                    </w:rPr>
                    <w:t>通过专用烟道由楼顶排放。</w:t>
                  </w:r>
                </w:p>
              </w:tc>
              <w:tc>
                <w:tcPr>
                  <w:tcW w:w="860" w:type="dxa"/>
                  <w:noWrap w:val="0"/>
                  <w:vAlign w:val="center"/>
                </w:tcPr>
                <w:p>
                  <w:pPr>
                    <w:pStyle w:val="30"/>
                    <w:bidi w:val="0"/>
                    <w:rPr>
                      <w:rFonts w:hint="eastAsia"/>
                      <w:lang w:val="en-US" w:eastAsia="zh-CN"/>
                    </w:rPr>
                  </w:pPr>
                  <w:r>
                    <w:rPr>
                      <w:rFonts w:hint="eastAsia"/>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3" w:type="dxa"/>
                  <w:vMerge w:val="continue"/>
                  <w:noWrap w:val="0"/>
                  <w:vAlign w:val="center"/>
                </w:tcPr>
                <w:p>
                  <w:pPr>
                    <w:pStyle w:val="30"/>
                    <w:bidi w:val="0"/>
                  </w:pPr>
                </w:p>
              </w:tc>
              <w:tc>
                <w:tcPr>
                  <w:tcW w:w="1406" w:type="dxa"/>
                  <w:shd w:val="clear" w:color="auto" w:fill="auto"/>
                  <w:noWrap w:val="0"/>
                  <w:vAlign w:val="center"/>
                </w:tcPr>
                <w:p>
                  <w:pPr>
                    <w:pStyle w:val="30"/>
                    <w:bidi w:val="0"/>
                    <w:rPr>
                      <w:rFonts w:ascii="Times New Roman" w:hAnsi="Times New Roman" w:eastAsia="宋体" w:cstheme="minorBidi"/>
                      <w:snapToGrid w:val="0"/>
                      <w:spacing w:val="6"/>
                      <w:kern w:val="2"/>
                      <w:sz w:val="21"/>
                      <w:szCs w:val="21"/>
                      <w:lang w:val="en-US" w:eastAsia="zh-CN" w:bidi="ar-SA"/>
                    </w:rPr>
                  </w:pPr>
                  <w:r>
                    <w:rPr>
                      <w:rFonts w:hint="eastAsia"/>
                      <w:lang w:val="en-US" w:eastAsia="zh-CN"/>
                    </w:rPr>
                    <w:t>废</w:t>
                  </w:r>
                  <w:r>
                    <w:t>水</w:t>
                  </w:r>
                </w:p>
              </w:tc>
              <w:tc>
                <w:tcPr>
                  <w:tcW w:w="5806" w:type="dxa"/>
                  <w:shd w:val="clear" w:color="auto" w:fill="auto"/>
                  <w:noWrap w:val="0"/>
                  <w:vAlign w:val="center"/>
                </w:tcPr>
                <w:p>
                  <w:pPr>
                    <w:pStyle w:val="30"/>
                    <w:bidi w:val="0"/>
                    <w:rPr>
                      <w:rFonts w:hint="eastAsia" w:ascii="Times New Roman" w:hAnsi="Times New Roman" w:eastAsia="宋体" w:cstheme="minorBidi"/>
                      <w:snapToGrid w:val="0"/>
                      <w:spacing w:val="6"/>
                      <w:kern w:val="2"/>
                      <w:sz w:val="21"/>
                      <w:szCs w:val="21"/>
                      <w:lang w:val="en-US" w:eastAsia="zh-CN" w:bidi="ar-SA"/>
                    </w:rPr>
                  </w:pPr>
                  <w:r>
                    <w:rPr>
                      <w:sz w:val="21"/>
                      <w:szCs w:val="21"/>
                      <w:lang w:val="en-US" w:eastAsia="zh-CN"/>
                    </w:rPr>
                    <w:t>特殊医疗废水</w:t>
                  </w:r>
                  <w:r>
                    <w:rPr>
                      <w:rFonts w:hint="eastAsia"/>
                      <w:sz w:val="21"/>
                      <w:szCs w:val="21"/>
                      <w:lang w:val="en-US" w:eastAsia="zh-CN"/>
                    </w:rPr>
                    <w:t>经预处理</w:t>
                  </w:r>
                  <w:r>
                    <w:rPr>
                      <w:sz w:val="21"/>
                      <w:szCs w:val="21"/>
                      <w:lang w:val="en-US" w:eastAsia="zh-CN"/>
                    </w:rPr>
                    <w:t>进入医院污水处理站处理</w:t>
                  </w:r>
                  <w:r>
                    <w:rPr>
                      <w:rFonts w:hint="eastAsia"/>
                      <w:sz w:val="21"/>
                      <w:szCs w:val="21"/>
                      <w:lang w:val="en-US" w:eastAsia="zh-CN"/>
                    </w:rPr>
                    <w:t>；生活污水经化粪池处理后与普通医疗废水一起进入医院污水处理站；食堂产生的废水经隔油池处理进入医院污水处理站处理后达到《医疗机构水污染物排放标准》（</w:t>
                  </w:r>
                  <w:r>
                    <w:rPr>
                      <w:sz w:val="21"/>
                      <w:szCs w:val="21"/>
                      <w:lang w:val="en-US" w:eastAsia="zh-CN"/>
                    </w:rPr>
                    <w:t>GB18466-2005</w:t>
                  </w:r>
                  <w:r>
                    <w:rPr>
                      <w:rFonts w:hint="eastAsia"/>
                      <w:sz w:val="21"/>
                      <w:szCs w:val="21"/>
                      <w:lang w:val="en-US" w:eastAsia="zh-CN"/>
                    </w:rPr>
                    <w:t>）表</w:t>
                  </w:r>
                  <w:r>
                    <w:rPr>
                      <w:sz w:val="21"/>
                      <w:szCs w:val="21"/>
                      <w:lang w:val="en-US" w:eastAsia="zh-CN"/>
                    </w:rPr>
                    <w:t xml:space="preserve">2 </w:t>
                  </w:r>
                  <w:r>
                    <w:rPr>
                      <w:rFonts w:hint="eastAsia"/>
                      <w:sz w:val="21"/>
                      <w:szCs w:val="21"/>
                      <w:lang w:val="en-US" w:eastAsia="zh-CN"/>
                    </w:rPr>
                    <w:t>中的预处理标准后通过市政污水管网排</w:t>
                  </w:r>
                  <w:r>
                    <w:t>排入</w:t>
                  </w:r>
                  <w:r>
                    <w:rPr>
                      <w:rFonts w:hint="eastAsia"/>
                      <w:lang w:val="en-US" w:eastAsia="zh-CN"/>
                    </w:rPr>
                    <w:t>向家亭</w:t>
                  </w:r>
                  <w:r>
                    <w:rPr>
                      <w:rFonts w:hint="eastAsia"/>
                      <w:lang w:eastAsia="zh-CN"/>
                    </w:rPr>
                    <w:t>污水处理</w:t>
                  </w:r>
                  <w:r>
                    <w:rPr>
                      <w:rFonts w:hint="eastAsia"/>
                      <w:lang w:val="en-US" w:eastAsia="zh-CN"/>
                    </w:rPr>
                    <w:t>厂</w:t>
                  </w:r>
                  <w:r>
                    <w:t xml:space="preserve">。  </w:t>
                  </w:r>
                </w:p>
              </w:tc>
              <w:tc>
                <w:tcPr>
                  <w:tcW w:w="860" w:type="dxa"/>
                  <w:noWrap w:val="0"/>
                  <w:vAlign w:val="center"/>
                </w:tcPr>
                <w:p>
                  <w:pPr>
                    <w:pStyle w:val="30"/>
                    <w:bidi w:val="0"/>
                    <w:rPr>
                      <w:rFonts w:hint="eastAsia"/>
                      <w:lang w:val="en-US" w:eastAsia="zh-CN"/>
                    </w:rPr>
                  </w:pPr>
                  <w:r>
                    <w:rPr>
                      <w:rFonts w:hint="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3" w:type="dxa"/>
                  <w:vMerge w:val="continue"/>
                  <w:noWrap w:val="0"/>
                  <w:vAlign w:val="center"/>
                </w:tcPr>
                <w:p>
                  <w:pPr>
                    <w:pStyle w:val="30"/>
                    <w:bidi w:val="0"/>
                  </w:pPr>
                </w:p>
              </w:tc>
              <w:tc>
                <w:tcPr>
                  <w:tcW w:w="1406" w:type="dxa"/>
                  <w:noWrap w:val="0"/>
                  <w:vAlign w:val="center"/>
                </w:tcPr>
                <w:p>
                  <w:pPr>
                    <w:pStyle w:val="30"/>
                    <w:bidi w:val="0"/>
                  </w:pPr>
                  <w:r>
                    <w:t>噪声</w:t>
                  </w:r>
                </w:p>
              </w:tc>
              <w:tc>
                <w:tcPr>
                  <w:tcW w:w="5806" w:type="dxa"/>
                  <w:noWrap w:val="0"/>
                  <w:vAlign w:val="center"/>
                </w:tcPr>
                <w:p>
                  <w:pPr>
                    <w:pStyle w:val="30"/>
                    <w:bidi w:val="0"/>
                    <w:rPr>
                      <w:rFonts w:hint="eastAsia"/>
                    </w:rPr>
                  </w:pPr>
                  <w:r>
                    <w:rPr>
                      <w:sz w:val="21"/>
                      <w:szCs w:val="21"/>
                      <w:lang w:val="en-US" w:eastAsia="zh-CN"/>
                    </w:rPr>
                    <w:t>污水处理设施、水泵及空调主机等，选用低噪声设备，并设置减振噪声基础，部分高噪声设备加装隔声罩等降噪措施</w:t>
                  </w:r>
                  <w:r>
                    <w:rPr>
                      <w:rFonts w:hint="eastAsia"/>
                      <w:sz w:val="21"/>
                      <w:szCs w:val="21"/>
                      <w:lang w:val="en-US" w:eastAsia="zh-CN"/>
                    </w:rPr>
                    <w:t>；</w:t>
                  </w:r>
                  <w:r>
                    <w:rPr>
                      <w:sz w:val="21"/>
                      <w:szCs w:val="21"/>
                      <w:lang w:val="en-US" w:eastAsia="zh-CN"/>
                    </w:rPr>
                    <w:t>进出车辆减速行驶，禁止鸣笛</w:t>
                  </w:r>
                  <w:r>
                    <w:rPr>
                      <w:rFonts w:hint="eastAsia"/>
                      <w:sz w:val="21"/>
                      <w:szCs w:val="21"/>
                      <w:lang w:val="en-US" w:eastAsia="zh-CN"/>
                    </w:rPr>
                    <w:t>；</w:t>
                  </w:r>
                  <w:r>
                    <w:rPr>
                      <w:sz w:val="21"/>
                      <w:szCs w:val="21"/>
                      <w:lang w:val="en-US" w:eastAsia="zh-CN"/>
                    </w:rPr>
                    <w:t>制定严格的管理制度，规范操作程序、禁止高音广播等乱放的行为</w:t>
                  </w:r>
                  <w:r>
                    <w:rPr>
                      <w:rFonts w:hint="eastAsia"/>
                      <w:sz w:val="21"/>
                      <w:szCs w:val="21"/>
                      <w:lang w:val="en-US" w:eastAsia="zh-CN"/>
                    </w:rPr>
                    <w:t>；</w:t>
                  </w:r>
                  <w:r>
                    <w:rPr>
                      <w:sz w:val="21"/>
                      <w:szCs w:val="21"/>
                      <w:lang w:val="en-US" w:eastAsia="zh-CN"/>
                    </w:rPr>
                    <w:t>教育群众，尽量减少喧闹</w:t>
                  </w:r>
                  <w:r>
                    <w:rPr>
                      <w:rFonts w:hint="eastAsia"/>
                      <w:sz w:val="21"/>
                      <w:szCs w:val="21"/>
                      <w:lang w:val="en-US" w:eastAsia="zh-CN"/>
                    </w:rPr>
                    <w:t>。</w:t>
                  </w:r>
                </w:p>
              </w:tc>
              <w:tc>
                <w:tcPr>
                  <w:tcW w:w="860" w:type="dxa"/>
                  <w:noWrap w:val="0"/>
                  <w:vAlign w:val="center"/>
                </w:tcPr>
                <w:p>
                  <w:pPr>
                    <w:pStyle w:val="30"/>
                    <w:bidi w:val="0"/>
                    <w:rPr>
                      <w:rFonts w:hint="default"/>
                    </w:rPr>
                  </w:pPr>
                  <w:r>
                    <w:rPr>
                      <w:rFonts w:hint="eastAsia"/>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3" w:type="dxa"/>
                  <w:vMerge w:val="continue"/>
                  <w:noWrap w:val="0"/>
                  <w:vAlign w:val="center"/>
                </w:tcPr>
                <w:p>
                  <w:pPr>
                    <w:pStyle w:val="30"/>
                    <w:bidi w:val="0"/>
                  </w:pPr>
                </w:p>
              </w:tc>
              <w:tc>
                <w:tcPr>
                  <w:tcW w:w="1406" w:type="dxa"/>
                  <w:shd w:val="clear" w:color="auto" w:fill="auto"/>
                  <w:noWrap w:val="0"/>
                  <w:vAlign w:val="center"/>
                </w:tcPr>
                <w:p>
                  <w:pPr>
                    <w:pStyle w:val="30"/>
                    <w:rPr>
                      <w:rFonts w:hint="eastAsia" w:ascii="Times New Roman" w:hAnsi="Times New Roman" w:eastAsia="宋体" w:cstheme="minorBidi"/>
                      <w:snapToGrid w:val="0"/>
                      <w:spacing w:val="6"/>
                      <w:kern w:val="2"/>
                      <w:sz w:val="21"/>
                      <w:szCs w:val="21"/>
                      <w:lang w:val="en-US" w:eastAsia="zh-CN" w:bidi="ar-SA"/>
                    </w:rPr>
                  </w:pPr>
                  <w:r>
                    <w:rPr>
                      <w:rFonts w:hint="eastAsia"/>
                      <w:sz w:val="21"/>
                      <w:szCs w:val="21"/>
                      <w:lang w:val="en-US" w:eastAsia="zh-CN"/>
                    </w:rPr>
                    <w:t>固废处理</w:t>
                  </w:r>
                </w:p>
              </w:tc>
              <w:tc>
                <w:tcPr>
                  <w:tcW w:w="5806" w:type="dxa"/>
                  <w:shd w:val="clear" w:color="auto" w:fill="auto"/>
                  <w:noWrap w:val="0"/>
                  <w:vAlign w:val="center"/>
                </w:tcPr>
                <w:p>
                  <w:pPr>
                    <w:pStyle w:val="30"/>
                    <w:rPr>
                      <w:rFonts w:hint="eastAsia" w:ascii="Times New Roman" w:hAnsi="Times New Roman" w:eastAsia="宋体" w:cstheme="minorBidi"/>
                      <w:snapToGrid w:val="0"/>
                      <w:spacing w:val="6"/>
                      <w:kern w:val="2"/>
                      <w:sz w:val="21"/>
                      <w:szCs w:val="21"/>
                      <w:lang w:val="en-US" w:eastAsia="zh-CN" w:bidi="ar-SA"/>
                    </w:rPr>
                  </w:pPr>
                  <w:r>
                    <w:rPr>
                      <w:sz w:val="21"/>
                      <w:szCs w:val="21"/>
                      <w:lang w:val="en-US" w:eastAsia="zh-CN"/>
                    </w:rPr>
                    <w:t>医疗废物收集后，集中于医疗废物暂存间。医疗废物交由</w:t>
                  </w:r>
                  <w:r>
                    <w:rPr>
                      <w:rFonts w:hint="eastAsia"/>
                      <w:sz w:val="21"/>
                      <w:szCs w:val="21"/>
                      <w:lang w:val="en-US" w:eastAsia="zh-CN"/>
                    </w:rPr>
                    <w:t>有资质单位</w:t>
                  </w:r>
                  <w:r>
                    <w:rPr>
                      <w:sz w:val="21"/>
                      <w:szCs w:val="21"/>
                      <w:lang w:val="en-US" w:eastAsia="zh-CN"/>
                    </w:rPr>
                    <w:t>处置</w:t>
                  </w:r>
                  <w:r>
                    <w:rPr>
                      <w:rFonts w:hint="eastAsia"/>
                      <w:sz w:val="21"/>
                      <w:szCs w:val="21"/>
                      <w:lang w:val="en-US" w:eastAsia="zh-CN"/>
                    </w:rPr>
                    <w:t>；</w:t>
                  </w:r>
                  <w:r>
                    <w:rPr>
                      <w:sz w:val="21"/>
                      <w:szCs w:val="21"/>
                      <w:lang w:val="en-US" w:eastAsia="zh-CN"/>
                    </w:rPr>
                    <w:t>生活垃圾和医疗废物分开处理。生活垃圾经设置于各处的垃圾桶收集后，生活垃圾直接由物业部门清理后交环卫部门处理</w:t>
                  </w:r>
                  <w:r>
                    <w:rPr>
                      <w:rFonts w:hint="eastAsia"/>
                      <w:sz w:val="21"/>
                      <w:szCs w:val="21"/>
                      <w:lang w:val="en-US" w:eastAsia="zh-CN"/>
                    </w:rPr>
                    <w:t>；</w:t>
                  </w:r>
                  <w:r>
                    <w:rPr>
                      <w:sz w:val="21"/>
                      <w:szCs w:val="21"/>
                      <w:lang w:val="en-US" w:eastAsia="zh-CN"/>
                    </w:rPr>
                    <w:t>无毒无害药品的包装材料定期交物资回收公司回收处理</w:t>
                  </w:r>
                  <w:r>
                    <w:rPr>
                      <w:rFonts w:hint="eastAsia"/>
                      <w:sz w:val="21"/>
                      <w:szCs w:val="21"/>
                      <w:lang w:val="en-US" w:eastAsia="zh-CN"/>
                    </w:rPr>
                    <w:t>；</w:t>
                  </w:r>
                  <w:r>
                    <w:rPr>
                      <w:sz w:val="21"/>
                      <w:szCs w:val="21"/>
                      <w:lang w:val="en-US" w:eastAsia="zh-CN"/>
                    </w:rPr>
                    <w:t>污水处理站污泥委托</w:t>
                  </w:r>
                  <w:r>
                    <w:rPr>
                      <w:rFonts w:hint="eastAsia"/>
                      <w:sz w:val="21"/>
                      <w:szCs w:val="21"/>
                      <w:lang w:val="en-US" w:eastAsia="zh-CN"/>
                    </w:rPr>
                    <w:t>有资质单位</w:t>
                  </w:r>
                  <w:r>
                    <w:rPr>
                      <w:sz w:val="21"/>
                      <w:szCs w:val="21"/>
                      <w:lang w:val="en-US" w:eastAsia="zh-CN"/>
                    </w:rPr>
                    <w:t>清掏、转运及处置</w:t>
                  </w:r>
                  <w:r>
                    <w:rPr>
                      <w:rFonts w:hint="eastAsia"/>
                      <w:sz w:val="21"/>
                      <w:szCs w:val="21"/>
                      <w:lang w:val="en-US" w:eastAsia="zh-CN"/>
                    </w:rPr>
                    <w:t>。</w:t>
                  </w:r>
                </w:p>
              </w:tc>
              <w:tc>
                <w:tcPr>
                  <w:tcW w:w="860" w:type="dxa"/>
                  <w:shd w:val="clear" w:color="auto" w:fill="auto"/>
                  <w:noWrap w:val="0"/>
                  <w:vAlign w:val="center"/>
                </w:tcPr>
                <w:p>
                  <w:pPr>
                    <w:pStyle w:val="30"/>
                    <w:rPr>
                      <w:rFonts w:hint="default" w:ascii="Times New Roman" w:hAnsi="Times New Roman" w:eastAsia="宋体" w:cstheme="minorBidi"/>
                      <w:snapToGrid w:val="0"/>
                      <w:spacing w:val="6"/>
                      <w:kern w:val="2"/>
                      <w:sz w:val="21"/>
                      <w:szCs w:val="21"/>
                      <w:lang w:val="en-US" w:eastAsia="zh-CN" w:bidi="ar-SA"/>
                    </w:rPr>
                  </w:pPr>
                  <w:r>
                    <w:rPr>
                      <w:rFonts w:hint="eastAsia" w:cstheme="minorBidi"/>
                      <w:snapToGrid w:val="0"/>
                      <w:spacing w:val="6"/>
                      <w:kern w:val="2"/>
                      <w:sz w:val="21"/>
                      <w:szCs w:val="21"/>
                      <w:lang w:val="en-US" w:eastAsia="zh-CN" w:bidi="ar-SA"/>
                    </w:rPr>
                    <w:t>新建</w:t>
                  </w:r>
                </w:p>
              </w:tc>
            </w:tr>
          </w:tbl>
          <w:p>
            <w:pPr>
              <w:pStyle w:val="29"/>
              <w:bidi w:val="0"/>
              <w:rPr>
                <w:rFonts w:hint="default"/>
                <w:u w:val="single"/>
              </w:rPr>
            </w:pPr>
            <w:r>
              <w:rPr>
                <w:rFonts w:hint="default"/>
                <w:u w:val="single"/>
              </w:rPr>
              <w:t>表2</w:t>
            </w:r>
            <w:r>
              <w:rPr>
                <w:rFonts w:hint="eastAsia"/>
                <w:u w:val="single"/>
                <w:lang w:val="en-US" w:eastAsia="zh-CN"/>
              </w:rPr>
              <w:t>.1</w:t>
            </w:r>
            <w:r>
              <w:rPr>
                <w:rFonts w:hint="default"/>
                <w:u w:val="single"/>
              </w:rPr>
              <w:t>-2   主要建</w:t>
            </w:r>
            <w:r>
              <w:rPr>
                <w:rFonts w:hint="default"/>
                <w:u w:val="single"/>
                <w:lang w:eastAsia="zh-CN"/>
              </w:rPr>
              <w:t>(</w:t>
            </w:r>
            <w:r>
              <w:rPr>
                <w:rFonts w:hint="default"/>
                <w:u w:val="single"/>
              </w:rPr>
              <w:t>构</w:t>
            </w:r>
            <w:r>
              <w:rPr>
                <w:rFonts w:hint="default"/>
                <w:u w:val="single"/>
                <w:lang w:eastAsia="zh-CN"/>
              </w:rPr>
              <w:t>)</w:t>
            </w:r>
            <w:r>
              <w:rPr>
                <w:rFonts w:hint="default"/>
                <w:u w:val="single"/>
              </w:rPr>
              <w:t>筑物及其功能布局一览表</w:t>
            </w:r>
          </w:p>
          <w:tbl>
            <w:tblPr>
              <w:tblStyle w:val="27"/>
              <w:tblW w:w="90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892"/>
              <w:gridCol w:w="1745"/>
              <w:gridCol w:w="5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0" w:type="dxa"/>
                  <w:noWrap w:val="0"/>
                  <w:vAlign w:val="center"/>
                </w:tcPr>
                <w:p>
                  <w:pPr>
                    <w:pStyle w:val="30"/>
                    <w:bidi w:val="0"/>
                    <w:rPr>
                      <w:rFonts w:hint="default"/>
                    </w:rPr>
                  </w:pPr>
                  <w:r>
                    <w:rPr>
                      <w:rFonts w:hint="default"/>
                    </w:rPr>
                    <w:t>建</w:t>
                  </w:r>
                  <w:r>
                    <w:rPr>
                      <w:rFonts w:hint="eastAsia"/>
                      <w:lang w:eastAsia="zh-CN"/>
                    </w:rPr>
                    <w:t>（</w:t>
                  </w:r>
                  <w:r>
                    <w:rPr>
                      <w:rFonts w:hint="default"/>
                    </w:rPr>
                    <w:t>构</w:t>
                  </w:r>
                  <w:r>
                    <w:rPr>
                      <w:rFonts w:hint="eastAsia"/>
                      <w:lang w:eastAsia="zh-CN"/>
                    </w:rPr>
                    <w:t>）</w:t>
                  </w:r>
                  <w:r>
                    <w:rPr>
                      <w:rFonts w:hint="default"/>
                    </w:rPr>
                    <w:t>筑物名称</w:t>
                  </w:r>
                </w:p>
              </w:tc>
              <w:tc>
                <w:tcPr>
                  <w:tcW w:w="892" w:type="dxa"/>
                  <w:noWrap w:val="0"/>
                  <w:vAlign w:val="center"/>
                </w:tcPr>
                <w:p>
                  <w:pPr>
                    <w:pStyle w:val="30"/>
                    <w:bidi w:val="0"/>
                    <w:rPr>
                      <w:rFonts w:hint="default"/>
                    </w:rPr>
                  </w:pPr>
                  <w:r>
                    <w:rPr>
                      <w:rFonts w:hint="default"/>
                    </w:rPr>
                    <w:t>楼层</w:t>
                  </w:r>
                </w:p>
              </w:tc>
              <w:tc>
                <w:tcPr>
                  <w:tcW w:w="1745" w:type="dxa"/>
                  <w:noWrap w:val="0"/>
                  <w:vAlign w:val="center"/>
                </w:tcPr>
                <w:p>
                  <w:pPr>
                    <w:pStyle w:val="30"/>
                    <w:bidi w:val="0"/>
                    <w:rPr>
                      <w:rFonts w:hint="eastAsia"/>
                      <w:lang w:eastAsia="zh-CN"/>
                    </w:rPr>
                  </w:pPr>
                  <w:r>
                    <w:rPr>
                      <w:rFonts w:hint="eastAsia"/>
                      <w:lang w:eastAsia="zh-CN"/>
                    </w:rPr>
                    <w:t>建筑面积</w:t>
                  </w:r>
                </w:p>
              </w:tc>
              <w:tc>
                <w:tcPr>
                  <w:tcW w:w="5299" w:type="dxa"/>
                  <w:noWrap w:val="0"/>
                  <w:vAlign w:val="center"/>
                </w:tcPr>
                <w:p>
                  <w:pPr>
                    <w:pStyle w:val="30"/>
                    <w:bidi w:val="0"/>
                    <w:rPr>
                      <w:rFonts w:hint="default"/>
                    </w:rPr>
                  </w:pPr>
                  <w:r>
                    <w:rPr>
                      <w:rFonts w:hint="default"/>
                    </w:rPr>
                    <w:t>功能布局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0" w:type="dxa"/>
                  <w:vMerge w:val="restart"/>
                  <w:noWrap w:val="0"/>
                  <w:vAlign w:val="center"/>
                </w:tcPr>
                <w:p>
                  <w:pPr>
                    <w:pStyle w:val="30"/>
                    <w:bidi w:val="0"/>
                    <w:rPr>
                      <w:rFonts w:hint="default"/>
                      <w:lang w:eastAsia="zh-CN"/>
                    </w:rPr>
                  </w:pPr>
                  <w:r>
                    <w:rPr>
                      <w:rFonts w:hint="default"/>
                      <w:lang w:eastAsia="zh-CN"/>
                    </w:rPr>
                    <w:t>综合楼</w:t>
                  </w:r>
                  <w:r>
                    <w:rPr>
                      <w:rFonts w:hint="eastAsia"/>
                      <w:lang w:val="en-US" w:eastAsia="zh-CN"/>
                    </w:rPr>
                    <w:t>1~7层</w:t>
                  </w:r>
                </w:p>
              </w:tc>
              <w:tc>
                <w:tcPr>
                  <w:tcW w:w="892" w:type="dxa"/>
                  <w:noWrap w:val="0"/>
                  <w:vAlign w:val="center"/>
                </w:tcPr>
                <w:p>
                  <w:pPr>
                    <w:pStyle w:val="30"/>
                    <w:bidi w:val="0"/>
                    <w:rPr>
                      <w:rFonts w:hint="default"/>
                    </w:rPr>
                  </w:pPr>
                  <w:r>
                    <w:rPr>
                      <w:rFonts w:hint="default"/>
                    </w:rPr>
                    <w:t>1F</w:t>
                  </w:r>
                </w:p>
              </w:tc>
              <w:tc>
                <w:tcPr>
                  <w:tcW w:w="1745" w:type="dxa"/>
                  <w:noWrap w:val="0"/>
                  <w:vAlign w:val="center"/>
                </w:tcPr>
                <w:p>
                  <w:pPr>
                    <w:pStyle w:val="30"/>
                    <w:bidi w:val="0"/>
                    <w:rPr>
                      <w:rFonts w:hint="default"/>
                    </w:rPr>
                  </w:pPr>
                  <w:r>
                    <w:rPr>
                      <w:rFonts w:hint="default"/>
                      <w:lang w:val="en-US" w:eastAsia="zh-CN"/>
                    </w:rPr>
                    <w:t>3272.37m²</w:t>
                  </w:r>
                  <w:r>
                    <w:rPr>
                      <w:lang w:val="en-US" w:eastAsia="zh-CN"/>
                    </w:rPr>
                    <w:t>，综合楼</w:t>
                  </w:r>
                  <w:r>
                    <w:rPr>
                      <w:rFonts w:hint="default"/>
                      <w:lang w:val="en-US" w:eastAsia="zh-CN"/>
                    </w:rPr>
                    <w:t>973.96m²</w:t>
                  </w:r>
                </w:p>
              </w:tc>
              <w:tc>
                <w:tcPr>
                  <w:tcW w:w="5299" w:type="dxa"/>
                  <w:noWrap w:val="0"/>
                  <w:vAlign w:val="center"/>
                </w:tcPr>
                <w:p>
                  <w:pPr>
                    <w:pStyle w:val="30"/>
                    <w:bidi w:val="0"/>
                    <w:rPr>
                      <w:rFonts w:hint="default"/>
                      <w:lang w:val="en-US" w:eastAsia="zh-CN"/>
                    </w:rPr>
                  </w:pPr>
                  <w:r>
                    <w:rPr>
                      <w:rFonts w:hint="default"/>
                    </w:rPr>
                    <w:t>设有</w:t>
                  </w:r>
                  <w:r>
                    <w:rPr>
                      <w:rFonts w:hint="default"/>
                      <w:lang w:eastAsia="zh-CN"/>
                    </w:rPr>
                    <w:t>：</w:t>
                  </w:r>
                  <w:r>
                    <w:rPr>
                      <w:lang w:val="en-US" w:eastAsia="zh-CN"/>
                    </w:rPr>
                    <w:t>急救急诊、门诊大厅、</w:t>
                  </w:r>
                  <w:r>
                    <w:rPr>
                      <w:rFonts w:hint="eastAsia"/>
                      <w:lang w:val="en-US" w:eastAsia="zh-CN"/>
                    </w:rPr>
                    <w:t>外</w:t>
                  </w:r>
                  <w:r>
                    <w:rPr>
                      <w:lang w:val="en-US" w:eastAsia="zh-CN"/>
                    </w:rPr>
                    <w:t>科门诊入口、</w:t>
                  </w:r>
                  <w:r>
                    <w:rPr>
                      <w:rFonts w:hint="eastAsia"/>
                      <w:lang w:val="en-US" w:eastAsia="zh-CN"/>
                    </w:rPr>
                    <w:t>健康管理中收门厅</w:t>
                  </w:r>
                  <w:r>
                    <w:rPr>
                      <w:lang w:val="en-US" w:eastAsia="zh-CN"/>
                    </w:rPr>
                    <w:t>、餐厅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0" w:type="dxa"/>
                  <w:vMerge w:val="continue"/>
                  <w:noWrap w:val="0"/>
                  <w:vAlign w:val="center"/>
                </w:tcPr>
                <w:p>
                  <w:pPr>
                    <w:pStyle w:val="30"/>
                    <w:bidi w:val="0"/>
                    <w:rPr>
                      <w:rFonts w:hint="default"/>
                    </w:rPr>
                  </w:pPr>
                </w:p>
              </w:tc>
              <w:tc>
                <w:tcPr>
                  <w:tcW w:w="892" w:type="dxa"/>
                  <w:noWrap w:val="0"/>
                  <w:vAlign w:val="center"/>
                </w:tcPr>
                <w:p>
                  <w:pPr>
                    <w:pStyle w:val="30"/>
                    <w:bidi w:val="0"/>
                    <w:rPr>
                      <w:rFonts w:hint="default"/>
                    </w:rPr>
                  </w:pPr>
                  <w:r>
                    <w:rPr>
                      <w:rFonts w:hint="default"/>
                    </w:rPr>
                    <w:t>2F</w:t>
                  </w:r>
                </w:p>
              </w:tc>
              <w:tc>
                <w:tcPr>
                  <w:tcW w:w="1745" w:type="dxa"/>
                  <w:noWrap w:val="0"/>
                  <w:vAlign w:val="center"/>
                </w:tcPr>
                <w:p>
                  <w:pPr>
                    <w:pStyle w:val="30"/>
                    <w:bidi w:val="0"/>
                    <w:rPr>
                      <w:rFonts w:hint="default"/>
                    </w:rPr>
                  </w:pPr>
                  <w:r>
                    <w:rPr>
                      <w:rFonts w:hint="default"/>
                      <w:lang w:val="en-US" w:eastAsia="zh-CN"/>
                    </w:rPr>
                    <w:t>2870.93m²</w:t>
                  </w:r>
                  <w:r>
                    <w:rPr>
                      <w:lang w:val="en-US" w:eastAsia="zh-CN"/>
                    </w:rPr>
                    <w:t>，综合楼</w:t>
                  </w:r>
                  <w:r>
                    <w:rPr>
                      <w:rFonts w:hint="default"/>
                      <w:lang w:val="en-US" w:eastAsia="zh-CN"/>
                    </w:rPr>
                    <w:t>2572.13m²</w:t>
                  </w:r>
                </w:p>
              </w:tc>
              <w:tc>
                <w:tcPr>
                  <w:tcW w:w="5299" w:type="dxa"/>
                  <w:noWrap w:val="0"/>
                  <w:vAlign w:val="center"/>
                </w:tcPr>
                <w:p>
                  <w:pPr>
                    <w:pStyle w:val="30"/>
                    <w:bidi w:val="0"/>
                    <w:rPr>
                      <w:rFonts w:hint="default"/>
                      <w:lang w:val="en-US" w:eastAsia="zh-CN"/>
                    </w:rPr>
                  </w:pPr>
                  <w:r>
                    <w:rPr>
                      <w:rFonts w:hint="default"/>
                    </w:rPr>
                    <w:t>设有</w:t>
                  </w:r>
                  <w:r>
                    <w:rPr>
                      <w:rFonts w:hint="default"/>
                      <w:lang w:eastAsia="zh-CN"/>
                    </w:rPr>
                    <w:t>：</w:t>
                  </w:r>
                  <w:r>
                    <w:rPr>
                      <w:rFonts w:hint="eastAsia"/>
                      <w:lang w:val="en-US" w:eastAsia="zh-CN"/>
                    </w:rPr>
                    <w:t>儿童健康门诊</w:t>
                  </w:r>
                  <w:r>
                    <w:rPr>
                      <w:lang w:val="en-US" w:eastAsia="zh-CN"/>
                    </w:rPr>
                    <w:t>、</w:t>
                  </w:r>
                  <w:r>
                    <w:rPr>
                      <w:rFonts w:hint="eastAsia"/>
                      <w:lang w:val="en-US" w:eastAsia="zh-CN"/>
                    </w:rPr>
                    <w:t>妇科门诊、肿瘤门诊</w:t>
                  </w:r>
                  <w:r>
                    <w:rPr>
                      <w:lang w:val="en-US" w:eastAsia="zh-CN"/>
                    </w:rPr>
                    <w:t>、</w:t>
                  </w:r>
                  <w:r>
                    <w:rPr>
                      <w:rFonts w:hint="eastAsia"/>
                      <w:lang w:val="en-US" w:eastAsia="zh-CN"/>
                    </w:rPr>
                    <w:t>内</w:t>
                  </w:r>
                  <w:r>
                    <w:rPr>
                      <w:lang w:val="en-US" w:eastAsia="zh-CN"/>
                    </w:rPr>
                    <w:t>科门诊、餐厅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0" w:type="dxa"/>
                  <w:vMerge w:val="continue"/>
                  <w:noWrap w:val="0"/>
                  <w:vAlign w:val="center"/>
                </w:tcPr>
                <w:p>
                  <w:pPr>
                    <w:pStyle w:val="30"/>
                    <w:bidi w:val="0"/>
                    <w:rPr>
                      <w:rFonts w:hint="default"/>
                    </w:rPr>
                  </w:pPr>
                </w:p>
              </w:tc>
              <w:tc>
                <w:tcPr>
                  <w:tcW w:w="892" w:type="dxa"/>
                  <w:noWrap w:val="0"/>
                  <w:vAlign w:val="center"/>
                </w:tcPr>
                <w:p>
                  <w:pPr>
                    <w:pStyle w:val="30"/>
                    <w:bidi w:val="0"/>
                    <w:rPr>
                      <w:rFonts w:hint="default"/>
                    </w:rPr>
                  </w:pPr>
                  <w:r>
                    <w:rPr>
                      <w:rFonts w:hint="default"/>
                    </w:rPr>
                    <w:t>3F</w:t>
                  </w:r>
                </w:p>
              </w:tc>
              <w:tc>
                <w:tcPr>
                  <w:tcW w:w="1745" w:type="dxa"/>
                  <w:noWrap w:val="0"/>
                  <w:vAlign w:val="center"/>
                </w:tcPr>
                <w:p>
                  <w:pPr>
                    <w:pStyle w:val="30"/>
                    <w:bidi w:val="0"/>
                    <w:rPr>
                      <w:rFonts w:hint="default"/>
                    </w:rPr>
                  </w:pPr>
                  <w:r>
                    <w:rPr>
                      <w:rFonts w:hint="default"/>
                      <w:lang w:val="en-US" w:eastAsia="zh-CN"/>
                    </w:rPr>
                    <w:t>2877.09m²</w:t>
                  </w:r>
                </w:p>
              </w:tc>
              <w:tc>
                <w:tcPr>
                  <w:tcW w:w="5299" w:type="dxa"/>
                  <w:noWrap w:val="0"/>
                  <w:vAlign w:val="center"/>
                </w:tcPr>
                <w:p>
                  <w:pPr>
                    <w:pStyle w:val="30"/>
                    <w:bidi w:val="0"/>
                    <w:rPr>
                      <w:rFonts w:hint="eastAsia" w:eastAsia="宋体"/>
                      <w:lang w:val="en-US" w:eastAsia="zh-CN"/>
                    </w:rPr>
                  </w:pPr>
                  <w:r>
                    <w:rPr>
                      <w:rFonts w:hint="eastAsia"/>
                      <w:lang w:val="en-US" w:eastAsia="zh-CN"/>
                    </w:rPr>
                    <w:t>设有：</w:t>
                  </w:r>
                  <w:r>
                    <w:rPr>
                      <w:lang w:val="en-US" w:eastAsia="zh-CN"/>
                    </w:rPr>
                    <w:t>检验科、</w:t>
                  </w:r>
                  <w:r>
                    <w:rPr>
                      <w:rFonts w:hint="eastAsia"/>
                      <w:lang w:val="en-US" w:eastAsia="zh-CN"/>
                    </w:rPr>
                    <w:t>住院药房、功能检查、超声科、口腔门诊、耳鼻喉、眼科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0" w:type="dxa"/>
                  <w:vMerge w:val="continue"/>
                  <w:noWrap w:val="0"/>
                  <w:vAlign w:val="center"/>
                </w:tcPr>
                <w:p>
                  <w:pPr>
                    <w:pStyle w:val="30"/>
                    <w:bidi w:val="0"/>
                    <w:rPr>
                      <w:rFonts w:hint="default"/>
                    </w:rPr>
                  </w:pPr>
                </w:p>
              </w:tc>
              <w:tc>
                <w:tcPr>
                  <w:tcW w:w="892" w:type="dxa"/>
                  <w:noWrap w:val="0"/>
                  <w:vAlign w:val="center"/>
                </w:tcPr>
                <w:p>
                  <w:pPr>
                    <w:pStyle w:val="30"/>
                    <w:bidi w:val="0"/>
                    <w:rPr>
                      <w:rFonts w:hint="default"/>
                    </w:rPr>
                  </w:pPr>
                  <w:r>
                    <w:rPr>
                      <w:rFonts w:hint="default"/>
                    </w:rPr>
                    <w:t>4F</w:t>
                  </w:r>
                </w:p>
              </w:tc>
              <w:tc>
                <w:tcPr>
                  <w:tcW w:w="1745" w:type="dxa"/>
                  <w:noWrap w:val="0"/>
                  <w:vAlign w:val="center"/>
                </w:tcPr>
                <w:p>
                  <w:pPr>
                    <w:pStyle w:val="30"/>
                    <w:bidi w:val="0"/>
                    <w:rPr>
                      <w:rFonts w:hint="default"/>
                    </w:rPr>
                  </w:pPr>
                  <w:r>
                    <w:rPr>
                      <w:rFonts w:hint="default"/>
                      <w:lang w:val="en-US" w:eastAsia="zh-CN"/>
                    </w:rPr>
                    <w:t>2877.09m²</w:t>
                  </w:r>
                </w:p>
              </w:tc>
              <w:tc>
                <w:tcPr>
                  <w:tcW w:w="5299" w:type="dxa"/>
                  <w:noWrap w:val="0"/>
                  <w:vAlign w:val="center"/>
                </w:tcPr>
                <w:p>
                  <w:pPr>
                    <w:pStyle w:val="30"/>
                    <w:bidi w:val="0"/>
                    <w:rPr>
                      <w:rFonts w:hint="default"/>
                      <w:lang w:val="en-US"/>
                    </w:rPr>
                  </w:pPr>
                  <w:r>
                    <w:rPr>
                      <w:rFonts w:hint="eastAsia"/>
                      <w:lang w:val="en-US" w:eastAsia="zh-CN"/>
                    </w:rPr>
                    <w:t>设有：神经血管介入中心</w:t>
                  </w:r>
                  <w:r>
                    <w:rPr>
                      <w:lang w:val="en-US" w:eastAsia="zh-CN"/>
                    </w:rPr>
                    <w:t>、</w:t>
                  </w:r>
                  <w:r>
                    <w:rPr>
                      <w:rFonts w:hint="eastAsia"/>
                      <w:lang w:val="en-US" w:eastAsia="zh-CN"/>
                    </w:rPr>
                    <w:t>感染科门诊</w:t>
                  </w:r>
                  <w:r>
                    <w:rPr>
                      <w:lang w:val="en-US" w:eastAsia="zh-CN"/>
                    </w:rPr>
                    <w:t>、</w:t>
                  </w:r>
                  <w:r>
                    <w:rPr>
                      <w:rFonts w:hint="eastAsia"/>
                      <w:lang w:val="en-US" w:eastAsia="zh-CN"/>
                    </w:rPr>
                    <w:t>神经心理门诊、皮肤科门诊、预留门诊</w:t>
                  </w:r>
                  <w:r>
                    <w:rPr>
                      <w:lang w:val="en-US" w:eastAsia="zh-CN"/>
                    </w:rPr>
                    <w:t>、</w:t>
                  </w:r>
                  <w:r>
                    <w:rPr>
                      <w:rFonts w:hint="eastAsia"/>
                      <w:lang w:val="en-US" w:eastAsia="zh-CN"/>
                    </w:rPr>
                    <w:t>DSA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0" w:type="dxa"/>
                  <w:vMerge w:val="continue"/>
                  <w:noWrap w:val="0"/>
                  <w:vAlign w:val="center"/>
                </w:tcPr>
                <w:p>
                  <w:pPr>
                    <w:pStyle w:val="30"/>
                    <w:bidi w:val="0"/>
                    <w:rPr>
                      <w:rFonts w:hint="default"/>
                    </w:rPr>
                  </w:pPr>
                </w:p>
              </w:tc>
              <w:tc>
                <w:tcPr>
                  <w:tcW w:w="892" w:type="dxa"/>
                  <w:noWrap w:val="0"/>
                  <w:vAlign w:val="center"/>
                </w:tcPr>
                <w:p>
                  <w:pPr>
                    <w:pStyle w:val="30"/>
                    <w:bidi w:val="0"/>
                    <w:rPr>
                      <w:rFonts w:hint="default"/>
                    </w:rPr>
                  </w:pPr>
                  <w:r>
                    <w:rPr>
                      <w:rFonts w:hint="default"/>
                    </w:rPr>
                    <w:t>5F</w:t>
                  </w:r>
                </w:p>
              </w:tc>
              <w:tc>
                <w:tcPr>
                  <w:tcW w:w="1745" w:type="dxa"/>
                  <w:noWrap w:val="0"/>
                  <w:vAlign w:val="center"/>
                </w:tcPr>
                <w:p>
                  <w:pPr>
                    <w:pStyle w:val="30"/>
                    <w:bidi w:val="0"/>
                    <w:rPr>
                      <w:rFonts w:hint="default"/>
                    </w:rPr>
                  </w:pPr>
                  <w:r>
                    <w:rPr>
                      <w:rFonts w:hint="default"/>
                      <w:lang w:val="en-US" w:eastAsia="zh-CN"/>
                    </w:rPr>
                    <w:t>2002.47m²</w:t>
                  </w:r>
                </w:p>
              </w:tc>
              <w:tc>
                <w:tcPr>
                  <w:tcW w:w="5299" w:type="dxa"/>
                  <w:noWrap w:val="0"/>
                  <w:vAlign w:val="center"/>
                </w:tcPr>
                <w:p>
                  <w:pPr>
                    <w:pStyle w:val="30"/>
                    <w:bidi w:val="0"/>
                    <w:rPr>
                      <w:rFonts w:hint="default"/>
                      <w:lang w:val="en-US"/>
                    </w:rPr>
                  </w:pPr>
                  <w:r>
                    <w:rPr>
                      <w:rFonts w:hint="eastAsia"/>
                      <w:lang w:val="en-US" w:eastAsia="zh-CN"/>
                    </w:rPr>
                    <w:t>设有：老年康复中心</w:t>
                  </w:r>
                  <w:r>
                    <w:rPr>
                      <w:lang w:val="en-US" w:eastAsia="zh-CN"/>
                    </w:rPr>
                    <w:t>、</w:t>
                  </w:r>
                  <w:r>
                    <w:rPr>
                      <w:rFonts w:hint="eastAsia"/>
                      <w:lang w:val="en-US" w:eastAsia="zh-CN"/>
                    </w:rPr>
                    <w:t>老年盆底康复、中医门诊、</w:t>
                  </w:r>
                  <w:r>
                    <w:rPr>
                      <w:lang w:val="en-US" w:eastAsia="zh-CN"/>
                    </w:rPr>
                    <w:t>中医康复</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0" w:type="dxa"/>
                  <w:vMerge w:val="continue"/>
                  <w:noWrap w:val="0"/>
                  <w:vAlign w:val="center"/>
                </w:tcPr>
                <w:p>
                  <w:pPr>
                    <w:pStyle w:val="30"/>
                    <w:bidi w:val="0"/>
                    <w:rPr>
                      <w:rFonts w:hint="default"/>
                    </w:rPr>
                  </w:pPr>
                </w:p>
              </w:tc>
              <w:tc>
                <w:tcPr>
                  <w:tcW w:w="892" w:type="dxa"/>
                  <w:noWrap w:val="0"/>
                  <w:vAlign w:val="center"/>
                </w:tcPr>
                <w:p>
                  <w:pPr>
                    <w:pStyle w:val="30"/>
                    <w:bidi w:val="0"/>
                    <w:rPr>
                      <w:rFonts w:hint="default"/>
                      <w:lang w:val="en-US" w:eastAsia="zh-CN"/>
                    </w:rPr>
                  </w:pPr>
                  <w:r>
                    <w:rPr>
                      <w:rFonts w:hint="default"/>
                    </w:rPr>
                    <w:t>6F</w:t>
                  </w:r>
                </w:p>
              </w:tc>
              <w:tc>
                <w:tcPr>
                  <w:tcW w:w="1745" w:type="dxa"/>
                  <w:noWrap w:val="0"/>
                  <w:vAlign w:val="center"/>
                </w:tcPr>
                <w:p>
                  <w:pPr>
                    <w:pStyle w:val="30"/>
                    <w:bidi w:val="0"/>
                    <w:rPr>
                      <w:rFonts w:hint="default"/>
                    </w:rPr>
                  </w:pPr>
                  <w:r>
                    <w:rPr>
                      <w:rFonts w:hint="default"/>
                      <w:lang w:val="en-US" w:eastAsia="zh-CN"/>
                    </w:rPr>
                    <w:t>1765.60m²</w:t>
                  </w:r>
                </w:p>
              </w:tc>
              <w:tc>
                <w:tcPr>
                  <w:tcW w:w="5299" w:type="dxa"/>
                  <w:noWrap w:val="0"/>
                  <w:vAlign w:val="center"/>
                </w:tcPr>
                <w:p>
                  <w:pPr>
                    <w:pStyle w:val="30"/>
                    <w:bidi w:val="0"/>
                    <w:rPr>
                      <w:rFonts w:hint="default"/>
                      <w:lang w:val="en-US" w:eastAsia="zh-CN"/>
                    </w:rPr>
                  </w:pPr>
                  <w:r>
                    <w:rPr>
                      <w:rFonts w:hint="eastAsia"/>
                      <w:lang w:val="en-US" w:eastAsia="zh-CN"/>
                    </w:rPr>
                    <w:t>设有：老年健康管理中心、供应室、中心ICU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0" w:type="dxa"/>
                  <w:vMerge w:val="continue"/>
                  <w:noWrap w:val="0"/>
                  <w:vAlign w:val="center"/>
                </w:tcPr>
                <w:p>
                  <w:pPr>
                    <w:pStyle w:val="30"/>
                    <w:bidi w:val="0"/>
                    <w:rPr>
                      <w:rFonts w:hint="default"/>
                    </w:rPr>
                  </w:pPr>
                </w:p>
              </w:tc>
              <w:tc>
                <w:tcPr>
                  <w:tcW w:w="892" w:type="dxa"/>
                  <w:noWrap w:val="0"/>
                  <w:vAlign w:val="center"/>
                </w:tcPr>
                <w:p>
                  <w:pPr>
                    <w:pStyle w:val="30"/>
                    <w:bidi w:val="0"/>
                    <w:rPr>
                      <w:rFonts w:hint="default"/>
                    </w:rPr>
                  </w:pPr>
                  <w:r>
                    <w:rPr>
                      <w:rFonts w:hint="eastAsia"/>
                      <w:lang w:val="en-US" w:eastAsia="zh-CN"/>
                    </w:rPr>
                    <w:t>7F</w:t>
                  </w:r>
                </w:p>
              </w:tc>
              <w:tc>
                <w:tcPr>
                  <w:tcW w:w="1745" w:type="dxa"/>
                  <w:noWrap w:val="0"/>
                  <w:vAlign w:val="center"/>
                </w:tcPr>
                <w:p>
                  <w:pPr>
                    <w:pStyle w:val="30"/>
                    <w:bidi w:val="0"/>
                    <w:rPr>
                      <w:rFonts w:hint="default"/>
                    </w:rPr>
                  </w:pPr>
                  <w:r>
                    <w:rPr>
                      <w:rFonts w:hint="default"/>
                      <w:lang w:val="en-US" w:eastAsia="zh-CN"/>
                    </w:rPr>
                    <w:t>1690.80m²</w:t>
                  </w:r>
                </w:p>
              </w:tc>
              <w:tc>
                <w:tcPr>
                  <w:tcW w:w="5299" w:type="dxa"/>
                  <w:noWrap w:val="0"/>
                  <w:vAlign w:val="center"/>
                </w:tcPr>
                <w:p>
                  <w:pPr>
                    <w:pStyle w:val="30"/>
                    <w:bidi w:val="0"/>
                    <w:rPr>
                      <w:rFonts w:hint="default"/>
                      <w:lang w:val="en-US" w:eastAsia="zh-CN"/>
                    </w:rPr>
                  </w:pPr>
                  <w:r>
                    <w:rPr>
                      <w:rFonts w:hint="eastAsia"/>
                      <w:lang w:val="en-US" w:eastAsia="zh-CN"/>
                    </w:rPr>
                    <w:t>设有：</w:t>
                  </w:r>
                  <w:r>
                    <w:rPr>
                      <w:lang w:val="en-US" w:eastAsia="zh-CN"/>
                    </w:rPr>
                    <w:t>手术室、手术室</w:t>
                  </w:r>
                  <w:r>
                    <w:rPr>
                      <w:rFonts w:hint="eastAsia"/>
                      <w:lang w:val="en-US" w:eastAsia="zh-CN"/>
                    </w:rPr>
                    <w:t>办公室、</w:t>
                  </w:r>
                  <w:r>
                    <w:rPr>
                      <w:lang w:val="en-US" w:eastAsia="zh-CN"/>
                    </w:rPr>
                    <w:t>输血科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0" w:type="dxa"/>
                  <w:vMerge w:val="continue"/>
                  <w:noWrap w:val="0"/>
                  <w:vAlign w:val="center"/>
                </w:tcPr>
                <w:p>
                  <w:pPr>
                    <w:pStyle w:val="30"/>
                    <w:bidi w:val="0"/>
                    <w:rPr>
                      <w:rFonts w:hint="default"/>
                    </w:rPr>
                  </w:pPr>
                </w:p>
              </w:tc>
              <w:tc>
                <w:tcPr>
                  <w:tcW w:w="892" w:type="dxa"/>
                  <w:noWrap w:val="0"/>
                  <w:vAlign w:val="center"/>
                </w:tcPr>
                <w:p>
                  <w:pPr>
                    <w:pStyle w:val="30"/>
                    <w:bidi w:val="0"/>
                    <w:rPr>
                      <w:rFonts w:hint="default"/>
                      <w:lang w:val="en-US" w:eastAsia="zh-CN"/>
                    </w:rPr>
                  </w:pPr>
                  <w:r>
                    <w:rPr>
                      <w:rFonts w:hint="eastAsia"/>
                      <w:lang w:val="en-US" w:eastAsia="zh-CN"/>
                    </w:rPr>
                    <w:t>8F</w:t>
                  </w:r>
                </w:p>
              </w:tc>
              <w:tc>
                <w:tcPr>
                  <w:tcW w:w="1745" w:type="dxa"/>
                  <w:noWrap w:val="0"/>
                  <w:vAlign w:val="center"/>
                </w:tcPr>
                <w:p>
                  <w:pPr>
                    <w:pStyle w:val="30"/>
                    <w:bidi w:val="0"/>
                    <w:rPr>
                      <w:rFonts w:hint="default"/>
                    </w:rPr>
                  </w:pPr>
                  <w:r>
                    <w:rPr>
                      <w:rFonts w:hint="default"/>
                      <w:lang w:val="en-US" w:eastAsia="zh-CN"/>
                    </w:rPr>
                    <w:t>1690.80m²</w:t>
                  </w:r>
                </w:p>
              </w:tc>
              <w:tc>
                <w:tcPr>
                  <w:tcW w:w="5299" w:type="dxa"/>
                  <w:noWrap w:val="0"/>
                  <w:vAlign w:val="center"/>
                </w:tcPr>
                <w:p>
                  <w:pPr>
                    <w:pStyle w:val="30"/>
                    <w:bidi w:val="0"/>
                    <w:rPr>
                      <w:rFonts w:hint="default"/>
                      <w:lang w:val="en-US" w:eastAsia="zh-CN"/>
                    </w:rPr>
                  </w:pPr>
                  <w:r>
                    <w:rPr>
                      <w:rFonts w:hint="eastAsia"/>
                      <w:lang w:val="en-US" w:eastAsia="zh-CN"/>
                    </w:rPr>
                    <w:t>设有：</w:t>
                  </w:r>
                  <w:r>
                    <w:rPr>
                      <w:lang w:val="en-US" w:eastAsia="zh-CN"/>
                    </w:rPr>
                    <w:t>净化</w:t>
                  </w:r>
                  <w:r>
                    <w:rPr>
                      <w:rFonts w:hint="eastAsia"/>
                      <w:lang w:val="en-US" w:eastAsia="zh-CN"/>
                    </w:rPr>
                    <w:t>机房、净化机房、办公区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0" w:type="dxa"/>
                  <w:vMerge w:val="continue"/>
                  <w:noWrap w:val="0"/>
                  <w:vAlign w:val="center"/>
                </w:tcPr>
                <w:p>
                  <w:pPr>
                    <w:pStyle w:val="30"/>
                    <w:bidi w:val="0"/>
                    <w:rPr>
                      <w:rFonts w:hint="default"/>
                    </w:rPr>
                  </w:pPr>
                </w:p>
              </w:tc>
              <w:tc>
                <w:tcPr>
                  <w:tcW w:w="892" w:type="dxa"/>
                  <w:noWrap w:val="0"/>
                  <w:vAlign w:val="center"/>
                </w:tcPr>
                <w:p>
                  <w:pPr>
                    <w:pStyle w:val="30"/>
                    <w:bidi w:val="0"/>
                    <w:rPr>
                      <w:rFonts w:hint="default"/>
                      <w:lang w:val="en-US" w:eastAsia="zh-CN"/>
                    </w:rPr>
                  </w:pPr>
                  <w:r>
                    <w:rPr>
                      <w:rFonts w:hint="eastAsia"/>
                      <w:lang w:val="en-US" w:eastAsia="zh-CN"/>
                    </w:rPr>
                    <w:t>9-15F</w:t>
                  </w:r>
                </w:p>
              </w:tc>
              <w:tc>
                <w:tcPr>
                  <w:tcW w:w="1745" w:type="dxa"/>
                  <w:noWrap w:val="0"/>
                  <w:vAlign w:val="center"/>
                </w:tcPr>
                <w:p>
                  <w:pPr>
                    <w:pStyle w:val="30"/>
                    <w:bidi w:val="0"/>
                    <w:rPr>
                      <w:rFonts w:hint="default"/>
                    </w:rPr>
                  </w:pPr>
                  <w:r>
                    <w:rPr>
                      <w:rFonts w:hint="default"/>
                      <w:lang w:val="en-US" w:eastAsia="zh-CN"/>
                    </w:rPr>
                    <w:t>1690.80m²</w:t>
                  </w:r>
                </w:p>
              </w:tc>
              <w:tc>
                <w:tcPr>
                  <w:tcW w:w="5299" w:type="dxa"/>
                  <w:noWrap w:val="0"/>
                  <w:vAlign w:val="center"/>
                </w:tcPr>
                <w:p>
                  <w:pPr>
                    <w:pStyle w:val="30"/>
                    <w:bidi w:val="0"/>
                    <w:rPr>
                      <w:rFonts w:hint="default"/>
                      <w:lang w:val="en-US" w:eastAsia="zh-CN"/>
                    </w:rPr>
                  </w:pPr>
                  <w:r>
                    <w:rPr>
                      <w:rFonts w:hint="eastAsia"/>
                      <w:lang w:val="en-US" w:eastAsia="zh-CN"/>
                    </w:rPr>
                    <w:t>设有：办公区、病房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0" w:type="dxa"/>
                  <w:vMerge w:val="continue"/>
                  <w:noWrap w:val="0"/>
                  <w:vAlign w:val="center"/>
                </w:tcPr>
                <w:p>
                  <w:pPr>
                    <w:pStyle w:val="30"/>
                    <w:bidi w:val="0"/>
                    <w:rPr>
                      <w:rFonts w:hint="default"/>
                    </w:rPr>
                  </w:pPr>
                </w:p>
              </w:tc>
              <w:tc>
                <w:tcPr>
                  <w:tcW w:w="892" w:type="dxa"/>
                  <w:noWrap w:val="0"/>
                  <w:vAlign w:val="center"/>
                </w:tcPr>
                <w:p>
                  <w:pPr>
                    <w:pStyle w:val="30"/>
                    <w:bidi w:val="0"/>
                    <w:rPr>
                      <w:rFonts w:hint="default"/>
                      <w:lang w:val="en-US" w:eastAsia="zh-CN"/>
                    </w:rPr>
                  </w:pPr>
                  <w:r>
                    <w:rPr>
                      <w:rFonts w:hint="eastAsia"/>
                      <w:lang w:val="en-US" w:eastAsia="zh-CN"/>
                    </w:rPr>
                    <w:t>16F</w:t>
                  </w:r>
                </w:p>
              </w:tc>
              <w:tc>
                <w:tcPr>
                  <w:tcW w:w="1745" w:type="dxa"/>
                  <w:noWrap w:val="0"/>
                  <w:vAlign w:val="center"/>
                </w:tcPr>
                <w:p>
                  <w:pPr>
                    <w:pStyle w:val="30"/>
                    <w:bidi w:val="0"/>
                    <w:rPr>
                      <w:rFonts w:hint="default"/>
                    </w:rPr>
                  </w:pPr>
                  <w:r>
                    <w:rPr>
                      <w:rFonts w:hint="default"/>
                      <w:lang w:val="en-US" w:eastAsia="zh-CN"/>
                    </w:rPr>
                    <w:t>1690.80m²</w:t>
                  </w:r>
                </w:p>
              </w:tc>
              <w:tc>
                <w:tcPr>
                  <w:tcW w:w="5299" w:type="dxa"/>
                  <w:noWrap w:val="0"/>
                  <w:vAlign w:val="center"/>
                </w:tcPr>
                <w:p>
                  <w:pPr>
                    <w:pStyle w:val="30"/>
                    <w:bidi w:val="0"/>
                    <w:rPr>
                      <w:rFonts w:hint="default"/>
                      <w:lang w:val="en-US" w:eastAsia="zh-CN"/>
                    </w:rPr>
                  </w:pPr>
                  <w:r>
                    <w:rPr>
                      <w:rFonts w:hint="eastAsia"/>
                      <w:lang w:val="en-US" w:eastAsia="zh-CN"/>
                    </w:rPr>
                    <w:t>设有：会议室、临终关怀病房13床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0" w:type="dxa"/>
                  <w:vMerge w:val="continue"/>
                  <w:noWrap w:val="0"/>
                  <w:vAlign w:val="center"/>
                </w:tcPr>
                <w:p>
                  <w:pPr>
                    <w:pStyle w:val="30"/>
                    <w:bidi w:val="0"/>
                    <w:rPr>
                      <w:rFonts w:hint="default"/>
                    </w:rPr>
                  </w:pPr>
                </w:p>
              </w:tc>
              <w:tc>
                <w:tcPr>
                  <w:tcW w:w="892" w:type="dxa"/>
                  <w:noWrap w:val="0"/>
                  <w:vAlign w:val="center"/>
                </w:tcPr>
                <w:p>
                  <w:pPr>
                    <w:pStyle w:val="30"/>
                    <w:bidi w:val="0"/>
                    <w:rPr>
                      <w:rFonts w:hint="default"/>
                      <w:lang w:val="en-US" w:eastAsia="zh-CN"/>
                    </w:rPr>
                  </w:pPr>
                  <w:r>
                    <w:rPr>
                      <w:rFonts w:hint="eastAsia"/>
                      <w:lang w:val="en-US" w:eastAsia="zh-CN"/>
                    </w:rPr>
                    <w:t>-1F</w:t>
                  </w:r>
                </w:p>
              </w:tc>
              <w:tc>
                <w:tcPr>
                  <w:tcW w:w="1745" w:type="dxa"/>
                  <w:noWrap w:val="0"/>
                  <w:vAlign w:val="center"/>
                </w:tcPr>
                <w:p>
                  <w:pPr>
                    <w:pStyle w:val="30"/>
                    <w:bidi w:val="0"/>
                    <w:rPr>
                      <w:rFonts w:hint="default"/>
                    </w:rPr>
                  </w:pPr>
                  <w:r>
                    <w:rPr>
                      <w:rFonts w:hint="default"/>
                      <w:lang w:val="en-US" w:eastAsia="zh-CN"/>
                    </w:rPr>
                    <w:t>700 m²</w:t>
                  </w:r>
                </w:p>
              </w:tc>
              <w:tc>
                <w:tcPr>
                  <w:tcW w:w="5299" w:type="dxa"/>
                  <w:noWrap w:val="0"/>
                  <w:vAlign w:val="center"/>
                </w:tcPr>
                <w:p>
                  <w:pPr>
                    <w:pStyle w:val="30"/>
                    <w:bidi w:val="0"/>
                    <w:rPr>
                      <w:rFonts w:hint="default"/>
                      <w:lang w:val="en-US" w:eastAsia="zh-CN"/>
                    </w:rPr>
                  </w:pPr>
                  <w:r>
                    <w:rPr>
                      <w:rFonts w:hint="eastAsia"/>
                      <w:lang w:val="en-US" w:eastAsia="zh-CN"/>
                    </w:rPr>
                    <w:t>设有：</w:t>
                  </w:r>
                  <w:r>
                    <w:rPr>
                      <w:lang w:val="en-US" w:eastAsia="zh-CN"/>
                    </w:rPr>
                    <w:t>放射科</w:t>
                  </w:r>
                  <w:r>
                    <w:rPr>
                      <w:rFonts w:hint="eastAsia"/>
                      <w:lang w:val="en-US" w:eastAsia="zh-CN"/>
                    </w:rPr>
                    <w:t>、核磁</w:t>
                  </w:r>
                  <w:r>
                    <w:rPr>
                      <w:lang w:val="en-US" w:eastAsia="zh-CN"/>
                    </w:rPr>
                    <w:t>。</w:t>
                  </w:r>
                </w:p>
              </w:tc>
            </w:tr>
          </w:tbl>
          <w:p>
            <w:pPr>
              <w:bidi w:val="0"/>
              <w:rPr>
                <w:rFonts w:hint="default"/>
                <w:b/>
                <w:bCs/>
              </w:rPr>
            </w:pPr>
            <w:r>
              <w:rPr>
                <w:rFonts w:hint="eastAsia"/>
                <w:b/>
                <w:bCs/>
                <w:lang w:val="en-US" w:eastAsia="zh-CN"/>
              </w:rPr>
              <w:t>3</w:t>
            </w:r>
            <w:r>
              <w:rPr>
                <w:rFonts w:hint="default"/>
                <w:b/>
                <w:bCs/>
              </w:rPr>
              <w:t>、项目科室设置</w:t>
            </w:r>
          </w:p>
          <w:p>
            <w:pPr>
              <w:pStyle w:val="12"/>
              <w:bidi w:val="0"/>
              <w:rPr>
                <w:rFonts w:hint="default"/>
                <w:lang w:val="en-US" w:eastAsia="zh-CN"/>
              </w:rPr>
            </w:pPr>
            <w:r>
              <w:rPr>
                <w:rFonts w:hint="default"/>
              </w:rPr>
              <w:t>本医院主要设</w:t>
            </w:r>
            <w:r>
              <w:rPr>
                <w:lang w:val="en-US" w:eastAsia="zh-CN"/>
              </w:rPr>
              <w:t xml:space="preserve">五大医疗体系十五大医疗中心，简称 </w:t>
            </w:r>
            <w:r>
              <w:rPr>
                <w:rFonts w:hint="default"/>
                <w:lang w:val="en-US" w:eastAsia="zh-CN"/>
              </w:rPr>
              <w:t>515</w:t>
            </w:r>
            <w:r>
              <w:rPr>
                <w:lang w:val="en-US" w:eastAsia="zh-CN"/>
              </w:rPr>
              <w:t>工程。</w:t>
            </w:r>
            <w:r>
              <w:rPr>
                <w:rFonts w:hint="default"/>
                <w:lang w:val="en-US" w:eastAsia="zh-CN"/>
              </w:rPr>
              <w:t>1</w:t>
            </w:r>
            <w:r>
              <w:rPr>
                <w:lang w:val="en-US" w:eastAsia="zh-CN"/>
              </w:rPr>
              <w:t>、老年内科体系：心血管中心、呼吸中心、内分泌中心、脑血管中心；</w:t>
            </w:r>
            <w:r>
              <w:rPr>
                <w:rFonts w:hint="default"/>
                <w:lang w:val="en-US" w:eastAsia="zh-CN"/>
              </w:rPr>
              <w:t>2</w:t>
            </w:r>
            <w:r>
              <w:rPr>
                <w:lang w:val="en-US" w:eastAsia="zh-CN"/>
              </w:rPr>
              <w:t>、外科体系：前列腺治疗中心、骨科治疗中心、外科其他疾病治疗中心；</w:t>
            </w:r>
            <w:r>
              <w:rPr>
                <w:rFonts w:hint="default"/>
                <w:lang w:val="en-US" w:eastAsia="zh-CN"/>
              </w:rPr>
              <w:t>3</w:t>
            </w:r>
            <w:r>
              <w:rPr>
                <w:lang w:val="en-US" w:eastAsia="zh-CN"/>
              </w:rPr>
              <w:t>、老年康复（中医）体系：老年中医保健康复中心、老年运动医学康复中心、老年妇科盆底康复中心、老年围手期康复中心；</w:t>
            </w:r>
            <w:r>
              <w:rPr>
                <w:rFonts w:hint="default"/>
                <w:lang w:val="en-US" w:eastAsia="zh-CN"/>
              </w:rPr>
              <w:t>4</w:t>
            </w:r>
            <w:r>
              <w:rPr>
                <w:lang w:val="en-US" w:eastAsia="zh-CN"/>
              </w:rPr>
              <w:t>、老年介入治疗体系：老年外周血管疾病治疗中心、老年心血管疾病治疗中心、老年脑血管疾病治疗中心；</w:t>
            </w:r>
            <w:r>
              <w:rPr>
                <w:rFonts w:hint="default"/>
                <w:lang w:val="en-US" w:eastAsia="zh-CN"/>
              </w:rPr>
              <w:t>5</w:t>
            </w:r>
            <w:r>
              <w:rPr>
                <w:lang w:val="en-US" w:eastAsia="zh-CN"/>
              </w:rPr>
              <w:t>、健康管理中心（全生命健康管理周期）：儿童、成人、老年健康管理中心。其中重点建设科室：</w:t>
            </w:r>
            <w:r>
              <w:rPr>
                <w:rFonts w:hint="eastAsia"/>
                <w:lang w:val="en-US" w:eastAsia="zh-CN"/>
              </w:rPr>
              <w:t>①</w:t>
            </w:r>
            <w:r>
              <w:rPr>
                <w:lang w:val="en-US" w:eastAsia="zh-CN"/>
              </w:rPr>
              <w:t xml:space="preserve">神经血管介入中心， </w:t>
            </w:r>
            <w:r>
              <w:rPr>
                <w:rFonts w:hint="eastAsia"/>
                <w:lang w:val="en-US" w:eastAsia="zh-CN"/>
              </w:rPr>
              <w:t>②</w:t>
            </w:r>
            <w:r>
              <w:rPr>
                <w:lang w:val="en-US" w:eastAsia="zh-CN"/>
              </w:rPr>
              <w:t>中医康复中心，</w:t>
            </w:r>
            <w:r>
              <w:rPr>
                <w:rFonts w:hint="eastAsia"/>
                <w:lang w:val="en-US" w:eastAsia="zh-CN"/>
              </w:rPr>
              <w:t>③</w:t>
            </w:r>
            <w:r>
              <w:rPr>
                <w:lang w:val="en-US" w:eastAsia="zh-CN"/>
              </w:rPr>
              <w:t>全生命周期健康管理中心</w:t>
            </w:r>
            <w:r>
              <w:rPr>
                <w:rFonts w:hint="default"/>
              </w:rPr>
              <w:t>。本医院</w:t>
            </w:r>
            <w:r>
              <w:rPr>
                <w:rFonts w:hint="default"/>
                <w:lang w:eastAsia="zh-CN"/>
              </w:rPr>
              <w:t>不</w:t>
            </w:r>
            <w:bookmarkStart w:id="128" w:name="_GoBack"/>
            <w:r>
              <w:rPr>
                <w:rFonts w:hint="eastAsia"/>
                <w:lang w:val="en-US" w:eastAsia="zh-CN"/>
              </w:rPr>
              <w:t>设</w:t>
            </w:r>
            <w:bookmarkEnd w:id="128"/>
            <w:r>
              <w:rPr>
                <w:rFonts w:hint="default"/>
              </w:rPr>
              <w:t>传染</w:t>
            </w:r>
            <w:r>
              <w:rPr>
                <w:rFonts w:hint="default"/>
                <w:lang w:eastAsia="zh-CN"/>
              </w:rPr>
              <w:t>科</w:t>
            </w:r>
            <w:r>
              <w:rPr>
                <w:rFonts w:hint="default"/>
              </w:rPr>
              <w:t>。</w:t>
            </w:r>
          </w:p>
          <w:p>
            <w:pPr>
              <w:bidi w:val="0"/>
              <w:rPr>
                <w:rFonts w:hint="eastAsia"/>
                <w:b/>
                <w:bCs/>
              </w:rPr>
            </w:pPr>
            <w:r>
              <w:rPr>
                <w:rFonts w:hint="eastAsia"/>
                <w:b/>
                <w:bCs/>
                <w:lang w:val="en-US" w:eastAsia="zh-CN"/>
              </w:rPr>
              <w:t>4</w:t>
            </w:r>
            <w:r>
              <w:rPr>
                <w:rFonts w:hint="eastAsia"/>
                <w:b/>
                <w:bCs/>
              </w:rPr>
              <w:t>、</w:t>
            </w:r>
            <w:r>
              <w:rPr>
                <w:rFonts w:hint="default"/>
                <w:b/>
                <w:bCs/>
              </w:rPr>
              <w:t>项目原辅材料与能源消耗</w:t>
            </w:r>
          </w:p>
          <w:p>
            <w:pPr>
              <w:pStyle w:val="12"/>
              <w:bidi w:val="0"/>
            </w:pPr>
            <w:r>
              <w:rPr>
                <w:rFonts w:hint="default"/>
                <w:lang w:val="zh-CN"/>
              </w:rPr>
              <w:t>本项目使用的原辅材料为药品、医疗器具</w:t>
            </w:r>
            <w:r>
              <w:rPr>
                <w:rFonts w:hint="eastAsia"/>
                <w:lang w:val="zh-CN"/>
              </w:rPr>
              <w:t>（</w:t>
            </w:r>
            <w:r>
              <w:rPr>
                <w:rFonts w:hint="default"/>
                <w:lang w:val="zh-CN"/>
              </w:rPr>
              <w:t>纱布、一次性针管、手术器具等</w:t>
            </w:r>
            <w:r>
              <w:rPr>
                <w:rFonts w:hint="eastAsia"/>
                <w:lang w:val="zh-CN"/>
              </w:rPr>
              <w:t>）</w:t>
            </w:r>
            <w:r>
              <w:rPr>
                <w:rFonts w:hint="default"/>
                <w:lang w:val="zh-CN"/>
              </w:rPr>
              <w:t>、消毒液、碘伏；项目主要能源为水、电，项目原辅材料和能源消耗情况见</w:t>
            </w:r>
            <w:r>
              <w:rPr>
                <w:rFonts w:hint="eastAsia"/>
                <w:lang w:val="zh-CN"/>
              </w:rPr>
              <w:t>下</w:t>
            </w:r>
            <w:r>
              <w:rPr>
                <w:rFonts w:hint="default"/>
                <w:lang w:val="zh-CN"/>
              </w:rPr>
              <w:t>表</w:t>
            </w:r>
            <w:r>
              <w:t>。</w:t>
            </w:r>
          </w:p>
          <w:p>
            <w:pPr>
              <w:pStyle w:val="29"/>
              <w:bidi w:val="0"/>
              <w:rPr>
                <w:rFonts w:hint="default"/>
                <w:u w:val="single"/>
                <w:lang w:val="zh-CN"/>
              </w:rPr>
            </w:pPr>
            <w:r>
              <w:rPr>
                <w:rFonts w:hint="default"/>
                <w:u w:val="single"/>
                <w:lang w:val="zh-CN"/>
              </w:rPr>
              <w:t>表</w:t>
            </w:r>
            <w:r>
              <w:rPr>
                <w:rFonts w:hint="default"/>
                <w:u w:val="single"/>
              </w:rPr>
              <w:t>2</w:t>
            </w:r>
            <w:r>
              <w:rPr>
                <w:rFonts w:hint="eastAsia"/>
                <w:u w:val="single"/>
                <w:lang w:val="en-US" w:eastAsia="zh-CN"/>
              </w:rPr>
              <w:t>.1</w:t>
            </w:r>
            <w:r>
              <w:rPr>
                <w:rFonts w:hint="default"/>
                <w:u w:val="single"/>
              </w:rPr>
              <w:t>-</w:t>
            </w:r>
            <w:r>
              <w:rPr>
                <w:rFonts w:hint="default"/>
                <w:u w:val="single"/>
                <w:lang w:val="en-US" w:eastAsia="zh-CN"/>
              </w:rPr>
              <w:t>3</w:t>
            </w:r>
            <w:r>
              <w:rPr>
                <w:rFonts w:hint="default"/>
                <w:u w:val="single"/>
              </w:rPr>
              <w:t xml:space="preserve">  </w:t>
            </w:r>
            <w:r>
              <w:rPr>
                <w:rFonts w:hint="default"/>
                <w:u w:val="single"/>
                <w:lang w:val="zh-CN"/>
              </w:rPr>
              <w:t>项目原辅材料、能源消耗一览表</w:t>
            </w:r>
          </w:p>
          <w:tbl>
            <w:tblPr>
              <w:tblStyle w:val="27"/>
              <w:tblW w:w="90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2957"/>
              <w:gridCol w:w="1544"/>
              <w:gridCol w:w="1844"/>
              <w:gridCol w:w="1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default"/>
                    </w:rPr>
                  </w:pPr>
                  <w:r>
                    <w:rPr>
                      <w:rFonts w:hint="default"/>
                    </w:rPr>
                    <w:t>序号</w:t>
                  </w:r>
                </w:p>
              </w:tc>
              <w:tc>
                <w:tcPr>
                  <w:tcW w:w="2957" w:type="dxa"/>
                  <w:noWrap w:val="0"/>
                  <w:vAlign w:val="center"/>
                </w:tcPr>
                <w:p>
                  <w:pPr>
                    <w:pStyle w:val="30"/>
                    <w:bidi w:val="0"/>
                    <w:rPr>
                      <w:rFonts w:hint="default"/>
                    </w:rPr>
                  </w:pPr>
                  <w:r>
                    <w:rPr>
                      <w:rFonts w:hint="default"/>
                    </w:rPr>
                    <w:t>名称</w:t>
                  </w:r>
                </w:p>
              </w:tc>
              <w:tc>
                <w:tcPr>
                  <w:tcW w:w="1544" w:type="dxa"/>
                  <w:noWrap w:val="0"/>
                  <w:vAlign w:val="center"/>
                </w:tcPr>
                <w:p>
                  <w:pPr>
                    <w:pStyle w:val="30"/>
                    <w:bidi w:val="0"/>
                    <w:rPr>
                      <w:rFonts w:hint="eastAsia"/>
                      <w:lang w:eastAsia="zh-CN"/>
                    </w:rPr>
                  </w:pPr>
                  <w:r>
                    <w:rPr>
                      <w:rFonts w:hint="eastAsia"/>
                      <w:lang w:eastAsia="zh-CN"/>
                    </w:rPr>
                    <w:t>规格</w:t>
                  </w:r>
                </w:p>
              </w:tc>
              <w:tc>
                <w:tcPr>
                  <w:tcW w:w="1844" w:type="dxa"/>
                  <w:noWrap w:val="0"/>
                  <w:vAlign w:val="center"/>
                </w:tcPr>
                <w:p>
                  <w:pPr>
                    <w:pStyle w:val="30"/>
                    <w:bidi w:val="0"/>
                    <w:rPr>
                      <w:rFonts w:hint="default"/>
                    </w:rPr>
                  </w:pPr>
                  <w:r>
                    <w:rPr>
                      <w:rFonts w:hint="default"/>
                    </w:rPr>
                    <w:t>年耗量</w:t>
                  </w:r>
                </w:p>
              </w:tc>
              <w:tc>
                <w:tcPr>
                  <w:tcW w:w="1804" w:type="dxa"/>
                  <w:noWrap w:val="0"/>
                  <w:vAlign w:val="center"/>
                </w:tcPr>
                <w:p>
                  <w:pPr>
                    <w:pStyle w:val="30"/>
                    <w:bidi w:val="0"/>
                    <w:rPr>
                      <w:rFonts w:hint="default"/>
                    </w:rPr>
                  </w:pPr>
                  <w:r>
                    <w:rPr>
                      <w:rFonts w:hint="default"/>
                    </w:rPr>
                    <w:t>厂区最大贮存量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eastAsia"/>
                      <w:lang w:val="en-US" w:eastAsia="zh-CN"/>
                    </w:rPr>
                  </w:pPr>
                  <w:r>
                    <w:rPr>
                      <w:rFonts w:hint="eastAsia"/>
                      <w:lang w:val="en-US" w:eastAsia="zh-CN"/>
                    </w:rPr>
                    <w:t>1</w:t>
                  </w:r>
                </w:p>
              </w:tc>
              <w:tc>
                <w:tcPr>
                  <w:tcW w:w="2957" w:type="dxa"/>
                  <w:shd w:val="clear" w:color="auto" w:fill="auto"/>
                  <w:noWrap w:val="0"/>
                  <w:vAlign w:val="center"/>
                </w:tcPr>
                <w:p>
                  <w:pPr>
                    <w:pStyle w:val="30"/>
                    <w:bidi w:val="0"/>
                    <w:rPr>
                      <w:rFonts w:hint="default"/>
                      <w:lang w:val="en-US" w:eastAsia="zh-CN"/>
                    </w:rPr>
                  </w:pPr>
                  <w:r>
                    <w:rPr>
                      <w:rFonts w:hint="default"/>
                    </w:rPr>
                    <w:t>医疗器具</w:t>
                  </w:r>
                  <w:r>
                    <w:rPr>
                      <w:rFonts w:hint="eastAsia"/>
                      <w:lang w:eastAsia="zh-CN"/>
                    </w:rPr>
                    <w:t>（</w:t>
                  </w:r>
                  <w:r>
                    <w:rPr>
                      <w:rFonts w:hint="default"/>
                    </w:rPr>
                    <w:t>纱布、一次性针管</w:t>
                  </w:r>
                  <w:r>
                    <w:rPr>
                      <w:rFonts w:hint="eastAsia"/>
                      <w:lang w:eastAsia="zh-CN"/>
                    </w:rPr>
                    <w:t>、注射器具、输液器具</w:t>
                  </w:r>
                  <w:r>
                    <w:rPr>
                      <w:rFonts w:hint="default"/>
                    </w:rPr>
                    <w:t>等</w:t>
                  </w:r>
                  <w:r>
                    <w:rPr>
                      <w:rFonts w:hint="eastAsia"/>
                      <w:lang w:eastAsia="zh-CN"/>
                    </w:rPr>
                    <w:t>）</w:t>
                  </w:r>
                </w:p>
              </w:tc>
              <w:tc>
                <w:tcPr>
                  <w:tcW w:w="1544" w:type="dxa"/>
                  <w:shd w:val="clear" w:color="auto" w:fill="auto"/>
                  <w:noWrap w:val="0"/>
                  <w:vAlign w:val="center"/>
                </w:tcPr>
                <w:p>
                  <w:pPr>
                    <w:pStyle w:val="30"/>
                    <w:bidi w:val="0"/>
                    <w:rPr>
                      <w:rFonts w:hint="default"/>
                    </w:rPr>
                  </w:pPr>
                  <w:r>
                    <w:rPr>
                      <w:rFonts w:hint="eastAsia"/>
                      <w:lang w:val="en-US" w:eastAsia="zh-CN"/>
                    </w:rPr>
                    <w:t>/</w:t>
                  </w:r>
                </w:p>
              </w:tc>
              <w:tc>
                <w:tcPr>
                  <w:tcW w:w="1844" w:type="dxa"/>
                  <w:shd w:val="clear" w:color="auto" w:fill="auto"/>
                  <w:noWrap w:val="0"/>
                  <w:vAlign w:val="center"/>
                </w:tcPr>
                <w:p>
                  <w:pPr>
                    <w:pStyle w:val="30"/>
                    <w:bidi w:val="0"/>
                    <w:rPr>
                      <w:rFonts w:hint="eastAsia"/>
                      <w:lang w:val="en-US" w:eastAsia="zh-CN"/>
                    </w:rPr>
                  </w:pPr>
                  <w:r>
                    <w:rPr>
                      <w:rFonts w:hint="eastAsia"/>
                      <w:lang w:eastAsia="zh-CN"/>
                    </w:rPr>
                    <w:t>按需要采购</w:t>
                  </w:r>
                </w:p>
              </w:tc>
              <w:tc>
                <w:tcPr>
                  <w:tcW w:w="1804" w:type="dxa"/>
                  <w:noWrap w:val="0"/>
                  <w:vAlign w:val="center"/>
                </w:tcPr>
                <w:p>
                  <w:pPr>
                    <w:pStyle w:val="30"/>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eastAsia"/>
                      <w:lang w:val="en-US" w:eastAsia="zh-CN"/>
                    </w:rPr>
                  </w:pPr>
                  <w:r>
                    <w:rPr>
                      <w:rFonts w:hint="eastAsia"/>
                      <w:lang w:val="en-US" w:eastAsia="zh-CN"/>
                    </w:rPr>
                    <w:t>2</w:t>
                  </w:r>
                </w:p>
              </w:tc>
              <w:tc>
                <w:tcPr>
                  <w:tcW w:w="2957" w:type="dxa"/>
                  <w:shd w:val="clear" w:color="auto" w:fill="auto"/>
                  <w:noWrap w:val="0"/>
                  <w:vAlign w:val="center"/>
                </w:tcPr>
                <w:p>
                  <w:pPr>
                    <w:pStyle w:val="30"/>
                    <w:bidi w:val="0"/>
                    <w:rPr>
                      <w:rFonts w:hint="default"/>
                      <w:lang w:val="en-US" w:eastAsia="zh-CN"/>
                    </w:rPr>
                  </w:pPr>
                  <w:r>
                    <w:rPr>
                      <w:rFonts w:hint="default"/>
                    </w:rPr>
                    <w:t>医用药品</w:t>
                  </w:r>
                  <w:r>
                    <w:rPr>
                      <w:rFonts w:hint="eastAsia"/>
                      <w:lang w:eastAsia="zh-CN"/>
                    </w:rPr>
                    <w:t>、常规药物</w:t>
                  </w:r>
                </w:p>
              </w:tc>
              <w:tc>
                <w:tcPr>
                  <w:tcW w:w="1544" w:type="dxa"/>
                  <w:shd w:val="clear" w:color="auto" w:fill="auto"/>
                  <w:noWrap w:val="0"/>
                  <w:vAlign w:val="center"/>
                </w:tcPr>
                <w:p>
                  <w:pPr>
                    <w:pStyle w:val="30"/>
                    <w:bidi w:val="0"/>
                    <w:rPr>
                      <w:rFonts w:hint="default"/>
                    </w:rPr>
                  </w:pPr>
                  <w:r>
                    <w:rPr>
                      <w:rFonts w:hint="eastAsia"/>
                      <w:lang w:val="en-US" w:eastAsia="zh-CN"/>
                    </w:rPr>
                    <w:t>/</w:t>
                  </w:r>
                </w:p>
              </w:tc>
              <w:tc>
                <w:tcPr>
                  <w:tcW w:w="1844" w:type="dxa"/>
                  <w:shd w:val="clear" w:color="auto" w:fill="auto"/>
                  <w:noWrap w:val="0"/>
                  <w:vAlign w:val="center"/>
                </w:tcPr>
                <w:p>
                  <w:pPr>
                    <w:pStyle w:val="30"/>
                    <w:bidi w:val="0"/>
                    <w:rPr>
                      <w:rFonts w:hint="default"/>
                      <w:lang w:val="en-US" w:eastAsia="zh-CN"/>
                    </w:rPr>
                  </w:pPr>
                  <w:r>
                    <w:rPr>
                      <w:rFonts w:hint="eastAsia"/>
                      <w:lang w:eastAsia="zh-CN"/>
                    </w:rPr>
                    <w:t>按需要采购</w:t>
                  </w:r>
                </w:p>
              </w:tc>
              <w:tc>
                <w:tcPr>
                  <w:tcW w:w="1804" w:type="dxa"/>
                  <w:noWrap w:val="0"/>
                  <w:vAlign w:val="center"/>
                </w:tcPr>
                <w:p>
                  <w:pPr>
                    <w:pStyle w:val="30"/>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eastAsia"/>
                      <w:lang w:val="en-US" w:eastAsia="zh-CN"/>
                    </w:rPr>
                  </w:pPr>
                  <w:r>
                    <w:rPr>
                      <w:rFonts w:hint="eastAsia"/>
                      <w:lang w:val="en-US" w:eastAsia="zh-CN"/>
                    </w:rPr>
                    <w:t>3</w:t>
                  </w:r>
                </w:p>
              </w:tc>
              <w:tc>
                <w:tcPr>
                  <w:tcW w:w="2957" w:type="dxa"/>
                  <w:shd w:val="clear" w:color="auto" w:fill="auto"/>
                  <w:noWrap w:val="0"/>
                  <w:vAlign w:val="center"/>
                </w:tcPr>
                <w:p>
                  <w:pPr>
                    <w:pStyle w:val="30"/>
                    <w:bidi w:val="0"/>
                    <w:rPr>
                      <w:rFonts w:hint="default"/>
                      <w:lang w:val="en-US" w:eastAsia="zh-CN"/>
                    </w:rPr>
                  </w:pPr>
                  <w:r>
                    <w:rPr>
                      <w:rFonts w:hint="default"/>
                      <w:lang w:val="en-US" w:eastAsia="zh-CN"/>
                    </w:rPr>
                    <w:t>各种针剂及口服西药</w:t>
                  </w:r>
                </w:p>
              </w:tc>
              <w:tc>
                <w:tcPr>
                  <w:tcW w:w="1544" w:type="dxa"/>
                  <w:shd w:val="clear" w:color="auto" w:fill="auto"/>
                  <w:noWrap w:val="0"/>
                  <w:vAlign w:val="center"/>
                </w:tcPr>
                <w:p>
                  <w:pPr>
                    <w:pStyle w:val="30"/>
                    <w:bidi w:val="0"/>
                    <w:rPr>
                      <w:rFonts w:hint="default"/>
                      <w:lang w:val="en-US" w:eastAsia="zh-CN"/>
                    </w:rPr>
                  </w:pPr>
                  <w:r>
                    <w:rPr>
                      <w:rFonts w:hint="eastAsia"/>
                      <w:lang w:val="en-US" w:eastAsia="zh-CN"/>
                    </w:rPr>
                    <w:t>/</w:t>
                  </w:r>
                </w:p>
              </w:tc>
              <w:tc>
                <w:tcPr>
                  <w:tcW w:w="1844" w:type="dxa"/>
                  <w:shd w:val="clear" w:color="auto" w:fill="auto"/>
                  <w:noWrap w:val="0"/>
                  <w:vAlign w:val="center"/>
                </w:tcPr>
                <w:p>
                  <w:pPr>
                    <w:pStyle w:val="30"/>
                    <w:bidi w:val="0"/>
                    <w:rPr>
                      <w:rFonts w:hint="default"/>
                      <w:lang w:val="en-US" w:eastAsia="zh-CN"/>
                    </w:rPr>
                  </w:pPr>
                  <w:r>
                    <w:rPr>
                      <w:rFonts w:hint="eastAsia"/>
                      <w:lang w:eastAsia="zh-CN"/>
                    </w:rPr>
                    <w:t>按需要采购</w:t>
                  </w:r>
                </w:p>
              </w:tc>
              <w:tc>
                <w:tcPr>
                  <w:tcW w:w="1804" w:type="dxa"/>
                  <w:noWrap w:val="0"/>
                  <w:vAlign w:val="center"/>
                </w:tcPr>
                <w:p>
                  <w:pPr>
                    <w:pStyle w:val="30"/>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eastAsia"/>
                      <w:lang w:val="en-US" w:eastAsia="zh-CN"/>
                    </w:rPr>
                  </w:pPr>
                  <w:r>
                    <w:rPr>
                      <w:rFonts w:hint="eastAsia"/>
                      <w:lang w:val="en-US" w:eastAsia="zh-CN"/>
                    </w:rPr>
                    <w:t>4</w:t>
                  </w:r>
                </w:p>
              </w:tc>
              <w:tc>
                <w:tcPr>
                  <w:tcW w:w="2957" w:type="dxa"/>
                  <w:shd w:val="clear" w:color="auto" w:fill="auto"/>
                  <w:noWrap w:val="0"/>
                  <w:vAlign w:val="center"/>
                </w:tcPr>
                <w:p>
                  <w:pPr>
                    <w:pStyle w:val="30"/>
                    <w:bidi w:val="0"/>
                    <w:rPr>
                      <w:rFonts w:hint="default"/>
                      <w:lang w:val="en-US" w:eastAsia="zh-CN"/>
                    </w:rPr>
                  </w:pPr>
                  <w:r>
                    <w:rPr>
                      <w:rFonts w:hint="default"/>
                      <w:lang w:val="en-US" w:eastAsia="zh-CN"/>
                    </w:rPr>
                    <w:t>放射科医用干式胶片</w:t>
                  </w:r>
                </w:p>
              </w:tc>
              <w:tc>
                <w:tcPr>
                  <w:tcW w:w="1544" w:type="dxa"/>
                  <w:shd w:val="clear" w:color="auto" w:fill="auto"/>
                  <w:noWrap w:val="0"/>
                  <w:vAlign w:val="center"/>
                </w:tcPr>
                <w:p>
                  <w:pPr>
                    <w:pStyle w:val="30"/>
                    <w:bidi w:val="0"/>
                    <w:rPr>
                      <w:rFonts w:hint="default"/>
                      <w:lang w:val="en-US" w:eastAsia="zh-CN"/>
                    </w:rPr>
                  </w:pPr>
                  <w:r>
                    <w:rPr>
                      <w:rFonts w:hint="eastAsia"/>
                      <w:lang w:val="en-US" w:eastAsia="zh-CN"/>
                    </w:rPr>
                    <w:t>/</w:t>
                  </w:r>
                </w:p>
              </w:tc>
              <w:tc>
                <w:tcPr>
                  <w:tcW w:w="1844" w:type="dxa"/>
                  <w:shd w:val="clear" w:color="auto" w:fill="auto"/>
                  <w:noWrap w:val="0"/>
                  <w:vAlign w:val="center"/>
                </w:tcPr>
                <w:p>
                  <w:pPr>
                    <w:pStyle w:val="30"/>
                    <w:bidi w:val="0"/>
                    <w:rPr>
                      <w:rFonts w:hint="default"/>
                      <w:lang w:val="en-US" w:eastAsia="zh-CN"/>
                    </w:rPr>
                  </w:pPr>
                  <w:r>
                    <w:rPr>
                      <w:rFonts w:hint="eastAsia"/>
                      <w:lang w:eastAsia="zh-CN"/>
                    </w:rPr>
                    <w:t>按需要采购</w:t>
                  </w:r>
                </w:p>
              </w:tc>
              <w:tc>
                <w:tcPr>
                  <w:tcW w:w="1804" w:type="dxa"/>
                  <w:noWrap w:val="0"/>
                  <w:vAlign w:val="center"/>
                </w:tcPr>
                <w:p>
                  <w:pPr>
                    <w:pStyle w:val="30"/>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eastAsia"/>
                      <w:lang w:val="en-US" w:eastAsia="zh-CN"/>
                    </w:rPr>
                  </w:pPr>
                  <w:r>
                    <w:rPr>
                      <w:rFonts w:hint="eastAsia"/>
                      <w:lang w:val="en-US" w:eastAsia="zh-CN"/>
                    </w:rPr>
                    <w:t>5</w:t>
                  </w:r>
                </w:p>
              </w:tc>
              <w:tc>
                <w:tcPr>
                  <w:tcW w:w="2957" w:type="dxa"/>
                  <w:shd w:val="clear" w:color="auto" w:fill="auto"/>
                  <w:noWrap w:val="0"/>
                  <w:vAlign w:val="center"/>
                </w:tcPr>
                <w:p>
                  <w:pPr>
                    <w:pStyle w:val="30"/>
                    <w:bidi w:val="0"/>
                    <w:rPr>
                      <w:rFonts w:hint="default"/>
                      <w:lang w:val="en-US" w:eastAsia="zh-CN"/>
                    </w:rPr>
                  </w:pPr>
                  <w:r>
                    <w:rPr>
                      <w:rFonts w:hint="default"/>
                      <w:lang w:val="en-US" w:eastAsia="zh-CN"/>
                    </w:rPr>
                    <w:t>各类大输液用药及器具</w:t>
                  </w:r>
                </w:p>
              </w:tc>
              <w:tc>
                <w:tcPr>
                  <w:tcW w:w="1544" w:type="dxa"/>
                  <w:shd w:val="clear" w:color="auto" w:fill="auto"/>
                  <w:noWrap w:val="0"/>
                  <w:vAlign w:val="center"/>
                </w:tcPr>
                <w:p>
                  <w:pPr>
                    <w:pStyle w:val="30"/>
                    <w:bidi w:val="0"/>
                    <w:rPr>
                      <w:rFonts w:hint="default"/>
                      <w:lang w:val="en-US" w:eastAsia="zh-CN"/>
                    </w:rPr>
                  </w:pPr>
                  <w:r>
                    <w:rPr>
                      <w:rFonts w:hint="eastAsia"/>
                      <w:lang w:val="en-US" w:eastAsia="zh-CN"/>
                    </w:rPr>
                    <w:t>/</w:t>
                  </w:r>
                </w:p>
              </w:tc>
              <w:tc>
                <w:tcPr>
                  <w:tcW w:w="1844" w:type="dxa"/>
                  <w:shd w:val="clear" w:color="auto" w:fill="auto"/>
                  <w:noWrap w:val="0"/>
                  <w:vAlign w:val="center"/>
                </w:tcPr>
                <w:p>
                  <w:pPr>
                    <w:pStyle w:val="30"/>
                    <w:bidi w:val="0"/>
                    <w:rPr>
                      <w:rFonts w:hint="default"/>
                      <w:lang w:val="en-US" w:eastAsia="zh-CN"/>
                    </w:rPr>
                  </w:pPr>
                  <w:r>
                    <w:rPr>
                      <w:rFonts w:hint="eastAsia"/>
                      <w:lang w:eastAsia="zh-CN"/>
                    </w:rPr>
                    <w:t>按需要采购</w:t>
                  </w:r>
                </w:p>
              </w:tc>
              <w:tc>
                <w:tcPr>
                  <w:tcW w:w="1804" w:type="dxa"/>
                  <w:noWrap w:val="0"/>
                  <w:vAlign w:val="center"/>
                </w:tcPr>
                <w:p>
                  <w:pPr>
                    <w:pStyle w:val="30"/>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eastAsia"/>
                      <w:lang w:val="en-US" w:eastAsia="zh-CN"/>
                    </w:rPr>
                  </w:pPr>
                  <w:r>
                    <w:rPr>
                      <w:rFonts w:hint="eastAsia"/>
                      <w:lang w:val="en-US" w:eastAsia="zh-CN"/>
                    </w:rPr>
                    <w:t>6</w:t>
                  </w:r>
                </w:p>
              </w:tc>
              <w:tc>
                <w:tcPr>
                  <w:tcW w:w="2957" w:type="dxa"/>
                  <w:shd w:val="clear" w:color="auto" w:fill="auto"/>
                  <w:noWrap w:val="0"/>
                  <w:vAlign w:val="center"/>
                </w:tcPr>
                <w:p>
                  <w:pPr>
                    <w:pStyle w:val="30"/>
                    <w:bidi w:val="0"/>
                    <w:rPr>
                      <w:rFonts w:hint="default"/>
                      <w:lang w:val="en-US" w:eastAsia="zh-CN"/>
                    </w:rPr>
                  </w:pPr>
                  <w:r>
                    <w:rPr>
                      <w:rFonts w:hint="default"/>
                    </w:rPr>
                    <w:t>5%盐水</w:t>
                  </w:r>
                </w:p>
              </w:tc>
              <w:tc>
                <w:tcPr>
                  <w:tcW w:w="1544" w:type="dxa"/>
                  <w:shd w:val="clear" w:color="auto" w:fill="auto"/>
                  <w:noWrap w:val="0"/>
                  <w:vAlign w:val="center"/>
                </w:tcPr>
                <w:p>
                  <w:pPr>
                    <w:pStyle w:val="30"/>
                    <w:bidi w:val="0"/>
                    <w:rPr>
                      <w:rFonts w:hint="default"/>
                    </w:rPr>
                  </w:pPr>
                  <w:r>
                    <w:rPr>
                      <w:rFonts w:hint="eastAsia"/>
                      <w:lang w:val="en-US" w:eastAsia="zh-CN"/>
                    </w:rPr>
                    <w:t>/</w:t>
                  </w:r>
                </w:p>
              </w:tc>
              <w:tc>
                <w:tcPr>
                  <w:tcW w:w="1844" w:type="dxa"/>
                  <w:shd w:val="clear" w:color="auto" w:fill="auto"/>
                  <w:noWrap w:val="0"/>
                  <w:vAlign w:val="center"/>
                </w:tcPr>
                <w:p>
                  <w:pPr>
                    <w:pStyle w:val="30"/>
                    <w:bidi w:val="0"/>
                    <w:rPr>
                      <w:rFonts w:hint="default"/>
                      <w:lang w:val="en-US" w:eastAsia="zh-CN"/>
                    </w:rPr>
                  </w:pPr>
                  <w:r>
                    <w:rPr>
                      <w:rFonts w:hint="eastAsia"/>
                      <w:lang w:eastAsia="zh-CN"/>
                    </w:rPr>
                    <w:t>按需要采购</w:t>
                  </w:r>
                </w:p>
              </w:tc>
              <w:tc>
                <w:tcPr>
                  <w:tcW w:w="1804" w:type="dxa"/>
                  <w:noWrap w:val="0"/>
                  <w:vAlign w:val="center"/>
                </w:tcPr>
                <w:p>
                  <w:pPr>
                    <w:pStyle w:val="30"/>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eastAsia"/>
                      <w:lang w:val="en-US" w:eastAsia="zh-CN"/>
                    </w:rPr>
                  </w:pPr>
                  <w:r>
                    <w:rPr>
                      <w:rFonts w:hint="eastAsia"/>
                      <w:lang w:val="en-US" w:eastAsia="zh-CN"/>
                    </w:rPr>
                    <w:t>7</w:t>
                  </w:r>
                </w:p>
              </w:tc>
              <w:tc>
                <w:tcPr>
                  <w:tcW w:w="2957" w:type="dxa"/>
                  <w:noWrap w:val="0"/>
                  <w:vAlign w:val="center"/>
                </w:tcPr>
                <w:p>
                  <w:pPr>
                    <w:pStyle w:val="30"/>
                    <w:bidi w:val="0"/>
                    <w:rPr>
                      <w:rFonts w:hint="default"/>
                    </w:rPr>
                  </w:pPr>
                  <w:r>
                    <w:rPr>
                      <w:rFonts w:hint="default"/>
                    </w:rPr>
                    <w:t>84消毒液</w:t>
                  </w:r>
                </w:p>
              </w:tc>
              <w:tc>
                <w:tcPr>
                  <w:tcW w:w="1544" w:type="dxa"/>
                  <w:noWrap w:val="0"/>
                  <w:vAlign w:val="center"/>
                </w:tcPr>
                <w:p>
                  <w:pPr>
                    <w:pStyle w:val="30"/>
                    <w:bidi w:val="0"/>
                    <w:rPr>
                      <w:rFonts w:hint="default"/>
                    </w:rPr>
                  </w:pPr>
                  <w:r>
                    <w:rPr>
                      <w:rFonts w:hint="eastAsia"/>
                      <w:lang w:val="en-US" w:eastAsia="zh-CN"/>
                    </w:rPr>
                    <w:t>/</w:t>
                  </w:r>
                </w:p>
              </w:tc>
              <w:tc>
                <w:tcPr>
                  <w:tcW w:w="1844" w:type="dxa"/>
                  <w:noWrap w:val="0"/>
                  <w:vAlign w:val="center"/>
                </w:tcPr>
                <w:p>
                  <w:pPr>
                    <w:pStyle w:val="30"/>
                    <w:bidi w:val="0"/>
                    <w:rPr>
                      <w:rFonts w:hint="default"/>
                    </w:rPr>
                  </w:pPr>
                  <w:r>
                    <w:rPr>
                      <w:rFonts w:hint="default"/>
                      <w:lang w:val="en-US" w:eastAsia="zh-CN"/>
                    </w:rPr>
                    <w:t>1</w:t>
                  </w:r>
                  <w:r>
                    <w:rPr>
                      <w:rFonts w:hint="default"/>
                    </w:rPr>
                    <w:t>t/a</w:t>
                  </w:r>
                </w:p>
              </w:tc>
              <w:tc>
                <w:tcPr>
                  <w:tcW w:w="1804" w:type="dxa"/>
                  <w:noWrap w:val="0"/>
                  <w:vAlign w:val="center"/>
                </w:tcPr>
                <w:p>
                  <w:pPr>
                    <w:pStyle w:val="30"/>
                    <w:bidi w:val="0"/>
                    <w:rPr>
                      <w:rFonts w:hint="default"/>
                    </w:rPr>
                  </w:pPr>
                  <w:r>
                    <w:rPr>
                      <w:rFonts w:hint="default"/>
                    </w:rPr>
                    <w:t>0.5t，桶装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eastAsia"/>
                      <w:lang w:val="en-US" w:eastAsia="zh-CN"/>
                    </w:rPr>
                  </w:pPr>
                  <w:r>
                    <w:rPr>
                      <w:rFonts w:hint="eastAsia"/>
                      <w:lang w:val="en-US" w:eastAsia="zh-CN"/>
                    </w:rPr>
                    <w:t>8</w:t>
                  </w:r>
                </w:p>
              </w:tc>
              <w:tc>
                <w:tcPr>
                  <w:tcW w:w="2957" w:type="dxa"/>
                  <w:noWrap w:val="0"/>
                  <w:vAlign w:val="center"/>
                </w:tcPr>
                <w:p>
                  <w:pPr>
                    <w:pStyle w:val="30"/>
                    <w:bidi w:val="0"/>
                    <w:rPr>
                      <w:rFonts w:hint="default"/>
                    </w:rPr>
                  </w:pPr>
                  <w:r>
                    <w:rPr>
                      <w:rFonts w:hint="default"/>
                    </w:rPr>
                    <w:t>碘伏</w:t>
                  </w:r>
                </w:p>
              </w:tc>
              <w:tc>
                <w:tcPr>
                  <w:tcW w:w="1544" w:type="dxa"/>
                  <w:noWrap w:val="0"/>
                  <w:vAlign w:val="center"/>
                </w:tcPr>
                <w:p>
                  <w:pPr>
                    <w:pStyle w:val="30"/>
                    <w:bidi w:val="0"/>
                    <w:rPr>
                      <w:rFonts w:hint="default"/>
                    </w:rPr>
                  </w:pPr>
                  <w:r>
                    <w:rPr>
                      <w:rFonts w:hint="eastAsia"/>
                      <w:lang w:val="en-US" w:eastAsia="zh-CN"/>
                    </w:rPr>
                    <w:t>/</w:t>
                  </w:r>
                </w:p>
              </w:tc>
              <w:tc>
                <w:tcPr>
                  <w:tcW w:w="1844" w:type="dxa"/>
                  <w:noWrap w:val="0"/>
                  <w:vAlign w:val="center"/>
                </w:tcPr>
                <w:p>
                  <w:pPr>
                    <w:pStyle w:val="30"/>
                    <w:bidi w:val="0"/>
                    <w:rPr>
                      <w:rFonts w:hint="default"/>
                    </w:rPr>
                  </w:pPr>
                  <w:r>
                    <w:rPr>
                      <w:rFonts w:hint="default"/>
                      <w:lang w:val="en-US" w:eastAsia="zh-CN"/>
                    </w:rPr>
                    <w:t>1.</w:t>
                  </w:r>
                  <w:r>
                    <w:rPr>
                      <w:rFonts w:hint="eastAsia"/>
                      <w:lang w:val="en-US" w:eastAsia="zh-CN"/>
                    </w:rPr>
                    <w:t>2</w:t>
                  </w:r>
                  <w:r>
                    <w:rPr>
                      <w:rFonts w:hint="default"/>
                    </w:rPr>
                    <w:t>t/a</w:t>
                  </w:r>
                </w:p>
              </w:tc>
              <w:tc>
                <w:tcPr>
                  <w:tcW w:w="1804" w:type="dxa"/>
                  <w:noWrap w:val="0"/>
                  <w:vAlign w:val="center"/>
                </w:tcPr>
                <w:p>
                  <w:pPr>
                    <w:pStyle w:val="30"/>
                    <w:bidi w:val="0"/>
                    <w:rPr>
                      <w:rFonts w:hint="default"/>
                    </w:rPr>
                  </w:pPr>
                  <w:r>
                    <w:rPr>
                      <w:rFonts w:hint="default"/>
                    </w:rPr>
                    <w:t>0.5t，瓶装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eastAsia"/>
                      <w:lang w:val="en-US" w:eastAsia="zh-CN"/>
                    </w:rPr>
                  </w:pPr>
                  <w:r>
                    <w:rPr>
                      <w:rFonts w:hint="eastAsia"/>
                      <w:lang w:val="en-US" w:eastAsia="zh-CN"/>
                    </w:rPr>
                    <w:t>9</w:t>
                  </w:r>
                </w:p>
              </w:tc>
              <w:tc>
                <w:tcPr>
                  <w:tcW w:w="2957" w:type="dxa"/>
                  <w:noWrap w:val="0"/>
                  <w:vAlign w:val="center"/>
                </w:tcPr>
                <w:p>
                  <w:pPr>
                    <w:pStyle w:val="30"/>
                    <w:bidi w:val="0"/>
                    <w:rPr>
                      <w:rFonts w:hint="default"/>
                    </w:rPr>
                  </w:pPr>
                  <w:r>
                    <w:rPr>
                      <w:rFonts w:hint="default"/>
                    </w:rPr>
                    <w:t>双氧水</w:t>
                  </w:r>
                </w:p>
              </w:tc>
              <w:tc>
                <w:tcPr>
                  <w:tcW w:w="1544" w:type="dxa"/>
                  <w:noWrap w:val="0"/>
                  <w:vAlign w:val="center"/>
                </w:tcPr>
                <w:p>
                  <w:pPr>
                    <w:pStyle w:val="30"/>
                    <w:bidi w:val="0"/>
                    <w:rPr>
                      <w:rFonts w:hint="default"/>
                    </w:rPr>
                  </w:pPr>
                  <w:r>
                    <w:rPr>
                      <w:rFonts w:hint="eastAsia"/>
                      <w:lang w:val="en-US" w:eastAsia="zh-CN"/>
                    </w:rPr>
                    <w:t>/</w:t>
                  </w:r>
                </w:p>
              </w:tc>
              <w:tc>
                <w:tcPr>
                  <w:tcW w:w="1844" w:type="dxa"/>
                  <w:noWrap w:val="0"/>
                  <w:vAlign w:val="center"/>
                </w:tcPr>
                <w:p>
                  <w:pPr>
                    <w:pStyle w:val="30"/>
                    <w:bidi w:val="0"/>
                    <w:rPr>
                      <w:rFonts w:hint="default"/>
                    </w:rPr>
                  </w:pPr>
                  <w:r>
                    <w:rPr>
                      <w:rFonts w:hint="eastAsia"/>
                      <w:lang w:eastAsia="zh-CN"/>
                    </w:rPr>
                    <w:t>按需要采购</w:t>
                  </w:r>
                </w:p>
              </w:tc>
              <w:tc>
                <w:tcPr>
                  <w:tcW w:w="1804" w:type="dxa"/>
                  <w:noWrap w:val="0"/>
                  <w:vAlign w:val="center"/>
                </w:tcPr>
                <w:p>
                  <w:pPr>
                    <w:pStyle w:val="30"/>
                    <w:bidi w:val="0"/>
                    <w:rPr>
                      <w:rFonts w:hint="default"/>
                    </w:rPr>
                  </w:pPr>
                  <w:r>
                    <w:rPr>
                      <w:rFonts w:hint="default"/>
                    </w:rPr>
                    <w:t>0.5t，瓶装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default"/>
                      <w:lang w:val="en-US" w:eastAsia="zh-CN"/>
                    </w:rPr>
                  </w:pPr>
                  <w:r>
                    <w:rPr>
                      <w:rFonts w:hint="eastAsia"/>
                      <w:lang w:val="en-US" w:eastAsia="zh-CN"/>
                    </w:rPr>
                    <w:t>10</w:t>
                  </w:r>
                </w:p>
              </w:tc>
              <w:tc>
                <w:tcPr>
                  <w:tcW w:w="2957" w:type="dxa"/>
                  <w:noWrap w:val="0"/>
                  <w:vAlign w:val="center"/>
                </w:tcPr>
                <w:p>
                  <w:pPr>
                    <w:pStyle w:val="30"/>
                    <w:bidi w:val="0"/>
                    <w:rPr>
                      <w:rFonts w:hint="default"/>
                    </w:rPr>
                  </w:pPr>
                  <w:r>
                    <w:rPr>
                      <w:rFonts w:hint="default"/>
                    </w:rPr>
                    <w:t>5%葡萄糖</w:t>
                  </w:r>
                </w:p>
              </w:tc>
              <w:tc>
                <w:tcPr>
                  <w:tcW w:w="1544" w:type="dxa"/>
                  <w:noWrap w:val="0"/>
                  <w:vAlign w:val="center"/>
                </w:tcPr>
                <w:p>
                  <w:pPr>
                    <w:pStyle w:val="30"/>
                    <w:bidi w:val="0"/>
                    <w:rPr>
                      <w:rFonts w:hint="default"/>
                    </w:rPr>
                  </w:pPr>
                  <w:r>
                    <w:rPr>
                      <w:rFonts w:hint="eastAsia"/>
                      <w:lang w:val="en-US" w:eastAsia="zh-CN"/>
                    </w:rPr>
                    <w:t>/</w:t>
                  </w:r>
                </w:p>
              </w:tc>
              <w:tc>
                <w:tcPr>
                  <w:tcW w:w="1844" w:type="dxa"/>
                  <w:noWrap w:val="0"/>
                  <w:vAlign w:val="center"/>
                </w:tcPr>
                <w:p>
                  <w:pPr>
                    <w:pStyle w:val="30"/>
                    <w:bidi w:val="0"/>
                    <w:rPr>
                      <w:rFonts w:hint="default"/>
                    </w:rPr>
                  </w:pPr>
                  <w:r>
                    <w:rPr>
                      <w:rFonts w:hint="eastAsia"/>
                      <w:lang w:eastAsia="zh-CN"/>
                    </w:rPr>
                    <w:t>按需要采购</w:t>
                  </w:r>
                </w:p>
              </w:tc>
              <w:tc>
                <w:tcPr>
                  <w:tcW w:w="1804" w:type="dxa"/>
                  <w:noWrap w:val="0"/>
                  <w:vAlign w:val="center"/>
                </w:tcPr>
                <w:p>
                  <w:pPr>
                    <w:pStyle w:val="30"/>
                    <w:bidi w:val="0"/>
                    <w:rPr>
                      <w:rFonts w:hint="eastAsia"/>
                      <w:lang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default"/>
                      <w:lang w:val="en-US" w:eastAsia="zh-CN"/>
                    </w:rPr>
                  </w:pPr>
                  <w:r>
                    <w:rPr>
                      <w:rFonts w:hint="eastAsia"/>
                      <w:lang w:val="en-US" w:eastAsia="zh-CN"/>
                    </w:rPr>
                    <w:t>11</w:t>
                  </w:r>
                </w:p>
              </w:tc>
              <w:tc>
                <w:tcPr>
                  <w:tcW w:w="2957" w:type="dxa"/>
                  <w:noWrap w:val="0"/>
                  <w:vAlign w:val="center"/>
                </w:tcPr>
                <w:p>
                  <w:pPr>
                    <w:pStyle w:val="30"/>
                    <w:bidi w:val="0"/>
                    <w:rPr>
                      <w:rFonts w:hint="default"/>
                    </w:rPr>
                  </w:pPr>
                  <w:r>
                    <w:rPr>
                      <w:rFonts w:hint="default"/>
                    </w:rPr>
                    <w:t>0.9%氯化钠注射液</w:t>
                  </w:r>
                </w:p>
              </w:tc>
              <w:tc>
                <w:tcPr>
                  <w:tcW w:w="1544" w:type="dxa"/>
                  <w:noWrap w:val="0"/>
                  <w:vAlign w:val="center"/>
                </w:tcPr>
                <w:p>
                  <w:pPr>
                    <w:pStyle w:val="30"/>
                    <w:bidi w:val="0"/>
                    <w:rPr>
                      <w:rFonts w:hint="default"/>
                    </w:rPr>
                  </w:pPr>
                  <w:r>
                    <w:rPr>
                      <w:rFonts w:hint="eastAsia"/>
                      <w:lang w:val="en-US" w:eastAsia="zh-CN"/>
                    </w:rPr>
                    <w:t>/</w:t>
                  </w:r>
                </w:p>
              </w:tc>
              <w:tc>
                <w:tcPr>
                  <w:tcW w:w="1844" w:type="dxa"/>
                  <w:noWrap w:val="0"/>
                  <w:vAlign w:val="center"/>
                </w:tcPr>
                <w:p>
                  <w:pPr>
                    <w:pStyle w:val="30"/>
                    <w:bidi w:val="0"/>
                    <w:rPr>
                      <w:rFonts w:hint="default"/>
                    </w:rPr>
                  </w:pPr>
                  <w:r>
                    <w:rPr>
                      <w:rFonts w:hint="eastAsia"/>
                      <w:lang w:eastAsia="zh-CN"/>
                    </w:rPr>
                    <w:t>按需要采购</w:t>
                  </w:r>
                </w:p>
              </w:tc>
              <w:tc>
                <w:tcPr>
                  <w:tcW w:w="1804" w:type="dxa"/>
                  <w:noWrap w:val="0"/>
                  <w:vAlign w:val="center"/>
                </w:tcPr>
                <w:p>
                  <w:pPr>
                    <w:pStyle w:val="30"/>
                    <w:bidi w:val="0"/>
                    <w:rPr>
                      <w:rFonts w:hint="default"/>
                    </w:rPr>
                  </w:pPr>
                  <w:r>
                    <w:rPr>
                      <w:rFonts w:hint="default"/>
                    </w:rPr>
                    <w:t>0.2t，瓶装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default"/>
                      <w:lang w:val="en-US" w:eastAsia="zh-CN"/>
                    </w:rPr>
                  </w:pPr>
                  <w:r>
                    <w:rPr>
                      <w:rFonts w:hint="eastAsia"/>
                      <w:lang w:val="en-US" w:eastAsia="zh-CN"/>
                    </w:rPr>
                    <w:t>12</w:t>
                  </w:r>
                </w:p>
              </w:tc>
              <w:tc>
                <w:tcPr>
                  <w:tcW w:w="2957" w:type="dxa"/>
                  <w:noWrap w:val="0"/>
                  <w:vAlign w:val="center"/>
                </w:tcPr>
                <w:p>
                  <w:pPr>
                    <w:pStyle w:val="30"/>
                    <w:bidi w:val="0"/>
                    <w:rPr>
                      <w:rFonts w:hint="default"/>
                    </w:rPr>
                  </w:pPr>
                  <w:r>
                    <w:rPr>
                      <w:rFonts w:hint="default"/>
                    </w:rPr>
                    <w:t>各类检验科</w:t>
                  </w:r>
                  <w:r>
                    <w:rPr>
                      <w:rFonts w:hint="eastAsia"/>
                      <w:lang w:eastAsia="zh-CN"/>
                    </w:rPr>
                    <w:t>（</w:t>
                  </w:r>
                  <w:r>
                    <w:rPr>
                      <w:rFonts w:hint="default"/>
                    </w:rPr>
                    <w:t>检验科、理化实验室</w:t>
                  </w:r>
                  <w:r>
                    <w:rPr>
                      <w:rFonts w:hint="eastAsia"/>
                      <w:lang w:eastAsia="zh-CN"/>
                    </w:rPr>
                    <w:t>）</w:t>
                  </w:r>
                  <w:r>
                    <w:rPr>
                      <w:rFonts w:hint="default"/>
                    </w:rPr>
                    <w:t>主要试剂</w:t>
                  </w:r>
                </w:p>
              </w:tc>
              <w:tc>
                <w:tcPr>
                  <w:tcW w:w="1544" w:type="dxa"/>
                  <w:noWrap w:val="0"/>
                  <w:vAlign w:val="center"/>
                </w:tcPr>
                <w:p>
                  <w:pPr>
                    <w:pStyle w:val="30"/>
                    <w:bidi w:val="0"/>
                    <w:rPr>
                      <w:rFonts w:hint="default"/>
                    </w:rPr>
                  </w:pPr>
                  <w:r>
                    <w:rPr>
                      <w:rFonts w:hint="eastAsia"/>
                      <w:lang w:val="en-US" w:eastAsia="zh-CN"/>
                    </w:rPr>
                    <w:t>/</w:t>
                  </w:r>
                </w:p>
              </w:tc>
              <w:tc>
                <w:tcPr>
                  <w:tcW w:w="1844" w:type="dxa"/>
                  <w:noWrap w:val="0"/>
                  <w:vAlign w:val="center"/>
                </w:tcPr>
                <w:p>
                  <w:pPr>
                    <w:pStyle w:val="30"/>
                    <w:bidi w:val="0"/>
                    <w:rPr>
                      <w:rFonts w:hint="default"/>
                    </w:rPr>
                  </w:pPr>
                  <w:r>
                    <w:rPr>
                      <w:rFonts w:hint="eastAsia"/>
                      <w:lang w:eastAsia="zh-CN"/>
                    </w:rPr>
                    <w:t>按需要采购</w:t>
                  </w:r>
                </w:p>
              </w:tc>
              <w:tc>
                <w:tcPr>
                  <w:tcW w:w="1804" w:type="dxa"/>
                  <w:noWrap w:val="0"/>
                  <w:vAlign w:val="center"/>
                </w:tcPr>
                <w:p>
                  <w:pPr>
                    <w:pStyle w:val="30"/>
                    <w:bidi w:val="0"/>
                    <w:rPr>
                      <w:rFonts w:hint="default"/>
                    </w:rPr>
                  </w:pP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default"/>
                      <w:lang w:val="en-US" w:eastAsia="zh-CN"/>
                    </w:rPr>
                  </w:pPr>
                  <w:r>
                    <w:rPr>
                      <w:rFonts w:hint="eastAsia"/>
                      <w:lang w:val="en-US" w:eastAsia="zh-CN"/>
                    </w:rPr>
                    <w:t>13</w:t>
                  </w:r>
                </w:p>
              </w:tc>
              <w:tc>
                <w:tcPr>
                  <w:tcW w:w="2957" w:type="dxa"/>
                  <w:noWrap w:val="0"/>
                  <w:vAlign w:val="center"/>
                </w:tcPr>
                <w:p>
                  <w:pPr>
                    <w:pStyle w:val="30"/>
                    <w:bidi w:val="0"/>
                    <w:rPr>
                      <w:rFonts w:hint="eastAsia"/>
                      <w:lang w:val="en-US" w:eastAsia="zh-CN"/>
                    </w:rPr>
                  </w:pPr>
                  <w:r>
                    <w:rPr>
                      <w:rFonts w:hint="eastAsia"/>
                      <w:lang w:val="en-US" w:eastAsia="zh-CN"/>
                    </w:rPr>
                    <w:t>酒精</w:t>
                  </w:r>
                  <w:r>
                    <w:rPr>
                      <w:rFonts w:hint="eastAsia"/>
                      <w:lang w:eastAsia="zh-CN"/>
                    </w:rPr>
                    <w:t>（</w:t>
                  </w:r>
                  <w:r>
                    <w:rPr>
                      <w:rFonts w:hint="default"/>
                    </w:rPr>
                    <w:t>75%</w:t>
                  </w:r>
                  <w:r>
                    <w:rPr>
                      <w:rFonts w:hint="eastAsia"/>
                      <w:lang w:eastAsia="zh-CN"/>
                    </w:rPr>
                    <w:t>）</w:t>
                  </w:r>
                </w:p>
              </w:tc>
              <w:tc>
                <w:tcPr>
                  <w:tcW w:w="1544" w:type="dxa"/>
                  <w:noWrap w:val="0"/>
                  <w:vAlign w:val="center"/>
                </w:tcPr>
                <w:p>
                  <w:pPr>
                    <w:pStyle w:val="30"/>
                    <w:bidi w:val="0"/>
                    <w:rPr>
                      <w:rFonts w:hint="eastAsia"/>
                      <w:lang w:val="en-US" w:eastAsia="zh-CN"/>
                    </w:rPr>
                  </w:pPr>
                  <w:r>
                    <w:rPr>
                      <w:rFonts w:hint="eastAsia"/>
                      <w:lang w:val="en-US" w:eastAsia="zh-CN"/>
                    </w:rPr>
                    <w:t>/</w:t>
                  </w:r>
                </w:p>
              </w:tc>
              <w:tc>
                <w:tcPr>
                  <w:tcW w:w="1844" w:type="dxa"/>
                  <w:noWrap w:val="0"/>
                  <w:vAlign w:val="center"/>
                </w:tcPr>
                <w:p>
                  <w:pPr>
                    <w:pStyle w:val="30"/>
                    <w:bidi w:val="0"/>
                    <w:rPr>
                      <w:rFonts w:hint="default"/>
                      <w:lang w:val="en-US" w:eastAsia="zh-CN"/>
                    </w:rPr>
                  </w:pPr>
                  <w:r>
                    <w:rPr>
                      <w:rFonts w:hint="eastAsia"/>
                      <w:lang w:val="en-US" w:eastAsia="zh-CN"/>
                    </w:rPr>
                    <w:t>0.8t/a</w:t>
                  </w:r>
                </w:p>
              </w:tc>
              <w:tc>
                <w:tcPr>
                  <w:tcW w:w="1804" w:type="dxa"/>
                  <w:noWrap w:val="0"/>
                  <w:vAlign w:val="center"/>
                </w:tcPr>
                <w:p>
                  <w:pPr>
                    <w:pStyle w:val="30"/>
                    <w:bidi w:val="0"/>
                    <w:rPr>
                      <w:rFonts w:hint="default"/>
                      <w:lang w:val="en-US" w:eastAsia="zh-CN"/>
                    </w:rPr>
                  </w:pPr>
                  <w:r>
                    <w:rPr>
                      <w:rFonts w:hint="eastAsia"/>
                      <w:lang w:val="en-US" w:eastAsia="zh-CN"/>
                    </w:rPr>
                    <w:t>0.1t，瓶装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default"/>
                      <w:lang w:val="en-US" w:eastAsia="zh-CN"/>
                    </w:rPr>
                  </w:pPr>
                  <w:r>
                    <w:rPr>
                      <w:rFonts w:hint="eastAsia"/>
                      <w:lang w:val="en-US" w:eastAsia="zh-CN"/>
                    </w:rPr>
                    <w:t>14</w:t>
                  </w:r>
                </w:p>
              </w:tc>
              <w:tc>
                <w:tcPr>
                  <w:tcW w:w="2957" w:type="dxa"/>
                  <w:noWrap w:val="0"/>
                  <w:vAlign w:val="center"/>
                </w:tcPr>
                <w:p>
                  <w:pPr>
                    <w:pStyle w:val="30"/>
                    <w:bidi w:val="0"/>
                    <w:rPr>
                      <w:rFonts w:hint="eastAsia"/>
                      <w:lang w:val="en-US" w:eastAsia="zh-CN"/>
                    </w:rPr>
                  </w:pPr>
                  <w:r>
                    <w:rPr>
                      <w:rFonts w:hint="eastAsia"/>
                      <w:lang w:val="en-US" w:eastAsia="zh-CN"/>
                    </w:rPr>
                    <w:t>氧气</w:t>
                  </w:r>
                </w:p>
              </w:tc>
              <w:tc>
                <w:tcPr>
                  <w:tcW w:w="1544" w:type="dxa"/>
                  <w:noWrap w:val="0"/>
                  <w:vAlign w:val="center"/>
                </w:tcPr>
                <w:p>
                  <w:pPr>
                    <w:pStyle w:val="30"/>
                    <w:bidi w:val="0"/>
                    <w:rPr>
                      <w:rFonts w:hint="eastAsia"/>
                      <w:lang w:val="en-US" w:eastAsia="zh-CN"/>
                    </w:rPr>
                  </w:pPr>
                  <w:r>
                    <w:rPr>
                      <w:rFonts w:hint="eastAsia"/>
                      <w:lang w:val="en-US" w:eastAsia="zh-CN"/>
                    </w:rPr>
                    <w:t>/</w:t>
                  </w:r>
                </w:p>
              </w:tc>
              <w:tc>
                <w:tcPr>
                  <w:tcW w:w="1844" w:type="dxa"/>
                  <w:noWrap w:val="0"/>
                  <w:vAlign w:val="center"/>
                </w:tcPr>
                <w:p>
                  <w:pPr>
                    <w:pStyle w:val="30"/>
                    <w:bidi w:val="0"/>
                    <w:rPr>
                      <w:rFonts w:hint="default"/>
                      <w:lang w:val="en-US" w:eastAsia="zh-CN"/>
                    </w:rPr>
                  </w:pPr>
                  <w:r>
                    <w:rPr>
                      <w:rFonts w:hint="eastAsia"/>
                      <w:lang w:val="en-US" w:eastAsia="zh-CN"/>
                    </w:rPr>
                    <w:t>400L/a</w:t>
                  </w:r>
                </w:p>
              </w:tc>
              <w:tc>
                <w:tcPr>
                  <w:tcW w:w="1804" w:type="dxa"/>
                  <w:noWrap w:val="0"/>
                  <w:vAlign w:val="center"/>
                </w:tcPr>
                <w:p>
                  <w:pPr>
                    <w:pStyle w:val="30"/>
                    <w:bidi w:val="0"/>
                    <w:rPr>
                      <w:rFonts w:hint="default"/>
                      <w:lang w:val="en-US" w:eastAsia="zh-CN"/>
                    </w:rPr>
                  </w:pPr>
                  <w:r>
                    <w:rPr>
                      <w:rFonts w:hint="eastAsia"/>
                      <w:lang w:val="en-US" w:eastAsia="zh-CN"/>
                    </w:rPr>
                    <w:t>20L，瓶装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default"/>
                      <w:lang w:val="en-US" w:eastAsia="zh-CN"/>
                    </w:rPr>
                  </w:pPr>
                  <w:r>
                    <w:rPr>
                      <w:rFonts w:hint="eastAsia"/>
                      <w:lang w:val="en-US" w:eastAsia="zh-CN"/>
                    </w:rPr>
                    <w:t>15</w:t>
                  </w:r>
                </w:p>
              </w:tc>
              <w:tc>
                <w:tcPr>
                  <w:tcW w:w="2957" w:type="dxa"/>
                  <w:noWrap w:val="0"/>
                  <w:vAlign w:val="center"/>
                </w:tcPr>
                <w:p>
                  <w:pPr>
                    <w:pStyle w:val="30"/>
                    <w:bidi w:val="0"/>
                    <w:rPr>
                      <w:rFonts w:hint="default"/>
                      <w:lang w:val="en-US" w:eastAsia="zh-CN"/>
                    </w:rPr>
                  </w:pPr>
                  <w:r>
                    <w:rPr>
                      <w:rFonts w:hint="eastAsia"/>
                      <w:lang w:val="en-US" w:eastAsia="zh-CN"/>
                    </w:rPr>
                    <w:t>盐酸（31%）</w:t>
                  </w:r>
                </w:p>
              </w:tc>
              <w:tc>
                <w:tcPr>
                  <w:tcW w:w="1544" w:type="dxa"/>
                  <w:noWrap w:val="0"/>
                  <w:vAlign w:val="center"/>
                </w:tcPr>
                <w:p>
                  <w:pPr>
                    <w:pStyle w:val="30"/>
                    <w:bidi w:val="0"/>
                    <w:rPr>
                      <w:rFonts w:hint="eastAsia"/>
                      <w:lang w:val="en-US" w:eastAsia="zh-CN"/>
                    </w:rPr>
                  </w:pPr>
                  <w:r>
                    <w:rPr>
                      <w:rFonts w:hint="eastAsia"/>
                      <w:lang w:val="en-US" w:eastAsia="zh-CN"/>
                    </w:rPr>
                    <w:t>/</w:t>
                  </w:r>
                </w:p>
              </w:tc>
              <w:tc>
                <w:tcPr>
                  <w:tcW w:w="1844" w:type="dxa"/>
                  <w:noWrap w:val="0"/>
                  <w:vAlign w:val="center"/>
                </w:tcPr>
                <w:p>
                  <w:pPr>
                    <w:pStyle w:val="30"/>
                    <w:bidi w:val="0"/>
                    <w:rPr>
                      <w:rFonts w:hint="default"/>
                      <w:lang w:val="en-US" w:eastAsia="zh-CN"/>
                    </w:rPr>
                  </w:pPr>
                  <w:r>
                    <w:rPr>
                      <w:rFonts w:hint="eastAsia"/>
                      <w:lang w:val="en-US" w:eastAsia="zh-CN"/>
                    </w:rPr>
                    <w:t>0.4t/a</w:t>
                  </w:r>
                </w:p>
              </w:tc>
              <w:tc>
                <w:tcPr>
                  <w:tcW w:w="1804" w:type="dxa"/>
                  <w:noWrap w:val="0"/>
                  <w:vAlign w:val="center"/>
                </w:tcPr>
                <w:p>
                  <w:pPr>
                    <w:pStyle w:val="30"/>
                    <w:bidi w:val="0"/>
                    <w:rPr>
                      <w:rFonts w:hint="default"/>
                      <w:lang w:val="en-US" w:eastAsia="zh-CN"/>
                    </w:rPr>
                  </w:pPr>
                  <w:r>
                    <w:rPr>
                      <w:rFonts w:hint="eastAsia"/>
                      <w:lang w:val="en-US" w:eastAsia="zh-CN"/>
                    </w:rPr>
                    <w:t>0.1t，瓶装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default"/>
                      <w:lang w:val="en-US" w:eastAsia="zh-CN"/>
                    </w:rPr>
                  </w:pPr>
                  <w:r>
                    <w:rPr>
                      <w:rFonts w:hint="eastAsia"/>
                      <w:lang w:val="en-US" w:eastAsia="zh-CN"/>
                    </w:rPr>
                    <w:t>16</w:t>
                  </w:r>
                </w:p>
              </w:tc>
              <w:tc>
                <w:tcPr>
                  <w:tcW w:w="2957" w:type="dxa"/>
                  <w:noWrap w:val="0"/>
                  <w:vAlign w:val="center"/>
                </w:tcPr>
                <w:p>
                  <w:pPr>
                    <w:pStyle w:val="30"/>
                    <w:bidi w:val="0"/>
                    <w:rPr>
                      <w:rFonts w:hint="eastAsia"/>
                      <w:lang w:val="en-US" w:eastAsia="zh-CN"/>
                    </w:rPr>
                  </w:pPr>
                  <w:r>
                    <w:rPr>
                      <w:rFonts w:hint="eastAsia"/>
                      <w:lang w:val="en-US" w:eastAsia="zh-CN"/>
                    </w:rPr>
                    <w:t>云氧消毒粉</w:t>
                  </w:r>
                </w:p>
              </w:tc>
              <w:tc>
                <w:tcPr>
                  <w:tcW w:w="1544" w:type="dxa"/>
                  <w:noWrap w:val="0"/>
                  <w:vAlign w:val="center"/>
                </w:tcPr>
                <w:p>
                  <w:pPr>
                    <w:pStyle w:val="30"/>
                    <w:bidi w:val="0"/>
                    <w:rPr>
                      <w:rFonts w:hint="eastAsia"/>
                      <w:lang w:val="en-US" w:eastAsia="zh-CN"/>
                    </w:rPr>
                  </w:pPr>
                  <w:r>
                    <w:rPr>
                      <w:rFonts w:hint="eastAsia"/>
                      <w:lang w:val="en-US" w:eastAsia="zh-CN"/>
                    </w:rPr>
                    <w:t>/</w:t>
                  </w:r>
                </w:p>
              </w:tc>
              <w:tc>
                <w:tcPr>
                  <w:tcW w:w="1844" w:type="dxa"/>
                  <w:noWrap w:val="0"/>
                  <w:vAlign w:val="center"/>
                </w:tcPr>
                <w:p>
                  <w:pPr>
                    <w:pStyle w:val="30"/>
                    <w:bidi w:val="0"/>
                    <w:rPr>
                      <w:rFonts w:hint="default"/>
                    </w:rPr>
                  </w:pPr>
                  <w:r>
                    <w:rPr>
                      <w:rFonts w:hint="eastAsia"/>
                      <w:lang w:val="en-US" w:eastAsia="zh-CN"/>
                    </w:rPr>
                    <w:t>0.1</w:t>
                  </w:r>
                  <w:r>
                    <w:rPr>
                      <w:rFonts w:hint="default"/>
                    </w:rPr>
                    <w:t>t/a</w:t>
                  </w:r>
                </w:p>
              </w:tc>
              <w:tc>
                <w:tcPr>
                  <w:tcW w:w="1804" w:type="dxa"/>
                  <w:noWrap w:val="0"/>
                  <w:vAlign w:val="center"/>
                </w:tcPr>
                <w:p>
                  <w:pPr>
                    <w:pStyle w:val="30"/>
                    <w:bidi w:val="0"/>
                    <w:rPr>
                      <w:rFonts w:hint="default"/>
                    </w:rPr>
                  </w:pP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default"/>
                      <w:lang w:val="en-US" w:eastAsia="zh-CN"/>
                    </w:rPr>
                  </w:pPr>
                  <w:r>
                    <w:rPr>
                      <w:rFonts w:hint="eastAsia"/>
                      <w:lang w:val="en-US" w:eastAsia="zh-CN"/>
                    </w:rPr>
                    <w:t>17</w:t>
                  </w:r>
                </w:p>
              </w:tc>
              <w:tc>
                <w:tcPr>
                  <w:tcW w:w="2957" w:type="dxa"/>
                  <w:noWrap w:val="0"/>
                  <w:vAlign w:val="center"/>
                </w:tcPr>
                <w:p>
                  <w:pPr>
                    <w:pStyle w:val="30"/>
                    <w:bidi w:val="0"/>
                    <w:rPr>
                      <w:rFonts w:hint="default"/>
                    </w:rPr>
                  </w:pPr>
                  <w:r>
                    <w:rPr>
                      <w:rFonts w:hint="default"/>
                    </w:rPr>
                    <w:t>除臭剂</w:t>
                  </w:r>
                </w:p>
              </w:tc>
              <w:tc>
                <w:tcPr>
                  <w:tcW w:w="1544" w:type="dxa"/>
                  <w:noWrap w:val="0"/>
                  <w:vAlign w:val="center"/>
                </w:tcPr>
                <w:p>
                  <w:pPr>
                    <w:pStyle w:val="30"/>
                    <w:bidi w:val="0"/>
                    <w:rPr>
                      <w:rFonts w:hint="default"/>
                    </w:rPr>
                  </w:pPr>
                  <w:r>
                    <w:rPr>
                      <w:rFonts w:hint="eastAsia"/>
                      <w:lang w:val="en-US" w:eastAsia="zh-CN"/>
                    </w:rPr>
                    <w:t>/</w:t>
                  </w:r>
                </w:p>
              </w:tc>
              <w:tc>
                <w:tcPr>
                  <w:tcW w:w="1844" w:type="dxa"/>
                  <w:noWrap w:val="0"/>
                  <w:vAlign w:val="center"/>
                </w:tcPr>
                <w:p>
                  <w:pPr>
                    <w:pStyle w:val="30"/>
                    <w:bidi w:val="0"/>
                    <w:rPr>
                      <w:rFonts w:hint="default"/>
                    </w:rPr>
                  </w:pPr>
                  <w:r>
                    <w:rPr>
                      <w:rFonts w:hint="default"/>
                      <w:lang w:val="en-US" w:eastAsia="zh-CN"/>
                    </w:rPr>
                    <w:t>0.</w:t>
                  </w:r>
                  <w:r>
                    <w:rPr>
                      <w:rFonts w:hint="default"/>
                    </w:rPr>
                    <w:t>1t/a</w:t>
                  </w:r>
                </w:p>
              </w:tc>
              <w:tc>
                <w:tcPr>
                  <w:tcW w:w="1804" w:type="dxa"/>
                  <w:noWrap w:val="0"/>
                  <w:vAlign w:val="center"/>
                </w:tcPr>
                <w:p>
                  <w:pPr>
                    <w:pStyle w:val="30"/>
                    <w:bidi w:val="0"/>
                    <w:rPr>
                      <w:rFonts w:hint="default"/>
                    </w:rPr>
                  </w:pP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default"/>
                      <w:lang w:val="en-US" w:eastAsia="zh-CN"/>
                    </w:rPr>
                  </w:pPr>
                  <w:r>
                    <w:rPr>
                      <w:rFonts w:hint="eastAsia"/>
                      <w:lang w:val="en-US" w:eastAsia="zh-CN"/>
                    </w:rPr>
                    <w:t>18</w:t>
                  </w:r>
                </w:p>
              </w:tc>
              <w:tc>
                <w:tcPr>
                  <w:tcW w:w="2957" w:type="dxa"/>
                  <w:noWrap w:val="0"/>
                  <w:vAlign w:val="center"/>
                </w:tcPr>
                <w:p>
                  <w:pPr>
                    <w:pStyle w:val="30"/>
                    <w:bidi w:val="0"/>
                    <w:rPr>
                      <w:rFonts w:hint="default"/>
                      <w:lang w:val="en-US" w:eastAsia="zh-CN"/>
                    </w:rPr>
                  </w:pPr>
                  <w:r>
                    <w:rPr>
                      <w:rFonts w:hint="eastAsia"/>
                      <w:lang w:val="en-US" w:eastAsia="zh-CN"/>
                    </w:rPr>
                    <w:t>PAC</w:t>
                  </w:r>
                </w:p>
              </w:tc>
              <w:tc>
                <w:tcPr>
                  <w:tcW w:w="1544" w:type="dxa"/>
                  <w:noWrap w:val="0"/>
                  <w:vAlign w:val="center"/>
                </w:tcPr>
                <w:p>
                  <w:pPr>
                    <w:pStyle w:val="30"/>
                    <w:bidi w:val="0"/>
                    <w:rPr>
                      <w:rFonts w:hint="eastAsia"/>
                      <w:lang w:val="en-US" w:eastAsia="zh-CN"/>
                    </w:rPr>
                  </w:pPr>
                  <w:r>
                    <w:rPr>
                      <w:rFonts w:hint="eastAsia"/>
                      <w:lang w:val="en-US" w:eastAsia="zh-CN"/>
                    </w:rPr>
                    <w:t>/</w:t>
                  </w:r>
                </w:p>
              </w:tc>
              <w:tc>
                <w:tcPr>
                  <w:tcW w:w="1844" w:type="dxa"/>
                  <w:noWrap w:val="0"/>
                  <w:vAlign w:val="center"/>
                </w:tcPr>
                <w:p>
                  <w:pPr>
                    <w:pStyle w:val="30"/>
                    <w:bidi w:val="0"/>
                    <w:rPr>
                      <w:rFonts w:hint="default"/>
                      <w:lang w:val="en-US" w:eastAsia="zh-CN"/>
                    </w:rPr>
                  </w:pPr>
                  <w:r>
                    <w:rPr>
                      <w:rFonts w:hint="eastAsia"/>
                      <w:lang w:val="en-US" w:eastAsia="zh-CN"/>
                    </w:rPr>
                    <w:t>0.2</w:t>
                  </w:r>
                  <w:r>
                    <w:rPr>
                      <w:rFonts w:hint="default"/>
                    </w:rPr>
                    <w:t>t/a</w:t>
                  </w:r>
                </w:p>
              </w:tc>
              <w:tc>
                <w:tcPr>
                  <w:tcW w:w="1804" w:type="dxa"/>
                  <w:noWrap w:val="0"/>
                  <w:vAlign w:val="center"/>
                </w:tcPr>
                <w:p>
                  <w:pPr>
                    <w:pStyle w:val="30"/>
                    <w:bidi w:val="0"/>
                    <w:rPr>
                      <w:rFonts w:hint="default"/>
                    </w:rPr>
                  </w:pP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default"/>
                      <w:lang w:val="en-US" w:eastAsia="zh-CN"/>
                    </w:rPr>
                  </w:pPr>
                  <w:r>
                    <w:rPr>
                      <w:rFonts w:hint="eastAsia"/>
                      <w:lang w:val="en-US" w:eastAsia="zh-CN"/>
                    </w:rPr>
                    <w:t>19</w:t>
                  </w:r>
                </w:p>
              </w:tc>
              <w:tc>
                <w:tcPr>
                  <w:tcW w:w="2957" w:type="dxa"/>
                  <w:noWrap w:val="0"/>
                  <w:vAlign w:val="center"/>
                </w:tcPr>
                <w:p>
                  <w:pPr>
                    <w:pStyle w:val="30"/>
                    <w:bidi w:val="0"/>
                    <w:rPr>
                      <w:rFonts w:hint="default"/>
                      <w:lang w:val="en-US" w:eastAsia="zh-CN"/>
                    </w:rPr>
                  </w:pPr>
                  <w:r>
                    <w:rPr>
                      <w:rFonts w:hint="eastAsia"/>
                      <w:lang w:val="en-US" w:eastAsia="zh-CN"/>
                    </w:rPr>
                    <w:t>石灰</w:t>
                  </w:r>
                </w:p>
              </w:tc>
              <w:tc>
                <w:tcPr>
                  <w:tcW w:w="1544" w:type="dxa"/>
                  <w:noWrap w:val="0"/>
                  <w:vAlign w:val="center"/>
                </w:tcPr>
                <w:p>
                  <w:pPr>
                    <w:pStyle w:val="30"/>
                    <w:bidi w:val="0"/>
                    <w:rPr>
                      <w:rFonts w:hint="eastAsia"/>
                      <w:lang w:val="en-US" w:eastAsia="zh-CN"/>
                    </w:rPr>
                  </w:pPr>
                  <w:r>
                    <w:rPr>
                      <w:rFonts w:hint="eastAsia"/>
                      <w:lang w:val="en-US" w:eastAsia="zh-CN"/>
                    </w:rPr>
                    <w:t>/</w:t>
                  </w:r>
                </w:p>
              </w:tc>
              <w:tc>
                <w:tcPr>
                  <w:tcW w:w="1844" w:type="dxa"/>
                  <w:noWrap w:val="0"/>
                  <w:vAlign w:val="center"/>
                </w:tcPr>
                <w:p>
                  <w:pPr>
                    <w:pStyle w:val="30"/>
                    <w:bidi w:val="0"/>
                    <w:rPr>
                      <w:rFonts w:hint="default"/>
                      <w:lang w:val="en-US" w:eastAsia="zh-CN"/>
                    </w:rPr>
                  </w:pPr>
                  <w:r>
                    <w:rPr>
                      <w:rFonts w:hint="eastAsia"/>
                      <w:lang w:val="en-US" w:eastAsia="zh-CN"/>
                    </w:rPr>
                    <w:t>0.05</w:t>
                  </w:r>
                  <w:r>
                    <w:rPr>
                      <w:rFonts w:hint="default"/>
                    </w:rPr>
                    <w:t>t/a</w:t>
                  </w:r>
                </w:p>
              </w:tc>
              <w:tc>
                <w:tcPr>
                  <w:tcW w:w="1804" w:type="dxa"/>
                  <w:noWrap w:val="0"/>
                  <w:vAlign w:val="center"/>
                </w:tcPr>
                <w:p>
                  <w:pPr>
                    <w:pStyle w:val="30"/>
                    <w:bidi w:val="0"/>
                    <w:rPr>
                      <w:rFonts w:hint="default"/>
                    </w:rPr>
                  </w:pP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shd w:val="clear" w:color="auto" w:fill="auto"/>
                  <w:noWrap w:val="0"/>
                  <w:vAlign w:val="center"/>
                </w:tcPr>
                <w:p>
                  <w:pPr>
                    <w:pStyle w:val="30"/>
                    <w:bidi w:val="0"/>
                    <w:rPr>
                      <w:rFonts w:hint="eastAsia" w:ascii="Times New Roman" w:hAnsi="Times New Roman" w:eastAsia="宋体" w:cstheme="minorBidi"/>
                      <w:snapToGrid w:val="0"/>
                      <w:spacing w:val="6"/>
                      <w:kern w:val="2"/>
                      <w:sz w:val="21"/>
                      <w:szCs w:val="21"/>
                      <w:lang w:val="en-US" w:eastAsia="zh-CN" w:bidi="ar-SA"/>
                    </w:rPr>
                  </w:pPr>
                  <w:r>
                    <w:rPr>
                      <w:rFonts w:hint="eastAsia"/>
                      <w:lang w:val="en-US" w:eastAsia="zh-CN"/>
                    </w:rPr>
                    <w:t>20</w:t>
                  </w:r>
                </w:p>
              </w:tc>
              <w:tc>
                <w:tcPr>
                  <w:tcW w:w="2957" w:type="dxa"/>
                  <w:shd w:val="clear" w:color="auto" w:fill="auto"/>
                  <w:noWrap w:val="0"/>
                  <w:vAlign w:val="top"/>
                </w:tcPr>
                <w:p>
                  <w:pPr>
                    <w:pStyle w:val="30"/>
                    <w:bidi w:val="0"/>
                    <w:rPr>
                      <w:rFonts w:hint="eastAsia"/>
                      <w:lang w:val="en-US" w:eastAsia="zh-CN"/>
                    </w:rPr>
                  </w:pPr>
                  <w:r>
                    <w:t>白芷</w:t>
                  </w:r>
                </w:p>
              </w:tc>
              <w:tc>
                <w:tcPr>
                  <w:tcW w:w="1544" w:type="dxa"/>
                  <w:shd w:val="clear" w:color="auto" w:fill="auto"/>
                  <w:noWrap w:val="0"/>
                  <w:vAlign w:val="top"/>
                </w:tcPr>
                <w:p>
                  <w:pPr>
                    <w:pStyle w:val="30"/>
                    <w:bidi w:val="0"/>
                    <w:rPr>
                      <w:lang w:val="en-US" w:eastAsia="en-US"/>
                    </w:rPr>
                  </w:pPr>
                  <w:r>
                    <w:t>500g/袋</w:t>
                  </w:r>
                </w:p>
              </w:tc>
              <w:tc>
                <w:tcPr>
                  <w:tcW w:w="1844" w:type="dxa"/>
                  <w:shd w:val="clear" w:color="auto" w:fill="auto"/>
                  <w:noWrap w:val="0"/>
                  <w:vAlign w:val="top"/>
                </w:tcPr>
                <w:p>
                  <w:pPr>
                    <w:pStyle w:val="30"/>
                    <w:bidi w:val="0"/>
                    <w:rPr>
                      <w:rFonts w:hint="eastAsia"/>
                      <w:lang w:val="en-US" w:eastAsia="zh-CN"/>
                    </w:rPr>
                  </w:pPr>
                  <w:r>
                    <w:t>2000袋</w:t>
                  </w:r>
                </w:p>
              </w:tc>
              <w:tc>
                <w:tcPr>
                  <w:tcW w:w="1804" w:type="dxa"/>
                  <w:noWrap w:val="0"/>
                  <w:vAlign w:val="center"/>
                </w:tcPr>
                <w:p>
                  <w:pPr>
                    <w:pStyle w:val="30"/>
                    <w:bidi w:val="0"/>
                    <w:rPr>
                      <w:rFonts w:hint="default"/>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shd w:val="clear" w:color="auto" w:fill="auto"/>
                  <w:noWrap w:val="0"/>
                  <w:vAlign w:val="center"/>
                </w:tcPr>
                <w:p>
                  <w:pPr>
                    <w:pStyle w:val="30"/>
                    <w:bidi w:val="0"/>
                    <w:rPr>
                      <w:rFonts w:hint="eastAsia" w:ascii="Times New Roman" w:hAnsi="Times New Roman" w:eastAsia="宋体" w:cstheme="minorBidi"/>
                      <w:snapToGrid w:val="0"/>
                      <w:spacing w:val="6"/>
                      <w:kern w:val="2"/>
                      <w:sz w:val="21"/>
                      <w:szCs w:val="21"/>
                      <w:lang w:val="en-US" w:eastAsia="zh-CN" w:bidi="ar-SA"/>
                    </w:rPr>
                  </w:pPr>
                  <w:r>
                    <w:rPr>
                      <w:rFonts w:hint="eastAsia"/>
                      <w:lang w:val="en-US" w:eastAsia="zh-CN"/>
                    </w:rPr>
                    <w:t>21</w:t>
                  </w:r>
                </w:p>
              </w:tc>
              <w:tc>
                <w:tcPr>
                  <w:tcW w:w="2957" w:type="dxa"/>
                  <w:shd w:val="clear" w:color="auto" w:fill="auto"/>
                  <w:noWrap w:val="0"/>
                  <w:vAlign w:val="top"/>
                </w:tcPr>
                <w:p>
                  <w:pPr>
                    <w:pStyle w:val="30"/>
                    <w:bidi w:val="0"/>
                    <w:rPr>
                      <w:rFonts w:hint="eastAsia"/>
                      <w:lang w:val="en-US" w:eastAsia="zh-CN"/>
                    </w:rPr>
                  </w:pPr>
                  <w:r>
                    <w:t>菊花</w:t>
                  </w:r>
                </w:p>
              </w:tc>
              <w:tc>
                <w:tcPr>
                  <w:tcW w:w="1544" w:type="dxa"/>
                  <w:shd w:val="clear" w:color="auto" w:fill="auto"/>
                  <w:noWrap w:val="0"/>
                  <w:vAlign w:val="top"/>
                </w:tcPr>
                <w:p>
                  <w:pPr>
                    <w:pStyle w:val="30"/>
                    <w:bidi w:val="0"/>
                    <w:rPr>
                      <w:lang w:val="en-US" w:eastAsia="en-US"/>
                    </w:rPr>
                  </w:pPr>
                  <w:r>
                    <w:t>500g/袋</w:t>
                  </w:r>
                </w:p>
              </w:tc>
              <w:tc>
                <w:tcPr>
                  <w:tcW w:w="1844" w:type="dxa"/>
                  <w:shd w:val="clear" w:color="auto" w:fill="auto"/>
                  <w:noWrap w:val="0"/>
                  <w:vAlign w:val="top"/>
                </w:tcPr>
                <w:p>
                  <w:pPr>
                    <w:pStyle w:val="30"/>
                    <w:bidi w:val="0"/>
                    <w:rPr>
                      <w:rFonts w:hint="eastAsia"/>
                      <w:lang w:val="en-US" w:eastAsia="zh-CN"/>
                    </w:rPr>
                  </w:pPr>
                  <w:r>
                    <w:t>2000袋</w:t>
                  </w:r>
                </w:p>
              </w:tc>
              <w:tc>
                <w:tcPr>
                  <w:tcW w:w="1804" w:type="dxa"/>
                  <w:noWrap w:val="0"/>
                  <w:vAlign w:val="center"/>
                </w:tcPr>
                <w:p>
                  <w:pPr>
                    <w:pStyle w:val="30"/>
                    <w:bidi w:val="0"/>
                    <w:rPr>
                      <w:rFonts w:hint="default"/>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default"/>
                      <w:lang w:val="en-US" w:eastAsia="zh-CN"/>
                    </w:rPr>
                  </w:pPr>
                  <w:r>
                    <w:rPr>
                      <w:rFonts w:hint="eastAsia"/>
                      <w:lang w:val="en-US" w:eastAsia="zh-CN"/>
                    </w:rPr>
                    <w:t>21</w:t>
                  </w:r>
                </w:p>
              </w:tc>
              <w:tc>
                <w:tcPr>
                  <w:tcW w:w="2957" w:type="dxa"/>
                  <w:shd w:val="clear" w:color="auto" w:fill="auto"/>
                  <w:noWrap w:val="0"/>
                  <w:vAlign w:val="top"/>
                </w:tcPr>
                <w:p>
                  <w:pPr>
                    <w:pStyle w:val="30"/>
                    <w:bidi w:val="0"/>
                    <w:rPr>
                      <w:rFonts w:hint="eastAsia"/>
                      <w:lang w:val="en-US" w:eastAsia="zh-CN"/>
                    </w:rPr>
                  </w:pPr>
                  <w:r>
                    <w:t>金银花</w:t>
                  </w:r>
                </w:p>
              </w:tc>
              <w:tc>
                <w:tcPr>
                  <w:tcW w:w="1544" w:type="dxa"/>
                  <w:shd w:val="clear" w:color="auto" w:fill="auto"/>
                  <w:noWrap w:val="0"/>
                  <w:vAlign w:val="top"/>
                </w:tcPr>
                <w:p>
                  <w:pPr>
                    <w:pStyle w:val="30"/>
                    <w:bidi w:val="0"/>
                    <w:rPr>
                      <w:lang w:val="en-US" w:eastAsia="en-US"/>
                    </w:rPr>
                  </w:pPr>
                  <w:r>
                    <w:t>500g/袋</w:t>
                  </w:r>
                </w:p>
              </w:tc>
              <w:tc>
                <w:tcPr>
                  <w:tcW w:w="1844" w:type="dxa"/>
                  <w:shd w:val="clear" w:color="auto" w:fill="auto"/>
                  <w:noWrap w:val="0"/>
                  <w:vAlign w:val="top"/>
                </w:tcPr>
                <w:p>
                  <w:pPr>
                    <w:pStyle w:val="30"/>
                    <w:bidi w:val="0"/>
                    <w:rPr>
                      <w:rFonts w:hint="eastAsia"/>
                      <w:lang w:val="en-US" w:eastAsia="zh-CN"/>
                    </w:rPr>
                  </w:pPr>
                  <w:r>
                    <w:t>2000袋</w:t>
                  </w:r>
                </w:p>
              </w:tc>
              <w:tc>
                <w:tcPr>
                  <w:tcW w:w="1804" w:type="dxa"/>
                  <w:noWrap w:val="0"/>
                  <w:vAlign w:val="center"/>
                </w:tcPr>
                <w:p>
                  <w:pPr>
                    <w:pStyle w:val="30"/>
                    <w:bidi w:val="0"/>
                    <w:rPr>
                      <w:rFonts w:hint="default"/>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default"/>
                      <w:lang w:val="en-US" w:eastAsia="zh-CN"/>
                    </w:rPr>
                  </w:pPr>
                  <w:r>
                    <w:rPr>
                      <w:rFonts w:hint="eastAsia"/>
                      <w:lang w:val="en-US" w:eastAsia="zh-CN"/>
                    </w:rPr>
                    <w:t>22</w:t>
                  </w:r>
                </w:p>
              </w:tc>
              <w:tc>
                <w:tcPr>
                  <w:tcW w:w="2957" w:type="dxa"/>
                  <w:shd w:val="clear" w:color="auto" w:fill="auto"/>
                  <w:noWrap w:val="0"/>
                  <w:vAlign w:val="top"/>
                </w:tcPr>
                <w:p>
                  <w:pPr>
                    <w:pStyle w:val="30"/>
                    <w:bidi w:val="0"/>
                    <w:rPr>
                      <w:rFonts w:hint="eastAsia"/>
                      <w:lang w:val="en-US" w:eastAsia="zh-CN"/>
                    </w:rPr>
                  </w:pPr>
                  <w:r>
                    <w:t>防风</w:t>
                  </w:r>
                </w:p>
              </w:tc>
              <w:tc>
                <w:tcPr>
                  <w:tcW w:w="1544" w:type="dxa"/>
                  <w:shd w:val="clear" w:color="auto" w:fill="auto"/>
                  <w:noWrap w:val="0"/>
                  <w:vAlign w:val="top"/>
                </w:tcPr>
                <w:p>
                  <w:pPr>
                    <w:pStyle w:val="30"/>
                    <w:bidi w:val="0"/>
                    <w:rPr>
                      <w:lang w:val="en-US" w:eastAsia="en-US"/>
                    </w:rPr>
                  </w:pPr>
                  <w:r>
                    <w:t>500g/袋</w:t>
                  </w:r>
                </w:p>
              </w:tc>
              <w:tc>
                <w:tcPr>
                  <w:tcW w:w="1844" w:type="dxa"/>
                  <w:shd w:val="clear" w:color="auto" w:fill="auto"/>
                  <w:noWrap w:val="0"/>
                  <w:vAlign w:val="top"/>
                </w:tcPr>
                <w:p>
                  <w:pPr>
                    <w:pStyle w:val="30"/>
                    <w:bidi w:val="0"/>
                    <w:rPr>
                      <w:rFonts w:hint="eastAsia"/>
                      <w:lang w:val="en-US" w:eastAsia="zh-CN"/>
                    </w:rPr>
                  </w:pPr>
                  <w:r>
                    <w:t>2000袋</w:t>
                  </w:r>
                </w:p>
              </w:tc>
              <w:tc>
                <w:tcPr>
                  <w:tcW w:w="1804" w:type="dxa"/>
                  <w:noWrap w:val="0"/>
                  <w:vAlign w:val="center"/>
                </w:tcPr>
                <w:p>
                  <w:pPr>
                    <w:pStyle w:val="30"/>
                    <w:bidi w:val="0"/>
                    <w:rPr>
                      <w:rFonts w:hint="default"/>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default"/>
                      <w:lang w:val="en-US" w:eastAsia="zh-CN"/>
                    </w:rPr>
                  </w:pPr>
                  <w:r>
                    <w:rPr>
                      <w:rFonts w:hint="eastAsia"/>
                      <w:lang w:val="en-US" w:eastAsia="zh-CN"/>
                    </w:rPr>
                    <w:t>23</w:t>
                  </w:r>
                </w:p>
              </w:tc>
              <w:tc>
                <w:tcPr>
                  <w:tcW w:w="2957" w:type="dxa"/>
                  <w:shd w:val="clear" w:color="auto" w:fill="auto"/>
                  <w:noWrap w:val="0"/>
                  <w:vAlign w:val="top"/>
                </w:tcPr>
                <w:p>
                  <w:pPr>
                    <w:pStyle w:val="30"/>
                    <w:bidi w:val="0"/>
                    <w:rPr>
                      <w:rFonts w:hint="eastAsia"/>
                      <w:lang w:val="en-US" w:eastAsia="zh-CN"/>
                    </w:rPr>
                  </w:pPr>
                  <w:r>
                    <w:t>白术</w:t>
                  </w:r>
                </w:p>
              </w:tc>
              <w:tc>
                <w:tcPr>
                  <w:tcW w:w="1544" w:type="dxa"/>
                  <w:shd w:val="clear" w:color="auto" w:fill="auto"/>
                  <w:noWrap w:val="0"/>
                  <w:vAlign w:val="top"/>
                </w:tcPr>
                <w:p>
                  <w:pPr>
                    <w:pStyle w:val="30"/>
                    <w:bidi w:val="0"/>
                    <w:rPr>
                      <w:lang w:val="en-US" w:eastAsia="en-US"/>
                    </w:rPr>
                  </w:pPr>
                  <w:r>
                    <w:t>500g/袋</w:t>
                  </w:r>
                </w:p>
              </w:tc>
              <w:tc>
                <w:tcPr>
                  <w:tcW w:w="1844" w:type="dxa"/>
                  <w:shd w:val="clear" w:color="auto" w:fill="auto"/>
                  <w:noWrap w:val="0"/>
                  <w:vAlign w:val="top"/>
                </w:tcPr>
                <w:p>
                  <w:pPr>
                    <w:pStyle w:val="30"/>
                    <w:bidi w:val="0"/>
                    <w:rPr>
                      <w:rFonts w:hint="eastAsia"/>
                      <w:lang w:val="en-US" w:eastAsia="zh-CN"/>
                    </w:rPr>
                  </w:pPr>
                  <w:r>
                    <w:t>2000袋</w:t>
                  </w:r>
                </w:p>
              </w:tc>
              <w:tc>
                <w:tcPr>
                  <w:tcW w:w="1804" w:type="dxa"/>
                  <w:noWrap w:val="0"/>
                  <w:vAlign w:val="center"/>
                </w:tcPr>
                <w:p>
                  <w:pPr>
                    <w:pStyle w:val="30"/>
                    <w:bidi w:val="0"/>
                    <w:rPr>
                      <w:rFonts w:hint="default"/>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default"/>
                      <w:lang w:val="en-US" w:eastAsia="zh-CN"/>
                    </w:rPr>
                  </w:pPr>
                  <w:r>
                    <w:rPr>
                      <w:rFonts w:hint="eastAsia"/>
                      <w:lang w:val="en-US" w:eastAsia="zh-CN"/>
                    </w:rPr>
                    <w:t>24</w:t>
                  </w:r>
                </w:p>
              </w:tc>
              <w:tc>
                <w:tcPr>
                  <w:tcW w:w="2957" w:type="dxa"/>
                  <w:shd w:val="clear" w:color="auto" w:fill="auto"/>
                  <w:noWrap w:val="0"/>
                  <w:vAlign w:val="top"/>
                </w:tcPr>
                <w:p>
                  <w:pPr>
                    <w:pStyle w:val="30"/>
                    <w:bidi w:val="0"/>
                    <w:rPr>
                      <w:rFonts w:hint="eastAsia"/>
                      <w:lang w:val="en-US" w:eastAsia="zh-CN"/>
                    </w:rPr>
                  </w:pPr>
                  <w:r>
                    <w:t>黄芪</w:t>
                  </w:r>
                </w:p>
              </w:tc>
              <w:tc>
                <w:tcPr>
                  <w:tcW w:w="1544" w:type="dxa"/>
                  <w:shd w:val="clear" w:color="auto" w:fill="auto"/>
                  <w:noWrap w:val="0"/>
                  <w:vAlign w:val="top"/>
                </w:tcPr>
                <w:p>
                  <w:pPr>
                    <w:pStyle w:val="30"/>
                    <w:bidi w:val="0"/>
                    <w:rPr>
                      <w:lang w:val="en-US" w:eastAsia="en-US"/>
                    </w:rPr>
                  </w:pPr>
                  <w:r>
                    <w:t>500g/袋</w:t>
                  </w:r>
                </w:p>
              </w:tc>
              <w:tc>
                <w:tcPr>
                  <w:tcW w:w="1844" w:type="dxa"/>
                  <w:shd w:val="clear" w:color="auto" w:fill="auto"/>
                  <w:noWrap w:val="0"/>
                  <w:vAlign w:val="top"/>
                </w:tcPr>
                <w:p>
                  <w:pPr>
                    <w:pStyle w:val="30"/>
                    <w:bidi w:val="0"/>
                    <w:rPr>
                      <w:rFonts w:hint="eastAsia"/>
                      <w:lang w:val="en-US" w:eastAsia="zh-CN"/>
                    </w:rPr>
                  </w:pPr>
                  <w:r>
                    <w:t>2000袋</w:t>
                  </w:r>
                </w:p>
              </w:tc>
              <w:tc>
                <w:tcPr>
                  <w:tcW w:w="1804" w:type="dxa"/>
                  <w:noWrap w:val="0"/>
                  <w:vAlign w:val="center"/>
                </w:tcPr>
                <w:p>
                  <w:pPr>
                    <w:pStyle w:val="30"/>
                    <w:bidi w:val="0"/>
                    <w:rPr>
                      <w:rFonts w:hint="default"/>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default"/>
                      <w:lang w:val="en-US" w:eastAsia="zh-CN"/>
                    </w:rPr>
                  </w:pPr>
                  <w:r>
                    <w:rPr>
                      <w:rFonts w:hint="eastAsia"/>
                      <w:lang w:val="en-US" w:eastAsia="zh-CN"/>
                    </w:rPr>
                    <w:t>25</w:t>
                  </w:r>
                </w:p>
              </w:tc>
              <w:tc>
                <w:tcPr>
                  <w:tcW w:w="2957" w:type="dxa"/>
                  <w:shd w:val="clear" w:color="auto" w:fill="auto"/>
                  <w:noWrap w:val="0"/>
                  <w:vAlign w:val="top"/>
                </w:tcPr>
                <w:p>
                  <w:pPr>
                    <w:pStyle w:val="30"/>
                    <w:bidi w:val="0"/>
                    <w:rPr>
                      <w:rFonts w:hint="eastAsia"/>
                      <w:lang w:val="en-US" w:eastAsia="zh-CN"/>
                    </w:rPr>
                  </w:pPr>
                  <w:r>
                    <w:t>当归</w:t>
                  </w:r>
                </w:p>
              </w:tc>
              <w:tc>
                <w:tcPr>
                  <w:tcW w:w="1544" w:type="dxa"/>
                  <w:shd w:val="clear" w:color="auto" w:fill="auto"/>
                  <w:noWrap w:val="0"/>
                  <w:vAlign w:val="top"/>
                </w:tcPr>
                <w:p>
                  <w:pPr>
                    <w:pStyle w:val="30"/>
                    <w:bidi w:val="0"/>
                    <w:rPr>
                      <w:lang w:val="en-US" w:eastAsia="en-US"/>
                    </w:rPr>
                  </w:pPr>
                  <w:r>
                    <w:t>500g/袋</w:t>
                  </w:r>
                </w:p>
              </w:tc>
              <w:tc>
                <w:tcPr>
                  <w:tcW w:w="1844" w:type="dxa"/>
                  <w:shd w:val="clear" w:color="auto" w:fill="auto"/>
                  <w:noWrap w:val="0"/>
                  <w:vAlign w:val="top"/>
                </w:tcPr>
                <w:p>
                  <w:pPr>
                    <w:pStyle w:val="30"/>
                    <w:bidi w:val="0"/>
                    <w:rPr>
                      <w:rFonts w:hint="eastAsia"/>
                      <w:lang w:val="en-US" w:eastAsia="zh-CN"/>
                    </w:rPr>
                  </w:pPr>
                  <w:r>
                    <w:t>2500袋</w:t>
                  </w:r>
                </w:p>
              </w:tc>
              <w:tc>
                <w:tcPr>
                  <w:tcW w:w="1804" w:type="dxa"/>
                  <w:noWrap w:val="0"/>
                  <w:vAlign w:val="center"/>
                </w:tcPr>
                <w:p>
                  <w:pPr>
                    <w:pStyle w:val="30"/>
                    <w:bidi w:val="0"/>
                    <w:rPr>
                      <w:rFonts w:hint="default"/>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default"/>
                      <w:lang w:val="en-US" w:eastAsia="zh-CN"/>
                    </w:rPr>
                  </w:pPr>
                  <w:r>
                    <w:rPr>
                      <w:rFonts w:hint="eastAsia"/>
                      <w:lang w:val="en-US" w:eastAsia="zh-CN"/>
                    </w:rPr>
                    <w:t>26</w:t>
                  </w:r>
                </w:p>
              </w:tc>
              <w:tc>
                <w:tcPr>
                  <w:tcW w:w="2957" w:type="dxa"/>
                  <w:shd w:val="clear" w:color="auto" w:fill="auto"/>
                  <w:noWrap w:val="0"/>
                  <w:vAlign w:val="top"/>
                </w:tcPr>
                <w:p>
                  <w:pPr>
                    <w:pStyle w:val="30"/>
                    <w:bidi w:val="0"/>
                    <w:rPr>
                      <w:rFonts w:hint="eastAsia"/>
                      <w:lang w:val="en-US" w:eastAsia="zh-CN"/>
                    </w:rPr>
                  </w:pPr>
                  <w:r>
                    <w:t>大枣</w:t>
                  </w:r>
                </w:p>
              </w:tc>
              <w:tc>
                <w:tcPr>
                  <w:tcW w:w="1544" w:type="dxa"/>
                  <w:shd w:val="clear" w:color="auto" w:fill="auto"/>
                  <w:noWrap w:val="0"/>
                  <w:vAlign w:val="top"/>
                </w:tcPr>
                <w:p>
                  <w:pPr>
                    <w:pStyle w:val="30"/>
                    <w:bidi w:val="0"/>
                    <w:rPr>
                      <w:lang w:val="en-US" w:eastAsia="en-US"/>
                    </w:rPr>
                  </w:pPr>
                  <w:r>
                    <w:t>500g/袋</w:t>
                  </w:r>
                </w:p>
              </w:tc>
              <w:tc>
                <w:tcPr>
                  <w:tcW w:w="1844" w:type="dxa"/>
                  <w:shd w:val="clear" w:color="auto" w:fill="auto"/>
                  <w:noWrap w:val="0"/>
                  <w:vAlign w:val="top"/>
                </w:tcPr>
                <w:p>
                  <w:pPr>
                    <w:pStyle w:val="30"/>
                    <w:bidi w:val="0"/>
                    <w:rPr>
                      <w:rFonts w:hint="eastAsia"/>
                      <w:lang w:val="en-US" w:eastAsia="zh-CN"/>
                    </w:rPr>
                  </w:pPr>
                  <w:r>
                    <w:t>3000袋</w:t>
                  </w:r>
                </w:p>
              </w:tc>
              <w:tc>
                <w:tcPr>
                  <w:tcW w:w="1804" w:type="dxa"/>
                  <w:noWrap w:val="0"/>
                  <w:vAlign w:val="center"/>
                </w:tcPr>
                <w:p>
                  <w:pPr>
                    <w:pStyle w:val="30"/>
                    <w:bidi w:val="0"/>
                    <w:rPr>
                      <w:rFonts w:hint="default"/>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default"/>
                      <w:lang w:val="en-US" w:eastAsia="zh-CN"/>
                    </w:rPr>
                  </w:pPr>
                  <w:r>
                    <w:rPr>
                      <w:rFonts w:hint="eastAsia"/>
                      <w:lang w:val="en-US" w:eastAsia="zh-CN"/>
                    </w:rPr>
                    <w:t>27</w:t>
                  </w:r>
                </w:p>
              </w:tc>
              <w:tc>
                <w:tcPr>
                  <w:tcW w:w="2957" w:type="dxa"/>
                  <w:shd w:val="clear" w:color="auto" w:fill="auto"/>
                  <w:noWrap w:val="0"/>
                  <w:vAlign w:val="top"/>
                </w:tcPr>
                <w:p>
                  <w:pPr>
                    <w:pStyle w:val="30"/>
                    <w:bidi w:val="0"/>
                    <w:rPr>
                      <w:rFonts w:hint="eastAsia"/>
                      <w:lang w:val="en-US" w:eastAsia="zh-CN"/>
                    </w:rPr>
                  </w:pPr>
                  <w:r>
                    <w:t>山药</w:t>
                  </w:r>
                </w:p>
              </w:tc>
              <w:tc>
                <w:tcPr>
                  <w:tcW w:w="1544" w:type="dxa"/>
                  <w:shd w:val="clear" w:color="auto" w:fill="auto"/>
                  <w:noWrap w:val="0"/>
                  <w:vAlign w:val="top"/>
                </w:tcPr>
                <w:p>
                  <w:pPr>
                    <w:pStyle w:val="30"/>
                    <w:bidi w:val="0"/>
                    <w:rPr>
                      <w:lang w:val="en-US" w:eastAsia="en-US"/>
                    </w:rPr>
                  </w:pPr>
                  <w:r>
                    <w:t>500g/袋</w:t>
                  </w:r>
                </w:p>
              </w:tc>
              <w:tc>
                <w:tcPr>
                  <w:tcW w:w="1844" w:type="dxa"/>
                  <w:shd w:val="clear" w:color="auto" w:fill="auto"/>
                  <w:noWrap w:val="0"/>
                  <w:vAlign w:val="top"/>
                </w:tcPr>
                <w:p>
                  <w:pPr>
                    <w:pStyle w:val="30"/>
                    <w:bidi w:val="0"/>
                    <w:rPr>
                      <w:rFonts w:hint="eastAsia"/>
                      <w:lang w:val="en-US" w:eastAsia="zh-CN"/>
                    </w:rPr>
                  </w:pPr>
                  <w:r>
                    <w:t>1000袋</w:t>
                  </w:r>
                </w:p>
              </w:tc>
              <w:tc>
                <w:tcPr>
                  <w:tcW w:w="1804" w:type="dxa"/>
                  <w:noWrap w:val="0"/>
                  <w:vAlign w:val="center"/>
                </w:tcPr>
                <w:p>
                  <w:pPr>
                    <w:pStyle w:val="30"/>
                    <w:bidi w:val="0"/>
                    <w:rPr>
                      <w:rFonts w:hint="default"/>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default"/>
                      <w:lang w:val="en-US" w:eastAsia="zh-CN"/>
                    </w:rPr>
                  </w:pPr>
                  <w:r>
                    <w:rPr>
                      <w:rFonts w:hint="eastAsia"/>
                      <w:lang w:val="en-US" w:eastAsia="zh-CN"/>
                    </w:rPr>
                    <w:t>28</w:t>
                  </w:r>
                </w:p>
              </w:tc>
              <w:tc>
                <w:tcPr>
                  <w:tcW w:w="2957" w:type="dxa"/>
                  <w:shd w:val="clear" w:color="auto" w:fill="auto"/>
                  <w:noWrap w:val="0"/>
                  <w:vAlign w:val="top"/>
                </w:tcPr>
                <w:p>
                  <w:pPr>
                    <w:pStyle w:val="30"/>
                    <w:bidi w:val="0"/>
                    <w:rPr>
                      <w:rFonts w:hint="eastAsia"/>
                      <w:lang w:val="en-US" w:eastAsia="zh-CN"/>
                    </w:rPr>
                  </w:pPr>
                  <w:r>
                    <w:t>枸杞子</w:t>
                  </w:r>
                </w:p>
              </w:tc>
              <w:tc>
                <w:tcPr>
                  <w:tcW w:w="1544" w:type="dxa"/>
                  <w:shd w:val="clear" w:color="auto" w:fill="auto"/>
                  <w:noWrap w:val="0"/>
                  <w:vAlign w:val="top"/>
                </w:tcPr>
                <w:p>
                  <w:pPr>
                    <w:pStyle w:val="30"/>
                    <w:bidi w:val="0"/>
                    <w:rPr>
                      <w:lang w:val="en-US" w:eastAsia="en-US"/>
                    </w:rPr>
                  </w:pPr>
                  <w:r>
                    <w:t>500g/袋</w:t>
                  </w:r>
                </w:p>
              </w:tc>
              <w:tc>
                <w:tcPr>
                  <w:tcW w:w="1844" w:type="dxa"/>
                  <w:shd w:val="clear" w:color="auto" w:fill="auto"/>
                  <w:noWrap w:val="0"/>
                  <w:vAlign w:val="top"/>
                </w:tcPr>
                <w:p>
                  <w:pPr>
                    <w:pStyle w:val="30"/>
                    <w:bidi w:val="0"/>
                    <w:rPr>
                      <w:rFonts w:hint="eastAsia"/>
                      <w:lang w:val="en-US" w:eastAsia="zh-CN"/>
                    </w:rPr>
                  </w:pPr>
                  <w:r>
                    <w:t>1500袋</w:t>
                  </w:r>
                </w:p>
              </w:tc>
              <w:tc>
                <w:tcPr>
                  <w:tcW w:w="1804" w:type="dxa"/>
                  <w:noWrap w:val="0"/>
                  <w:vAlign w:val="center"/>
                </w:tcPr>
                <w:p>
                  <w:pPr>
                    <w:pStyle w:val="30"/>
                    <w:bidi w:val="0"/>
                    <w:rPr>
                      <w:rFonts w:hint="default"/>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default"/>
                      <w:lang w:val="en-US" w:eastAsia="zh-CN"/>
                    </w:rPr>
                  </w:pPr>
                  <w:r>
                    <w:rPr>
                      <w:rFonts w:hint="eastAsia"/>
                      <w:lang w:val="en-US" w:eastAsia="zh-CN"/>
                    </w:rPr>
                    <w:t>29</w:t>
                  </w:r>
                </w:p>
              </w:tc>
              <w:tc>
                <w:tcPr>
                  <w:tcW w:w="2957" w:type="dxa"/>
                  <w:shd w:val="clear" w:color="auto" w:fill="auto"/>
                  <w:noWrap w:val="0"/>
                  <w:vAlign w:val="center"/>
                </w:tcPr>
                <w:p>
                  <w:pPr>
                    <w:pStyle w:val="30"/>
                    <w:bidi w:val="0"/>
                    <w:rPr>
                      <w:rFonts w:hint="eastAsia"/>
                      <w:lang w:val="en-US" w:eastAsia="zh-CN"/>
                    </w:rPr>
                  </w:pPr>
                  <w:r>
                    <w:rPr>
                      <w:rFonts w:hint="default"/>
                    </w:rPr>
                    <w:t>水</w:t>
                  </w:r>
                </w:p>
              </w:tc>
              <w:tc>
                <w:tcPr>
                  <w:tcW w:w="1544" w:type="dxa"/>
                  <w:shd w:val="clear" w:color="auto" w:fill="auto"/>
                  <w:noWrap w:val="0"/>
                  <w:vAlign w:val="center"/>
                </w:tcPr>
                <w:p>
                  <w:pPr>
                    <w:pStyle w:val="30"/>
                    <w:bidi w:val="0"/>
                    <w:rPr>
                      <w:rFonts w:hint="default"/>
                    </w:rPr>
                  </w:pPr>
                </w:p>
              </w:tc>
              <w:tc>
                <w:tcPr>
                  <w:tcW w:w="1844" w:type="dxa"/>
                  <w:shd w:val="clear" w:color="auto" w:fill="auto"/>
                  <w:noWrap w:val="0"/>
                  <w:vAlign w:val="center"/>
                </w:tcPr>
                <w:p>
                  <w:pPr>
                    <w:pStyle w:val="30"/>
                    <w:bidi w:val="0"/>
                    <w:rPr>
                      <w:rFonts w:hint="eastAsia"/>
                      <w:lang w:val="en-US" w:eastAsia="zh-CN"/>
                    </w:rPr>
                  </w:pPr>
                  <w:r>
                    <w:t>5.44</w:t>
                  </w:r>
                  <w:r>
                    <w:rPr>
                      <w:rFonts w:hint="default"/>
                    </w:rPr>
                    <w:t>万t/a</w:t>
                  </w:r>
                </w:p>
              </w:tc>
              <w:tc>
                <w:tcPr>
                  <w:tcW w:w="1804" w:type="dxa"/>
                  <w:shd w:val="clear" w:color="auto" w:fill="auto"/>
                  <w:noWrap w:val="0"/>
                  <w:vAlign w:val="center"/>
                </w:tcPr>
                <w:p>
                  <w:pPr>
                    <w:pStyle w:val="30"/>
                    <w:bidi w:val="0"/>
                    <w:rPr>
                      <w:rFonts w:hint="default"/>
                      <w:lang w:val="en-US" w:eastAsia="zh-CN"/>
                    </w:rPr>
                  </w:pP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6" w:type="dxa"/>
                  <w:noWrap w:val="0"/>
                  <w:vAlign w:val="center"/>
                </w:tcPr>
                <w:p>
                  <w:pPr>
                    <w:pStyle w:val="30"/>
                    <w:bidi w:val="0"/>
                    <w:rPr>
                      <w:rFonts w:hint="default"/>
                      <w:lang w:val="en-US" w:eastAsia="zh-CN"/>
                    </w:rPr>
                  </w:pPr>
                  <w:r>
                    <w:rPr>
                      <w:rFonts w:hint="eastAsia"/>
                      <w:lang w:val="en-US" w:eastAsia="zh-CN"/>
                    </w:rPr>
                    <w:t>30</w:t>
                  </w:r>
                </w:p>
              </w:tc>
              <w:tc>
                <w:tcPr>
                  <w:tcW w:w="2957" w:type="dxa"/>
                  <w:shd w:val="clear" w:color="auto" w:fill="auto"/>
                  <w:noWrap w:val="0"/>
                  <w:vAlign w:val="center"/>
                </w:tcPr>
                <w:p>
                  <w:pPr>
                    <w:pStyle w:val="30"/>
                    <w:bidi w:val="0"/>
                    <w:rPr>
                      <w:rFonts w:hint="eastAsia"/>
                      <w:lang w:val="en-US" w:eastAsia="zh-CN"/>
                    </w:rPr>
                  </w:pPr>
                  <w:r>
                    <w:rPr>
                      <w:rFonts w:hint="default"/>
                    </w:rPr>
                    <w:t>电</w:t>
                  </w:r>
                </w:p>
              </w:tc>
              <w:tc>
                <w:tcPr>
                  <w:tcW w:w="1544" w:type="dxa"/>
                  <w:shd w:val="clear" w:color="auto" w:fill="auto"/>
                  <w:noWrap w:val="0"/>
                  <w:vAlign w:val="center"/>
                </w:tcPr>
                <w:p>
                  <w:pPr>
                    <w:pStyle w:val="30"/>
                    <w:bidi w:val="0"/>
                    <w:rPr>
                      <w:rFonts w:hint="default"/>
                    </w:rPr>
                  </w:pPr>
                </w:p>
              </w:tc>
              <w:tc>
                <w:tcPr>
                  <w:tcW w:w="1844" w:type="dxa"/>
                  <w:shd w:val="clear" w:color="auto" w:fill="auto"/>
                  <w:noWrap w:val="0"/>
                  <w:vAlign w:val="center"/>
                </w:tcPr>
                <w:p>
                  <w:pPr>
                    <w:pStyle w:val="30"/>
                    <w:bidi w:val="0"/>
                    <w:rPr>
                      <w:rFonts w:hint="eastAsia"/>
                      <w:lang w:val="en-US" w:eastAsia="zh-CN"/>
                    </w:rPr>
                  </w:pPr>
                  <w:r>
                    <w:t>373.93</w:t>
                  </w:r>
                  <w:r>
                    <w:rPr>
                      <w:rFonts w:hint="default"/>
                    </w:rPr>
                    <w:t>万kw·h</w:t>
                  </w:r>
                </w:p>
              </w:tc>
              <w:tc>
                <w:tcPr>
                  <w:tcW w:w="1804" w:type="dxa"/>
                  <w:shd w:val="clear" w:color="auto" w:fill="auto"/>
                  <w:noWrap w:val="0"/>
                  <w:vAlign w:val="center"/>
                </w:tcPr>
                <w:p>
                  <w:pPr>
                    <w:pStyle w:val="30"/>
                    <w:bidi w:val="0"/>
                    <w:rPr>
                      <w:rFonts w:hint="default"/>
                      <w:lang w:val="en-US" w:eastAsia="zh-CN"/>
                    </w:rPr>
                  </w:pPr>
                  <w:r>
                    <w:rPr>
                      <w:rFonts w:hint="default"/>
                    </w:rPr>
                    <w:t>/</w:t>
                  </w:r>
                </w:p>
              </w:tc>
            </w:tr>
          </w:tbl>
          <w:p>
            <w:pPr>
              <w:pStyle w:val="12"/>
              <w:bidi w:val="0"/>
            </w:pPr>
            <w:r>
              <w:t>部分原辅材料理化性质如下：</w:t>
            </w:r>
          </w:p>
          <w:p>
            <w:pPr>
              <w:pStyle w:val="29"/>
              <w:bidi w:val="0"/>
            </w:pPr>
            <w:bookmarkStart w:id="35" w:name="表2-3 主要原辅材料理化性质一览表"/>
            <w:bookmarkEnd w:id="35"/>
            <w:r>
              <w:t>表 2</w:t>
            </w:r>
            <w:r>
              <w:rPr>
                <w:rFonts w:hint="eastAsia"/>
                <w:lang w:val="en-US" w:eastAsia="zh-CN"/>
              </w:rPr>
              <w:t>.1</w:t>
            </w:r>
            <w:r>
              <w:t>-</w:t>
            </w:r>
            <w:r>
              <w:rPr>
                <w:rFonts w:hint="eastAsia"/>
                <w:lang w:val="en-US" w:eastAsia="zh-CN"/>
              </w:rPr>
              <w:t>6</w:t>
            </w:r>
            <w:r>
              <w:t xml:space="preserve"> 主要原辅材料理化性质一览表</w:t>
            </w:r>
          </w:p>
          <w:tbl>
            <w:tblPr>
              <w:tblStyle w:val="27"/>
              <w:tblW w:w="90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672"/>
              <w:gridCol w:w="6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noWrap w:val="0"/>
                  <w:vAlign w:val="center"/>
                </w:tcPr>
                <w:p>
                  <w:pPr>
                    <w:pStyle w:val="30"/>
                    <w:bidi w:val="0"/>
                    <w:rPr>
                      <w:rFonts w:hint="default"/>
                    </w:rPr>
                  </w:pPr>
                  <w:r>
                    <w:rPr>
                      <w:rFonts w:hint="default"/>
                    </w:rPr>
                    <w:t>序号</w:t>
                  </w:r>
                </w:p>
              </w:tc>
              <w:tc>
                <w:tcPr>
                  <w:tcW w:w="1672" w:type="dxa"/>
                  <w:noWrap w:val="0"/>
                  <w:vAlign w:val="center"/>
                </w:tcPr>
                <w:p>
                  <w:pPr>
                    <w:pStyle w:val="30"/>
                    <w:bidi w:val="0"/>
                    <w:rPr>
                      <w:rFonts w:hint="default"/>
                    </w:rPr>
                  </w:pPr>
                  <w:r>
                    <w:rPr>
                      <w:rFonts w:hint="default"/>
                    </w:rPr>
                    <w:t>名称</w:t>
                  </w:r>
                </w:p>
              </w:tc>
              <w:tc>
                <w:tcPr>
                  <w:tcW w:w="6633" w:type="dxa"/>
                  <w:noWrap w:val="0"/>
                  <w:vAlign w:val="center"/>
                </w:tcPr>
                <w:p>
                  <w:pPr>
                    <w:pStyle w:val="30"/>
                    <w:bidi w:val="0"/>
                    <w:rPr>
                      <w:rFonts w:hint="default"/>
                    </w:rPr>
                  </w:pPr>
                  <w:r>
                    <w:rPr>
                      <w:rFonts w:hint="default"/>
                    </w:rPr>
                    <w:t>物理化性质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noWrap w:val="0"/>
                  <w:vAlign w:val="center"/>
                </w:tcPr>
                <w:p>
                  <w:pPr>
                    <w:pStyle w:val="30"/>
                    <w:bidi w:val="0"/>
                    <w:rPr>
                      <w:rFonts w:hint="eastAsia" w:eastAsia="宋体"/>
                      <w:lang w:val="en-US" w:eastAsia="zh-CN"/>
                    </w:rPr>
                  </w:pPr>
                  <w:r>
                    <w:rPr>
                      <w:rFonts w:hint="eastAsia"/>
                      <w:lang w:val="en-US" w:eastAsia="zh-CN"/>
                    </w:rPr>
                    <w:t>1</w:t>
                  </w:r>
                </w:p>
              </w:tc>
              <w:tc>
                <w:tcPr>
                  <w:tcW w:w="1672" w:type="dxa"/>
                  <w:noWrap w:val="0"/>
                  <w:vAlign w:val="center"/>
                </w:tcPr>
                <w:p>
                  <w:pPr>
                    <w:pStyle w:val="30"/>
                    <w:bidi w:val="0"/>
                    <w:rPr>
                      <w:rFonts w:hint="default"/>
                    </w:rPr>
                  </w:pPr>
                  <w:r>
                    <w:rPr>
                      <w:rFonts w:hint="default"/>
                    </w:rPr>
                    <w:t>84消毒液</w:t>
                  </w:r>
                </w:p>
              </w:tc>
              <w:tc>
                <w:tcPr>
                  <w:tcW w:w="6633" w:type="dxa"/>
                  <w:noWrap w:val="0"/>
                  <w:vAlign w:val="center"/>
                </w:tcPr>
                <w:p>
                  <w:pPr>
                    <w:pStyle w:val="30"/>
                    <w:bidi w:val="0"/>
                    <w:jc w:val="left"/>
                    <w:rPr>
                      <w:rFonts w:hint="default"/>
                    </w:rPr>
                  </w:pPr>
                  <w:r>
                    <w:rPr>
                      <w:rFonts w:hint="default"/>
                    </w:rPr>
                    <w:t>颜色为无色到浅黄绿色、有刺激性气味、常温下仅存在于水溶液中、沸点40℃；弱酸性、强氧化性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noWrap w:val="0"/>
                  <w:vAlign w:val="center"/>
                </w:tcPr>
                <w:p>
                  <w:pPr>
                    <w:pStyle w:val="30"/>
                    <w:bidi w:val="0"/>
                    <w:rPr>
                      <w:rFonts w:hint="eastAsia" w:eastAsia="宋体"/>
                      <w:lang w:val="en-US" w:eastAsia="zh-CN"/>
                    </w:rPr>
                  </w:pPr>
                  <w:r>
                    <w:rPr>
                      <w:rFonts w:hint="eastAsia"/>
                      <w:lang w:val="en-US" w:eastAsia="zh-CN"/>
                    </w:rPr>
                    <w:t>2</w:t>
                  </w:r>
                </w:p>
              </w:tc>
              <w:tc>
                <w:tcPr>
                  <w:tcW w:w="1672" w:type="dxa"/>
                  <w:noWrap w:val="0"/>
                  <w:vAlign w:val="center"/>
                </w:tcPr>
                <w:p>
                  <w:pPr>
                    <w:pStyle w:val="30"/>
                    <w:bidi w:val="0"/>
                    <w:rPr>
                      <w:rFonts w:hint="default"/>
                    </w:rPr>
                  </w:pPr>
                  <w:r>
                    <w:rPr>
                      <w:rFonts w:hint="default"/>
                    </w:rPr>
                    <w:t>碘伏</w:t>
                  </w:r>
                </w:p>
              </w:tc>
              <w:tc>
                <w:tcPr>
                  <w:tcW w:w="6633" w:type="dxa"/>
                  <w:noWrap w:val="0"/>
                  <w:vAlign w:val="center"/>
                </w:tcPr>
                <w:p>
                  <w:pPr>
                    <w:pStyle w:val="30"/>
                    <w:bidi w:val="0"/>
                    <w:jc w:val="left"/>
                    <w:rPr>
                      <w:rFonts w:hint="default"/>
                    </w:rPr>
                  </w:pPr>
                  <w:r>
                    <w:rPr>
                      <w:rFonts w:hint="default"/>
                    </w:rPr>
                    <w:t>单质碘与聚乙烯吡咯烷酮的不定型结合物。聚乙烯吡咯烷酮可溶解分散9%</w:t>
                  </w:r>
                  <w:r>
                    <w:rPr>
                      <w:rFonts w:hint="eastAsia"/>
                      <w:lang w:eastAsia="zh-CN"/>
                    </w:rPr>
                    <w:t>-</w:t>
                  </w:r>
                  <w:r>
                    <w:rPr>
                      <w:rFonts w:hint="default"/>
                    </w:rPr>
                    <w:t>12%的碘，此时呈现紫黑色液体。但医用碘伏通常浓度较低</w:t>
                  </w:r>
                  <w:r>
                    <w:rPr>
                      <w:rFonts w:hint="default"/>
                      <w:lang w:eastAsia="zh-CN"/>
                    </w:rPr>
                    <w:t>(</w:t>
                  </w:r>
                  <w:r>
                    <w:rPr>
                      <w:rFonts w:hint="default"/>
                    </w:rPr>
                    <w:t>1%或以下</w:t>
                  </w:r>
                  <w:r>
                    <w:rPr>
                      <w:rFonts w:hint="eastAsia"/>
                      <w:lang w:eastAsia="zh-CN"/>
                    </w:rPr>
                    <w:t>）</w:t>
                  </w:r>
                  <w:r>
                    <w:rPr>
                      <w:rFonts w:hint="default"/>
                    </w:rPr>
                    <w:t>，呈现浅棕色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noWrap w:val="0"/>
                  <w:vAlign w:val="center"/>
                </w:tcPr>
                <w:p>
                  <w:pPr>
                    <w:pStyle w:val="30"/>
                    <w:bidi w:val="0"/>
                    <w:rPr>
                      <w:rFonts w:hint="eastAsia" w:eastAsia="宋体"/>
                      <w:lang w:val="en-US" w:eastAsia="zh-CN"/>
                    </w:rPr>
                  </w:pPr>
                  <w:r>
                    <w:rPr>
                      <w:rFonts w:hint="eastAsia"/>
                      <w:lang w:val="en-US" w:eastAsia="zh-CN"/>
                    </w:rPr>
                    <w:t>3</w:t>
                  </w:r>
                </w:p>
              </w:tc>
              <w:tc>
                <w:tcPr>
                  <w:tcW w:w="1672" w:type="dxa"/>
                  <w:noWrap w:val="0"/>
                  <w:vAlign w:val="center"/>
                </w:tcPr>
                <w:p>
                  <w:pPr>
                    <w:pStyle w:val="30"/>
                    <w:bidi w:val="0"/>
                    <w:rPr>
                      <w:rFonts w:hint="default"/>
                    </w:rPr>
                  </w:pPr>
                  <w:r>
                    <w:rPr>
                      <w:rFonts w:hint="default"/>
                    </w:rPr>
                    <w:t>双氧水</w:t>
                  </w:r>
                </w:p>
              </w:tc>
              <w:tc>
                <w:tcPr>
                  <w:tcW w:w="6633" w:type="dxa"/>
                  <w:noWrap w:val="0"/>
                  <w:vAlign w:val="center"/>
                </w:tcPr>
                <w:p>
                  <w:pPr>
                    <w:pStyle w:val="30"/>
                    <w:bidi w:val="0"/>
                    <w:jc w:val="left"/>
                    <w:rPr>
                      <w:rFonts w:hint="default"/>
                    </w:rPr>
                  </w:pPr>
                  <w:r>
                    <w:rPr>
                      <w:rFonts w:hint="default"/>
                    </w:rPr>
                    <w:t>无色透明液体，强氧化性，溶于水、醇、乙醚，不溶于苯、石油醚；是一种极弱的酸；一般情况下会分解成水和氧气，但分解速度极其慢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noWrap w:val="0"/>
                  <w:vAlign w:val="center"/>
                </w:tcPr>
                <w:p>
                  <w:pPr>
                    <w:pStyle w:val="30"/>
                    <w:bidi w:val="0"/>
                    <w:rPr>
                      <w:rFonts w:hint="eastAsia" w:eastAsia="宋体"/>
                      <w:lang w:val="en-US" w:eastAsia="zh-CN"/>
                    </w:rPr>
                  </w:pPr>
                  <w:r>
                    <w:rPr>
                      <w:rFonts w:hint="eastAsia"/>
                      <w:lang w:val="en-US" w:eastAsia="zh-CN"/>
                    </w:rPr>
                    <w:t>4</w:t>
                  </w:r>
                </w:p>
              </w:tc>
              <w:tc>
                <w:tcPr>
                  <w:tcW w:w="1672" w:type="dxa"/>
                  <w:noWrap w:val="0"/>
                  <w:vAlign w:val="center"/>
                </w:tcPr>
                <w:p>
                  <w:pPr>
                    <w:pStyle w:val="30"/>
                    <w:bidi w:val="0"/>
                    <w:rPr>
                      <w:rFonts w:hint="default"/>
                    </w:rPr>
                  </w:pPr>
                  <w:r>
                    <w:rPr>
                      <w:rFonts w:hint="default"/>
                    </w:rPr>
                    <w:t>5%葡萄糖</w:t>
                  </w:r>
                </w:p>
              </w:tc>
              <w:tc>
                <w:tcPr>
                  <w:tcW w:w="6633" w:type="dxa"/>
                  <w:noWrap w:val="0"/>
                  <w:vAlign w:val="center"/>
                </w:tcPr>
                <w:p>
                  <w:pPr>
                    <w:pStyle w:val="30"/>
                    <w:bidi w:val="0"/>
                    <w:jc w:val="left"/>
                    <w:rPr>
                      <w:rFonts w:hint="default"/>
                    </w:rPr>
                  </w:pPr>
                  <w:r>
                    <w:rPr>
                      <w:rFonts w:hint="default"/>
                    </w:rPr>
                    <w:t>是自然界分布最广且最为重要的一种单糖，它是一种多羟基醛。易溶于水，微溶于乙醇，不溶于乙醚，无臭，味甜，有吸湿性。易溶于水，在碱性条件下加热易分解，有还原性，能与银氨溶液反应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noWrap w:val="0"/>
                  <w:vAlign w:val="center"/>
                </w:tcPr>
                <w:p>
                  <w:pPr>
                    <w:pStyle w:val="30"/>
                    <w:bidi w:val="0"/>
                    <w:rPr>
                      <w:rFonts w:hint="eastAsia" w:eastAsia="宋体"/>
                      <w:lang w:val="en-US" w:eastAsia="zh-CN"/>
                    </w:rPr>
                  </w:pPr>
                  <w:r>
                    <w:rPr>
                      <w:rFonts w:hint="eastAsia"/>
                      <w:lang w:val="en-US" w:eastAsia="zh-CN"/>
                    </w:rPr>
                    <w:t>5</w:t>
                  </w:r>
                </w:p>
              </w:tc>
              <w:tc>
                <w:tcPr>
                  <w:tcW w:w="1672" w:type="dxa"/>
                  <w:noWrap w:val="0"/>
                  <w:vAlign w:val="center"/>
                </w:tcPr>
                <w:p>
                  <w:pPr>
                    <w:pStyle w:val="30"/>
                    <w:bidi w:val="0"/>
                    <w:rPr>
                      <w:rFonts w:hint="default"/>
                    </w:rPr>
                  </w:pPr>
                  <w:r>
                    <w:rPr>
                      <w:rFonts w:hint="default"/>
                    </w:rPr>
                    <w:t>0.9%氯化钠注射液</w:t>
                  </w:r>
                </w:p>
              </w:tc>
              <w:tc>
                <w:tcPr>
                  <w:tcW w:w="6633" w:type="dxa"/>
                  <w:noWrap w:val="0"/>
                  <w:vAlign w:val="center"/>
                </w:tcPr>
                <w:p>
                  <w:pPr>
                    <w:pStyle w:val="30"/>
                    <w:bidi w:val="0"/>
                    <w:jc w:val="left"/>
                    <w:rPr>
                      <w:rFonts w:hint="default"/>
                    </w:rPr>
                  </w:pPr>
                  <w:r>
                    <w:rPr>
                      <w:rFonts w:hint="default"/>
                    </w:rPr>
                    <w:t>易溶于水、甘油，微溶于乙醇、液氨；不溶于浓盐酸。在空气中有潮解性，氯化钠是白色无臭结晶粉末。熔点801℃，沸点1465℃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noWrap w:val="0"/>
                  <w:vAlign w:val="center"/>
                </w:tcPr>
                <w:p>
                  <w:pPr>
                    <w:pStyle w:val="30"/>
                    <w:bidi w:val="0"/>
                    <w:rPr>
                      <w:rFonts w:hint="eastAsia" w:eastAsia="宋体"/>
                      <w:lang w:val="en-US" w:eastAsia="zh-CN"/>
                    </w:rPr>
                  </w:pPr>
                  <w:r>
                    <w:rPr>
                      <w:rFonts w:hint="eastAsia"/>
                      <w:lang w:val="en-US" w:eastAsia="zh-CN"/>
                    </w:rPr>
                    <w:t>6</w:t>
                  </w:r>
                </w:p>
              </w:tc>
              <w:tc>
                <w:tcPr>
                  <w:tcW w:w="1672" w:type="dxa"/>
                  <w:noWrap w:val="0"/>
                  <w:vAlign w:val="center"/>
                </w:tcPr>
                <w:p>
                  <w:pPr>
                    <w:pStyle w:val="30"/>
                    <w:bidi w:val="0"/>
                    <w:rPr>
                      <w:rFonts w:hint="default"/>
                    </w:rPr>
                  </w:pPr>
                  <w:r>
                    <w:rPr>
                      <w:rFonts w:hint="default"/>
                    </w:rPr>
                    <w:t>各类检验科</w:t>
                  </w:r>
                  <w:r>
                    <w:rPr>
                      <w:rFonts w:hint="eastAsia"/>
                      <w:lang w:eastAsia="zh-CN"/>
                    </w:rPr>
                    <w:t>（</w:t>
                  </w:r>
                  <w:r>
                    <w:rPr>
                      <w:rFonts w:hint="default"/>
                    </w:rPr>
                    <w:t>检验科、理化实验室</w:t>
                  </w:r>
                  <w:r>
                    <w:rPr>
                      <w:rFonts w:hint="eastAsia"/>
                      <w:lang w:eastAsia="zh-CN"/>
                    </w:rPr>
                    <w:t>）</w:t>
                  </w:r>
                  <w:r>
                    <w:rPr>
                      <w:rFonts w:hint="default"/>
                    </w:rPr>
                    <w:t>主要试剂</w:t>
                  </w:r>
                </w:p>
              </w:tc>
              <w:tc>
                <w:tcPr>
                  <w:tcW w:w="6633" w:type="dxa"/>
                  <w:noWrap w:val="0"/>
                  <w:vAlign w:val="center"/>
                </w:tcPr>
                <w:p>
                  <w:pPr>
                    <w:pStyle w:val="30"/>
                    <w:bidi w:val="0"/>
                    <w:jc w:val="left"/>
                    <w:rPr>
                      <w:rFonts w:hint="default"/>
                    </w:rPr>
                  </w:pPr>
                  <w:r>
                    <w:rPr>
                      <w:rFonts w:hint="default"/>
                    </w:rPr>
                    <w:t>院区化验室所有检测、鉴定、分析工作均直接购进成套的试剂盒，试剂盒内配有分析和测定所必需的全部试剂，化验室不需自制检验试剂。试剂盒内药品的主要成分包括生物酶、有机物和缓冲液等，不含氰化物和重金属；血样化验采用的溶血剂为无氰试剂，主要成分为季铵盐类表面活性剂。使用后的废试剂及处理后的废样液、废弃标本收集后由专门的容器存放，与废试剂盒等一起作为医疗废物</w:t>
                  </w:r>
                  <w:r>
                    <w:rPr>
                      <w:rFonts w:hint="eastAsia"/>
                      <w:lang w:val="en-US" w:eastAsia="zh-CN"/>
                    </w:rPr>
                    <w:t>处置</w:t>
                  </w:r>
                  <w:r>
                    <w:rPr>
                      <w:rFonts w:hint="default"/>
                    </w:rPr>
                    <w:t>。由于化验室直接采用试剂盒，故常备的试剂、药品种类很少，主要为消毒用的酒精、稀释用的双蒸水以及生理盐水等，无有毒有害物质。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noWrap w:val="0"/>
                  <w:vAlign w:val="center"/>
                </w:tcPr>
                <w:p>
                  <w:pPr>
                    <w:pStyle w:val="30"/>
                    <w:bidi w:val="0"/>
                    <w:rPr>
                      <w:rFonts w:hint="default"/>
                      <w:lang w:val="en-US" w:eastAsia="zh-CN"/>
                    </w:rPr>
                  </w:pPr>
                  <w:r>
                    <w:rPr>
                      <w:rFonts w:hint="eastAsia"/>
                      <w:lang w:val="en-US" w:eastAsia="zh-CN"/>
                    </w:rPr>
                    <w:t>7</w:t>
                  </w:r>
                </w:p>
              </w:tc>
              <w:tc>
                <w:tcPr>
                  <w:tcW w:w="1672" w:type="dxa"/>
                  <w:noWrap w:val="0"/>
                  <w:vAlign w:val="center"/>
                </w:tcPr>
                <w:p>
                  <w:pPr>
                    <w:pStyle w:val="30"/>
                    <w:bidi w:val="0"/>
                    <w:rPr>
                      <w:rFonts w:hint="eastAsia"/>
                      <w:lang w:val="en-US" w:eastAsia="zh-CN"/>
                    </w:rPr>
                  </w:pPr>
                  <w:r>
                    <w:rPr>
                      <w:rFonts w:hint="eastAsia"/>
                      <w:lang w:val="en-US" w:eastAsia="zh-CN"/>
                    </w:rPr>
                    <w:t>酒精</w:t>
                  </w:r>
                  <w:r>
                    <w:rPr>
                      <w:rFonts w:hint="eastAsia"/>
                      <w:lang w:eastAsia="zh-CN"/>
                    </w:rPr>
                    <w:t>（</w:t>
                  </w:r>
                  <w:r>
                    <w:rPr>
                      <w:rFonts w:hint="default"/>
                    </w:rPr>
                    <w:t>75%</w:t>
                  </w:r>
                  <w:r>
                    <w:rPr>
                      <w:rFonts w:hint="eastAsia"/>
                      <w:lang w:eastAsia="zh-CN"/>
                    </w:rPr>
                    <w:t>）</w:t>
                  </w:r>
                </w:p>
              </w:tc>
              <w:tc>
                <w:tcPr>
                  <w:tcW w:w="6633" w:type="dxa"/>
                  <w:noWrap w:val="0"/>
                  <w:vAlign w:val="center"/>
                </w:tcPr>
                <w:p>
                  <w:pPr>
                    <w:pStyle w:val="30"/>
                    <w:bidi w:val="0"/>
                    <w:jc w:val="left"/>
                    <w:rPr>
                      <w:rFonts w:hint="default"/>
                    </w:rPr>
                  </w:pPr>
                  <w:r>
                    <w:rPr>
                      <w:rFonts w:hint="eastAsia"/>
                      <w:lang w:val="en-US" w:eastAsia="zh-CN"/>
                    </w:rPr>
                    <w:t>学名</w:t>
                  </w:r>
                  <w:r>
                    <w:rPr>
                      <w:rFonts w:hint="default"/>
                    </w:rPr>
                    <w:t>乙醇</w:t>
                  </w:r>
                  <w:r>
                    <w:rPr>
                      <w:rFonts w:hint="default"/>
                      <w:lang w:eastAsia="zh-CN"/>
                    </w:rPr>
                    <w:t>(</w:t>
                  </w:r>
                  <w:r>
                    <w:rPr>
                      <w:rFonts w:hint="default"/>
                    </w:rPr>
                    <w:t>ethanol</w:t>
                  </w:r>
                  <w:r>
                    <w:rPr>
                      <w:rFonts w:hint="default"/>
                      <w:lang w:eastAsia="zh-CN"/>
                    </w:rPr>
                    <w:t>)</w:t>
                  </w:r>
                  <w:r>
                    <w:rPr>
                      <w:rFonts w:hint="default"/>
                    </w:rPr>
                    <w:t>是一种</w:t>
                  </w:r>
                  <w:r>
                    <w:rPr>
                      <w:rFonts w:hint="default"/>
                    </w:rPr>
                    <w:fldChar w:fldCharType="begin"/>
                  </w:r>
                  <w:r>
                    <w:rPr>
                      <w:rFonts w:hint="default"/>
                    </w:rPr>
                    <w:instrText xml:space="preserve"> HYPERLINK "https://baike.baidu.com/item/%E6%9C%89%E6%9C%BA%E5%8C%96%E5%90%88%E7%89%A9/2950156" \t "https://baike.baidu.com/item/%E4%B9%99%E9%86%87/_blank" </w:instrText>
                  </w:r>
                  <w:r>
                    <w:rPr>
                      <w:rFonts w:hint="default"/>
                    </w:rPr>
                    <w:fldChar w:fldCharType="separate"/>
                  </w:r>
                  <w:r>
                    <w:rPr>
                      <w:rStyle w:val="25"/>
                      <w:rFonts w:hint="default" w:ascii="Times New Roman" w:hAnsi="Times New Roman" w:cs="Times New Roman"/>
                      <w:color w:val="auto"/>
                      <w:highlight w:val="none"/>
                      <w:u w:val="none" w:color="auto"/>
                      <w:shd w:val="clear" w:color="auto" w:fill="FFFFFF"/>
                    </w:rPr>
                    <w:t>有机化合物</w:t>
                  </w:r>
                  <w:r>
                    <w:rPr>
                      <w:rFonts w:hint="default"/>
                    </w:rPr>
                    <w:fldChar w:fldCharType="end"/>
                  </w:r>
                  <w:r>
                    <w:rPr>
                      <w:rFonts w:hint="default"/>
                    </w:rPr>
                    <w:t>，结构简式为CH</w:t>
                  </w:r>
                  <w:r>
                    <w:rPr>
                      <w:rFonts w:hint="default"/>
                      <w:vertAlign w:val="subscript"/>
                    </w:rPr>
                    <w:t>3</w:t>
                  </w:r>
                  <w:r>
                    <w:rPr>
                      <w:rFonts w:hint="default"/>
                    </w:rPr>
                    <w:t>CH</w:t>
                  </w:r>
                  <w:r>
                    <w:rPr>
                      <w:rFonts w:hint="default"/>
                      <w:vertAlign w:val="subscript"/>
                    </w:rPr>
                    <w:t>2</w:t>
                  </w:r>
                  <w:r>
                    <w:rPr>
                      <w:rFonts w:hint="default"/>
                    </w:rPr>
                    <w:t>OH或C</w:t>
                  </w:r>
                  <w:r>
                    <w:rPr>
                      <w:rFonts w:hint="default"/>
                      <w:vertAlign w:val="subscript"/>
                    </w:rPr>
                    <w:t>2</w:t>
                  </w:r>
                  <w:r>
                    <w:rPr>
                      <w:rFonts w:hint="default"/>
                    </w:rPr>
                    <w:t>H</w:t>
                  </w:r>
                  <w:r>
                    <w:rPr>
                      <w:rFonts w:hint="default"/>
                      <w:vertAlign w:val="subscript"/>
                    </w:rPr>
                    <w:t>5</w:t>
                  </w:r>
                  <w:r>
                    <w:rPr>
                      <w:rFonts w:hint="default"/>
                    </w:rPr>
                    <w:t>OH，分子式为C</w:t>
                  </w:r>
                  <w:r>
                    <w:rPr>
                      <w:rFonts w:hint="default"/>
                      <w:vertAlign w:val="subscript"/>
                    </w:rPr>
                    <w:t>2</w:t>
                  </w:r>
                  <w:r>
                    <w:rPr>
                      <w:rFonts w:hint="default"/>
                    </w:rPr>
                    <w:t>H</w:t>
                  </w:r>
                  <w:r>
                    <w:rPr>
                      <w:rFonts w:hint="default"/>
                      <w:vertAlign w:val="subscript"/>
                    </w:rPr>
                    <w:t>6</w:t>
                  </w:r>
                  <w:r>
                    <w:rPr>
                      <w:rFonts w:hint="default"/>
                    </w:rPr>
                    <w:t>O，俗称酒精，乙醇在常温常压下是一种无色透明、易挥发、易燃烧、不导电的液体，它的水溶液具有酒香的气味，味甘。在20℃常温下，乙醇液体密度是0.789g/cm³。乙醇的熔点是-114.1℃，沸点是78.3℃。乙醇蒸气能与空气形成</w:t>
                  </w:r>
                  <w:r>
                    <w:rPr>
                      <w:rFonts w:hint="default"/>
                    </w:rPr>
                    <w:fldChar w:fldCharType="begin"/>
                  </w:r>
                  <w:r>
                    <w:rPr>
                      <w:rFonts w:hint="default"/>
                    </w:rPr>
                    <w:instrText xml:space="preserve"> HYPERLINK "https://baike.baidu.com/item/%E7%88%86%E7%82%B8%E6%80%A7%E6%B7%B7%E5%90%88%E7%89%A9/5537872" \t "https://baike.baidu.com/item/%E4%B9%99%E9%86%87/_blank" </w:instrText>
                  </w:r>
                  <w:r>
                    <w:rPr>
                      <w:rFonts w:hint="default"/>
                    </w:rPr>
                    <w:fldChar w:fldCharType="separate"/>
                  </w:r>
                  <w:r>
                    <w:rPr>
                      <w:rFonts w:hint="default"/>
                    </w:rPr>
                    <w:t>爆炸性混合物</w:t>
                  </w:r>
                  <w:r>
                    <w:rPr>
                      <w:rFonts w:hint="default"/>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noWrap w:val="0"/>
                  <w:vAlign w:val="center"/>
                </w:tcPr>
                <w:p>
                  <w:pPr>
                    <w:pStyle w:val="30"/>
                    <w:bidi w:val="0"/>
                    <w:rPr>
                      <w:rFonts w:hint="default"/>
                      <w:lang w:val="en-US" w:eastAsia="zh-CN"/>
                    </w:rPr>
                  </w:pPr>
                  <w:r>
                    <w:rPr>
                      <w:rFonts w:hint="eastAsia"/>
                      <w:lang w:val="en-US" w:eastAsia="zh-CN"/>
                    </w:rPr>
                    <w:t>8</w:t>
                  </w:r>
                </w:p>
              </w:tc>
              <w:tc>
                <w:tcPr>
                  <w:tcW w:w="1672" w:type="dxa"/>
                  <w:noWrap w:val="0"/>
                  <w:vAlign w:val="center"/>
                </w:tcPr>
                <w:p>
                  <w:pPr>
                    <w:pStyle w:val="30"/>
                    <w:bidi w:val="0"/>
                    <w:rPr>
                      <w:rFonts w:hint="eastAsia"/>
                      <w:lang w:val="en-US" w:eastAsia="zh-CN"/>
                    </w:rPr>
                  </w:pPr>
                  <w:r>
                    <w:rPr>
                      <w:rFonts w:hint="eastAsia"/>
                      <w:lang w:val="en-US" w:eastAsia="zh-CN"/>
                    </w:rPr>
                    <w:t>氧气</w:t>
                  </w:r>
                </w:p>
              </w:tc>
              <w:tc>
                <w:tcPr>
                  <w:tcW w:w="6633" w:type="dxa"/>
                  <w:noWrap w:val="0"/>
                  <w:vAlign w:val="center"/>
                </w:tcPr>
                <w:p>
                  <w:pPr>
                    <w:pStyle w:val="30"/>
                    <w:bidi w:val="0"/>
                    <w:jc w:val="left"/>
                    <w:rPr>
                      <w:rFonts w:hint="default"/>
                    </w:rPr>
                  </w:pPr>
                  <w:r>
                    <w:rPr>
                      <w:rFonts w:hint="default"/>
                    </w:rPr>
                    <w:t>是氧元素形成的一种单质，化学式O</w:t>
                  </w:r>
                  <w:r>
                    <w:rPr>
                      <w:rFonts w:hint="default"/>
                      <w:vertAlign w:val="subscript"/>
                    </w:rPr>
                    <w:t>2</w:t>
                  </w:r>
                  <w:r>
                    <w:rPr>
                      <w:rFonts w:hint="default"/>
                    </w:rPr>
                    <w:t>，其化学性质比较活泼，大部分的元素都能与氧气反应。常温下不是很活泼，与许多物质都不易作用。但在高温下则很活泼，能与多种元素直接化合，这与氧原子的电负性仅次于氟有关。熔点-218.4℃，沸点-183℃。不易溶于水，1L水中溶解约30mL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noWrap w:val="0"/>
                  <w:vAlign w:val="center"/>
                </w:tcPr>
                <w:p>
                  <w:pPr>
                    <w:pStyle w:val="30"/>
                    <w:bidi w:val="0"/>
                    <w:rPr>
                      <w:rFonts w:hint="default"/>
                      <w:lang w:val="en-US" w:eastAsia="zh-CN"/>
                    </w:rPr>
                  </w:pPr>
                  <w:r>
                    <w:rPr>
                      <w:rFonts w:hint="eastAsia"/>
                      <w:lang w:val="en-US" w:eastAsia="zh-CN"/>
                    </w:rPr>
                    <w:t>9</w:t>
                  </w:r>
                </w:p>
              </w:tc>
              <w:tc>
                <w:tcPr>
                  <w:tcW w:w="1672" w:type="dxa"/>
                  <w:noWrap w:val="0"/>
                  <w:vAlign w:val="center"/>
                </w:tcPr>
                <w:p>
                  <w:pPr>
                    <w:pStyle w:val="30"/>
                    <w:bidi w:val="0"/>
                    <w:rPr>
                      <w:rFonts w:hint="default"/>
                      <w:lang w:val="en-US" w:eastAsia="zh-CN"/>
                    </w:rPr>
                  </w:pPr>
                  <w:r>
                    <w:rPr>
                      <w:rFonts w:hint="eastAsia"/>
                      <w:lang w:val="en-US" w:eastAsia="zh-CN"/>
                    </w:rPr>
                    <w:t>盐酸（31%）</w:t>
                  </w:r>
                </w:p>
              </w:tc>
              <w:tc>
                <w:tcPr>
                  <w:tcW w:w="6633" w:type="dxa"/>
                  <w:noWrap w:val="0"/>
                  <w:vAlign w:val="center"/>
                </w:tcPr>
                <w:p>
                  <w:pPr>
                    <w:pStyle w:val="30"/>
                    <w:bidi w:val="0"/>
                    <w:jc w:val="left"/>
                    <w:rPr>
                      <w:rFonts w:hint="default"/>
                    </w:rPr>
                  </w:pPr>
                  <w:r>
                    <w:rPr>
                      <w:rFonts w:hint="eastAsia"/>
                      <w:lang w:val="en-US" w:eastAsia="zh-CN"/>
                    </w:rPr>
                    <w:t>盐酸的性状为无色透明的液体，有强烈的刺鼻气味，具有较高的腐蚀性。分子量为36.46，熔点为-27.32℃，沸点48℃，水溶性为混溶，安全性描述：S1/2；S26；S45。浓盐酸(质量分数约为37%)具有极强的挥发性，因此盛有浓盐酸的容器打开后氯化氢气体会挥发，与空气中的水蒸气结合产生盐酸小液滴，使瓶口上方出现酸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noWrap w:val="0"/>
                  <w:vAlign w:val="center"/>
                </w:tcPr>
                <w:p>
                  <w:pPr>
                    <w:pStyle w:val="30"/>
                    <w:bidi w:val="0"/>
                    <w:rPr>
                      <w:rFonts w:hint="default"/>
                      <w:lang w:val="en-US" w:eastAsia="zh-CN"/>
                    </w:rPr>
                  </w:pPr>
                  <w:r>
                    <w:rPr>
                      <w:rFonts w:hint="eastAsia"/>
                      <w:lang w:val="en-US" w:eastAsia="zh-CN"/>
                    </w:rPr>
                    <w:t>10</w:t>
                  </w:r>
                </w:p>
              </w:tc>
              <w:tc>
                <w:tcPr>
                  <w:tcW w:w="1672" w:type="dxa"/>
                  <w:noWrap w:val="0"/>
                  <w:vAlign w:val="center"/>
                </w:tcPr>
                <w:p>
                  <w:pPr>
                    <w:pStyle w:val="30"/>
                    <w:bidi w:val="0"/>
                    <w:rPr>
                      <w:rFonts w:hint="default"/>
                      <w:lang w:val="en-US"/>
                    </w:rPr>
                  </w:pPr>
                  <w:r>
                    <w:rPr>
                      <w:rFonts w:hint="eastAsia"/>
                      <w:lang w:val="en-US" w:eastAsia="zh-CN"/>
                    </w:rPr>
                    <w:t>云氧消毒粉</w:t>
                  </w:r>
                </w:p>
              </w:tc>
              <w:tc>
                <w:tcPr>
                  <w:tcW w:w="6633" w:type="dxa"/>
                  <w:noWrap w:val="0"/>
                  <w:vAlign w:val="center"/>
                </w:tcPr>
                <w:p>
                  <w:pPr>
                    <w:pStyle w:val="30"/>
                    <w:bidi w:val="0"/>
                    <w:jc w:val="left"/>
                    <w:rPr>
                      <w:rFonts w:hint="default"/>
                    </w:rPr>
                  </w:pPr>
                  <w:r>
                    <w:t>主要成份为单过硫酸氢钾复合盐 (分子式：2KHSO</w:t>
                  </w:r>
                  <w:r>
                    <w:rPr>
                      <w:vertAlign w:val="subscript"/>
                    </w:rPr>
                    <w:t>5</w:t>
                  </w:r>
                  <w:r>
                    <w:t xml:space="preserve"> ·KHSO</w:t>
                  </w:r>
                  <w:r>
                    <w:rPr>
                      <w:vertAlign w:val="subscript"/>
                    </w:rPr>
                    <w:t>4</w:t>
                  </w:r>
                  <w:r>
                    <w:t xml:space="preserve"> ·K</w:t>
                  </w:r>
                  <w:r>
                    <w:rPr>
                      <w:vertAlign w:val="subscript"/>
                    </w:rPr>
                    <w:t>2</w:t>
                  </w:r>
                  <w:r>
                    <w:t>SO</w:t>
                  </w:r>
                  <w:r>
                    <w:rPr>
                      <w:vertAlign w:val="subscript"/>
                    </w:rPr>
                    <w:t xml:space="preserve">4 </w:t>
                  </w:r>
                  <w:r>
                    <w:t>) ，单过硫酸氢钾复合粉在常温下 为白色粉末状物质，容易储存和运输、具有高稳定性、高水溶性和价格相对低廉有优势；不燃不爆，从生产运输及储存使用等多个环节克服了其他消毒剂的泄漏、倾覆、爆炸、腐蚀等安全隐患。单过硫酸氢钾复合粉溶于水后释放活性氧</w:t>
                  </w:r>
                  <w:r>
                    <w:rPr>
                      <w:rFonts w:hint="eastAsia"/>
                      <w:lang w:val="en-US" w:eastAsia="zh-CN"/>
                    </w:rPr>
                    <w:t>[</w:t>
                  </w:r>
                  <w:r>
                    <w:t>O</w:t>
                  </w:r>
                  <w:r>
                    <w:rPr>
                      <w:rFonts w:hint="eastAsia"/>
                      <w:lang w:val="en-US" w:eastAsia="zh-CN"/>
                    </w:rPr>
                    <w:t>]</w:t>
                  </w:r>
                  <w:r>
                    <w:t>，并通过催化链式反应而产生硫酸自由基、氧自由基、进而产生羟基自由基</w:t>
                  </w:r>
                  <w:r>
                    <w:rPr>
                      <w:rFonts w:hint="eastAsia"/>
                      <w:lang w:val="en-US" w:eastAsia="zh-CN"/>
                    </w:rPr>
                    <w:t>（</w:t>
                  </w:r>
                  <w:r>
                    <w:t>·OH</w:t>
                  </w:r>
                  <w:r>
                    <w:rPr>
                      <w:rFonts w:hint="eastAsia"/>
                      <w:lang w:eastAsia="zh-CN"/>
                    </w:rPr>
                    <w:t>）</w:t>
                  </w:r>
                  <w:r>
                    <w:t xml:space="preserve"> 等多种成分，具有广泛的杀灭微生物作用，包括细菌、芽胞、病毒、真菌等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noWrap w:val="0"/>
                  <w:vAlign w:val="center"/>
                </w:tcPr>
                <w:p>
                  <w:pPr>
                    <w:pStyle w:val="30"/>
                    <w:bidi w:val="0"/>
                    <w:rPr>
                      <w:rFonts w:hint="default"/>
                      <w:lang w:val="en-US" w:eastAsia="zh-CN"/>
                    </w:rPr>
                  </w:pPr>
                  <w:r>
                    <w:rPr>
                      <w:rFonts w:hint="eastAsia"/>
                      <w:lang w:val="en-US" w:eastAsia="zh-CN"/>
                    </w:rPr>
                    <w:t>11</w:t>
                  </w:r>
                </w:p>
              </w:tc>
              <w:tc>
                <w:tcPr>
                  <w:tcW w:w="1672" w:type="dxa"/>
                  <w:noWrap w:val="0"/>
                  <w:vAlign w:val="center"/>
                </w:tcPr>
                <w:p>
                  <w:pPr>
                    <w:pStyle w:val="30"/>
                    <w:bidi w:val="0"/>
                    <w:rPr>
                      <w:rFonts w:hint="default"/>
                    </w:rPr>
                  </w:pPr>
                  <w:r>
                    <w:rPr>
                      <w:rFonts w:hint="default"/>
                    </w:rPr>
                    <w:t>除臭剂</w:t>
                  </w:r>
                </w:p>
              </w:tc>
              <w:tc>
                <w:tcPr>
                  <w:tcW w:w="6633" w:type="dxa"/>
                  <w:noWrap w:val="0"/>
                  <w:vAlign w:val="center"/>
                </w:tcPr>
                <w:p>
                  <w:pPr>
                    <w:pStyle w:val="30"/>
                    <w:bidi w:val="0"/>
                    <w:jc w:val="left"/>
                    <w:rPr>
                      <w:rFonts w:hint="default"/>
                    </w:rPr>
                  </w:pPr>
                  <w:r>
                    <w:rPr>
                      <w:rFonts w:hint="default"/>
                    </w:rPr>
                    <w:t>采用微生物除臭剂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noWrap w:val="0"/>
                  <w:vAlign w:val="center"/>
                </w:tcPr>
                <w:p>
                  <w:pPr>
                    <w:pStyle w:val="30"/>
                    <w:bidi w:val="0"/>
                    <w:rPr>
                      <w:rFonts w:hint="default"/>
                      <w:lang w:val="en-US" w:eastAsia="zh-CN"/>
                    </w:rPr>
                  </w:pPr>
                  <w:r>
                    <w:rPr>
                      <w:rFonts w:hint="eastAsia"/>
                      <w:lang w:val="en-US" w:eastAsia="zh-CN"/>
                    </w:rPr>
                    <w:t>12</w:t>
                  </w:r>
                </w:p>
              </w:tc>
              <w:tc>
                <w:tcPr>
                  <w:tcW w:w="1672" w:type="dxa"/>
                  <w:noWrap w:val="0"/>
                  <w:vAlign w:val="center"/>
                </w:tcPr>
                <w:p>
                  <w:pPr>
                    <w:pStyle w:val="30"/>
                    <w:bidi w:val="0"/>
                    <w:rPr>
                      <w:rFonts w:hint="default"/>
                      <w:lang w:val="en-US" w:eastAsia="zh-CN"/>
                    </w:rPr>
                  </w:pPr>
                  <w:r>
                    <w:rPr>
                      <w:rFonts w:hint="eastAsia"/>
                      <w:lang w:val="en-US" w:eastAsia="zh-CN"/>
                    </w:rPr>
                    <w:t>PAC</w:t>
                  </w:r>
                </w:p>
              </w:tc>
              <w:tc>
                <w:tcPr>
                  <w:tcW w:w="6633" w:type="dxa"/>
                  <w:noWrap w:val="0"/>
                  <w:vAlign w:val="center"/>
                </w:tcPr>
                <w:p>
                  <w:pPr>
                    <w:pStyle w:val="30"/>
                    <w:bidi w:val="0"/>
                    <w:jc w:val="left"/>
                    <w:rPr>
                      <w:rFonts w:hint="default"/>
                      <w:lang w:val="en-US" w:eastAsia="zh-CN"/>
                    </w:rPr>
                  </w:pPr>
                  <w:r>
                    <w:rPr>
                      <w:rFonts w:hint="default"/>
                    </w:rPr>
                    <w:t>聚合氯化铝（PAC）是一种无机物，一种新兴净水材料、无机高分子混凝剂，简称聚铝。它是介于AlCl</w:t>
                  </w:r>
                  <w:r>
                    <w:rPr>
                      <w:rFonts w:hint="default"/>
                      <w:vertAlign w:val="subscript"/>
                    </w:rPr>
                    <w:t>3</w:t>
                  </w:r>
                  <w:r>
                    <w:rPr>
                      <w:rFonts w:hint="default"/>
                    </w:rPr>
                    <w:t>和Al(OH)</w:t>
                  </w:r>
                  <w:r>
                    <w:rPr>
                      <w:rFonts w:hint="default"/>
                      <w:vertAlign w:val="subscript"/>
                    </w:rPr>
                    <w:t>3</w:t>
                  </w:r>
                  <w:r>
                    <w:rPr>
                      <w:rFonts w:hint="default"/>
                    </w:rPr>
                    <w:t>之间的一种水溶性无机高分子聚合物，化学通式为[Al</w:t>
                  </w:r>
                  <w:r>
                    <w:rPr>
                      <w:rFonts w:hint="default"/>
                      <w:vertAlign w:val="subscript"/>
                    </w:rPr>
                    <w:t>2</w:t>
                  </w:r>
                  <w:r>
                    <w:rPr>
                      <w:rFonts w:hint="default"/>
                    </w:rPr>
                    <w:t>(OH)nCl</w:t>
                  </w:r>
                  <w:r>
                    <w:rPr>
                      <w:rFonts w:hint="default"/>
                      <w:vertAlign w:val="subscript"/>
                    </w:rPr>
                    <w:t>6</w:t>
                  </w:r>
                  <w:r>
                    <w:rPr>
                      <w:rFonts w:hint="default"/>
                    </w:rPr>
                    <w:t>-n]m，其中m代表聚合程度，n表示PAC产品的中性程度。颜色呈黄色或淡黄色、深褐色、深灰色树脂状固体。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noWrap w:val="0"/>
                  <w:vAlign w:val="center"/>
                </w:tcPr>
                <w:p>
                  <w:pPr>
                    <w:pStyle w:val="30"/>
                    <w:bidi w:val="0"/>
                    <w:rPr>
                      <w:rFonts w:hint="default"/>
                      <w:lang w:val="en-US" w:eastAsia="zh-CN"/>
                    </w:rPr>
                  </w:pPr>
                  <w:r>
                    <w:rPr>
                      <w:rFonts w:hint="eastAsia"/>
                      <w:lang w:val="en-US" w:eastAsia="zh-CN"/>
                    </w:rPr>
                    <w:t>13</w:t>
                  </w:r>
                </w:p>
              </w:tc>
              <w:tc>
                <w:tcPr>
                  <w:tcW w:w="1672" w:type="dxa"/>
                  <w:noWrap w:val="0"/>
                  <w:vAlign w:val="center"/>
                </w:tcPr>
                <w:p>
                  <w:pPr>
                    <w:pStyle w:val="30"/>
                    <w:bidi w:val="0"/>
                    <w:rPr>
                      <w:rFonts w:hint="default"/>
                      <w:lang w:val="en-US" w:eastAsia="zh-CN"/>
                    </w:rPr>
                  </w:pPr>
                  <w:r>
                    <w:rPr>
                      <w:rFonts w:hint="eastAsia"/>
                      <w:lang w:val="en-US" w:eastAsia="zh-CN"/>
                    </w:rPr>
                    <w:t>石灰</w:t>
                  </w:r>
                </w:p>
              </w:tc>
              <w:tc>
                <w:tcPr>
                  <w:tcW w:w="6633" w:type="dxa"/>
                  <w:noWrap w:val="0"/>
                  <w:vAlign w:val="center"/>
                </w:tcPr>
                <w:p>
                  <w:pPr>
                    <w:pStyle w:val="30"/>
                    <w:bidi w:val="0"/>
                    <w:jc w:val="left"/>
                    <w:rPr>
                      <w:rFonts w:hint="eastAsia"/>
                      <w:lang w:val="en-US" w:eastAsia="zh-CN"/>
                    </w:rPr>
                  </w:pPr>
                  <w:r>
                    <w:rPr>
                      <w:rFonts w:hint="eastAsia"/>
                      <w:lang w:val="en-US" w:eastAsia="zh-CN"/>
                    </w:rPr>
                    <w:t>石灰（CaO）是一种以</w:t>
                  </w:r>
                  <w:r>
                    <w:rPr>
                      <w:rFonts w:hint="default"/>
                      <w:lang w:val="en-US" w:eastAsia="zh-CN"/>
                    </w:rPr>
                    <w:fldChar w:fldCharType="begin"/>
                  </w:r>
                  <w:r>
                    <w:rPr>
                      <w:rFonts w:hint="default"/>
                      <w:lang w:val="en-US" w:eastAsia="zh-CN"/>
                    </w:rPr>
                    <w:instrText xml:space="preserve"> HYPERLINK "https://baike.baidu.com/item/%E6%B0%A7%E5%8C%96%E9%92%99/2815549?fromModule=lemma_inlink" \t "https://baike.baidu.com/item/%E7%9F%B3%E7%81%B0/_blank" </w:instrText>
                  </w:r>
                  <w:r>
                    <w:rPr>
                      <w:rFonts w:hint="default"/>
                      <w:lang w:val="en-US" w:eastAsia="zh-CN"/>
                    </w:rPr>
                    <w:fldChar w:fldCharType="separate"/>
                  </w:r>
                  <w:r>
                    <w:rPr>
                      <w:rFonts w:hint="default"/>
                      <w:lang w:val="en-US" w:eastAsia="zh-CN"/>
                    </w:rPr>
                    <w:t>氧化钙</w:t>
                  </w:r>
                  <w:r>
                    <w:rPr>
                      <w:rFonts w:hint="default"/>
                      <w:lang w:val="en-US" w:eastAsia="zh-CN"/>
                    </w:rPr>
                    <w:fldChar w:fldCharType="end"/>
                  </w:r>
                  <w:r>
                    <w:rPr>
                      <w:rFonts w:hint="default"/>
                      <w:lang w:val="en-US" w:eastAsia="zh-CN"/>
                    </w:rPr>
                    <w:t>为主要成分的气硬性无机</w:t>
                  </w:r>
                  <w:r>
                    <w:rPr>
                      <w:rFonts w:hint="default"/>
                      <w:lang w:val="en-US" w:eastAsia="zh-CN"/>
                    </w:rPr>
                    <w:fldChar w:fldCharType="begin"/>
                  </w:r>
                  <w:r>
                    <w:rPr>
                      <w:rFonts w:hint="default"/>
                      <w:lang w:val="en-US" w:eastAsia="zh-CN"/>
                    </w:rPr>
                    <w:instrText xml:space="preserve"> HYPERLINK "https://baike.baidu.com/item/%E8%83%B6%E5%87%9D%E6%9D%90%E6%96%99/8872636?fromModule=lemma_inlink" \t "https://baike.baidu.com/item/%E7%9F%B3%E7%81%B0/_blank" </w:instrText>
                  </w:r>
                  <w:r>
                    <w:rPr>
                      <w:rFonts w:hint="default"/>
                      <w:lang w:val="en-US" w:eastAsia="zh-CN"/>
                    </w:rPr>
                    <w:fldChar w:fldCharType="separate"/>
                  </w:r>
                  <w:r>
                    <w:rPr>
                      <w:rFonts w:hint="default"/>
                      <w:lang w:val="en-US" w:eastAsia="zh-CN"/>
                    </w:rPr>
                    <w:t>胶凝材料</w:t>
                  </w:r>
                  <w:r>
                    <w:rPr>
                      <w:rFonts w:hint="default"/>
                      <w:lang w:val="en-US" w:eastAsia="zh-CN"/>
                    </w:rPr>
                    <w:fldChar w:fldCharType="end"/>
                  </w:r>
                  <w:r>
                    <w:rPr>
                      <w:rFonts w:hint="eastAsia"/>
                      <w:lang w:val="en-US" w:eastAsia="zh-CN"/>
                    </w:rPr>
                    <w:t>，石灰具有较强的碱性，在常温下，能与玻璃态的活性氧化硅或</w:t>
                  </w:r>
                  <w:r>
                    <w:rPr>
                      <w:rFonts w:hint="default"/>
                      <w:lang w:val="en-US" w:eastAsia="zh-CN"/>
                    </w:rPr>
                    <w:fldChar w:fldCharType="begin"/>
                  </w:r>
                  <w:r>
                    <w:rPr>
                      <w:rFonts w:hint="default"/>
                      <w:lang w:val="en-US" w:eastAsia="zh-CN"/>
                    </w:rPr>
                    <w:instrText xml:space="preserve"> HYPERLINK "https://baike.baidu.com/item/%E6%B4%BB%E6%80%A7%E6%B0%A7%E5%8C%96%E9%93%9D/8276750?fromModule=lemma_inlink" \t "https://baike.baidu.com/item/%E7%9F%B3%E7%81%B0/_blank" </w:instrText>
                  </w:r>
                  <w:r>
                    <w:rPr>
                      <w:rFonts w:hint="default"/>
                      <w:lang w:val="en-US" w:eastAsia="zh-CN"/>
                    </w:rPr>
                    <w:fldChar w:fldCharType="separate"/>
                  </w:r>
                  <w:r>
                    <w:rPr>
                      <w:rFonts w:hint="default"/>
                      <w:lang w:val="en-US" w:eastAsia="zh-CN"/>
                    </w:rPr>
                    <w:t>活性氧化铝</w:t>
                  </w:r>
                  <w:r>
                    <w:rPr>
                      <w:rFonts w:hint="default"/>
                      <w:lang w:val="en-US" w:eastAsia="zh-CN"/>
                    </w:rPr>
                    <w:fldChar w:fldCharType="end"/>
                  </w:r>
                  <w:r>
                    <w:rPr>
                      <w:rFonts w:hint="default"/>
                      <w:lang w:val="en-US" w:eastAsia="zh-CN"/>
                    </w:rPr>
                    <w:t>反应，生成有水硬性的产物，产生胶结。</w:t>
                  </w:r>
                </w:p>
              </w:tc>
            </w:tr>
          </w:tbl>
          <w:p>
            <w:pPr>
              <w:bidi w:val="0"/>
              <w:rPr>
                <w:rFonts w:hint="default"/>
                <w:b/>
                <w:bCs/>
              </w:rPr>
            </w:pPr>
            <w:r>
              <w:rPr>
                <w:rFonts w:hint="eastAsia"/>
                <w:b/>
                <w:bCs/>
                <w:lang w:val="en-US" w:eastAsia="zh-CN"/>
              </w:rPr>
              <w:t>5</w:t>
            </w:r>
            <w:r>
              <w:rPr>
                <w:rFonts w:hint="eastAsia"/>
                <w:b/>
                <w:bCs/>
              </w:rPr>
              <w:t>、</w:t>
            </w:r>
            <w:r>
              <w:rPr>
                <w:rFonts w:hint="default"/>
                <w:b/>
                <w:bCs/>
              </w:rPr>
              <w:t>主要生产设备</w:t>
            </w:r>
          </w:p>
          <w:p>
            <w:pPr>
              <w:pStyle w:val="12"/>
              <w:bidi w:val="0"/>
              <w:rPr>
                <w:rFonts w:hint="default"/>
                <w:lang w:val="zh-CN"/>
              </w:rPr>
            </w:pPr>
            <w:r>
              <w:rPr>
                <w:rFonts w:hint="default"/>
              </w:rPr>
              <w:t>根据建设单位提供资料，本项目主要医疗设备见</w:t>
            </w:r>
            <w:r>
              <w:rPr>
                <w:rFonts w:hint="eastAsia"/>
                <w:lang w:eastAsia="zh-CN"/>
              </w:rPr>
              <w:t>下</w:t>
            </w:r>
            <w:r>
              <w:rPr>
                <w:rFonts w:hint="default"/>
              </w:rPr>
              <w:t>表。医院采用一次电脑成像技术，无洗印废液产生。化验室采用</w:t>
            </w:r>
            <w:r>
              <w:rPr>
                <w:rFonts w:hint="eastAsia"/>
                <w:lang w:val="en-US" w:eastAsia="zh-CN"/>
              </w:rPr>
              <w:t>半</w:t>
            </w:r>
            <w:r>
              <w:rPr>
                <w:rFonts w:hint="default"/>
              </w:rPr>
              <w:t>自动生化分析仪，无含氰化氢的有毒废弃物产生</w:t>
            </w:r>
            <w:r>
              <w:rPr>
                <w:rFonts w:hint="default"/>
                <w:lang w:eastAsia="zh-CN"/>
              </w:rPr>
              <w:t>。</w:t>
            </w:r>
          </w:p>
          <w:p>
            <w:pPr>
              <w:pStyle w:val="29"/>
              <w:bidi w:val="0"/>
              <w:rPr>
                <w:rFonts w:hint="default"/>
                <w:u w:val="single"/>
                <w:lang w:val="zh-CN"/>
              </w:rPr>
            </w:pPr>
            <w:r>
              <w:rPr>
                <w:rFonts w:hint="default"/>
                <w:u w:val="single"/>
                <w:lang w:val="zh-CN"/>
              </w:rPr>
              <w:t>表2</w:t>
            </w:r>
            <w:r>
              <w:rPr>
                <w:rFonts w:hint="eastAsia"/>
                <w:u w:val="single"/>
                <w:lang w:val="en-US" w:eastAsia="zh-CN"/>
              </w:rPr>
              <w:t>.1</w:t>
            </w:r>
            <w:r>
              <w:rPr>
                <w:rFonts w:hint="default"/>
                <w:u w:val="single"/>
                <w:lang w:val="zh-CN"/>
              </w:rPr>
              <w:t>-</w:t>
            </w:r>
            <w:r>
              <w:rPr>
                <w:rFonts w:hint="default"/>
                <w:u w:val="single"/>
                <w:lang w:val="en-US" w:eastAsia="zh-CN"/>
              </w:rPr>
              <w:t>4</w:t>
            </w:r>
            <w:r>
              <w:rPr>
                <w:rFonts w:hint="default"/>
                <w:u w:val="single"/>
                <w:lang w:val="zh-CN"/>
              </w:rPr>
              <w:t xml:space="preserve">  项目主要医疗设备一览表</w:t>
            </w:r>
          </w:p>
          <w:tbl>
            <w:tblPr>
              <w:tblStyle w:val="28"/>
              <w:tblW w:w="90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3444"/>
              <w:gridCol w:w="2138"/>
              <w:gridCol w:w="898"/>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7" w:type="dxa"/>
                  <w:noWrap w:val="0"/>
                  <w:vAlign w:val="center"/>
                </w:tcPr>
                <w:p>
                  <w:pPr>
                    <w:pStyle w:val="30"/>
                    <w:bidi w:val="0"/>
                    <w:jc w:val="center"/>
                    <w:rPr>
                      <w:rFonts w:hint="default"/>
                      <w:lang w:val="en-US" w:eastAsia="zh-CN"/>
                    </w:rPr>
                  </w:pPr>
                  <w:r>
                    <w:rPr>
                      <w:rFonts w:hint="default"/>
                      <w:lang w:val="en-US" w:eastAsia="zh-CN"/>
                    </w:rPr>
                    <w:t>序号</w:t>
                  </w:r>
                </w:p>
              </w:tc>
              <w:tc>
                <w:tcPr>
                  <w:tcW w:w="3444" w:type="dxa"/>
                  <w:noWrap w:val="0"/>
                  <w:vAlign w:val="center"/>
                </w:tcPr>
                <w:p>
                  <w:pPr>
                    <w:pStyle w:val="30"/>
                    <w:bidi w:val="0"/>
                    <w:jc w:val="center"/>
                    <w:rPr>
                      <w:rFonts w:hint="default"/>
                      <w:lang w:val="en-US" w:eastAsia="zh-CN"/>
                    </w:rPr>
                  </w:pPr>
                  <w:r>
                    <w:rPr>
                      <w:rFonts w:hint="default"/>
                      <w:lang w:val="en-US" w:eastAsia="zh-CN"/>
                    </w:rPr>
                    <w:t>设备名称</w:t>
                  </w:r>
                </w:p>
              </w:tc>
              <w:tc>
                <w:tcPr>
                  <w:tcW w:w="2138" w:type="dxa"/>
                  <w:noWrap w:val="0"/>
                  <w:vAlign w:val="center"/>
                </w:tcPr>
                <w:p>
                  <w:pPr>
                    <w:pStyle w:val="30"/>
                    <w:bidi w:val="0"/>
                    <w:jc w:val="center"/>
                    <w:rPr>
                      <w:rFonts w:hint="default"/>
                      <w:lang w:val="en-US" w:eastAsia="zh-CN"/>
                    </w:rPr>
                  </w:pPr>
                  <w:r>
                    <w:rPr>
                      <w:rFonts w:hint="default"/>
                      <w:lang w:val="en-US" w:eastAsia="zh-CN"/>
                    </w:rPr>
                    <w:t>型号</w:t>
                  </w:r>
                </w:p>
              </w:tc>
              <w:tc>
                <w:tcPr>
                  <w:tcW w:w="898" w:type="dxa"/>
                  <w:noWrap w:val="0"/>
                  <w:vAlign w:val="center"/>
                </w:tcPr>
                <w:p>
                  <w:pPr>
                    <w:pStyle w:val="30"/>
                    <w:bidi w:val="0"/>
                    <w:jc w:val="center"/>
                    <w:rPr>
                      <w:rFonts w:hint="default"/>
                      <w:lang w:val="en-US" w:eastAsia="zh-CN"/>
                    </w:rPr>
                  </w:pPr>
                  <w:r>
                    <w:rPr>
                      <w:rFonts w:hint="default"/>
                      <w:lang w:val="en-US" w:eastAsia="zh-CN"/>
                    </w:rPr>
                    <w:t>数量</w:t>
                  </w:r>
                </w:p>
              </w:tc>
              <w:tc>
                <w:tcPr>
                  <w:tcW w:w="1718" w:type="dxa"/>
                  <w:noWrap w:val="0"/>
                  <w:vAlign w:val="center"/>
                </w:tcPr>
                <w:p>
                  <w:pPr>
                    <w:pStyle w:val="30"/>
                    <w:bidi w:val="0"/>
                    <w:jc w:val="center"/>
                    <w:rPr>
                      <w:rFonts w:hint="default"/>
                      <w:lang w:val="en-US" w:eastAsia="zh-CN"/>
                    </w:rPr>
                  </w:pPr>
                  <w:r>
                    <w:rPr>
                      <w:rFonts w:hint="default"/>
                      <w:lang w:val="en-US" w:eastAsia="zh-CN"/>
                    </w:rPr>
                    <w:t>放置位置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7" w:type="dxa"/>
                  <w:noWrap w:val="0"/>
                  <w:vAlign w:val="center"/>
                </w:tcPr>
                <w:p>
                  <w:pPr>
                    <w:pStyle w:val="30"/>
                    <w:bidi w:val="0"/>
                    <w:jc w:val="center"/>
                    <w:rPr>
                      <w:rFonts w:hint="default"/>
                      <w:lang w:val="en-US" w:eastAsia="zh-CN"/>
                    </w:rPr>
                  </w:pPr>
                  <w:r>
                    <w:rPr>
                      <w:rFonts w:hint="default"/>
                      <w:lang w:val="en-US" w:eastAsia="zh-CN"/>
                    </w:rPr>
                    <w:t>1</w:t>
                  </w:r>
                </w:p>
              </w:tc>
              <w:tc>
                <w:tcPr>
                  <w:tcW w:w="3444" w:type="dxa"/>
                  <w:shd w:val="clear" w:color="auto" w:fill="auto"/>
                  <w:noWrap w:val="0"/>
                  <w:vAlign w:val="center"/>
                </w:tcPr>
                <w:p>
                  <w:pPr>
                    <w:pStyle w:val="30"/>
                    <w:bidi w:val="0"/>
                    <w:jc w:val="center"/>
                    <w:rPr>
                      <w:rFonts w:hint="default"/>
                      <w:lang w:val="en-US" w:eastAsia="zh-CN"/>
                    </w:rPr>
                  </w:pPr>
                  <w:r>
                    <w:t>磁共振</w:t>
                  </w:r>
                </w:p>
              </w:tc>
              <w:tc>
                <w:tcPr>
                  <w:tcW w:w="2138" w:type="dxa"/>
                  <w:noWrap w:val="0"/>
                  <w:vAlign w:val="center"/>
                </w:tcPr>
                <w:p>
                  <w:pPr>
                    <w:pStyle w:val="30"/>
                    <w:bidi w:val="0"/>
                    <w:jc w:val="center"/>
                    <w:rPr>
                      <w:rFonts w:hint="default"/>
                      <w:lang w:val="en-US" w:eastAsia="zh-CN"/>
                    </w:rPr>
                  </w:pPr>
                  <w:r>
                    <w:rPr>
                      <w:rFonts w:hint="eastAsia"/>
                      <w:lang w:val="en-US" w:eastAsia="zh-CN"/>
                    </w:rPr>
                    <w:t>/</w:t>
                  </w:r>
                </w:p>
              </w:tc>
              <w:tc>
                <w:tcPr>
                  <w:tcW w:w="898" w:type="dxa"/>
                  <w:noWrap w:val="0"/>
                  <w:vAlign w:val="center"/>
                </w:tcPr>
                <w:p>
                  <w:pPr>
                    <w:pStyle w:val="30"/>
                    <w:bidi w:val="0"/>
                    <w:jc w:val="center"/>
                    <w:rPr>
                      <w:rFonts w:hint="default"/>
                      <w:lang w:val="en-US" w:eastAsia="zh-CN"/>
                    </w:rPr>
                  </w:pPr>
                  <w:r>
                    <w:rPr>
                      <w:rFonts w:hint="default"/>
                      <w:lang w:val="en-US" w:eastAsia="zh-CN"/>
                    </w:rPr>
                    <w:t>1</w:t>
                  </w:r>
                </w:p>
              </w:tc>
              <w:tc>
                <w:tcPr>
                  <w:tcW w:w="1718" w:type="dxa"/>
                  <w:noWrap w:val="0"/>
                  <w:vAlign w:val="center"/>
                </w:tcPr>
                <w:p>
                  <w:pPr>
                    <w:pStyle w:val="30"/>
                    <w:bidi w:val="0"/>
                    <w:jc w:val="center"/>
                    <w:rPr>
                      <w:rFonts w:hint="default"/>
                      <w:lang w:val="en-US" w:eastAsia="zh-CN"/>
                    </w:rPr>
                  </w:pPr>
                  <w:r>
                    <w:rPr>
                      <w:rFonts w:hint="eastAsia"/>
                      <w:lang w:val="en-US" w:eastAsia="zh-CN"/>
                    </w:rPr>
                    <w:t>诊室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7" w:type="dxa"/>
                  <w:noWrap w:val="0"/>
                  <w:vAlign w:val="center"/>
                </w:tcPr>
                <w:p>
                  <w:pPr>
                    <w:pStyle w:val="30"/>
                    <w:bidi w:val="0"/>
                    <w:jc w:val="center"/>
                    <w:rPr>
                      <w:rFonts w:hint="default"/>
                      <w:lang w:val="en-US" w:eastAsia="zh-CN"/>
                    </w:rPr>
                  </w:pPr>
                  <w:r>
                    <w:rPr>
                      <w:rFonts w:hint="default"/>
                      <w:lang w:val="en-US" w:eastAsia="zh-CN"/>
                    </w:rPr>
                    <w:t>2</w:t>
                  </w:r>
                </w:p>
              </w:tc>
              <w:tc>
                <w:tcPr>
                  <w:tcW w:w="3444" w:type="dxa"/>
                  <w:shd w:val="clear" w:color="auto" w:fill="auto"/>
                  <w:noWrap w:val="0"/>
                  <w:vAlign w:val="center"/>
                </w:tcPr>
                <w:p>
                  <w:pPr>
                    <w:pStyle w:val="30"/>
                    <w:bidi w:val="0"/>
                    <w:jc w:val="center"/>
                    <w:rPr>
                      <w:rFonts w:hint="default"/>
                      <w:lang w:val="en-US" w:eastAsia="zh-CN"/>
                    </w:rPr>
                  </w:pPr>
                  <w:r>
                    <w:t>计算机X线断层摄影机（CT）</w:t>
                  </w:r>
                </w:p>
              </w:tc>
              <w:tc>
                <w:tcPr>
                  <w:tcW w:w="2138" w:type="dxa"/>
                  <w:noWrap w:val="0"/>
                  <w:vAlign w:val="center"/>
                </w:tcPr>
                <w:p>
                  <w:pPr>
                    <w:pStyle w:val="30"/>
                    <w:bidi w:val="0"/>
                    <w:jc w:val="center"/>
                    <w:rPr>
                      <w:rFonts w:hint="default"/>
                      <w:lang w:val="en-US" w:eastAsia="zh-CN"/>
                    </w:rPr>
                  </w:pPr>
                  <w:r>
                    <w:rPr>
                      <w:rFonts w:hint="eastAsia"/>
                      <w:lang w:val="en-US" w:eastAsia="zh-CN"/>
                    </w:rPr>
                    <w:t>/</w:t>
                  </w:r>
                </w:p>
              </w:tc>
              <w:tc>
                <w:tcPr>
                  <w:tcW w:w="898" w:type="dxa"/>
                  <w:noWrap w:val="0"/>
                  <w:vAlign w:val="center"/>
                </w:tcPr>
                <w:p>
                  <w:pPr>
                    <w:pStyle w:val="30"/>
                    <w:bidi w:val="0"/>
                    <w:jc w:val="center"/>
                    <w:rPr>
                      <w:rFonts w:hint="default"/>
                      <w:lang w:val="en-US" w:eastAsia="zh-CN"/>
                    </w:rPr>
                  </w:pPr>
                  <w:r>
                    <w:rPr>
                      <w:rFonts w:hint="default"/>
                      <w:lang w:val="en-US" w:eastAsia="zh-CN"/>
                    </w:rPr>
                    <w:t>1</w:t>
                  </w:r>
                </w:p>
              </w:tc>
              <w:tc>
                <w:tcPr>
                  <w:tcW w:w="1718" w:type="dxa"/>
                  <w:noWrap w:val="0"/>
                  <w:vAlign w:val="center"/>
                </w:tcPr>
                <w:p>
                  <w:pPr>
                    <w:pStyle w:val="30"/>
                    <w:bidi w:val="0"/>
                    <w:jc w:val="center"/>
                    <w:rPr>
                      <w:rFonts w:hint="default"/>
                      <w:lang w:val="en-US" w:eastAsia="zh-CN"/>
                    </w:rPr>
                  </w:pPr>
                  <w:r>
                    <w:rPr>
                      <w:rFonts w:hint="eastAsia"/>
                      <w:lang w:val="en-US" w:eastAsia="zh-CN"/>
                    </w:rPr>
                    <w:t>诊室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7" w:type="dxa"/>
                  <w:noWrap w:val="0"/>
                  <w:vAlign w:val="center"/>
                </w:tcPr>
                <w:p>
                  <w:pPr>
                    <w:pStyle w:val="30"/>
                    <w:bidi w:val="0"/>
                    <w:jc w:val="center"/>
                    <w:rPr>
                      <w:rFonts w:hint="default"/>
                      <w:lang w:val="en-US" w:eastAsia="zh-CN"/>
                    </w:rPr>
                  </w:pPr>
                  <w:r>
                    <w:rPr>
                      <w:rFonts w:hint="default"/>
                      <w:lang w:val="en-US" w:eastAsia="zh-CN"/>
                    </w:rPr>
                    <w:t>3</w:t>
                  </w:r>
                </w:p>
              </w:tc>
              <w:tc>
                <w:tcPr>
                  <w:tcW w:w="3444" w:type="dxa"/>
                  <w:shd w:val="clear" w:color="auto" w:fill="auto"/>
                  <w:noWrap w:val="0"/>
                  <w:vAlign w:val="center"/>
                </w:tcPr>
                <w:p>
                  <w:pPr>
                    <w:pStyle w:val="30"/>
                    <w:bidi w:val="0"/>
                    <w:jc w:val="center"/>
                    <w:rPr>
                      <w:rFonts w:hint="default"/>
                      <w:lang w:val="en-US" w:eastAsia="zh-CN"/>
                    </w:rPr>
                  </w:pPr>
                  <w:r>
                    <w:t>彩超（含移动）</w:t>
                  </w:r>
                </w:p>
              </w:tc>
              <w:tc>
                <w:tcPr>
                  <w:tcW w:w="2138" w:type="dxa"/>
                  <w:noWrap w:val="0"/>
                  <w:vAlign w:val="center"/>
                </w:tcPr>
                <w:p>
                  <w:pPr>
                    <w:pStyle w:val="30"/>
                    <w:bidi w:val="0"/>
                    <w:jc w:val="center"/>
                    <w:rPr>
                      <w:rFonts w:hint="default"/>
                      <w:lang w:val="en-US" w:eastAsia="zh-CN"/>
                    </w:rPr>
                  </w:pPr>
                  <w:r>
                    <w:rPr>
                      <w:rFonts w:hint="eastAsia"/>
                      <w:lang w:val="en-US" w:eastAsia="zh-CN"/>
                    </w:rPr>
                    <w:t>/</w:t>
                  </w:r>
                </w:p>
              </w:tc>
              <w:tc>
                <w:tcPr>
                  <w:tcW w:w="898" w:type="dxa"/>
                  <w:noWrap w:val="0"/>
                  <w:vAlign w:val="center"/>
                </w:tcPr>
                <w:p>
                  <w:pPr>
                    <w:pStyle w:val="30"/>
                    <w:bidi w:val="0"/>
                    <w:jc w:val="center"/>
                    <w:rPr>
                      <w:rFonts w:hint="default"/>
                      <w:lang w:val="en-US" w:eastAsia="zh-CN"/>
                    </w:rPr>
                  </w:pPr>
                  <w:r>
                    <w:rPr>
                      <w:rFonts w:hint="default"/>
                      <w:lang w:val="en-US" w:eastAsia="zh-CN"/>
                    </w:rPr>
                    <w:t>1</w:t>
                  </w:r>
                </w:p>
              </w:tc>
              <w:tc>
                <w:tcPr>
                  <w:tcW w:w="1718" w:type="dxa"/>
                  <w:noWrap w:val="0"/>
                  <w:vAlign w:val="center"/>
                </w:tcPr>
                <w:p>
                  <w:pPr>
                    <w:pStyle w:val="30"/>
                    <w:bidi w:val="0"/>
                    <w:jc w:val="center"/>
                    <w:rPr>
                      <w:rFonts w:hint="default"/>
                      <w:lang w:val="en-US" w:eastAsia="zh-CN"/>
                    </w:rPr>
                  </w:pPr>
                  <w:r>
                    <w:rPr>
                      <w:rFonts w:hint="eastAsia"/>
                      <w:lang w:val="en-US" w:eastAsia="zh-CN"/>
                    </w:rPr>
                    <w:t>B超室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7" w:type="dxa"/>
                  <w:noWrap w:val="0"/>
                  <w:vAlign w:val="center"/>
                </w:tcPr>
                <w:p>
                  <w:pPr>
                    <w:pStyle w:val="30"/>
                    <w:bidi w:val="0"/>
                    <w:jc w:val="center"/>
                    <w:rPr>
                      <w:rFonts w:hint="default"/>
                      <w:lang w:val="en-US" w:eastAsia="zh-CN"/>
                    </w:rPr>
                  </w:pPr>
                  <w:r>
                    <w:rPr>
                      <w:rFonts w:hint="default"/>
                      <w:lang w:val="en-US" w:eastAsia="zh-CN"/>
                    </w:rPr>
                    <w:t>4</w:t>
                  </w:r>
                </w:p>
              </w:tc>
              <w:tc>
                <w:tcPr>
                  <w:tcW w:w="3444" w:type="dxa"/>
                  <w:shd w:val="clear" w:color="auto" w:fill="auto"/>
                  <w:noWrap w:val="0"/>
                  <w:vAlign w:val="center"/>
                </w:tcPr>
                <w:p>
                  <w:pPr>
                    <w:pStyle w:val="30"/>
                    <w:bidi w:val="0"/>
                    <w:jc w:val="center"/>
                    <w:rPr>
                      <w:rFonts w:hint="default"/>
                      <w:lang w:val="en-US" w:eastAsia="zh-CN"/>
                    </w:rPr>
                  </w:pPr>
                  <w:r>
                    <w:t>经颅多普勒</w:t>
                  </w:r>
                </w:p>
              </w:tc>
              <w:tc>
                <w:tcPr>
                  <w:tcW w:w="2138" w:type="dxa"/>
                  <w:noWrap w:val="0"/>
                  <w:vAlign w:val="center"/>
                </w:tcPr>
                <w:p>
                  <w:pPr>
                    <w:pStyle w:val="30"/>
                    <w:bidi w:val="0"/>
                    <w:jc w:val="center"/>
                    <w:rPr>
                      <w:rFonts w:hint="default"/>
                      <w:lang w:val="en-US" w:eastAsia="zh-CN"/>
                    </w:rPr>
                  </w:pPr>
                  <w:r>
                    <w:rPr>
                      <w:rFonts w:hint="eastAsia"/>
                      <w:lang w:val="en-US" w:eastAsia="zh-CN"/>
                    </w:rPr>
                    <w:t>/</w:t>
                  </w:r>
                </w:p>
              </w:tc>
              <w:tc>
                <w:tcPr>
                  <w:tcW w:w="898" w:type="dxa"/>
                  <w:noWrap w:val="0"/>
                  <w:vAlign w:val="center"/>
                </w:tcPr>
                <w:p>
                  <w:pPr>
                    <w:pStyle w:val="30"/>
                    <w:bidi w:val="0"/>
                    <w:jc w:val="center"/>
                    <w:rPr>
                      <w:rFonts w:hint="default"/>
                      <w:lang w:val="en-US" w:eastAsia="zh-CN"/>
                    </w:rPr>
                  </w:pPr>
                  <w:r>
                    <w:rPr>
                      <w:rFonts w:hint="default"/>
                      <w:lang w:val="en-US" w:eastAsia="zh-CN"/>
                    </w:rPr>
                    <w:t>1</w:t>
                  </w:r>
                </w:p>
              </w:tc>
              <w:tc>
                <w:tcPr>
                  <w:tcW w:w="1718" w:type="dxa"/>
                  <w:noWrap w:val="0"/>
                  <w:vAlign w:val="center"/>
                </w:tcPr>
                <w:p>
                  <w:pPr>
                    <w:pStyle w:val="30"/>
                    <w:bidi w:val="0"/>
                    <w:jc w:val="center"/>
                    <w:rPr>
                      <w:rFonts w:hint="default"/>
                      <w:lang w:val="en-US" w:eastAsia="zh-CN"/>
                    </w:rPr>
                  </w:pPr>
                  <w:r>
                    <w:rPr>
                      <w:rFonts w:hint="eastAsia"/>
                      <w:lang w:val="en-US" w:eastAsia="zh-CN"/>
                    </w:rPr>
                    <w:t>手术</w:t>
                  </w:r>
                  <w:r>
                    <w:rPr>
                      <w:rFonts w:hint="default"/>
                      <w:lang w:val="en-US" w:eastAsia="zh-CN"/>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7" w:type="dxa"/>
                  <w:noWrap w:val="0"/>
                  <w:vAlign w:val="center"/>
                </w:tcPr>
                <w:p>
                  <w:pPr>
                    <w:pStyle w:val="30"/>
                    <w:bidi w:val="0"/>
                    <w:jc w:val="center"/>
                    <w:rPr>
                      <w:rFonts w:hint="default"/>
                      <w:lang w:val="en-US" w:eastAsia="zh-CN"/>
                    </w:rPr>
                  </w:pPr>
                  <w:r>
                    <w:rPr>
                      <w:rFonts w:hint="default"/>
                      <w:lang w:val="en-US" w:eastAsia="zh-CN"/>
                    </w:rPr>
                    <w:t>5</w:t>
                  </w:r>
                </w:p>
              </w:tc>
              <w:tc>
                <w:tcPr>
                  <w:tcW w:w="3444" w:type="dxa"/>
                  <w:shd w:val="clear" w:color="auto" w:fill="auto"/>
                  <w:noWrap w:val="0"/>
                  <w:vAlign w:val="center"/>
                </w:tcPr>
                <w:p>
                  <w:pPr>
                    <w:pStyle w:val="30"/>
                    <w:bidi w:val="0"/>
                    <w:jc w:val="center"/>
                    <w:rPr>
                      <w:rFonts w:hint="default"/>
                      <w:lang w:val="en-US" w:eastAsia="zh-CN"/>
                    </w:rPr>
                  </w:pPr>
                  <w:r>
                    <w:t>视频脑电图</w:t>
                  </w:r>
                </w:p>
              </w:tc>
              <w:tc>
                <w:tcPr>
                  <w:tcW w:w="2138" w:type="dxa"/>
                  <w:noWrap w:val="0"/>
                  <w:vAlign w:val="center"/>
                </w:tcPr>
                <w:p>
                  <w:pPr>
                    <w:pStyle w:val="30"/>
                    <w:bidi w:val="0"/>
                    <w:jc w:val="center"/>
                    <w:rPr>
                      <w:rFonts w:hint="default"/>
                      <w:lang w:val="en-US" w:eastAsia="zh-CN"/>
                    </w:rPr>
                  </w:pPr>
                  <w:r>
                    <w:rPr>
                      <w:rFonts w:hint="eastAsia"/>
                      <w:lang w:val="en-US" w:eastAsia="zh-CN"/>
                    </w:rPr>
                    <w:t>/</w:t>
                  </w:r>
                </w:p>
              </w:tc>
              <w:tc>
                <w:tcPr>
                  <w:tcW w:w="898" w:type="dxa"/>
                  <w:noWrap w:val="0"/>
                  <w:vAlign w:val="center"/>
                </w:tcPr>
                <w:p>
                  <w:pPr>
                    <w:pStyle w:val="30"/>
                    <w:bidi w:val="0"/>
                    <w:jc w:val="center"/>
                    <w:rPr>
                      <w:rFonts w:hint="default"/>
                      <w:lang w:val="en-US" w:eastAsia="zh-CN"/>
                    </w:rPr>
                  </w:pPr>
                  <w:r>
                    <w:rPr>
                      <w:rFonts w:hint="default"/>
                      <w:lang w:val="en-US" w:eastAsia="zh-CN"/>
                    </w:rPr>
                    <w:t>1</w:t>
                  </w:r>
                </w:p>
              </w:tc>
              <w:tc>
                <w:tcPr>
                  <w:tcW w:w="1718" w:type="dxa"/>
                  <w:noWrap w:val="0"/>
                  <w:vAlign w:val="center"/>
                </w:tcPr>
                <w:p>
                  <w:pPr>
                    <w:pStyle w:val="30"/>
                    <w:bidi w:val="0"/>
                    <w:jc w:val="center"/>
                    <w:rPr>
                      <w:rFonts w:hint="default"/>
                      <w:lang w:val="en-US" w:eastAsia="zh-CN"/>
                    </w:rPr>
                  </w:pPr>
                  <w:r>
                    <w:rPr>
                      <w:rFonts w:hint="eastAsia"/>
                      <w:lang w:val="en-US" w:eastAsia="zh-CN"/>
                    </w:rPr>
                    <w:t>手术</w:t>
                  </w:r>
                  <w:r>
                    <w:rPr>
                      <w:rFonts w:hint="default"/>
                      <w:lang w:val="en-US" w:eastAsia="zh-CN"/>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7" w:type="dxa"/>
                  <w:noWrap w:val="0"/>
                  <w:vAlign w:val="center"/>
                </w:tcPr>
                <w:p>
                  <w:pPr>
                    <w:pStyle w:val="30"/>
                    <w:bidi w:val="0"/>
                    <w:jc w:val="center"/>
                    <w:rPr>
                      <w:rFonts w:hint="default"/>
                      <w:lang w:val="en-US" w:eastAsia="zh-CN"/>
                    </w:rPr>
                  </w:pPr>
                  <w:r>
                    <w:rPr>
                      <w:rFonts w:hint="default"/>
                      <w:lang w:val="en-US" w:eastAsia="zh-CN"/>
                    </w:rPr>
                    <w:t>6</w:t>
                  </w:r>
                </w:p>
              </w:tc>
              <w:tc>
                <w:tcPr>
                  <w:tcW w:w="3444" w:type="dxa"/>
                  <w:shd w:val="clear" w:color="auto" w:fill="auto"/>
                  <w:noWrap w:val="0"/>
                  <w:vAlign w:val="center"/>
                </w:tcPr>
                <w:p>
                  <w:pPr>
                    <w:pStyle w:val="30"/>
                    <w:bidi w:val="0"/>
                    <w:jc w:val="center"/>
                    <w:rPr>
                      <w:rFonts w:hint="default"/>
                      <w:lang w:val="en-US" w:eastAsia="zh-CN"/>
                    </w:rPr>
                  </w:pPr>
                  <w:r>
                    <w:t>心电图机</w:t>
                  </w:r>
                </w:p>
              </w:tc>
              <w:tc>
                <w:tcPr>
                  <w:tcW w:w="2138" w:type="dxa"/>
                  <w:noWrap w:val="0"/>
                  <w:vAlign w:val="center"/>
                </w:tcPr>
                <w:p>
                  <w:pPr>
                    <w:pStyle w:val="30"/>
                    <w:bidi w:val="0"/>
                    <w:jc w:val="center"/>
                    <w:rPr>
                      <w:rFonts w:hint="default"/>
                      <w:lang w:val="en-US" w:eastAsia="zh-CN"/>
                    </w:rPr>
                  </w:pPr>
                  <w:r>
                    <w:rPr>
                      <w:rFonts w:hint="eastAsia"/>
                      <w:lang w:val="en-US" w:eastAsia="zh-CN"/>
                    </w:rPr>
                    <w:t>/</w:t>
                  </w:r>
                </w:p>
              </w:tc>
              <w:tc>
                <w:tcPr>
                  <w:tcW w:w="898" w:type="dxa"/>
                  <w:noWrap w:val="0"/>
                  <w:vAlign w:val="center"/>
                </w:tcPr>
                <w:p>
                  <w:pPr>
                    <w:pStyle w:val="30"/>
                    <w:bidi w:val="0"/>
                    <w:jc w:val="center"/>
                    <w:rPr>
                      <w:rFonts w:hint="default"/>
                      <w:lang w:val="en-US" w:eastAsia="zh-CN"/>
                    </w:rPr>
                  </w:pPr>
                  <w:r>
                    <w:rPr>
                      <w:rFonts w:hint="default"/>
                      <w:lang w:val="en-US" w:eastAsia="zh-CN"/>
                    </w:rPr>
                    <w:t>1</w:t>
                  </w:r>
                </w:p>
              </w:tc>
              <w:tc>
                <w:tcPr>
                  <w:tcW w:w="1718" w:type="dxa"/>
                  <w:noWrap w:val="0"/>
                  <w:vAlign w:val="center"/>
                </w:tcPr>
                <w:p>
                  <w:pPr>
                    <w:pStyle w:val="30"/>
                    <w:bidi w:val="0"/>
                    <w:jc w:val="center"/>
                    <w:rPr>
                      <w:rFonts w:hint="default"/>
                      <w:lang w:val="en-US" w:eastAsia="zh-CN"/>
                    </w:rPr>
                  </w:pPr>
                  <w:r>
                    <w:rPr>
                      <w:rFonts w:hint="eastAsia"/>
                      <w:lang w:val="en-US" w:eastAsia="zh-CN"/>
                    </w:rPr>
                    <w:t>诊室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7" w:type="dxa"/>
                  <w:noWrap w:val="0"/>
                  <w:vAlign w:val="center"/>
                </w:tcPr>
                <w:p>
                  <w:pPr>
                    <w:pStyle w:val="30"/>
                    <w:bidi w:val="0"/>
                    <w:jc w:val="center"/>
                    <w:rPr>
                      <w:rFonts w:hint="default"/>
                      <w:lang w:val="en-US" w:eastAsia="zh-CN"/>
                    </w:rPr>
                  </w:pPr>
                  <w:r>
                    <w:rPr>
                      <w:rFonts w:hint="default"/>
                      <w:lang w:val="en-US" w:eastAsia="zh-CN"/>
                    </w:rPr>
                    <w:t>7</w:t>
                  </w:r>
                </w:p>
              </w:tc>
              <w:tc>
                <w:tcPr>
                  <w:tcW w:w="3444" w:type="dxa"/>
                  <w:shd w:val="clear" w:color="auto" w:fill="auto"/>
                  <w:noWrap w:val="0"/>
                  <w:vAlign w:val="center"/>
                </w:tcPr>
                <w:p>
                  <w:pPr>
                    <w:pStyle w:val="30"/>
                    <w:bidi w:val="0"/>
                    <w:jc w:val="center"/>
                    <w:rPr>
                      <w:rFonts w:hint="default"/>
                      <w:lang w:val="en-US" w:eastAsia="zh-CN"/>
                    </w:rPr>
                  </w:pPr>
                  <w:r>
                    <w:t>动态心电图仪</w:t>
                  </w:r>
                </w:p>
              </w:tc>
              <w:tc>
                <w:tcPr>
                  <w:tcW w:w="2138" w:type="dxa"/>
                  <w:noWrap w:val="0"/>
                  <w:vAlign w:val="center"/>
                </w:tcPr>
                <w:p>
                  <w:pPr>
                    <w:pStyle w:val="30"/>
                    <w:bidi w:val="0"/>
                    <w:jc w:val="center"/>
                    <w:rPr>
                      <w:rFonts w:hint="default"/>
                      <w:lang w:val="en-US" w:eastAsia="zh-CN"/>
                    </w:rPr>
                  </w:pPr>
                  <w:r>
                    <w:rPr>
                      <w:rFonts w:hint="eastAsia"/>
                      <w:lang w:val="en-US" w:eastAsia="zh-CN"/>
                    </w:rPr>
                    <w:t>/</w:t>
                  </w:r>
                </w:p>
              </w:tc>
              <w:tc>
                <w:tcPr>
                  <w:tcW w:w="898" w:type="dxa"/>
                  <w:noWrap w:val="0"/>
                  <w:vAlign w:val="center"/>
                </w:tcPr>
                <w:p>
                  <w:pPr>
                    <w:pStyle w:val="30"/>
                    <w:bidi w:val="0"/>
                    <w:jc w:val="center"/>
                    <w:rPr>
                      <w:rFonts w:hint="default"/>
                      <w:lang w:val="en-US" w:eastAsia="zh-CN"/>
                    </w:rPr>
                  </w:pPr>
                  <w:r>
                    <w:rPr>
                      <w:rFonts w:hint="default"/>
                      <w:lang w:val="en-US" w:eastAsia="zh-CN"/>
                    </w:rPr>
                    <w:t>1</w:t>
                  </w:r>
                </w:p>
              </w:tc>
              <w:tc>
                <w:tcPr>
                  <w:tcW w:w="1718" w:type="dxa"/>
                  <w:noWrap w:val="0"/>
                  <w:vAlign w:val="center"/>
                </w:tcPr>
                <w:p>
                  <w:pPr>
                    <w:pStyle w:val="30"/>
                    <w:bidi w:val="0"/>
                    <w:jc w:val="center"/>
                    <w:rPr>
                      <w:rFonts w:hint="default"/>
                      <w:lang w:val="en-US" w:eastAsia="zh-CN"/>
                    </w:rPr>
                  </w:pPr>
                  <w:r>
                    <w:rPr>
                      <w:rFonts w:hint="eastAsia"/>
                      <w:lang w:val="en-US" w:eastAsia="zh-CN"/>
                    </w:rPr>
                    <w:t>诊室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7" w:type="dxa"/>
                  <w:noWrap w:val="0"/>
                  <w:vAlign w:val="center"/>
                </w:tcPr>
                <w:p>
                  <w:pPr>
                    <w:pStyle w:val="30"/>
                    <w:bidi w:val="0"/>
                    <w:jc w:val="center"/>
                    <w:rPr>
                      <w:rFonts w:hint="default"/>
                      <w:lang w:val="en-US" w:eastAsia="zh-CN"/>
                    </w:rPr>
                  </w:pPr>
                  <w:r>
                    <w:rPr>
                      <w:rFonts w:hint="default"/>
                      <w:lang w:val="en-US" w:eastAsia="zh-CN"/>
                    </w:rPr>
                    <w:t>8</w:t>
                  </w:r>
                </w:p>
              </w:tc>
              <w:tc>
                <w:tcPr>
                  <w:tcW w:w="3444" w:type="dxa"/>
                  <w:shd w:val="clear" w:color="auto" w:fill="auto"/>
                  <w:noWrap w:val="0"/>
                  <w:vAlign w:val="center"/>
                </w:tcPr>
                <w:p>
                  <w:pPr>
                    <w:pStyle w:val="30"/>
                    <w:bidi w:val="0"/>
                    <w:jc w:val="center"/>
                    <w:rPr>
                      <w:rFonts w:hint="default"/>
                      <w:lang w:val="en-US" w:eastAsia="zh-CN"/>
                    </w:rPr>
                  </w:pPr>
                  <w:r>
                    <w:t>动态血压仪</w:t>
                  </w:r>
                </w:p>
              </w:tc>
              <w:tc>
                <w:tcPr>
                  <w:tcW w:w="2138" w:type="dxa"/>
                  <w:noWrap w:val="0"/>
                  <w:vAlign w:val="center"/>
                </w:tcPr>
                <w:p>
                  <w:pPr>
                    <w:pStyle w:val="30"/>
                    <w:bidi w:val="0"/>
                    <w:jc w:val="center"/>
                    <w:rPr>
                      <w:rFonts w:hint="default"/>
                      <w:lang w:val="en-US" w:eastAsia="zh-CN"/>
                    </w:rPr>
                  </w:pPr>
                  <w:r>
                    <w:rPr>
                      <w:rFonts w:hint="eastAsia"/>
                      <w:lang w:val="en-US" w:eastAsia="zh-CN"/>
                    </w:rPr>
                    <w:t>/</w:t>
                  </w:r>
                </w:p>
              </w:tc>
              <w:tc>
                <w:tcPr>
                  <w:tcW w:w="898" w:type="dxa"/>
                  <w:noWrap w:val="0"/>
                  <w:vAlign w:val="center"/>
                </w:tcPr>
                <w:p>
                  <w:pPr>
                    <w:pStyle w:val="30"/>
                    <w:bidi w:val="0"/>
                    <w:jc w:val="center"/>
                    <w:rPr>
                      <w:rFonts w:hint="default"/>
                      <w:lang w:val="en-US" w:eastAsia="zh-CN"/>
                    </w:rPr>
                  </w:pPr>
                  <w:r>
                    <w:rPr>
                      <w:rFonts w:hint="default"/>
                      <w:lang w:val="en-US" w:eastAsia="zh-CN"/>
                    </w:rPr>
                    <w:t>1</w:t>
                  </w:r>
                </w:p>
              </w:tc>
              <w:tc>
                <w:tcPr>
                  <w:tcW w:w="1718" w:type="dxa"/>
                  <w:noWrap w:val="0"/>
                  <w:vAlign w:val="center"/>
                </w:tcPr>
                <w:p>
                  <w:pPr>
                    <w:pStyle w:val="30"/>
                    <w:bidi w:val="0"/>
                    <w:jc w:val="center"/>
                    <w:rPr>
                      <w:rFonts w:hint="default"/>
                      <w:lang w:val="en-US" w:eastAsia="zh-CN"/>
                    </w:rPr>
                  </w:pPr>
                  <w:r>
                    <w:rPr>
                      <w:rFonts w:hint="eastAsia"/>
                      <w:lang w:val="en-US" w:eastAsia="zh-CN"/>
                    </w:rPr>
                    <w:t>手术</w:t>
                  </w:r>
                  <w:r>
                    <w:rPr>
                      <w:rFonts w:hint="default"/>
                      <w:lang w:val="en-US" w:eastAsia="zh-CN"/>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7" w:type="dxa"/>
                  <w:noWrap w:val="0"/>
                  <w:vAlign w:val="center"/>
                </w:tcPr>
                <w:p>
                  <w:pPr>
                    <w:pStyle w:val="30"/>
                    <w:bidi w:val="0"/>
                    <w:jc w:val="center"/>
                    <w:rPr>
                      <w:rFonts w:hint="default"/>
                      <w:lang w:val="en-US" w:eastAsia="zh-CN"/>
                    </w:rPr>
                  </w:pPr>
                  <w:r>
                    <w:rPr>
                      <w:rFonts w:hint="default"/>
                      <w:lang w:val="en-US" w:eastAsia="zh-CN"/>
                    </w:rPr>
                    <w:t>9</w:t>
                  </w:r>
                </w:p>
              </w:tc>
              <w:tc>
                <w:tcPr>
                  <w:tcW w:w="3444" w:type="dxa"/>
                  <w:shd w:val="clear" w:color="auto" w:fill="auto"/>
                  <w:noWrap w:val="0"/>
                  <w:vAlign w:val="center"/>
                </w:tcPr>
                <w:p>
                  <w:pPr>
                    <w:pStyle w:val="30"/>
                    <w:bidi w:val="0"/>
                    <w:jc w:val="center"/>
                    <w:rPr>
                      <w:rFonts w:hint="default"/>
                      <w:lang w:val="en-US" w:eastAsia="zh-CN"/>
                    </w:rPr>
                  </w:pPr>
                  <w:r>
                    <w:t>移动X线机</w:t>
                  </w:r>
                </w:p>
              </w:tc>
              <w:tc>
                <w:tcPr>
                  <w:tcW w:w="2138" w:type="dxa"/>
                  <w:noWrap w:val="0"/>
                  <w:vAlign w:val="center"/>
                </w:tcPr>
                <w:p>
                  <w:pPr>
                    <w:pStyle w:val="30"/>
                    <w:bidi w:val="0"/>
                    <w:jc w:val="center"/>
                    <w:rPr>
                      <w:rFonts w:hint="default"/>
                      <w:lang w:val="en-US" w:eastAsia="zh-CN"/>
                    </w:rPr>
                  </w:pPr>
                  <w:r>
                    <w:rPr>
                      <w:rFonts w:hint="eastAsia"/>
                      <w:lang w:val="en-US" w:eastAsia="zh-CN"/>
                    </w:rPr>
                    <w:t>/</w:t>
                  </w:r>
                </w:p>
              </w:tc>
              <w:tc>
                <w:tcPr>
                  <w:tcW w:w="898" w:type="dxa"/>
                  <w:noWrap w:val="0"/>
                  <w:vAlign w:val="center"/>
                </w:tcPr>
                <w:p>
                  <w:pPr>
                    <w:pStyle w:val="30"/>
                    <w:bidi w:val="0"/>
                    <w:jc w:val="center"/>
                    <w:rPr>
                      <w:rFonts w:hint="eastAsia"/>
                      <w:lang w:val="en-US" w:eastAsia="zh-CN"/>
                    </w:rPr>
                  </w:pPr>
                  <w:r>
                    <w:rPr>
                      <w:rFonts w:hint="eastAsia"/>
                      <w:lang w:val="en-US" w:eastAsia="zh-CN"/>
                    </w:rPr>
                    <w:t>2</w:t>
                  </w:r>
                </w:p>
              </w:tc>
              <w:tc>
                <w:tcPr>
                  <w:tcW w:w="1718" w:type="dxa"/>
                  <w:noWrap w:val="0"/>
                  <w:vAlign w:val="center"/>
                </w:tcPr>
                <w:p>
                  <w:pPr>
                    <w:pStyle w:val="30"/>
                    <w:bidi w:val="0"/>
                    <w:jc w:val="center"/>
                    <w:rPr>
                      <w:rFonts w:hint="default"/>
                      <w:lang w:val="en-US" w:eastAsia="zh-CN"/>
                    </w:rPr>
                  </w:pPr>
                  <w:r>
                    <w:rPr>
                      <w:rFonts w:hint="eastAsia"/>
                      <w:lang w:val="en-US" w:eastAsia="zh-CN"/>
                    </w:rPr>
                    <w:t>诊室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7" w:type="dxa"/>
                  <w:noWrap w:val="0"/>
                  <w:vAlign w:val="center"/>
                </w:tcPr>
                <w:p>
                  <w:pPr>
                    <w:pStyle w:val="30"/>
                    <w:bidi w:val="0"/>
                    <w:jc w:val="center"/>
                    <w:rPr>
                      <w:rFonts w:hint="default"/>
                      <w:lang w:val="en-US" w:eastAsia="zh-CN"/>
                    </w:rPr>
                  </w:pPr>
                  <w:r>
                    <w:rPr>
                      <w:rFonts w:hint="default"/>
                      <w:lang w:val="en-US" w:eastAsia="zh-CN"/>
                    </w:rPr>
                    <w:t>10</w:t>
                  </w:r>
                </w:p>
              </w:tc>
              <w:tc>
                <w:tcPr>
                  <w:tcW w:w="3444" w:type="dxa"/>
                  <w:shd w:val="clear" w:color="auto" w:fill="auto"/>
                  <w:noWrap w:val="0"/>
                  <w:vAlign w:val="center"/>
                </w:tcPr>
                <w:p>
                  <w:pPr>
                    <w:pStyle w:val="30"/>
                    <w:bidi w:val="0"/>
                    <w:jc w:val="center"/>
                    <w:rPr>
                      <w:rFonts w:hint="eastAsia"/>
                      <w:lang w:val="en-US" w:eastAsia="zh-CN"/>
                    </w:rPr>
                  </w:pPr>
                  <w:r>
                    <w:t>骨密度检测仪</w:t>
                  </w:r>
                </w:p>
              </w:tc>
              <w:tc>
                <w:tcPr>
                  <w:tcW w:w="2138" w:type="dxa"/>
                  <w:noWrap w:val="0"/>
                  <w:vAlign w:val="center"/>
                </w:tcPr>
                <w:p>
                  <w:pPr>
                    <w:pStyle w:val="30"/>
                    <w:bidi w:val="0"/>
                    <w:jc w:val="center"/>
                    <w:rPr>
                      <w:rFonts w:hint="default"/>
                      <w:lang w:val="en-US" w:eastAsia="zh-CN"/>
                    </w:rPr>
                  </w:pPr>
                  <w:r>
                    <w:rPr>
                      <w:rFonts w:hint="eastAsia"/>
                      <w:lang w:val="en-US" w:eastAsia="zh-CN"/>
                    </w:rPr>
                    <w:t>/</w:t>
                  </w:r>
                </w:p>
              </w:tc>
              <w:tc>
                <w:tcPr>
                  <w:tcW w:w="898" w:type="dxa"/>
                  <w:noWrap w:val="0"/>
                  <w:vAlign w:val="center"/>
                </w:tcPr>
                <w:p>
                  <w:pPr>
                    <w:pStyle w:val="30"/>
                    <w:bidi w:val="0"/>
                    <w:jc w:val="center"/>
                    <w:rPr>
                      <w:rFonts w:hint="eastAsia"/>
                      <w:lang w:val="en-US" w:eastAsia="zh-CN"/>
                    </w:rPr>
                  </w:pPr>
                  <w:r>
                    <w:rPr>
                      <w:rFonts w:hint="eastAsia"/>
                      <w:lang w:val="en-US" w:eastAsia="zh-CN"/>
                    </w:rPr>
                    <w:t>1</w:t>
                  </w:r>
                </w:p>
              </w:tc>
              <w:tc>
                <w:tcPr>
                  <w:tcW w:w="1718" w:type="dxa"/>
                  <w:noWrap w:val="0"/>
                  <w:vAlign w:val="center"/>
                </w:tcPr>
                <w:p>
                  <w:pPr>
                    <w:pStyle w:val="30"/>
                    <w:bidi w:val="0"/>
                    <w:jc w:val="center"/>
                    <w:rPr>
                      <w:rFonts w:hint="default"/>
                      <w:lang w:val="en-US" w:eastAsia="zh-CN"/>
                    </w:rPr>
                  </w:pPr>
                  <w:r>
                    <w:rPr>
                      <w:rFonts w:hint="eastAsia"/>
                      <w:lang w:val="en-US" w:eastAsia="zh-CN"/>
                    </w:rPr>
                    <w:t>门诊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7" w:type="dxa"/>
                  <w:noWrap w:val="0"/>
                  <w:vAlign w:val="center"/>
                </w:tcPr>
                <w:p>
                  <w:pPr>
                    <w:pStyle w:val="30"/>
                    <w:bidi w:val="0"/>
                    <w:jc w:val="center"/>
                    <w:rPr>
                      <w:rFonts w:hint="default"/>
                      <w:lang w:val="en-US" w:eastAsia="zh-CN"/>
                    </w:rPr>
                  </w:pPr>
                  <w:r>
                    <w:rPr>
                      <w:rFonts w:hint="default"/>
                      <w:lang w:val="en-US" w:eastAsia="zh-CN"/>
                    </w:rPr>
                    <w:t>11</w:t>
                  </w:r>
                </w:p>
              </w:tc>
              <w:tc>
                <w:tcPr>
                  <w:tcW w:w="3444" w:type="dxa"/>
                  <w:noWrap w:val="0"/>
                  <w:vAlign w:val="center"/>
                </w:tcPr>
                <w:p>
                  <w:pPr>
                    <w:pStyle w:val="30"/>
                    <w:bidi w:val="0"/>
                    <w:jc w:val="center"/>
                    <w:rPr>
                      <w:rFonts w:hint="default"/>
                      <w:lang w:val="en-US" w:eastAsia="zh-CN"/>
                    </w:rPr>
                  </w:pPr>
                  <w:r>
                    <w:rPr>
                      <w:rFonts w:hint="eastAsia"/>
                      <w:lang w:val="en-US" w:eastAsia="zh-CN"/>
                    </w:rPr>
                    <w:t>尿分析仪</w:t>
                  </w:r>
                </w:p>
              </w:tc>
              <w:tc>
                <w:tcPr>
                  <w:tcW w:w="2138" w:type="dxa"/>
                  <w:noWrap w:val="0"/>
                  <w:vAlign w:val="center"/>
                </w:tcPr>
                <w:p>
                  <w:pPr>
                    <w:pStyle w:val="30"/>
                    <w:bidi w:val="0"/>
                    <w:jc w:val="center"/>
                    <w:rPr>
                      <w:rFonts w:hint="default"/>
                      <w:lang w:val="en-US" w:eastAsia="zh-CN"/>
                    </w:rPr>
                  </w:pPr>
                  <w:r>
                    <w:rPr>
                      <w:rFonts w:hint="eastAsia"/>
                      <w:lang w:val="en-US" w:eastAsia="zh-CN"/>
                    </w:rPr>
                    <w:t>U120</w:t>
                  </w:r>
                </w:p>
              </w:tc>
              <w:tc>
                <w:tcPr>
                  <w:tcW w:w="898" w:type="dxa"/>
                  <w:noWrap w:val="0"/>
                  <w:vAlign w:val="center"/>
                </w:tcPr>
                <w:p>
                  <w:pPr>
                    <w:pStyle w:val="30"/>
                    <w:bidi w:val="0"/>
                    <w:jc w:val="center"/>
                    <w:rPr>
                      <w:rFonts w:hint="default"/>
                      <w:lang w:val="en-US" w:eastAsia="zh-CN"/>
                    </w:rPr>
                  </w:pPr>
                  <w:r>
                    <w:rPr>
                      <w:rFonts w:hint="default"/>
                      <w:lang w:val="en-US" w:eastAsia="zh-CN"/>
                    </w:rPr>
                    <w:t>7</w:t>
                  </w:r>
                </w:p>
              </w:tc>
              <w:tc>
                <w:tcPr>
                  <w:tcW w:w="1718" w:type="dxa"/>
                  <w:noWrap w:val="0"/>
                  <w:vAlign w:val="center"/>
                </w:tcPr>
                <w:p>
                  <w:pPr>
                    <w:pStyle w:val="30"/>
                    <w:bidi w:val="0"/>
                    <w:jc w:val="center"/>
                    <w:rPr>
                      <w:rFonts w:hint="default"/>
                      <w:lang w:val="en-US" w:eastAsia="zh-CN"/>
                    </w:rPr>
                  </w:pPr>
                  <w:r>
                    <w:rPr>
                      <w:rFonts w:hint="eastAsia"/>
                      <w:lang w:val="en-US" w:eastAsia="zh-CN"/>
                    </w:rPr>
                    <w:t>诊室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7" w:type="dxa"/>
                  <w:noWrap w:val="0"/>
                  <w:vAlign w:val="center"/>
                </w:tcPr>
                <w:p>
                  <w:pPr>
                    <w:pStyle w:val="30"/>
                    <w:bidi w:val="0"/>
                    <w:jc w:val="center"/>
                    <w:rPr>
                      <w:rFonts w:hint="default"/>
                      <w:lang w:val="en-US" w:eastAsia="zh-CN"/>
                    </w:rPr>
                  </w:pPr>
                  <w:r>
                    <w:rPr>
                      <w:rFonts w:hint="default"/>
                      <w:lang w:val="en-US" w:eastAsia="zh-CN"/>
                    </w:rPr>
                    <w:t>12</w:t>
                  </w:r>
                </w:p>
              </w:tc>
              <w:tc>
                <w:tcPr>
                  <w:tcW w:w="3444" w:type="dxa"/>
                  <w:noWrap w:val="0"/>
                  <w:vAlign w:val="center"/>
                </w:tcPr>
                <w:p>
                  <w:pPr>
                    <w:pStyle w:val="30"/>
                    <w:bidi w:val="0"/>
                    <w:jc w:val="center"/>
                    <w:rPr>
                      <w:rFonts w:hint="default"/>
                      <w:lang w:val="en-US" w:eastAsia="zh-CN"/>
                    </w:rPr>
                  </w:pPr>
                  <w:r>
                    <w:rPr>
                      <w:rFonts w:hint="default"/>
                    </w:rPr>
                    <w:t>心电图机</w:t>
                  </w:r>
                </w:p>
              </w:tc>
              <w:tc>
                <w:tcPr>
                  <w:tcW w:w="2138" w:type="dxa"/>
                  <w:noWrap w:val="0"/>
                  <w:vAlign w:val="center"/>
                </w:tcPr>
                <w:p>
                  <w:pPr>
                    <w:pStyle w:val="30"/>
                    <w:bidi w:val="0"/>
                    <w:jc w:val="center"/>
                    <w:rPr>
                      <w:rFonts w:hint="default"/>
                      <w:lang w:val="en-US" w:eastAsia="zh-CN"/>
                    </w:rPr>
                  </w:pPr>
                  <w:r>
                    <w:rPr>
                      <w:rFonts w:hint="default"/>
                      <w:lang w:val="en-US" w:eastAsia="zh-CN"/>
                    </w:rPr>
                    <w:t>ECG-1200</w:t>
                  </w:r>
                </w:p>
              </w:tc>
              <w:tc>
                <w:tcPr>
                  <w:tcW w:w="898" w:type="dxa"/>
                  <w:noWrap w:val="0"/>
                  <w:vAlign w:val="center"/>
                </w:tcPr>
                <w:p>
                  <w:pPr>
                    <w:pStyle w:val="30"/>
                    <w:bidi w:val="0"/>
                    <w:jc w:val="center"/>
                    <w:rPr>
                      <w:rFonts w:hint="default"/>
                      <w:lang w:val="en-US" w:eastAsia="zh-CN"/>
                    </w:rPr>
                  </w:pPr>
                  <w:r>
                    <w:rPr>
                      <w:rFonts w:hint="default"/>
                      <w:lang w:val="en-US" w:eastAsia="zh-CN"/>
                    </w:rPr>
                    <w:t>5</w:t>
                  </w:r>
                </w:p>
              </w:tc>
              <w:tc>
                <w:tcPr>
                  <w:tcW w:w="1718" w:type="dxa"/>
                  <w:noWrap w:val="0"/>
                  <w:vAlign w:val="center"/>
                </w:tcPr>
                <w:p>
                  <w:pPr>
                    <w:pStyle w:val="30"/>
                    <w:bidi w:val="0"/>
                    <w:jc w:val="center"/>
                    <w:rPr>
                      <w:rFonts w:hint="default"/>
                      <w:lang w:val="en-US" w:eastAsia="zh-CN"/>
                    </w:rPr>
                  </w:pPr>
                  <w:r>
                    <w:rPr>
                      <w:rFonts w:hint="eastAsia"/>
                      <w:lang w:val="en-US" w:eastAsia="zh-CN"/>
                    </w:rPr>
                    <w:t>诊室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7" w:type="dxa"/>
                  <w:noWrap w:val="0"/>
                  <w:vAlign w:val="center"/>
                </w:tcPr>
                <w:p>
                  <w:pPr>
                    <w:pStyle w:val="30"/>
                    <w:bidi w:val="0"/>
                    <w:jc w:val="center"/>
                    <w:rPr>
                      <w:rFonts w:hint="default"/>
                      <w:lang w:val="en-US" w:eastAsia="zh-CN"/>
                    </w:rPr>
                  </w:pPr>
                  <w:r>
                    <w:rPr>
                      <w:rFonts w:hint="default"/>
                      <w:lang w:val="en-US" w:eastAsia="zh-CN"/>
                    </w:rPr>
                    <w:t>13</w:t>
                  </w:r>
                </w:p>
              </w:tc>
              <w:tc>
                <w:tcPr>
                  <w:tcW w:w="3444" w:type="dxa"/>
                  <w:noWrap w:val="0"/>
                  <w:vAlign w:val="center"/>
                </w:tcPr>
                <w:p>
                  <w:pPr>
                    <w:pStyle w:val="30"/>
                    <w:bidi w:val="0"/>
                    <w:jc w:val="center"/>
                    <w:rPr>
                      <w:rFonts w:hint="default"/>
                      <w:lang w:val="en-US" w:eastAsia="zh-CN"/>
                    </w:rPr>
                  </w:pPr>
                  <w:r>
                    <w:rPr>
                      <w:rFonts w:hint="default"/>
                      <w:lang w:val="en-US" w:eastAsia="zh-CN"/>
                    </w:rPr>
                    <w:t>呼吸机</w:t>
                  </w:r>
                </w:p>
              </w:tc>
              <w:tc>
                <w:tcPr>
                  <w:tcW w:w="2138" w:type="dxa"/>
                  <w:noWrap w:val="0"/>
                  <w:vAlign w:val="center"/>
                </w:tcPr>
                <w:p>
                  <w:pPr>
                    <w:pStyle w:val="30"/>
                    <w:bidi w:val="0"/>
                    <w:jc w:val="center"/>
                    <w:rPr>
                      <w:rFonts w:hint="default"/>
                      <w:lang w:val="en-US" w:eastAsia="zh-CN"/>
                    </w:rPr>
                  </w:pPr>
                  <w:r>
                    <w:rPr>
                      <w:rFonts w:hint="default"/>
                      <w:lang w:val="en-US" w:eastAsia="zh-CN"/>
                    </w:rPr>
                    <w:t>SOLO</w:t>
                  </w:r>
                </w:p>
              </w:tc>
              <w:tc>
                <w:tcPr>
                  <w:tcW w:w="898" w:type="dxa"/>
                  <w:noWrap w:val="0"/>
                  <w:vAlign w:val="center"/>
                </w:tcPr>
                <w:p>
                  <w:pPr>
                    <w:pStyle w:val="30"/>
                    <w:bidi w:val="0"/>
                    <w:jc w:val="center"/>
                    <w:rPr>
                      <w:rFonts w:hint="default"/>
                      <w:lang w:val="en-US" w:eastAsia="zh-CN"/>
                    </w:rPr>
                  </w:pPr>
                  <w:r>
                    <w:rPr>
                      <w:rFonts w:hint="default"/>
                      <w:lang w:val="en-US" w:eastAsia="zh-CN"/>
                    </w:rPr>
                    <w:t>2</w:t>
                  </w:r>
                </w:p>
              </w:tc>
              <w:tc>
                <w:tcPr>
                  <w:tcW w:w="1718" w:type="dxa"/>
                  <w:noWrap w:val="0"/>
                  <w:vAlign w:val="center"/>
                </w:tcPr>
                <w:p>
                  <w:pPr>
                    <w:pStyle w:val="30"/>
                    <w:bidi w:val="0"/>
                    <w:jc w:val="center"/>
                    <w:rPr>
                      <w:rFonts w:hint="default"/>
                      <w:lang w:val="en-US" w:eastAsia="zh-CN"/>
                    </w:rPr>
                  </w:pPr>
                  <w:r>
                    <w:rPr>
                      <w:rFonts w:hint="eastAsia"/>
                      <w:lang w:val="en-US" w:eastAsia="zh-CN"/>
                    </w:rPr>
                    <w:t>手术</w:t>
                  </w:r>
                  <w:r>
                    <w:rPr>
                      <w:rFonts w:hint="default"/>
                      <w:lang w:val="en-US" w:eastAsia="zh-CN"/>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7" w:type="dxa"/>
                  <w:noWrap w:val="0"/>
                  <w:vAlign w:val="center"/>
                </w:tcPr>
                <w:p>
                  <w:pPr>
                    <w:pStyle w:val="30"/>
                    <w:bidi w:val="0"/>
                    <w:jc w:val="center"/>
                    <w:rPr>
                      <w:rFonts w:hint="default"/>
                      <w:lang w:val="en-US" w:eastAsia="zh-CN"/>
                    </w:rPr>
                  </w:pPr>
                  <w:r>
                    <w:rPr>
                      <w:rFonts w:hint="eastAsia"/>
                      <w:lang w:val="en-US" w:eastAsia="zh-CN"/>
                    </w:rPr>
                    <w:t>14</w:t>
                  </w:r>
                </w:p>
              </w:tc>
              <w:tc>
                <w:tcPr>
                  <w:tcW w:w="3444" w:type="dxa"/>
                  <w:noWrap w:val="0"/>
                  <w:vAlign w:val="center"/>
                </w:tcPr>
                <w:p>
                  <w:pPr>
                    <w:pStyle w:val="30"/>
                    <w:bidi w:val="0"/>
                    <w:jc w:val="center"/>
                    <w:rPr>
                      <w:rFonts w:hint="default"/>
                      <w:lang w:val="en-US" w:eastAsia="zh-CN"/>
                    </w:rPr>
                  </w:pPr>
                  <w:r>
                    <w:rPr>
                      <w:rFonts w:hint="default"/>
                      <w:lang w:val="en-US" w:eastAsia="zh-CN"/>
                    </w:rPr>
                    <w:t>摄像系统及等离子电切镜</w:t>
                  </w:r>
                </w:p>
              </w:tc>
              <w:tc>
                <w:tcPr>
                  <w:tcW w:w="2138" w:type="dxa"/>
                  <w:noWrap w:val="0"/>
                  <w:vAlign w:val="center"/>
                </w:tcPr>
                <w:p>
                  <w:pPr>
                    <w:pStyle w:val="30"/>
                    <w:bidi w:val="0"/>
                    <w:jc w:val="center"/>
                    <w:rPr>
                      <w:rFonts w:hint="default"/>
                      <w:lang w:val="en-US" w:eastAsia="zh-CN"/>
                    </w:rPr>
                  </w:pPr>
                  <w:r>
                    <w:rPr>
                      <w:rFonts w:hint="eastAsia"/>
                      <w:lang w:val="en-US" w:eastAsia="zh-CN"/>
                    </w:rPr>
                    <w:t>WA2T412A</w:t>
                  </w:r>
                </w:p>
              </w:tc>
              <w:tc>
                <w:tcPr>
                  <w:tcW w:w="898" w:type="dxa"/>
                  <w:noWrap w:val="0"/>
                  <w:vAlign w:val="center"/>
                </w:tcPr>
                <w:p>
                  <w:pPr>
                    <w:pStyle w:val="30"/>
                    <w:bidi w:val="0"/>
                    <w:jc w:val="center"/>
                    <w:rPr>
                      <w:rFonts w:hint="default"/>
                      <w:lang w:val="en-US" w:eastAsia="zh-CN"/>
                    </w:rPr>
                  </w:pPr>
                  <w:r>
                    <w:rPr>
                      <w:rFonts w:hint="default"/>
                      <w:lang w:val="en-US" w:eastAsia="zh-CN"/>
                    </w:rPr>
                    <w:t>1</w:t>
                  </w:r>
                </w:p>
              </w:tc>
              <w:tc>
                <w:tcPr>
                  <w:tcW w:w="1718" w:type="dxa"/>
                  <w:noWrap w:val="0"/>
                  <w:vAlign w:val="center"/>
                </w:tcPr>
                <w:p>
                  <w:pPr>
                    <w:pStyle w:val="30"/>
                    <w:bidi w:val="0"/>
                    <w:jc w:val="center"/>
                    <w:rPr>
                      <w:rFonts w:hint="default"/>
                      <w:lang w:val="en-US" w:eastAsia="zh-CN"/>
                    </w:rPr>
                  </w:pPr>
                  <w:r>
                    <w:rPr>
                      <w:rFonts w:hint="eastAsia"/>
                      <w:lang w:val="en-US" w:eastAsia="zh-CN"/>
                    </w:rPr>
                    <w:t>诊室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7" w:type="dxa"/>
                  <w:noWrap w:val="0"/>
                  <w:vAlign w:val="center"/>
                </w:tcPr>
                <w:p>
                  <w:pPr>
                    <w:pStyle w:val="30"/>
                    <w:bidi w:val="0"/>
                    <w:jc w:val="center"/>
                    <w:rPr>
                      <w:rFonts w:hint="default"/>
                      <w:lang w:val="en-US" w:eastAsia="zh-CN"/>
                    </w:rPr>
                  </w:pPr>
                  <w:r>
                    <w:rPr>
                      <w:rFonts w:hint="eastAsia"/>
                      <w:lang w:val="en-US" w:eastAsia="zh-CN"/>
                    </w:rPr>
                    <w:t>15</w:t>
                  </w:r>
                </w:p>
              </w:tc>
              <w:tc>
                <w:tcPr>
                  <w:tcW w:w="3444" w:type="dxa"/>
                  <w:noWrap w:val="0"/>
                  <w:vAlign w:val="center"/>
                </w:tcPr>
                <w:p>
                  <w:pPr>
                    <w:pStyle w:val="30"/>
                    <w:bidi w:val="0"/>
                    <w:jc w:val="center"/>
                    <w:rPr>
                      <w:rFonts w:hint="default"/>
                      <w:lang w:val="en-US" w:eastAsia="zh-CN"/>
                    </w:rPr>
                  </w:pPr>
                  <w:r>
                    <w:rPr>
                      <w:rFonts w:hint="eastAsia"/>
                      <w:lang w:val="en-US" w:eastAsia="zh-CN"/>
                    </w:rPr>
                    <w:t>半</w:t>
                  </w:r>
                  <w:r>
                    <w:rPr>
                      <w:rFonts w:hint="default"/>
                    </w:rPr>
                    <w:t>自动生化分析仪</w:t>
                  </w:r>
                </w:p>
              </w:tc>
              <w:tc>
                <w:tcPr>
                  <w:tcW w:w="2138" w:type="dxa"/>
                  <w:shd w:val="clear" w:color="auto" w:fill="auto"/>
                  <w:noWrap w:val="0"/>
                  <w:vAlign w:val="top"/>
                </w:tcPr>
                <w:p>
                  <w:pPr>
                    <w:snapToGrid/>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auto"/>
                      <w:spacing w:val="0"/>
                      <w:w w:val="100"/>
                      <w:kern w:val="2"/>
                      <w:sz w:val="21"/>
                      <w:szCs w:val="21"/>
                      <w:highlight w:val="none"/>
                      <w:u w:val="none" w:color="auto"/>
                      <w:lang w:val="en-US" w:eastAsia="zh-CN" w:bidi="ar-SA"/>
                    </w:rPr>
                  </w:pPr>
                  <w:r>
                    <w:rPr>
                      <w:rFonts w:hint="eastAsia" w:ascii="Times New Roman" w:hAnsi="Times New Roman" w:eastAsia="宋体" w:cs="Times New Roman"/>
                      <w:b w:val="0"/>
                      <w:i w:val="0"/>
                      <w:caps w:val="0"/>
                      <w:color w:val="auto"/>
                      <w:spacing w:val="0"/>
                      <w:w w:val="100"/>
                      <w:sz w:val="21"/>
                      <w:szCs w:val="21"/>
                      <w:highlight w:val="none"/>
                      <w:u w:val="none" w:color="auto"/>
                      <w:lang w:val="en-US" w:eastAsia="zh-CN"/>
                    </w:rPr>
                    <w:t>MTN-658C</w:t>
                  </w:r>
                </w:p>
              </w:tc>
              <w:tc>
                <w:tcPr>
                  <w:tcW w:w="898" w:type="dxa"/>
                  <w:shd w:val="clear" w:color="auto" w:fill="auto"/>
                  <w:noWrap w:val="0"/>
                  <w:vAlign w:val="top"/>
                </w:tcPr>
                <w:p>
                  <w:pPr>
                    <w:snapToGrid/>
                    <w:spacing w:before="0" w:beforeAutospacing="0" w:after="0" w:afterAutospacing="0" w:line="240" w:lineRule="auto"/>
                    <w:ind w:firstLine="0" w:firstLineChars="0"/>
                    <w:jc w:val="center"/>
                    <w:textAlignment w:val="baseline"/>
                    <w:rPr>
                      <w:rFonts w:hint="eastAsia" w:ascii="Times New Roman" w:hAnsi="Times New Roman" w:eastAsia="宋体" w:cs="Times New Roman"/>
                      <w:b w:val="0"/>
                      <w:i w:val="0"/>
                      <w:caps w:val="0"/>
                      <w:color w:val="auto"/>
                      <w:spacing w:val="0"/>
                      <w:w w:val="100"/>
                      <w:kern w:val="2"/>
                      <w:sz w:val="21"/>
                      <w:szCs w:val="21"/>
                      <w:highlight w:val="none"/>
                      <w:u w:val="none" w:color="auto"/>
                      <w:lang w:val="en-US" w:eastAsia="zh-CN" w:bidi="ar-SA"/>
                    </w:rPr>
                  </w:pPr>
                  <w:r>
                    <w:rPr>
                      <w:rFonts w:hint="default" w:ascii="Times New Roman" w:hAnsi="Times New Roman" w:cs="Times New Roman"/>
                      <w:b w:val="0"/>
                      <w:i w:val="0"/>
                      <w:caps w:val="0"/>
                      <w:color w:val="auto"/>
                      <w:spacing w:val="0"/>
                      <w:w w:val="100"/>
                      <w:sz w:val="21"/>
                      <w:szCs w:val="21"/>
                      <w:highlight w:val="none"/>
                      <w:u w:val="none" w:color="auto"/>
                      <w:lang w:val="en-US" w:eastAsia="zh-CN"/>
                    </w:rPr>
                    <w:t>1</w:t>
                  </w:r>
                </w:p>
              </w:tc>
              <w:tc>
                <w:tcPr>
                  <w:tcW w:w="1718" w:type="dxa"/>
                  <w:shd w:val="clear" w:color="auto" w:fill="auto"/>
                  <w:noWrap w:val="0"/>
                  <w:vAlign w:val="top"/>
                </w:tcPr>
                <w:p>
                  <w:pPr>
                    <w:snapToGrid/>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auto"/>
                      <w:spacing w:val="0"/>
                      <w:w w:val="100"/>
                      <w:kern w:val="2"/>
                      <w:sz w:val="21"/>
                      <w:szCs w:val="21"/>
                      <w:highlight w:val="none"/>
                      <w:u w:val="none" w:color="auto"/>
                      <w:lang w:val="en-US" w:eastAsia="zh-CN" w:bidi="ar-SA"/>
                    </w:rPr>
                  </w:pPr>
                  <w:r>
                    <w:rPr>
                      <w:rFonts w:hint="eastAsia" w:ascii="Times New Roman" w:hAnsi="Times New Roman" w:cs="Times New Roman"/>
                      <w:b w:val="0"/>
                      <w:i w:val="0"/>
                      <w:caps w:val="0"/>
                      <w:color w:val="auto"/>
                      <w:spacing w:val="0"/>
                      <w:w w:val="100"/>
                      <w:sz w:val="21"/>
                      <w:szCs w:val="21"/>
                      <w:highlight w:val="none"/>
                      <w:u w:val="none" w:color="auto"/>
                      <w:lang w:val="en-US" w:eastAsia="zh-CN"/>
                    </w:rPr>
                    <w:t>化</w:t>
                  </w:r>
                  <w:r>
                    <w:rPr>
                      <w:rFonts w:hint="default" w:ascii="Times New Roman" w:hAnsi="Times New Roman" w:cs="Times New Roman"/>
                      <w:b w:val="0"/>
                      <w:i w:val="0"/>
                      <w:caps w:val="0"/>
                      <w:color w:val="auto"/>
                      <w:spacing w:val="0"/>
                      <w:w w:val="100"/>
                      <w:sz w:val="21"/>
                      <w:szCs w:val="21"/>
                      <w:highlight w:val="none"/>
                      <w:u w:val="none" w:color="auto"/>
                      <w:lang w:val="en-US" w:eastAsia="zh-CN"/>
                    </w:rPr>
                    <w:t>验</w:t>
                  </w:r>
                  <w:r>
                    <w:rPr>
                      <w:rFonts w:hint="eastAsia" w:ascii="Times New Roman" w:hAnsi="Times New Roman" w:cs="Times New Roman"/>
                      <w:b w:val="0"/>
                      <w:i w:val="0"/>
                      <w:caps w:val="0"/>
                      <w:color w:val="auto"/>
                      <w:spacing w:val="0"/>
                      <w:w w:val="100"/>
                      <w:sz w:val="21"/>
                      <w:szCs w:val="21"/>
                      <w:highlight w:val="none"/>
                      <w:u w:val="none" w:color="auto"/>
                      <w:lang w:val="en-US" w:eastAsia="zh-CN"/>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7" w:type="dxa"/>
                  <w:noWrap w:val="0"/>
                  <w:vAlign w:val="center"/>
                </w:tcPr>
                <w:p>
                  <w:pPr>
                    <w:pStyle w:val="30"/>
                    <w:bidi w:val="0"/>
                    <w:jc w:val="center"/>
                    <w:rPr>
                      <w:rFonts w:hint="default"/>
                      <w:lang w:val="en-US" w:eastAsia="zh-CN"/>
                    </w:rPr>
                  </w:pPr>
                  <w:r>
                    <w:rPr>
                      <w:rFonts w:hint="eastAsia"/>
                      <w:lang w:val="en-US" w:eastAsia="zh-CN"/>
                    </w:rPr>
                    <w:t>16</w:t>
                  </w:r>
                </w:p>
              </w:tc>
              <w:tc>
                <w:tcPr>
                  <w:tcW w:w="3444" w:type="dxa"/>
                  <w:noWrap w:val="0"/>
                  <w:vAlign w:val="center"/>
                </w:tcPr>
                <w:p>
                  <w:pPr>
                    <w:pStyle w:val="30"/>
                    <w:bidi w:val="0"/>
                    <w:jc w:val="center"/>
                    <w:rPr>
                      <w:rFonts w:hint="default"/>
                      <w:lang w:val="en-US" w:eastAsia="zh-CN"/>
                    </w:rPr>
                  </w:pPr>
                  <w:r>
                    <w:rPr>
                      <w:rFonts w:hint="eastAsia"/>
                      <w:lang w:val="en-US" w:eastAsia="zh-CN"/>
                    </w:rPr>
                    <w:t>水泵</w:t>
                  </w:r>
                </w:p>
              </w:tc>
              <w:tc>
                <w:tcPr>
                  <w:tcW w:w="2138" w:type="dxa"/>
                  <w:noWrap w:val="0"/>
                  <w:vAlign w:val="center"/>
                </w:tcPr>
                <w:p>
                  <w:pPr>
                    <w:pStyle w:val="30"/>
                    <w:bidi w:val="0"/>
                    <w:jc w:val="center"/>
                    <w:rPr>
                      <w:rFonts w:hint="default"/>
                      <w:lang w:val="en-US" w:eastAsia="zh-CN"/>
                    </w:rPr>
                  </w:pPr>
                  <w:r>
                    <w:rPr>
                      <w:rFonts w:hint="eastAsia"/>
                      <w:lang w:val="en-US" w:eastAsia="zh-CN"/>
                    </w:rPr>
                    <w:t>/</w:t>
                  </w:r>
                </w:p>
              </w:tc>
              <w:tc>
                <w:tcPr>
                  <w:tcW w:w="898" w:type="dxa"/>
                  <w:noWrap w:val="0"/>
                  <w:vAlign w:val="center"/>
                </w:tcPr>
                <w:p>
                  <w:pPr>
                    <w:pStyle w:val="30"/>
                    <w:bidi w:val="0"/>
                    <w:jc w:val="center"/>
                    <w:rPr>
                      <w:rFonts w:hint="eastAsia"/>
                      <w:lang w:val="en-US" w:eastAsia="zh-CN"/>
                    </w:rPr>
                  </w:pPr>
                  <w:r>
                    <w:rPr>
                      <w:rFonts w:hint="eastAsia"/>
                      <w:lang w:val="en-US" w:eastAsia="zh-CN"/>
                    </w:rPr>
                    <w:t>1</w:t>
                  </w:r>
                </w:p>
              </w:tc>
              <w:tc>
                <w:tcPr>
                  <w:tcW w:w="1718" w:type="dxa"/>
                  <w:noWrap w:val="0"/>
                  <w:vAlign w:val="center"/>
                </w:tcPr>
                <w:p>
                  <w:pPr>
                    <w:pStyle w:val="30"/>
                    <w:bidi w:val="0"/>
                    <w:jc w:val="center"/>
                    <w:rPr>
                      <w:rFonts w:hint="eastAsia"/>
                      <w:lang w:val="en-US" w:eastAsia="zh-CN"/>
                    </w:rPr>
                  </w:pPr>
                  <w:r>
                    <w:rPr>
                      <w:rFonts w:hint="eastAsia"/>
                      <w:lang w:val="en-US" w:eastAsia="zh-CN"/>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7" w:type="dxa"/>
                  <w:noWrap w:val="0"/>
                  <w:vAlign w:val="center"/>
                </w:tcPr>
                <w:p>
                  <w:pPr>
                    <w:pStyle w:val="30"/>
                    <w:bidi w:val="0"/>
                    <w:jc w:val="center"/>
                    <w:rPr>
                      <w:rFonts w:hint="eastAsia"/>
                      <w:lang w:val="en-US" w:eastAsia="zh-CN"/>
                    </w:rPr>
                  </w:pPr>
                  <w:r>
                    <w:rPr>
                      <w:rFonts w:hint="eastAsia"/>
                      <w:lang w:val="en-US" w:eastAsia="zh-CN"/>
                    </w:rPr>
                    <w:t>17</w:t>
                  </w:r>
                </w:p>
              </w:tc>
              <w:tc>
                <w:tcPr>
                  <w:tcW w:w="3444" w:type="dxa"/>
                  <w:noWrap w:val="0"/>
                  <w:vAlign w:val="center"/>
                </w:tcPr>
                <w:p>
                  <w:pPr>
                    <w:pStyle w:val="30"/>
                    <w:bidi w:val="0"/>
                    <w:jc w:val="center"/>
                    <w:rPr>
                      <w:rFonts w:hint="default"/>
                      <w:lang w:val="en-US" w:eastAsia="zh-CN"/>
                    </w:rPr>
                  </w:pPr>
                  <w:r>
                    <w:rPr>
                      <w:rFonts w:hint="eastAsia"/>
                      <w:lang w:val="en-US" w:eastAsia="zh-CN"/>
                    </w:rPr>
                    <w:t>污泥泵</w:t>
                  </w:r>
                </w:p>
              </w:tc>
              <w:tc>
                <w:tcPr>
                  <w:tcW w:w="2138" w:type="dxa"/>
                  <w:noWrap w:val="0"/>
                  <w:vAlign w:val="center"/>
                </w:tcPr>
                <w:p>
                  <w:pPr>
                    <w:pStyle w:val="30"/>
                    <w:bidi w:val="0"/>
                    <w:jc w:val="center"/>
                    <w:rPr>
                      <w:rFonts w:hint="eastAsia"/>
                      <w:lang w:val="en-US" w:eastAsia="zh-CN"/>
                    </w:rPr>
                  </w:pPr>
                  <w:r>
                    <w:rPr>
                      <w:rFonts w:hint="eastAsia"/>
                      <w:lang w:val="en-US" w:eastAsia="zh-CN"/>
                    </w:rPr>
                    <w:t>/</w:t>
                  </w:r>
                </w:p>
              </w:tc>
              <w:tc>
                <w:tcPr>
                  <w:tcW w:w="898" w:type="dxa"/>
                  <w:noWrap w:val="0"/>
                  <w:vAlign w:val="center"/>
                </w:tcPr>
                <w:p>
                  <w:pPr>
                    <w:pStyle w:val="30"/>
                    <w:bidi w:val="0"/>
                    <w:jc w:val="center"/>
                    <w:rPr>
                      <w:rFonts w:hint="eastAsia"/>
                      <w:lang w:val="en-US" w:eastAsia="zh-CN"/>
                    </w:rPr>
                  </w:pPr>
                  <w:r>
                    <w:rPr>
                      <w:rFonts w:hint="eastAsia"/>
                      <w:lang w:val="en-US" w:eastAsia="zh-CN"/>
                    </w:rPr>
                    <w:t>1</w:t>
                  </w:r>
                </w:p>
              </w:tc>
              <w:tc>
                <w:tcPr>
                  <w:tcW w:w="1718" w:type="dxa"/>
                  <w:noWrap w:val="0"/>
                  <w:vAlign w:val="center"/>
                </w:tcPr>
                <w:p>
                  <w:pPr>
                    <w:pStyle w:val="30"/>
                    <w:bidi w:val="0"/>
                    <w:jc w:val="center"/>
                    <w:rPr>
                      <w:rFonts w:hint="eastAsia"/>
                      <w:lang w:val="en-US" w:eastAsia="zh-CN"/>
                    </w:rPr>
                  </w:pPr>
                  <w:r>
                    <w:rPr>
                      <w:rFonts w:hint="eastAsia"/>
                      <w:lang w:val="en-US" w:eastAsia="zh-CN"/>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7" w:type="dxa"/>
                  <w:noWrap w:val="0"/>
                  <w:vAlign w:val="center"/>
                </w:tcPr>
                <w:p>
                  <w:pPr>
                    <w:pStyle w:val="30"/>
                    <w:bidi w:val="0"/>
                    <w:jc w:val="center"/>
                    <w:rPr>
                      <w:rFonts w:hint="default"/>
                      <w:lang w:val="en-US" w:eastAsia="zh-CN"/>
                    </w:rPr>
                  </w:pPr>
                  <w:r>
                    <w:rPr>
                      <w:rFonts w:hint="eastAsia"/>
                      <w:lang w:val="en-US" w:eastAsia="zh-CN"/>
                    </w:rPr>
                    <w:t>18</w:t>
                  </w:r>
                </w:p>
              </w:tc>
              <w:tc>
                <w:tcPr>
                  <w:tcW w:w="3444" w:type="dxa"/>
                  <w:noWrap w:val="0"/>
                  <w:vAlign w:val="center"/>
                </w:tcPr>
                <w:p>
                  <w:pPr>
                    <w:pStyle w:val="30"/>
                    <w:bidi w:val="0"/>
                    <w:jc w:val="center"/>
                    <w:rPr>
                      <w:rFonts w:hint="default"/>
                      <w:lang w:val="en-US" w:eastAsia="zh-CN"/>
                    </w:rPr>
                  </w:pPr>
                  <w:r>
                    <w:rPr>
                      <w:rFonts w:hint="eastAsia"/>
                      <w:lang w:val="en-US" w:eastAsia="zh-CN"/>
                    </w:rPr>
                    <w:t>风机</w:t>
                  </w:r>
                </w:p>
              </w:tc>
              <w:tc>
                <w:tcPr>
                  <w:tcW w:w="2138" w:type="dxa"/>
                  <w:noWrap w:val="0"/>
                  <w:vAlign w:val="center"/>
                </w:tcPr>
                <w:p>
                  <w:pPr>
                    <w:pStyle w:val="30"/>
                    <w:bidi w:val="0"/>
                    <w:jc w:val="center"/>
                    <w:rPr>
                      <w:rFonts w:hint="default"/>
                      <w:lang w:val="en-US" w:eastAsia="zh-CN"/>
                    </w:rPr>
                  </w:pPr>
                  <w:r>
                    <w:rPr>
                      <w:rFonts w:hint="eastAsia"/>
                      <w:lang w:val="en-US" w:eastAsia="zh-CN"/>
                    </w:rPr>
                    <w:t>/</w:t>
                  </w:r>
                </w:p>
              </w:tc>
              <w:tc>
                <w:tcPr>
                  <w:tcW w:w="898" w:type="dxa"/>
                  <w:noWrap w:val="0"/>
                  <w:vAlign w:val="center"/>
                </w:tcPr>
                <w:p>
                  <w:pPr>
                    <w:pStyle w:val="30"/>
                    <w:bidi w:val="0"/>
                    <w:jc w:val="center"/>
                    <w:rPr>
                      <w:rFonts w:hint="eastAsia"/>
                      <w:lang w:val="en-US" w:eastAsia="zh-CN"/>
                    </w:rPr>
                  </w:pPr>
                  <w:r>
                    <w:rPr>
                      <w:rFonts w:hint="eastAsia"/>
                      <w:lang w:val="en-US" w:eastAsia="zh-CN"/>
                    </w:rPr>
                    <w:t>1</w:t>
                  </w:r>
                </w:p>
              </w:tc>
              <w:tc>
                <w:tcPr>
                  <w:tcW w:w="1718" w:type="dxa"/>
                  <w:noWrap w:val="0"/>
                  <w:vAlign w:val="center"/>
                </w:tcPr>
                <w:p>
                  <w:pPr>
                    <w:pStyle w:val="30"/>
                    <w:bidi w:val="0"/>
                    <w:jc w:val="center"/>
                    <w:rPr>
                      <w:rFonts w:hint="eastAsia"/>
                      <w:lang w:val="en-US" w:eastAsia="zh-CN"/>
                    </w:rPr>
                  </w:pPr>
                  <w:r>
                    <w:rPr>
                      <w:rFonts w:hint="eastAsia"/>
                      <w:lang w:val="en-US" w:eastAsia="zh-CN"/>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7" w:type="dxa"/>
                  <w:noWrap w:val="0"/>
                  <w:vAlign w:val="center"/>
                </w:tcPr>
                <w:p>
                  <w:pPr>
                    <w:pStyle w:val="30"/>
                    <w:bidi w:val="0"/>
                    <w:jc w:val="center"/>
                    <w:rPr>
                      <w:rFonts w:hint="default"/>
                      <w:lang w:val="en-US" w:eastAsia="zh-CN"/>
                    </w:rPr>
                  </w:pPr>
                  <w:r>
                    <w:rPr>
                      <w:rFonts w:hint="eastAsia"/>
                      <w:lang w:val="en-US" w:eastAsia="zh-CN"/>
                    </w:rPr>
                    <w:t>19</w:t>
                  </w:r>
                </w:p>
              </w:tc>
              <w:tc>
                <w:tcPr>
                  <w:tcW w:w="3444" w:type="dxa"/>
                  <w:shd w:val="clear" w:color="auto" w:fill="auto"/>
                  <w:noWrap w:val="0"/>
                  <w:vAlign w:val="center"/>
                </w:tcPr>
                <w:p>
                  <w:pPr>
                    <w:pStyle w:val="30"/>
                    <w:bidi w:val="0"/>
                    <w:jc w:val="center"/>
                    <w:rPr>
                      <w:rFonts w:hint="eastAsia" w:ascii="Times New Roman" w:hAnsi="Times New Roman" w:eastAsia="宋体" w:cstheme="minorBidi"/>
                      <w:snapToGrid w:val="0"/>
                      <w:spacing w:val="6"/>
                      <w:kern w:val="2"/>
                      <w:sz w:val="21"/>
                      <w:szCs w:val="21"/>
                      <w:lang w:val="en-US" w:eastAsia="zh-CN" w:bidi="ar-SA"/>
                    </w:rPr>
                  </w:pPr>
                  <w:r>
                    <w:rPr>
                      <w:rFonts w:hint="eastAsia"/>
                      <w:u w:val="single"/>
                      <w:lang w:val="en-US" w:eastAsia="zh-CN"/>
                    </w:rPr>
                    <w:t>煎药机</w:t>
                  </w:r>
                </w:p>
              </w:tc>
              <w:tc>
                <w:tcPr>
                  <w:tcW w:w="2138" w:type="dxa"/>
                  <w:shd w:val="clear" w:color="auto" w:fill="auto"/>
                  <w:noWrap w:val="0"/>
                  <w:vAlign w:val="center"/>
                </w:tcPr>
                <w:p>
                  <w:pPr>
                    <w:pStyle w:val="30"/>
                    <w:bidi w:val="0"/>
                    <w:jc w:val="center"/>
                    <w:rPr>
                      <w:rFonts w:hint="default" w:ascii="Times New Roman" w:hAnsi="Times New Roman" w:eastAsia="宋体" w:cstheme="minorBidi"/>
                      <w:snapToGrid w:val="0"/>
                      <w:spacing w:val="6"/>
                      <w:kern w:val="2"/>
                      <w:sz w:val="21"/>
                      <w:szCs w:val="21"/>
                      <w:lang w:val="en-US" w:eastAsia="zh-CN" w:bidi="ar-SA"/>
                    </w:rPr>
                  </w:pPr>
                  <w:r>
                    <w:rPr>
                      <w:rFonts w:hint="eastAsia" w:cstheme="minorBidi"/>
                      <w:snapToGrid w:val="0"/>
                      <w:spacing w:val="6"/>
                      <w:kern w:val="2"/>
                      <w:sz w:val="21"/>
                      <w:szCs w:val="21"/>
                      <w:lang w:val="en-US" w:eastAsia="zh-CN" w:bidi="ar-SA"/>
                    </w:rPr>
                    <w:t>/</w:t>
                  </w:r>
                </w:p>
              </w:tc>
              <w:tc>
                <w:tcPr>
                  <w:tcW w:w="898" w:type="dxa"/>
                  <w:shd w:val="clear" w:color="auto" w:fill="auto"/>
                  <w:noWrap w:val="0"/>
                  <w:vAlign w:val="center"/>
                </w:tcPr>
                <w:p>
                  <w:pPr>
                    <w:pStyle w:val="30"/>
                    <w:bidi w:val="0"/>
                    <w:jc w:val="center"/>
                    <w:rPr>
                      <w:rFonts w:hint="eastAsia" w:ascii="Times New Roman" w:hAnsi="Times New Roman" w:eastAsia="宋体" w:cstheme="minorBidi"/>
                      <w:snapToGrid w:val="0"/>
                      <w:spacing w:val="6"/>
                      <w:kern w:val="2"/>
                      <w:sz w:val="21"/>
                      <w:szCs w:val="21"/>
                      <w:lang w:val="en-US" w:eastAsia="zh-CN" w:bidi="ar-SA"/>
                    </w:rPr>
                  </w:pPr>
                  <w:r>
                    <w:rPr>
                      <w:rFonts w:hint="eastAsia"/>
                      <w:lang w:val="en-US" w:eastAsia="zh-CN"/>
                    </w:rPr>
                    <w:t>3</w:t>
                  </w:r>
                </w:p>
              </w:tc>
              <w:tc>
                <w:tcPr>
                  <w:tcW w:w="1718" w:type="dxa"/>
                  <w:shd w:val="clear" w:color="auto" w:fill="auto"/>
                  <w:noWrap w:val="0"/>
                  <w:vAlign w:val="center"/>
                </w:tcPr>
                <w:p>
                  <w:pPr>
                    <w:pStyle w:val="30"/>
                    <w:bidi w:val="0"/>
                    <w:jc w:val="center"/>
                    <w:rPr>
                      <w:rFonts w:hint="eastAsia" w:ascii="Times New Roman" w:hAnsi="Times New Roman" w:eastAsia="宋体" w:cstheme="minorBidi"/>
                      <w:snapToGrid w:val="0"/>
                      <w:spacing w:val="6"/>
                      <w:kern w:val="2"/>
                      <w:sz w:val="21"/>
                      <w:szCs w:val="21"/>
                      <w:lang w:val="en-US" w:eastAsia="zh-CN" w:bidi="ar-SA"/>
                    </w:rPr>
                  </w:pPr>
                  <w:r>
                    <w:rPr>
                      <w:rFonts w:hint="eastAsia"/>
                      <w:lang w:val="en-US" w:eastAsia="zh-CN"/>
                    </w:rPr>
                    <w:t>中药房</w:t>
                  </w:r>
                </w:p>
              </w:tc>
            </w:tr>
          </w:tbl>
          <w:p>
            <w:pPr>
              <w:bidi w:val="0"/>
              <w:rPr>
                <w:rFonts w:hint="default"/>
                <w:sz w:val="21"/>
                <w:szCs w:val="21"/>
              </w:rPr>
            </w:pPr>
            <w:r>
              <w:rPr>
                <w:rFonts w:hint="eastAsia"/>
                <w:sz w:val="21"/>
                <w:szCs w:val="21"/>
                <w:lang w:val="en-US" w:eastAsia="zh-CN"/>
              </w:rPr>
              <w:t>注：</w:t>
            </w:r>
            <w:r>
              <w:rPr>
                <w:rFonts w:hint="default"/>
                <w:sz w:val="21"/>
                <w:szCs w:val="21"/>
              </w:rPr>
              <w:t>本项目涉及放射性的内容将另行委托</w:t>
            </w:r>
            <w:r>
              <w:rPr>
                <w:rFonts w:hint="eastAsia"/>
                <w:sz w:val="21"/>
                <w:szCs w:val="21"/>
                <w:lang w:val="en-US" w:eastAsia="zh-CN"/>
              </w:rPr>
              <w:t>相应的</w:t>
            </w:r>
            <w:r>
              <w:rPr>
                <w:rFonts w:hint="default"/>
                <w:sz w:val="21"/>
                <w:szCs w:val="21"/>
              </w:rPr>
              <w:t>环评机构进行环境影响评价并报生态环境主管部门审批，本次评价内容不包含放射性部分。</w:t>
            </w:r>
          </w:p>
          <w:p>
            <w:pPr>
              <w:bidi w:val="0"/>
              <w:rPr>
                <w:b/>
                <w:bCs/>
              </w:rPr>
            </w:pPr>
            <w:r>
              <w:rPr>
                <w:rFonts w:hint="eastAsia"/>
                <w:b/>
                <w:bCs/>
                <w:lang w:val="en-US" w:eastAsia="zh-CN"/>
              </w:rPr>
              <w:t>6</w:t>
            </w:r>
            <w:r>
              <w:rPr>
                <w:rFonts w:hint="eastAsia"/>
                <w:b/>
                <w:bCs/>
              </w:rPr>
              <w:t>、</w:t>
            </w:r>
            <w:r>
              <w:rPr>
                <w:b/>
                <w:bCs/>
              </w:rPr>
              <w:t>厂区总平面布置</w:t>
            </w:r>
          </w:p>
          <w:p>
            <w:pPr>
              <w:pStyle w:val="12"/>
              <w:bidi w:val="0"/>
            </w:pPr>
            <w:r>
              <w:t>项目</w:t>
            </w:r>
            <w:r>
              <w:rPr>
                <w:rFonts w:hint="eastAsia"/>
                <w:lang w:eastAsia="zh-CN"/>
              </w:rPr>
              <w:t>设置有</w:t>
            </w:r>
            <w:r>
              <w:rPr>
                <w:rFonts w:hint="eastAsia"/>
                <w:lang w:val="en-US" w:eastAsia="zh-CN"/>
              </w:rPr>
              <w:t>1栋综合楼，</w:t>
            </w:r>
            <w:r>
              <w:t>人行主入口设置于场地东侧，经由内部广场进入门诊、医技楼。沿建筑周边设置环形通道。车行出入口沿城市道路于场地东侧，西侧</w:t>
            </w:r>
            <w:r>
              <w:rPr>
                <w:rFonts w:hint="eastAsia"/>
                <w:lang w:eastAsia="zh-CN"/>
              </w:rPr>
              <w:t>进入地下停车场</w:t>
            </w:r>
            <w:r>
              <w:t>。项目建设的环保设施主要为医疗废物暂存间、污水处理</w:t>
            </w:r>
            <w:r>
              <w:rPr>
                <w:rFonts w:hint="eastAsia"/>
                <w:lang w:eastAsia="zh-CN"/>
              </w:rPr>
              <w:t>站</w:t>
            </w:r>
            <w:r>
              <w:t>。污水处理</w:t>
            </w:r>
            <w:r>
              <w:rPr>
                <w:rFonts w:hint="eastAsia"/>
                <w:lang w:eastAsia="zh-CN"/>
              </w:rPr>
              <w:t>站设置在</w:t>
            </w:r>
            <w:r>
              <w:rPr>
                <w:rFonts w:hint="eastAsia"/>
                <w:lang w:val="en-US" w:eastAsia="zh-CN"/>
              </w:rPr>
              <w:t>综合楼西南角，</w:t>
            </w:r>
            <w:r>
              <w:t>医疗废物暂存间设置在污水处理系</w:t>
            </w:r>
            <w:r>
              <w:rPr>
                <w:rFonts w:hint="eastAsia"/>
                <w:lang w:eastAsia="zh-CN"/>
              </w:rPr>
              <w:t>东侧</w:t>
            </w:r>
            <w:r>
              <w:t>。</w:t>
            </w:r>
            <w:r>
              <w:rPr>
                <w:rFonts w:hint="eastAsia"/>
                <w:lang w:eastAsia="zh-CN"/>
              </w:rPr>
              <w:t>平面布局见附图</w:t>
            </w:r>
            <w:r>
              <w:rPr>
                <w:rFonts w:hint="eastAsia"/>
                <w:lang w:val="en-US" w:eastAsia="zh-CN"/>
              </w:rPr>
              <w:t>2</w:t>
            </w:r>
            <w:r>
              <w:t>。</w:t>
            </w:r>
          </w:p>
          <w:p>
            <w:pPr>
              <w:bidi w:val="0"/>
              <w:rPr>
                <w:rFonts w:hint="eastAsia"/>
                <w:b/>
                <w:bCs/>
                <w:lang w:val="en-US" w:eastAsia="zh-CN"/>
              </w:rPr>
            </w:pPr>
            <w:r>
              <w:rPr>
                <w:rFonts w:hint="eastAsia"/>
                <w:b/>
                <w:bCs/>
                <w:lang w:val="en-US" w:eastAsia="zh-CN"/>
              </w:rPr>
              <w:t>7</w:t>
            </w:r>
            <w:r>
              <w:rPr>
                <w:rFonts w:hint="eastAsia"/>
                <w:b/>
                <w:bCs/>
              </w:rPr>
              <w:t>、公用工程</w:t>
            </w:r>
          </w:p>
          <w:p>
            <w:pPr>
              <w:pStyle w:val="12"/>
              <w:bidi w:val="0"/>
            </w:pPr>
            <w:r>
              <w:t>（1）给水</w:t>
            </w:r>
          </w:p>
          <w:p>
            <w:pPr>
              <w:pStyle w:val="12"/>
              <w:bidi w:val="0"/>
              <w:rPr>
                <w:u w:val="single"/>
              </w:rPr>
            </w:pPr>
            <w:r>
              <w:rPr>
                <w:u w:val="single"/>
              </w:rPr>
              <w:t>项目给水源为市政自来水厂供水，</w:t>
            </w:r>
            <w:r>
              <w:rPr>
                <w:rFonts w:hint="eastAsia"/>
                <w:u w:val="single"/>
                <w:lang w:eastAsia="zh-CN"/>
              </w:rPr>
              <w:t>本项目不设置洗衣房，无洗衣用水。</w:t>
            </w:r>
            <w:r>
              <w:rPr>
                <w:u w:val="single"/>
              </w:rPr>
              <w:t>项目营运期总用水量为</w:t>
            </w:r>
            <w:r>
              <w:rPr>
                <w:rFonts w:hint="eastAsia"/>
                <w:u w:val="single"/>
                <w:lang w:val="en-US" w:eastAsia="zh-CN"/>
              </w:rPr>
              <w:t>57050.3</w:t>
            </w:r>
            <w:r>
              <w:rPr>
                <w:u w:val="single"/>
              </w:rPr>
              <w:t>m</w:t>
            </w:r>
            <w:r>
              <w:rPr>
                <w:rFonts w:hint="default" w:ascii="Times New Roman" w:hAnsi="Times New Roman" w:cs="Times New Roman"/>
                <w:u w:val="single"/>
              </w:rPr>
              <w:t>³</w:t>
            </w:r>
            <w:r>
              <w:rPr>
                <w:u w:val="single"/>
              </w:rPr>
              <w:t>/a，主要为医院</w:t>
            </w:r>
            <w:r>
              <w:rPr>
                <w:rFonts w:hint="eastAsia"/>
                <w:u w:val="single"/>
                <w:lang w:eastAsia="zh-CN"/>
              </w:rPr>
              <w:t>生活</w:t>
            </w:r>
            <w:r>
              <w:rPr>
                <w:u w:val="single"/>
              </w:rPr>
              <w:t>用水</w:t>
            </w:r>
            <w:r>
              <w:rPr>
                <w:rFonts w:hint="eastAsia"/>
                <w:u w:val="single"/>
                <w:lang w:eastAsia="zh-CN"/>
              </w:rPr>
              <w:t>（</w:t>
            </w:r>
            <w:r>
              <w:rPr>
                <w:u w:val="single"/>
              </w:rPr>
              <w:t>主要包括医务人员生活用水、病房用水</w:t>
            </w:r>
            <w:r>
              <w:rPr>
                <w:rFonts w:hint="eastAsia"/>
                <w:u w:val="single"/>
                <w:lang w:eastAsia="zh-CN"/>
              </w:rPr>
              <w:t>（包括病人和</w:t>
            </w:r>
            <w:r>
              <w:rPr>
                <w:rFonts w:hint="eastAsia"/>
                <w:u w:val="single"/>
                <w:lang w:val="en-US" w:eastAsia="zh-CN"/>
              </w:rPr>
              <w:t>1个陪护）</w:t>
            </w:r>
            <w:r>
              <w:rPr>
                <w:u w:val="single"/>
              </w:rPr>
              <w:t>、门急诊病人用水</w:t>
            </w:r>
            <w:r>
              <w:rPr>
                <w:rFonts w:hint="eastAsia"/>
                <w:u w:val="single"/>
                <w:lang w:eastAsia="zh-CN"/>
              </w:rPr>
              <w:t>）</w:t>
            </w:r>
            <w:r>
              <w:rPr>
                <w:u w:val="single"/>
              </w:rPr>
              <w:t>、</w:t>
            </w:r>
            <w:r>
              <w:rPr>
                <w:rFonts w:hint="eastAsia"/>
                <w:u w:val="single"/>
                <w:lang w:val="en-US" w:eastAsia="zh-CN"/>
              </w:rPr>
              <w:t>检验</w:t>
            </w:r>
            <w:r>
              <w:rPr>
                <w:u w:val="single"/>
              </w:rPr>
              <w:t>用水</w:t>
            </w:r>
            <w:r>
              <w:rPr>
                <w:rFonts w:hint="eastAsia"/>
                <w:u w:val="single"/>
                <w:lang w:eastAsia="zh-CN"/>
              </w:rPr>
              <w:t>、</w:t>
            </w:r>
            <w:r>
              <w:rPr>
                <w:rFonts w:hint="default" w:ascii="Times New Roman" w:hAnsi="Times New Roman" w:cs="Times New Roman"/>
                <w:u w:val="single"/>
                <w:lang w:val="en-US" w:eastAsia="zh-CN"/>
              </w:rPr>
              <w:t>煎药室用水</w:t>
            </w:r>
            <w:r>
              <w:rPr>
                <w:rFonts w:hint="eastAsia" w:cs="Times New Roman"/>
                <w:u w:val="single"/>
                <w:lang w:val="en-US" w:eastAsia="zh-CN"/>
              </w:rPr>
              <w:t>、</w:t>
            </w:r>
            <w:r>
              <w:rPr>
                <w:u w:val="single"/>
              </w:rPr>
              <w:t>食堂用水和绿化用水等</w:t>
            </w:r>
            <w:r>
              <w:rPr>
                <w:rFonts w:hint="eastAsia"/>
                <w:u w:val="single"/>
              </w:rPr>
              <w:t>。</w:t>
            </w:r>
            <w:r>
              <w:rPr>
                <w:u w:val="single"/>
              </w:rPr>
              <w:t>营运期用水量参照《建筑给水排水设计标准》(GB50015-2019)、《综合医院建筑设计规范》(GB51039-2014)、《湖南省用水定额》(DB43/T388-2020)等标准和技术规范推荐的系数或用水定额进行核算</w:t>
            </w:r>
            <w:r>
              <w:rPr>
                <w:rFonts w:hint="eastAsia"/>
                <w:u w:val="single"/>
                <w:lang w:eastAsia="zh-CN"/>
              </w:rPr>
              <w:t>。</w:t>
            </w:r>
            <w:r>
              <w:rPr>
                <w:u w:val="single"/>
              </w:rPr>
              <w:t>根据《医院污水处理工程技术规范》</w:t>
            </w:r>
            <w:r>
              <w:rPr>
                <w:rFonts w:hint="eastAsia"/>
                <w:u w:val="single"/>
                <w:lang w:eastAsia="zh-CN"/>
              </w:rPr>
              <w:t>（</w:t>
            </w:r>
            <w:r>
              <w:rPr>
                <w:u w:val="single"/>
              </w:rPr>
              <w:t>HJ2029-2013</w:t>
            </w:r>
            <w:r>
              <w:rPr>
                <w:rFonts w:hint="eastAsia"/>
                <w:u w:val="single"/>
                <w:lang w:eastAsia="zh-CN"/>
              </w:rPr>
              <w:t>）</w:t>
            </w:r>
            <w:r>
              <w:rPr>
                <w:u w:val="single"/>
              </w:rPr>
              <w:t>，医院污水处理工程设计水量可按照医院用水总量的 85%~95%确定，本评价按用水量的90%计算。</w:t>
            </w:r>
          </w:p>
          <w:p>
            <w:pPr>
              <w:pStyle w:val="12"/>
              <w:bidi w:val="0"/>
            </w:pPr>
            <w:r>
              <w:fldChar w:fldCharType="begin"/>
            </w:r>
            <w:r>
              <w:instrText xml:space="preserve">= 1 \* GB3</w:instrText>
            </w:r>
            <w:r>
              <w:fldChar w:fldCharType="separate"/>
            </w:r>
            <w:r>
              <w:t>①</w:t>
            </w:r>
            <w:r>
              <w:fldChar w:fldCharType="end"/>
            </w:r>
            <w:r>
              <w:t>门诊</w:t>
            </w:r>
            <w:r>
              <w:rPr>
                <w:rFonts w:hint="eastAsia"/>
                <w:lang w:val="en-US" w:eastAsia="zh-CN"/>
              </w:rPr>
              <w:t>用</w:t>
            </w:r>
            <w:r>
              <w:t>水</w:t>
            </w:r>
          </w:p>
          <w:p>
            <w:pPr>
              <w:pStyle w:val="12"/>
              <w:bidi w:val="0"/>
              <w:rPr>
                <w:rFonts w:hint="eastAsia"/>
              </w:rPr>
            </w:pPr>
            <w:r>
              <w:rPr>
                <w:rFonts w:hint="eastAsia"/>
              </w:rPr>
              <w:t>门诊量</w:t>
            </w:r>
            <w:r>
              <w:rPr>
                <w:rFonts w:hint="eastAsia"/>
                <w:lang w:val="en-US" w:eastAsia="zh-CN"/>
              </w:rPr>
              <w:t>约</w:t>
            </w:r>
            <w:r>
              <w:rPr>
                <w:rFonts w:hint="eastAsia"/>
              </w:rPr>
              <w:t>为</w:t>
            </w:r>
            <w:r>
              <w:rPr>
                <w:rFonts w:hint="eastAsia"/>
                <w:lang w:val="en-US" w:eastAsia="zh-CN"/>
              </w:rPr>
              <w:t>500</w:t>
            </w:r>
            <w:r>
              <w:rPr>
                <w:rFonts w:hint="eastAsia"/>
              </w:rPr>
              <w:t>人</w:t>
            </w:r>
            <w:r>
              <w:t>·</w:t>
            </w:r>
            <w:r>
              <w:rPr>
                <w:rFonts w:hint="eastAsia"/>
                <w:lang w:val="en-US" w:eastAsia="zh-CN"/>
              </w:rPr>
              <w:t>次</w:t>
            </w:r>
            <w:r>
              <w:rPr>
                <w:rFonts w:hint="eastAsia"/>
              </w:rPr>
              <w:t>/</w:t>
            </w:r>
            <w:r>
              <w:rPr>
                <w:rFonts w:hint="eastAsia"/>
                <w:lang w:val="en-US" w:eastAsia="zh-CN"/>
              </w:rPr>
              <w:t>d</w:t>
            </w:r>
            <w:r>
              <w:rPr>
                <w:rFonts w:hint="eastAsia"/>
              </w:rPr>
              <w:t>。门诊病人每人每次15</w:t>
            </w:r>
            <w:r>
              <w:t>L/d·人</w:t>
            </w:r>
            <w:r>
              <w:rPr>
                <w:rFonts w:hint="eastAsia"/>
              </w:rPr>
              <w:t>，则门诊病人用水量约为</w:t>
            </w:r>
            <w:r>
              <w:rPr>
                <w:rFonts w:hint="eastAsia"/>
                <w:lang w:val="en-US" w:eastAsia="zh-CN"/>
              </w:rPr>
              <w:t>7.5</w:t>
            </w:r>
            <w:r>
              <w:rPr>
                <w:rFonts w:hint="eastAsia"/>
              </w:rPr>
              <w:t>t/d（</w:t>
            </w:r>
            <w:r>
              <w:rPr>
                <w:rFonts w:hint="eastAsia"/>
                <w:lang w:val="en-US" w:eastAsia="zh-CN"/>
              </w:rPr>
              <w:t>2737.5</w:t>
            </w:r>
            <w:r>
              <w:rPr>
                <w:rFonts w:hint="eastAsia"/>
              </w:rPr>
              <w:t>t/a），污水排放系数取0.</w:t>
            </w:r>
            <w:r>
              <w:rPr>
                <w:rFonts w:hint="eastAsia"/>
                <w:lang w:val="en-US" w:eastAsia="zh-CN"/>
              </w:rPr>
              <w:t>9</w:t>
            </w:r>
            <w:r>
              <w:rPr>
                <w:rFonts w:hint="eastAsia"/>
              </w:rPr>
              <w:t>计，则污水排放量约为</w:t>
            </w:r>
            <w:r>
              <w:rPr>
                <w:rFonts w:hint="eastAsia"/>
                <w:lang w:val="en-US" w:eastAsia="zh-CN"/>
              </w:rPr>
              <w:t>6.75</w:t>
            </w:r>
            <w:r>
              <w:rPr>
                <w:rFonts w:hint="eastAsia"/>
              </w:rPr>
              <w:t>t/d（</w:t>
            </w:r>
            <w:r>
              <w:rPr>
                <w:rFonts w:hint="eastAsia"/>
                <w:lang w:val="en-US" w:eastAsia="zh-CN"/>
              </w:rPr>
              <w:t>2463.75</w:t>
            </w:r>
            <w:r>
              <w:rPr>
                <w:rFonts w:hint="eastAsia"/>
              </w:rPr>
              <w:t>t/a）。</w:t>
            </w:r>
          </w:p>
          <w:p>
            <w:pPr>
              <w:pStyle w:val="12"/>
              <w:bidi w:val="0"/>
            </w:pPr>
            <w:r>
              <w:t>②病房用水</w:t>
            </w:r>
          </w:p>
          <w:p>
            <w:pPr>
              <w:pStyle w:val="12"/>
              <w:bidi w:val="0"/>
              <w:rPr>
                <w:rFonts w:hint="eastAsia"/>
                <w:lang w:val="en-US" w:eastAsia="zh-CN"/>
              </w:rPr>
            </w:pPr>
            <w:r>
              <w:t>本项目</w:t>
            </w:r>
            <w:r>
              <w:rPr>
                <w:rFonts w:hint="eastAsia"/>
                <w:lang w:val="en-US" w:eastAsia="zh-CN"/>
              </w:rPr>
              <w:t>300</w:t>
            </w:r>
            <w:r>
              <w:rPr>
                <w:rFonts w:hint="eastAsia"/>
              </w:rPr>
              <w:t>张</w:t>
            </w:r>
            <w:r>
              <w:t>床位，病床每日用水系数取250L计算，则病房生活用水量约为</w:t>
            </w:r>
            <w:r>
              <w:rPr>
                <w:rFonts w:hint="eastAsia"/>
                <w:lang w:val="en-US" w:eastAsia="zh-CN"/>
              </w:rPr>
              <w:t>75</w:t>
            </w:r>
            <w:r>
              <w:t>t/d（</w:t>
            </w:r>
            <w:r>
              <w:rPr>
                <w:rFonts w:hint="eastAsia"/>
                <w:lang w:val="en-US" w:eastAsia="zh-CN"/>
              </w:rPr>
              <w:t>27375</w:t>
            </w:r>
            <w:r>
              <w:t>t/a），污水排放系数取0.</w:t>
            </w:r>
            <w:r>
              <w:rPr>
                <w:rFonts w:hint="eastAsia"/>
                <w:lang w:val="en-US" w:eastAsia="zh-CN"/>
              </w:rPr>
              <w:t>9</w:t>
            </w:r>
            <w:r>
              <w:t>计，则污水排放量约为</w:t>
            </w:r>
            <w:r>
              <w:rPr>
                <w:rFonts w:hint="eastAsia"/>
                <w:lang w:val="en-US" w:eastAsia="zh-CN"/>
              </w:rPr>
              <w:t>67.5</w:t>
            </w:r>
            <w:r>
              <w:t>t/d（</w:t>
            </w:r>
            <w:r>
              <w:rPr>
                <w:rFonts w:hint="eastAsia"/>
                <w:lang w:val="en-US" w:eastAsia="zh-CN"/>
              </w:rPr>
              <w:t>24637.5</w:t>
            </w:r>
            <w:r>
              <w:t>t/a）</w:t>
            </w:r>
            <w:r>
              <w:rPr>
                <w:rFonts w:hint="eastAsia"/>
                <w:lang w:val="en-US" w:eastAsia="zh-CN"/>
              </w:rPr>
              <w:t>.</w:t>
            </w:r>
          </w:p>
          <w:p>
            <w:pPr>
              <w:pStyle w:val="12"/>
              <w:bidi w:val="0"/>
              <w:rPr>
                <w:rFonts w:hint="eastAsia" w:eastAsia="宋体"/>
                <w:lang w:eastAsia="zh-CN"/>
              </w:rPr>
            </w:pPr>
            <w:r>
              <w:t>③</w:t>
            </w:r>
            <w:r>
              <w:rPr>
                <w:rFonts w:hint="eastAsia"/>
                <w:lang w:eastAsia="zh-CN"/>
              </w:rPr>
              <w:t>医务人员用水</w:t>
            </w:r>
          </w:p>
          <w:p>
            <w:pPr>
              <w:pStyle w:val="12"/>
              <w:bidi w:val="0"/>
            </w:pPr>
            <w:r>
              <w:t>医</w:t>
            </w:r>
            <w:r>
              <w:rPr>
                <w:rFonts w:hint="eastAsia"/>
                <w:lang w:eastAsia="zh-CN"/>
              </w:rPr>
              <w:t>务</w:t>
            </w:r>
            <w:r>
              <w:t>人员</w:t>
            </w:r>
            <w:r>
              <w:rPr>
                <w:rFonts w:hint="eastAsia"/>
                <w:lang w:val="en-US" w:eastAsia="zh-CN"/>
              </w:rPr>
              <w:t>360</w:t>
            </w:r>
            <w:r>
              <w:t>人，医务人员每人每班</w:t>
            </w:r>
            <w:r>
              <w:rPr>
                <w:rFonts w:hint="eastAsia"/>
                <w:lang w:val="en-US" w:eastAsia="zh-CN"/>
              </w:rPr>
              <w:t>150</w:t>
            </w:r>
            <w:r>
              <w:t>L，按365日计，则用水量约为</w:t>
            </w:r>
            <w:r>
              <w:rPr>
                <w:rFonts w:hint="eastAsia"/>
                <w:lang w:val="en-US" w:eastAsia="zh-CN"/>
              </w:rPr>
              <w:t>54</w:t>
            </w:r>
            <w:r>
              <w:t>t/d（</w:t>
            </w:r>
            <w:r>
              <w:rPr>
                <w:rFonts w:hint="eastAsia"/>
                <w:lang w:val="en-US" w:eastAsia="zh-CN"/>
              </w:rPr>
              <w:t>19710</w:t>
            </w:r>
            <w:r>
              <w:t>t/a），污水排放系数取0.</w:t>
            </w:r>
            <w:r>
              <w:rPr>
                <w:rFonts w:hint="eastAsia"/>
                <w:lang w:val="en-US" w:eastAsia="zh-CN"/>
              </w:rPr>
              <w:t>9</w:t>
            </w:r>
            <w:r>
              <w:t>计，则污水排放量约为</w:t>
            </w:r>
            <w:r>
              <w:rPr>
                <w:rFonts w:hint="eastAsia"/>
                <w:lang w:val="en-US" w:eastAsia="zh-CN"/>
              </w:rPr>
              <w:t>48.6</w:t>
            </w:r>
            <w:r>
              <w:t>t/d（</w:t>
            </w:r>
            <w:r>
              <w:rPr>
                <w:rFonts w:hint="eastAsia"/>
                <w:lang w:val="en-US" w:eastAsia="zh-CN"/>
              </w:rPr>
              <w:t>17739</w:t>
            </w:r>
            <w:r>
              <w:t>t/a）。</w:t>
            </w:r>
          </w:p>
          <w:p>
            <w:pPr>
              <w:pStyle w:val="12"/>
              <w:bidi w:val="0"/>
              <w:rPr>
                <w:rFonts w:hint="eastAsia"/>
                <w:lang w:eastAsia="zh-CN"/>
              </w:rPr>
            </w:pPr>
            <w:r>
              <w:rPr>
                <w:rFonts w:hint="eastAsia"/>
                <w:lang w:val="en-US" w:eastAsia="zh-CN"/>
              </w:rPr>
              <w:t>④</w:t>
            </w:r>
            <w:r>
              <w:rPr>
                <w:rFonts w:hint="eastAsia"/>
                <w:lang w:eastAsia="zh-CN"/>
              </w:rPr>
              <w:t>医院后勤职工用水</w:t>
            </w:r>
          </w:p>
          <w:p>
            <w:pPr>
              <w:pStyle w:val="12"/>
              <w:bidi w:val="0"/>
            </w:pPr>
            <w:r>
              <w:rPr>
                <w:rFonts w:hint="eastAsia"/>
                <w:lang w:eastAsia="zh-CN"/>
              </w:rPr>
              <w:t>后勤职工</w:t>
            </w:r>
            <w:r>
              <w:rPr>
                <w:rFonts w:hint="eastAsia"/>
                <w:lang w:val="en-US" w:eastAsia="zh-CN"/>
              </w:rPr>
              <w:t>90</w:t>
            </w:r>
            <w:r>
              <w:t>人，</w:t>
            </w:r>
            <w:r>
              <w:rPr>
                <w:rFonts w:hint="eastAsia"/>
                <w:lang w:eastAsia="zh-CN"/>
              </w:rPr>
              <w:t>后勤职工</w:t>
            </w:r>
            <w:r>
              <w:t>每人每班</w:t>
            </w:r>
            <w:r>
              <w:rPr>
                <w:rFonts w:hint="eastAsia"/>
                <w:lang w:val="en-US" w:eastAsia="zh-CN"/>
              </w:rPr>
              <w:t>80</w:t>
            </w:r>
            <w:r>
              <w:t>L，按365日计，则用水量约为</w:t>
            </w:r>
            <w:r>
              <w:rPr>
                <w:rFonts w:hint="eastAsia"/>
                <w:lang w:val="en-US" w:eastAsia="zh-CN"/>
              </w:rPr>
              <w:t>7.2</w:t>
            </w:r>
            <w:r>
              <w:t>t/d（</w:t>
            </w:r>
            <w:r>
              <w:rPr>
                <w:rFonts w:hint="eastAsia"/>
                <w:lang w:val="en-US" w:eastAsia="zh-CN"/>
              </w:rPr>
              <w:t>2628</w:t>
            </w:r>
            <w:r>
              <w:t>t/a），污水排放系数取0.</w:t>
            </w:r>
            <w:r>
              <w:rPr>
                <w:rFonts w:hint="eastAsia"/>
                <w:lang w:val="en-US" w:eastAsia="zh-CN"/>
              </w:rPr>
              <w:t>9</w:t>
            </w:r>
            <w:r>
              <w:t>计，则污水排放量约为</w:t>
            </w:r>
            <w:r>
              <w:rPr>
                <w:rFonts w:hint="eastAsia"/>
                <w:lang w:val="en-US" w:eastAsia="zh-CN"/>
              </w:rPr>
              <w:t>6.48</w:t>
            </w:r>
            <w:r>
              <w:t>t/d（</w:t>
            </w:r>
            <w:r>
              <w:rPr>
                <w:rFonts w:hint="eastAsia"/>
                <w:lang w:val="en-US" w:eastAsia="zh-CN"/>
              </w:rPr>
              <w:t>2365.2</w:t>
            </w:r>
            <w:r>
              <w:t>t/a）。</w:t>
            </w:r>
          </w:p>
          <w:p>
            <w:pPr>
              <w:pStyle w:val="12"/>
              <w:bidi w:val="0"/>
            </w:pPr>
            <w:r>
              <w:rPr>
                <w:rFonts w:hint="eastAsia"/>
                <w:lang w:val="en-US" w:eastAsia="zh-CN"/>
              </w:rPr>
              <w:t>⑤</w:t>
            </w:r>
            <w:r>
              <w:t>食堂用水</w:t>
            </w:r>
          </w:p>
          <w:p>
            <w:pPr>
              <w:pStyle w:val="12"/>
              <w:bidi w:val="0"/>
              <w:rPr>
                <w:rFonts w:hint="default"/>
                <w:lang w:eastAsia="zh-CN"/>
              </w:rPr>
            </w:pPr>
            <w:r>
              <w:rPr>
                <w:rFonts w:hint="default"/>
              </w:rPr>
              <w:t>根据建设单位提供的资料，</w:t>
            </w:r>
            <w:r>
              <w:rPr>
                <w:rFonts w:hint="default"/>
                <w:lang w:eastAsia="zh-CN"/>
              </w:rPr>
              <w:t>食堂</w:t>
            </w:r>
            <w:r>
              <w:rPr>
                <w:rFonts w:hint="default"/>
              </w:rPr>
              <w:t>就餐人数</w:t>
            </w:r>
            <w:r>
              <w:rPr>
                <w:rFonts w:hint="default"/>
                <w:lang w:eastAsia="zh-CN"/>
              </w:rPr>
              <w:t>按</w:t>
            </w:r>
            <w:r>
              <w:rPr>
                <w:rFonts w:hint="eastAsia"/>
                <w:lang w:val="en-US" w:eastAsia="zh-CN"/>
              </w:rPr>
              <w:t>500</w:t>
            </w:r>
            <w:r>
              <w:rPr>
                <w:rFonts w:hint="default"/>
              </w:rPr>
              <w:t>人</w:t>
            </w:r>
            <w:r>
              <w:rPr>
                <w:rFonts w:hint="default"/>
                <w:lang w:eastAsia="zh-CN"/>
              </w:rPr>
              <w:t>计</w:t>
            </w:r>
            <w:r>
              <w:rPr>
                <w:rFonts w:hint="default"/>
              </w:rPr>
              <w:t>，</w:t>
            </w:r>
            <w:r>
              <w:rPr>
                <w:rFonts w:hint="default"/>
                <w:lang w:val="en-US"/>
              </w:rPr>
              <w:t>本项目取2</w:t>
            </w:r>
            <w:r>
              <w:rPr>
                <w:rFonts w:hint="default"/>
                <w:lang w:val="en-US" w:eastAsia="zh-CN"/>
              </w:rPr>
              <w:t>0</w:t>
            </w:r>
            <w:r>
              <w:rPr>
                <w:rFonts w:hint="default"/>
                <w:lang w:val="en-US"/>
              </w:rPr>
              <w:t>L/人</w:t>
            </w:r>
            <w:r>
              <w:rPr>
                <w:rFonts w:hint="default"/>
              </w:rPr>
              <w:t>，则本项目食堂用水量</w:t>
            </w:r>
            <w:r>
              <w:t>约为</w:t>
            </w:r>
            <w:r>
              <w:rPr>
                <w:rFonts w:hint="eastAsia"/>
                <w:lang w:val="en-US" w:eastAsia="zh-CN"/>
              </w:rPr>
              <w:t>1</w:t>
            </w:r>
            <w:r>
              <w:t>t/d（</w:t>
            </w:r>
            <w:r>
              <w:rPr>
                <w:rFonts w:hint="eastAsia"/>
                <w:lang w:val="en-US" w:eastAsia="zh-CN"/>
              </w:rPr>
              <w:t>365</w:t>
            </w:r>
            <w:r>
              <w:t>t/a），污水排放系数取0.</w:t>
            </w:r>
            <w:r>
              <w:rPr>
                <w:rFonts w:hint="eastAsia"/>
                <w:lang w:val="en-US" w:eastAsia="zh-CN"/>
              </w:rPr>
              <w:t>9</w:t>
            </w:r>
            <w:r>
              <w:t>计，则污水排放量约为</w:t>
            </w:r>
            <w:r>
              <w:rPr>
                <w:rFonts w:hint="eastAsia"/>
                <w:lang w:val="en-US" w:eastAsia="zh-CN"/>
              </w:rPr>
              <w:t>0.9</w:t>
            </w:r>
            <w:r>
              <w:t>t/d（</w:t>
            </w:r>
            <w:r>
              <w:rPr>
                <w:rFonts w:hint="eastAsia"/>
                <w:lang w:val="en-US" w:eastAsia="zh-CN"/>
              </w:rPr>
              <w:t>328.5</w:t>
            </w:r>
            <w:r>
              <w:t>t/a）</w:t>
            </w:r>
            <w:r>
              <w:rPr>
                <w:rFonts w:hint="default"/>
                <w:lang w:eastAsia="zh-CN"/>
              </w:rPr>
              <w:t>。</w:t>
            </w:r>
          </w:p>
          <w:p>
            <w:pPr>
              <w:pStyle w:val="12"/>
              <w:bidi w:val="0"/>
              <w:rPr>
                <w:rFonts w:hint="eastAsia"/>
                <w:lang w:eastAsia="zh-CN"/>
              </w:rPr>
            </w:pPr>
            <w:r>
              <w:rPr>
                <w:rFonts w:hint="eastAsia"/>
                <w:lang w:val="en-US" w:eastAsia="zh-CN"/>
              </w:rPr>
              <w:t>⑥</w:t>
            </w:r>
            <w:r>
              <w:t>地面保洁用</w:t>
            </w:r>
            <w:r>
              <w:rPr>
                <w:rFonts w:hint="eastAsia"/>
                <w:lang w:eastAsia="zh-CN"/>
              </w:rPr>
              <w:t>水</w:t>
            </w:r>
          </w:p>
          <w:p>
            <w:pPr>
              <w:pStyle w:val="12"/>
              <w:bidi w:val="0"/>
            </w:pPr>
            <w:r>
              <w:rPr>
                <w:rFonts w:hint="eastAsia"/>
                <w:lang w:val="en-US" w:eastAsia="zh-CN"/>
              </w:rPr>
              <w:t>院区</w:t>
            </w:r>
            <w:r>
              <w:t>建筑面积约为</w:t>
            </w:r>
            <w:r>
              <w:rPr>
                <w:rFonts w:hint="eastAsia"/>
                <w:lang w:val="en-US" w:eastAsia="zh-CN"/>
              </w:rPr>
              <w:t>44300</w:t>
            </w:r>
            <w:r>
              <w:t>m</w:t>
            </w:r>
            <w:r>
              <w:rPr>
                <w:rFonts w:hint="default" w:ascii="Times New Roman" w:hAnsi="Times New Roman" w:cs="Times New Roman"/>
              </w:rPr>
              <w:t>²</w:t>
            </w:r>
            <w:r>
              <w:t>，用水系数按照0.25L/m</w:t>
            </w:r>
            <w:r>
              <w:rPr>
                <w:rFonts w:hint="default" w:ascii="Times New Roman" w:hAnsi="Times New Roman" w:cs="Times New Roman"/>
              </w:rPr>
              <w:t>²</w:t>
            </w:r>
            <w:r>
              <w:t>·d，则地面保洁用水量约为</w:t>
            </w:r>
            <w:r>
              <w:rPr>
                <w:rFonts w:hint="eastAsia"/>
                <w:lang w:val="en-US" w:eastAsia="zh-CN"/>
              </w:rPr>
              <w:t>11.0</w:t>
            </w:r>
            <w:r>
              <w:t>t/d（</w:t>
            </w:r>
            <w:r>
              <w:rPr>
                <w:rFonts w:hint="eastAsia"/>
                <w:lang w:val="en-US" w:eastAsia="zh-CN"/>
              </w:rPr>
              <w:t>4015</w:t>
            </w:r>
            <w:r>
              <w:t>t/a），污水排放系数按照0.9计算，则保洁废水产生量约为</w:t>
            </w:r>
            <w:r>
              <w:rPr>
                <w:rFonts w:hint="eastAsia"/>
                <w:lang w:val="en-US" w:eastAsia="zh-CN"/>
              </w:rPr>
              <w:t>9.9</w:t>
            </w:r>
            <w:r>
              <w:t>t/d（</w:t>
            </w:r>
            <w:r>
              <w:rPr>
                <w:rFonts w:hint="eastAsia"/>
                <w:lang w:val="en-US" w:eastAsia="zh-CN"/>
              </w:rPr>
              <w:t>3613.5</w:t>
            </w:r>
            <w:r>
              <w:t>t/a）。</w:t>
            </w:r>
          </w:p>
          <w:p>
            <w:pPr>
              <w:pStyle w:val="12"/>
              <w:bidi w:val="0"/>
            </w:pPr>
            <w:r>
              <w:rPr>
                <w:rFonts w:hint="eastAsia"/>
                <w:lang w:val="en-US" w:eastAsia="zh-CN"/>
              </w:rPr>
              <w:t>⑦</w:t>
            </w:r>
            <w:r>
              <w:t>检验废水为特殊的医疗废水</w:t>
            </w:r>
          </w:p>
          <w:p>
            <w:pPr>
              <w:pStyle w:val="12"/>
              <w:bidi w:val="0"/>
            </w:pPr>
            <w:r>
              <w:rPr>
                <w:rFonts w:hint="eastAsia"/>
              </w:rPr>
              <w:t>根据《医院污水处理工程技术规范》</w:t>
            </w:r>
            <w:r>
              <w:rPr>
                <w:rFonts w:hint="eastAsia"/>
                <w:lang w:eastAsia="zh-CN"/>
              </w:rPr>
              <w:t>（</w:t>
            </w:r>
            <w:r>
              <w:rPr>
                <w:rFonts w:hint="eastAsia"/>
              </w:rPr>
              <w:t>HJ2029-2013</w:t>
            </w:r>
            <w:r>
              <w:rPr>
                <w:rFonts w:hint="eastAsia"/>
                <w:lang w:eastAsia="zh-CN"/>
              </w:rPr>
              <w:t>）</w:t>
            </w:r>
            <w:r>
              <w:rPr>
                <w:rFonts w:hint="eastAsia"/>
              </w:rPr>
              <w:t>，特殊性质污水应单独收集，经预处理后与医院污水合并处理。不得将酸性废水随意排入下水道。经核实，本项目在病理、血液检查和化验中不使用含重铬酸钾、三氧化铬、铬酸钾、氰化物等试剂，因此化验废水不含铬、氰化物等污染物，故检验时产生少量的酸性废水</w:t>
            </w:r>
            <w:r>
              <w:rPr>
                <w:rFonts w:hint="eastAsia"/>
                <w:lang w:eastAsia="zh-CN"/>
              </w:rPr>
              <w:t>。</w:t>
            </w:r>
            <w:r>
              <w:t>根据院方统计，检测化验用水量约为1L/人·次，人数约为最大就诊人数（</w:t>
            </w:r>
            <w:r>
              <w:rPr>
                <w:rFonts w:hint="eastAsia"/>
                <w:lang w:val="en-US" w:eastAsia="zh-CN"/>
              </w:rPr>
              <w:t>500</w:t>
            </w:r>
            <w:r>
              <w:t>人·次/</w:t>
            </w:r>
            <w:r>
              <w:rPr>
                <w:rFonts w:hint="eastAsia"/>
                <w:lang w:val="en-US" w:eastAsia="zh-CN"/>
              </w:rPr>
              <w:t>d</w:t>
            </w:r>
            <w:r>
              <w:t>）的</w:t>
            </w:r>
            <w:r>
              <w:rPr>
                <w:rFonts w:hint="eastAsia"/>
                <w:lang w:val="en-US" w:eastAsia="zh-CN"/>
              </w:rPr>
              <w:t>6</w:t>
            </w:r>
            <w:r>
              <w:t>0%计算，则检验科用水量为</w:t>
            </w:r>
            <w:r>
              <w:rPr>
                <w:rFonts w:hint="eastAsia"/>
                <w:lang w:val="en-US" w:eastAsia="zh-CN"/>
              </w:rPr>
              <w:t>0.3</w:t>
            </w:r>
            <w:r>
              <w:t>t/d（</w:t>
            </w:r>
            <w:r>
              <w:rPr>
                <w:rFonts w:hint="eastAsia"/>
                <w:lang w:val="en-US" w:eastAsia="zh-CN"/>
              </w:rPr>
              <w:t>109.5</w:t>
            </w:r>
            <w:r>
              <w:t>t/a）。产生量较少，</w:t>
            </w:r>
            <w:r>
              <w:rPr>
                <w:rFonts w:hint="eastAsia"/>
              </w:rPr>
              <w:t>经</w:t>
            </w:r>
            <w:r>
              <w:rPr>
                <w:rFonts w:hint="eastAsia"/>
                <w:lang w:val="en-US" w:eastAsia="zh-CN"/>
              </w:rPr>
              <w:t>中和</w:t>
            </w:r>
            <w:r>
              <w:rPr>
                <w:rFonts w:hint="eastAsia"/>
              </w:rPr>
              <w:t>处理后与医院污水合并处理</w:t>
            </w:r>
            <w:r>
              <w:t>。</w:t>
            </w:r>
          </w:p>
          <w:p>
            <w:pPr>
              <w:pStyle w:val="12"/>
              <w:bidi w:val="0"/>
              <w:rPr>
                <w:rFonts w:hint="default" w:ascii="Times New Roman" w:hAnsi="Times New Roman" w:cs="Times New Roman"/>
                <w:lang w:val="en-US" w:eastAsia="zh-CN"/>
              </w:rPr>
            </w:pPr>
            <w:r>
              <w:rPr>
                <w:rFonts w:hint="default" w:ascii="Times New Roman" w:hAnsi="Times New Roman" w:cs="Times New Roman"/>
                <w:lang w:val="en-US" w:eastAsia="zh-CN"/>
              </w:rPr>
              <w:t>⑧煎药室用水</w:t>
            </w:r>
          </w:p>
          <w:p>
            <w:pPr>
              <w:pStyle w:val="12"/>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 包含熬制中药用水、药材预清洗用水、设备清洗用水。</w:t>
            </w:r>
          </w:p>
          <w:p>
            <w:pPr>
              <w:pStyle w:val="12"/>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 项目中药材用自来水进行熬煮，中药熬煮每次加水量约为中药材用量的3倍，根据建设单位提供的资料，项目熬煮用水量为</w:t>
            </w:r>
            <w:r>
              <w:rPr>
                <w:rFonts w:hint="eastAsia"/>
                <w:lang w:val="en-US" w:eastAsia="zh-CN"/>
              </w:rPr>
              <w:t>30</w:t>
            </w:r>
            <w:r>
              <w:rPr>
                <w:rFonts w:hint="default" w:ascii="Times New Roman" w:hAnsi="Times New Roman" w:cs="Times New Roman"/>
                <w:lang w:val="en-US" w:eastAsia="zh-CN"/>
              </w:rPr>
              <w:t>m³/a，该部分用水进入成品中药药包及少量蒸发，不产生废水；项目熬药设备、容器进行清洗，清洁频率为每天一次。设备清洗2遍。设备清洗自来水用量约为0.2m³/d，</w:t>
            </w:r>
            <w:r>
              <w:rPr>
                <w:rFonts w:hint="eastAsia" w:ascii="Times New Roman" w:hAnsi="Times New Roman" w:cs="Times New Roman"/>
                <w:lang w:val="en-US" w:eastAsia="zh-CN"/>
              </w:rPr>
              <w:t>73</w:t>
            </w:r>
            <w:r>
              <w:rPr>
                <w:rFonts w:hint="default" w:ascii="Times New Roman" w:hAnsi="Times New Roman" w:cs="Times New Roman"/>
                <w:lang w:val="en-US" w:eastAsia="zh-CN"/>
              </w:rPr>
              <w:t>m³/a；药材在进行熬煮前需用自来水进行预清洗。清洗目的主要是为了去除药材表面浮沉等，类比同类型项目，项目预清洗药材水用量为</w:t>
            </w:r>
            <w:r>
              <w:rPr>
                <w:rFonts w:hint="eastAsia"/>
                <w:lang w:val="en-US" w:eastAsia="zh-CN"/>
              </w:rPr>
              <w:t>0.02</w:t>
            </w:r>
            <w:r>
              <w:rPr>
                <w:rFonts w:hint="default" w:ascii="Times New Roman" w:hAnsi="Times New Roman" w:cs="Times New Roman"/>
                <w:lang w:val="en-US" w:eastAsia="zh-CN"/>
              </w:rPr>
              <w:t>m³/d。则煎药室清洗用水总量为0.22m³/d，</w:t>
            </w:r>
            <w:r>
              <w:rPr>
                <w:rFonts w:hint="eastAsia" w:ascii="Times New Roman" w:hAnsi="Times New Roman" w:cs="Times New Roman"/>
                <w:lang w:val="en-US" w:eastAsia="zh-CN"/>
              </w:rPr>
              <w:t>80.3</w:t>
            </w:r>
            <w:r>
              <w:rPr>
                <w:rFonts w:hint="default" w:ascii="Times New Roman" w:hAnsi="Times New Roman" w:cs="Times New Roman"/>
                <w:lang w:val="en-US" w:eastAsia="zh-CN"/>
              </w:rPr>
              <w:t>m³/a，药材预清洗用水、设备清洗用水废水产生系数按0.9计算，则污水产生量为</w:t>
            </w:r>
            <w:r>
              <w:rPr>
                <w:rFonts w:hint="eastAsia" w:ascii="Times New Roman" w:hAnsi="Times New Roman" w:cs="Times New Roman"/>
                <w:lang w:val="en-US" w:eastAsia="zh-CN"/>
              </w:rPr>
              <w:t>0.198</w:t>
            </w:r>
            <w:r>
              <w:rPr>
                <w:rFonts w:hint="default" w:ascii="Times New Roman" w:hAnsi="Times New Roman" w:cs="Times New Roman"/>
                <w:lang w:val="en-US" w:eastAsia="zh-CN"/>
              </w:rPr>
              <w:t>m³/d，</w:t>
            </w:r>
            <w:r>
              <w:rPr>
                <w:rFonts w:hint="eastAsia" w:ascii="Times New Roman" w:hAnsi="Times New Roman" w:cs="Times New Roman"/>
                <w:lang w:val="en-US" w:eastAsia="zh-CN"/>
              </w:rPr>
              <w:t>72.27</w:t>
            </w:r>
            <w:r>
              <w:rPr>
                <w:rFonts w:hint="default" w:ascii="Times New Roman" w:hAnsi="Times New Roman" w:cs="Times New Roman"/>
                <w:lang w:val="en-US" w:eastAsia="zh-CN"/>
              </w:rPr>
              <w:t>m³/a。</w:t>
            </w:r>
          </w:p>
          <w:p>
            <w:pPr>
              <w:pStyle w:val="12"/>
              <w:bidi w:val="0"/>
              <w:rPr>
                <w:rFonts w:hint="eastAsia"/>
                <w:lang w:eastAsia="zh-CN"/>
              </w:rPr>
            </w:pPr>
            <w:r>
              <w:t>项目营运期具体用水情况见</w:t>
            </w:r>
            <w:r>
              <w:rPr>
                <w:rFonts w:hint="eastAsia"/>
                <w:lang w:eastAsia="zh-CN"/>
              </w:rPr>
              <w:t>下</w:t>
            </w:r>
            <w:r>
              <w:t>表</w:t>
            </w:r>
            <w:r>
              <w:rPr>
                <w:rFonts w:hint="eastAsia"/>
                <w:lang w:eastAsia="zh-CN"/>
              </w:rPr>
              <w:t>。</w:t>
            </w:r>
          </w:p>
          <w:p>
            <w:pPr>
              <w:pStyle w:val="29"/>
              <w:bidi w:val="0"/>
              <w:rPr>
                <w:u w:val="single"/>
              </w:rPr>
            </w:pPr>
            <w:r>
              <w:rPr>
                <w:u w:val="single"/>
              </w:rPr>
              <w:t>表</w:t>
            </w:r>
            <w:r>
              <w:rPr>
                <w:rFonts w:hint="eastAsia"/>
                <w:u w:val="single"/>
                <w:lang w:val="en-US" w:eastAsia="zh-CN"/>
              </w:rPr>
              <w:t>2.1-5</w:t>
            </w:r>
            <w:r>
              <w:rPr>
                <w:u w:val="single"/>
              </w:rPr>
              <w:t xml:space="preserve"> 本工程用排水量一览表</w:t>
            </w:r>
          </w:p>
          <w:tbl>
            <w:tblPr>
              <w:tblStyle w:val="27"/>
              <w:tblW w:w="902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1"/>
              <w:gridCol w:w="1246"/>
              <w:gridCol w:w="1010"/>
              <w:gridCol w:w="953"/>
              <w:gridCol w:w="953"/>
              <w:gridCol w:w="1289"/>
              <w:gridCol w:w="19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81" w:type="dxa"/>
                  <w:vMerge w:val="restart"/>
                  <w:tcBorders>
                    <w:top w:val="single" w:color="auto" w:sz="6" w:space="0"/>
                    <w:left w:val="single" w:color="auto" w:sz="6" w:space="0"/>
                    <w:bottom w:val="single" w:color="auto" w:sz="6" w:space="0"/>
                    <w:right w:val="single" w:color="auto" w:sz="6" w:space="0"/>
                  </w:tcBorders>
                  <w:noWrap w:val="0"/>
                  <w:vAlign w:val="center"/>
                </w:tcPr>
                <w:p>
                  <w:pPr>
                    <w:pStyle w:val="30"/>
                    <w:bidi w:val="0"/>
                  </w:pPr>
                  <w:r>
                    <w:t>用水单位</w:t>
                  </w:r>
                </w:p>
              </w:tc>
              <w:tc>
                <w:tcPr>
                  <w:tcW w:w="1246" w:type="dxa"/>
                  <w:vMerge w:val="restart"/>
                  <w:tcBorders>
                    <w:top w:val="single" w:color="auto" w:sz="6" w:space="0"/>
                    <w:left w:val="single" w:color="auto" w:sz="6" w:space="0"/>
                    <w:bottom w:val="single" w:color="auto" w:sz="6" w:space="0"/>
                    <w:right w:val="single" w:color="auto" w:sz="6" w:space="0"/>
                  </w:tcBorders>
                  <w:noWrap w:val="0"/>
                  <w:vAlign w:val="center"/>
                </w:tcPr>
                <w:p>
                  <w:pPr>
                    <w:pStyle w:val="30"/>
                    <w:bidi w:val="0"/>
                  </w:pPr>
                  <w:r>
                    <w:t>用水定额</w:t>
                  </w:r>
                </w:p>
              </w:tc>
              <w:tc>
                <w:tcPr>
                  <w:tcW w:w="1010" w:type="dxa"/>
                  <w:vMerge w:val="restart"/>
                  <w:tcBorders>
                    <w:top w:val="single" w:color="auto" w:sz="6" w:space="0"/>
                    <w:left w:val="single" w:color="auto" w:sz="6" w:space="0"/>
                    <w:bottom w:val="single" w:color="auto" w:sz="6" w:space="0"/>
                    <w:right w:val="single" w:color="auto" w:sz="6" w:space="0"/>
                  </w:tcBorders>
                  <w:noWrap w:val="0"/>
                  <w:vAlign w:val="center"/>
                </w:tcPr>
                <w:p>
                  <w:pPr>
                    <w:pStyle w:val="30"/>
                    <w:bidi w:val="0"/>
                  </w:pPr>
                  <w:r>
                    <w:t>用水单位数</w:t>
                  </w:r>
                </w:p>
              </w:tc>
              <w:tc>
                <w:tcPr>
                  <w:tcW w:w="953" w:type="dxa"/>
                  <w:vMerge w:val="restart"/>
                  <w:tcBorders>
                    <w:top w:val="single" w:color="auto" w:sz="6" w:space="0"/>
                    <w:left w:val="single" w:color="auto" w:sz="6" w:space="0"/>
                    <w:bottom w:val="single" w:color="auto" w:sz="6" w:space="0"/>
                    <w:right w:val="single" w:color="auto" w:sz="6" w:space="0"/>
                  </w:tcBorders>
                  <w:noWrap w:val="0"/>
                  <w:vAlign w:val="center"/>
                </w:tcPr>
                <w:p>
                  <w:pPr>
                    <w:pStyle w:val="30"/>
                    <w:bidi w:val="0"/>
                  </w:pPr>
                  <w:r>
                    <w:t>使用时间(天)</w:t>
                  </w:r>
                </w:p>
              </w:tc>
              <w:tc>
                <w:tcPr>
                  <w:tcW w:w="2242" w:type="dxa"/>
                  <w:gridSpan w:val="2"/>
                  <w:tcBorders>
                    <w:top w:val="single" w:color="auto" w:sz="6" w:space="0"/>
                    <w:left w:val="single" w:color="auto" w:sz="6" w:space="0"/>
                    <w:bottom w:val="single" w:color="auto" w:sz="6" w:space="0"/>
                    <w:right w:val="single" w:color="auto" w:sz="6" w:space="0"/>
                  </w:tcBorders>
                  <w:noWrap w:val="0"/>
                  <w:vAlign w:val="center"/>
                </w:tcPr>
                <w:p>
                  <w:pPr>
                    <w:pStyle w:val="30"/>
                    <w:bidi w:val="0"/>
                  </w:pPr>
                  <w:r>
                    <w:t>用水量(m³/d)</w:t>
                  </w:r>
                </w:p>
              </w:tc>
              <w:tc>
                <w:tcPr>
                  <w:tcW w:w="1993"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排水量(m³/a)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81" w:type="dxa"/>
                  <w:vMerge w:val="continue"/>
                  <w:tcBorders>
                    <w:top w:val="single" w:color="auto" w:sz="6" w:space="0"/>
                    <w:left w:val="single" w:color="auto" w:sz="6" w:space="0"/>
                    <w:bottom w:val="single" w:color="auto" w:sz="6" w:space="0"/>
                    <w:right w:val="single" w:color="auto" w:sz="6" w:space="0"/>
                  </w:tcBorders>
                  <w:noWrap w:val="0"/>
                  <w:vAlign w:val="center"/>
                </w:tcPr>
                <w:p>
                  <w:pPr>
                    <w:pStyle w:val="30"/>
                    <w:bidi w:val="0"/>
                  </w:pPr>
                </w:p>
              </w:tc>
              <w:tc>
                <w:tcPr>
                  <w:tcW w:w="1246" w:type="dxa"/>
                  <w:vMerge w:val="continue"/>
                  <w:tcBorders>
                    <w:top w:val="single" w:color="auto" w:sz="6" w:space="0"/>
                    <w:left w:val="single" w:color="auto" w:sz="6" w:space="0"/>
                    <w:bottom w:val="single" w:color="auto" w:sz="6" w:space="0"/>
                    <w:right w:val="single" w:color="auto" w:sz="6" w:space="0"/>
                  </w:tcBorders>
                  <w:noWrap w:val="0"/>
                  <w:vAlign w:val="center"/>
                </w:tcPr>
                <w:p>
                  <w:pPr>
                    <w:pStyle w:val="30"/>
                    <w:bidi w:val="0"/>
                  </w:pPr>
                </w:p>
              </w:tc>
              <w:tc>
                <w:tcPr>
                  <w:tcW w:w="1010" w:type="dxa"/>
                  <w:vMerge w:val="continue"/>
                  <w:tcBorders>
                    <w:top w:val="single" w:color="auto" w:sz="6" w:space="0"/>
                    <w:left w:val="single" w:color="auto" w:sz="6" w:space="0"/>
                    <w:bottom w:val="single" w:color="auto" w:sz="6" w:space="0"/>
                    <w:right w:val="single" w:color="auto" w:sz="6" w:space="0"/>
                  </w:tcBorders>
                  <w:noWrap w:val="0"/>
                  <w:vAlign w:val="center"/>
                </w:tcPr>
                <w:p>
                  <w:pPr>
                    <w:pStyle w:val="30"/>
                    <w:bidi w:val="0"/>
                  </w:pPr>
                </w:p>
              </w:tc>
              <w:tc>
                <w:tcPr>
                  <w:tcW w:w="953" w:type="dxa"/>
                  <w:vMerge w:val="continue"/>
                  <w:tcBorders>
                    <w:top w:val="single" w:color="auto" w:sz="6" w:space="0"/>
                    <w:left w:val="single" w:color="auto" w:sz="6" w:space="0"/>
                    <w:bottom w:val="single" w:color="auto" w:sz="6" w:space="0"/>
                    <w:right w:val="single" w:color="auto" w:sz="6" w:space="0"/>
                  </w:tcBorders>
                  <w:noWrap w:val="0"/>
                  <w:vAlign w:val="center"/>
                </w:tcPr>
                <w:p>
                  <w:pPr>
                    <w:pStyle w:val="30"/>
                    <w:bidi w:val="0"/>
                  </w:pPr>
                </w:p>
              </w:tc>
              <w:tc>
                <w:tcPr>
                  <w:tcW w:w="953"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日用水量</w:t>
                  </w:r>
                </w:p>
              </w:tc>
              <w:tc>
                <w:tcPr>
                  <w:tcW w:w="1289"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年用水量</w:t>
                  </w:r>
                </w:p>
              </w:tc>
              <w:tc>
                <w:tcPr>
                  <w:tcW w:w="1993"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年排水量</w:t>
                  </w:r>
                  <w:r>
                    <w:rPr>
                      <w:rFonts w:hint="eastAsia"/>
                    </w:rPr>
                    <w:t>（以用水量</w:t>
                  </w:r>
                  <w:r>
                    <w:rPr>
                      <w:rFonts w:hint="eastAsia"/>
                      <w:lang w:val="en-US" w:eastAsia="zh-CN"/>
                    </w:rPr>
                    <w:t>90</w:t>
                  </w:r>
                  <w:r>
                    <w:rPr>
                      <w:rFonts w:hint="eastAsia"/>
                    </w:rPr>
                    <w:t>%计）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81" w:type="dxa"/>
                  <w:tcBorders>
                    <w:top w:val="single" w:color="auto" w:sz="6" w:space="0"/>
                    <w:left w:val="single" w:color="auto" w:sz="6" w:space="0"/>
                    <w:bottom w:val="single" w:color="auto" w:sz="6" w:space="0"/>
                    <w:right w:val="single" w:color="auto" w:sz="6" w:space="0"/>
                  </w:tcBorders>
                  <w:noWrap w:val="0"/>
                  <w:vAlign w:val="center"/>
                </w:tcPr>
                <w:p>
                  <w:pPr>
                    <w:pStyle w:val="30"/>
                    <w:bidi w:val="0"/>
                  </w:pPr>
                  <w:bookmarkStart w:id="36" w:name="OLE_LINK1" w:colFirst="6" w:colLast="6"/>
                  <w:r>
                    <w:t>病房用水</w:t>
                  </w:r>
                </w:p>
              </w:tc>
              <w:tc>
                <w:tcPr>
                  <w:tcW w:w="1246"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rPr>
                      <w:rFonts w:hint="eastAsia"/>
                    </w:rPr>
                    <w:t>25</w:t>
                  </w:r>
                  <w:r>
                    <w:t>0L/床·d</w:t>
                  </w:r>
                </w:p>
              </w:tc>
              <w:tc>
                <w:tcPr>
                  <w:tcW w:w="1010"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eastAsia"/>
                    </w:rPr>
                  </w:pPr>
                  <w:r>
                    <w:rPr>
                      <w:rFonts w:hint="eastAsia"/>
                      <w:lang w:val="en-US" w:eastAsia="zh-CN"/>
                    </w:rPr>
                    <w:t>300</w:t>
                  </w:r>
                  <w:r>
                    <w:rPr>
                      <w:rFonts w:hint="eastAsia"/>
                    </w:rPr>
                    <w:t>床</w:t>
                  </w:r>
                </w:p>
              </w:tc>
              <w:tc>
                <w:tcPr>
                  <w:tcW w:w="953"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365</w:t>
                  </w:r>
                </w:p>
              </w:tc>
              <w:tc>
                <w:tcPr>
                  <w:tcW w:w="953"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75</w:t>
                  </w:r>
                </w:p>
              </w:tc>
              <w:tc>
                <w:tcPr>
                  <w:tcW w:w="1289"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rPr>
                      <w:rFonts w:hint="eastAsia"/>
                      <w:lang w:val="en-US" w:eastAsia="zh-CN"/>
                    </w:rPr>
                    <w:t>27375</w:t>
                  </w:r>
                </w:p>
              </w:tc>
              <w:tc>
                <w:tcPr>
                  <w:tcW w:w="1993"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rPr>
                      <w:rFonts w:hint="eastAsia"/>
                      <w:lang w:val="en-US" w:eastAsia="zh-CN"/>
                    </w:rPr>
                    <w:t>24637.5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81"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门诊用水</w:t>
                  </w:r>
                </w:p>
              </w:tc>
              <w:tc>
                <w:tcPr>
                  <w:tcW w:w="1246"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15L/d·人</w:t>
                  </w:r>
                </w:p>
              </w:tc>
              <w:tc>
                <w:tcPr>
                  <w:tcW w:w="1010"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rPr>
                      <w:rFonts w:hint="eastAsia"/>
                      <w:lang w:val="en-US" w:eastAsia="zh-CN"/>
                    </w:rPr>
                    <w:t>500</w:t>
                  </w:r>
                  <w:r>
                    <w:t>人</w:t>
                  </w:r>
                </w:p>
              </w:tc>
              <w:tc>
                <w:tcPr>
                  <w:tcW w:w="953"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365</w:t>
                  </w:r>
                </w:p>
              </w:tc>
              <w:tc>
                <w:tcPr>
                  <w:tcW w:w="953"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7.5</w:t>
                  </w:r>
                </w:p>
              </w:tc>
              <w:tc>
                <w:tcPr>
                  <w:tcW w:w="1289"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rPr>
                      <w:rFonts w:hint="eastAsia"/>
                      <w:lang w:val="en-US" w:eastAsia="zh-CN"/>
                    </w:rPr>
                    <w:t>2737.5</w:t>
                  </w:r>
                </w:p>
              </w:tc>
              <w:tc>
                <w:tcPr>
                  <w:tcW w:w="1993"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rPr>
                      <w:rFonts w:hint="eastAsia"/>
                      <w:lang w:val="en-US" w:eastAsia="zh-CN"/>
                    </w:rPr>
                    <w:t>2463.75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1581"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医</w:t>
                  </w:r>
                  <w:r>
                    <w:rPr>
                      <w:rFonts w:hint="eastAsia"/>
                      <w:lang w:eastAsia="zh-CN"/>
                    </w:rPr>
                    <w:t>务</w:t>
                  </w:r>
                  <w:r>
                    <w:t>人员用水</w:t>
                  </w:r>
                </w:p>
              </w:tc>
              <w:tc>
                <w:tcPr>
                  <w:tcW w:w="1246"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rPr>
                      <w:rFonts w:hint="eastAsia"/>
                      <w:lang w:val="en-US" w:eastAsia="zh-CN"/>
                    </w:rPr>
                    <w:t>150</w:t>
                  </w:r>
                  <w:r>
                    <w:t>L/d·人</w:t>
                  </w:r>
                </w:p>
              </w:tc>
              <w:tc>
                <w:tcPr>
                  <w:tcW w:w="1010"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rPr>
                      <w:rFonts w:hint="eastAsia"/>
                      <w:lang w:val="en-US" w:eastAsia="zh-CN"/>
                    </w:rPr>
                    <w:t>360</w:t>
                  </w:r>
                  <w:r>
                    <w:t>人</w:t>
                  </w:r>
                </w:p>
              </w:tc>
              <w:tc>
                <w:tcPr>
                  <w:tcW w:w="953"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365</w:t>
                  </w:r>
                </w:p>
              </w:tc>
              <w:tc>
                <w:tcPr>
                  <w:tcW w:w="953"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54</w:t>
                  </w:r>
                </w:p>
              </w:tc>
              <w:tc>
                <w:tcPr>
                  <w:tcW w:w="1289"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eastAsia"/>
                    </w:rPr>
                  </w:pPr>
                  <w:r>
                    <w:rPr>
                      <w:rFonts w:hint="eastAsia"/>
                      <w:lang w:val="en-US" w:eastAsia="zh-CN"/>
                    </w:rPr>
                    <w:t>19710</w:t>
                  </w:r>
                </w:p>
              </w:tc>
              <w:tc>
                <w:tcPr>
                  <w:tcW w:w="1993"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eastAsia"/>
                    </w:rPr>
                  </w:pPr>
                  <w:r>
                    <w:rPr>
                      <w:rFonts w:hint="eastAsia"/>
                      <w:lang w:val="en-US" w:eastAsia="zh-CN"/>
                    </w:rPr>
                    <w:t>17739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81"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eastAsia"/>
                      <w:lang w:eastAsia="zh-CN"/>
                    </w:rPr>
                  </w:pPr>
                  <w:r>
                    <w:rPr>
                      <w:rFonts w:hint="eastAsia"/>
                      <w:lang w:eastAsia="zh-CN"/>
                    </w:rPr>
                    <w:t>医院后勤职工用水</w:t>
                  </w:r>
                </w:p>
              </w:tc>
              <w:tc>
                <w:tcPr>
                  <w:tcW w:w="1246"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rPr>
                      <w:rFonts w:hint="eastAsia"/>
                      <w:lang w:val="en-US" w:eastAsia="zh-CN"/>
                    </w:rPr>
                    <w:t>80</w:t>
                  </w:r>
                  <w:r>
                    <w:t>L/d·人</w:t>
                  </w:r>
                </w:p>
              </w:tc>
              <w:tc>
                <w:tcPr>
                  <w:tcW w:w="1010"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rPr>
                      <w:rFonts w:hint="eastAsia"/>
                      <w:lang w:val="en-US" w:eastAsia="zh-CN"/>
                    </w:rPr>
                    <w:t>90</w:t>
                  </w:r>
                  <w:r>
                    <w:t>人</w:t>
                  </w:r>
                </w:p>
              </w:tc>
              <w:tc>
                <w:tcPr>
                  <w:tcW w:w="953"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365</w:t>
                  </w:r>
                </w:p>
              </w:tc>
              <w:tc>
                <w:tcPr>
                  <w:tcW w:w="953"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7.2</w:t>
                  </w:r>
                </w:p>
              </w:tc>
              <w:tc>
                <w:tcPr>
                  <w:tcW w:w="1289"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eastAsia"/>
                    </w:rPr>
                  </w:pPr>
                  <w:r>
                    <w:rPr>
                      <w:rFonts w:hint="eastAsia"/>
                      <w:lang w:val="en-US" w:eastAsia="zh-CN"/>
                    </w:rPr>
                    <w:t>2628</w:t>
                  </w:r>
                </w:p>
              </w:tc>
              <w:tc>
                <w:tcPr>
                  <w:tcW w:w="1993"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eastAsia"/>
                    </w:rPr>
                  </w:pPr>
                  <w:r>
                    <w:rPr>
                      <w:rFonts w:hint="eastAsia"/>
                      <w:lang w:val="en-US" w:eastAsia="zh-CN"/>
                    </w:rPr>
                    <w:t>2365.2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81"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食堂用水</w:t>
                  </w:r>
                </w:p>
              </w:tc>
              <w:tc>
                <w:tcPr>
                  <w:tcW w:w="1246"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20L/d·人</w:t>
                  </w:r>
                </w:p>
              </w:tc>
              <w:tc>
                <w:tcPr>
                  <w:tcW w:w="1010"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rPr>
                      <w:rFonts w:hint="eastAsia"/>
                      <w:lang w:val="en-US" w:eastAsia="zh-CN"/>
                    </w:rPr>
                    <w:t>500</w:t>
                  </w:r>
                  <w:r>
                    <w:t>人</w:t>
                  </w:r>
                </w:p>
              </w:tc>
              <w:tc>
                <w:tcPr>
                  <w:tcW w:w="953"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365</w:t>
                  </w:r>
                </w:p>
              </w:tc>
              <w:tc>
                <w:tcPr>
                  <w:tcW w:w="953"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eastAsia"/>
                      <w:lang w:val="en-US" w:eastAsia="zh-CN"/>
                    </w:rPr>
                  </w:pPr>
                  <w:r>
                    <w:rPr>
                      <w:rFonts w:hint="eastAsia"/>
                      <w:lang w:val="en-US" w:eastAsia="zh-CN"/>
                    </w:rPr>
                    <w:t>1</w:t>
                  </w:r>
                </w:p>
              </w:tc>
              <w:tc>
                <w:tcPr>
                  <w:tcW w:w="1289"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365</w:t>
                  </w:r>
                </w:p>
              </w:tc>
              <w:tc>
                <w:tcPr>
                  <w:tcW w:w="1993"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328.5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8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30"/>
                    <w:bidi w:val="0"/>
                    <w:rPr>
                      <w:rFonts w:hint="eastAsia"/>
                      <w:lang w:val="en-US" w:eastAsia="zh-CN"/>
                    </w:rPr>
                  </w:pPr>
                  <w:r>
                    <w:t>地面保洁用</w:t>
                  </w:r>
                  <w:r>
                    <w:rPr>
                      <w:rFonts w:hint="eastAsia"/>
                      <w:lang w:eastAsia="zh-CN"/>
                    </w:rPr>
                    <w:t>水</w:t>
                  </w:r>
                </w:p>
              </w:tc>
              <w:tc>
                <w:tcPr>
                  <w:tcW w:w="1246"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30"/>
                    <w:bidi w:val="0"/>
                    <w:rPr>
                      <w:lang w:val="en-US" w:eastAsia="zh-CN"/>
                    </w:rPr>
                  </w:pPr>
                  <w:r>
                    <w:t>0.25L/m</w:t>
                  </w:r>
                  <w:r>
                    <w:rPr>
                      <w:rFonts w:hint="default"/>
                    </w:rPr>
                    <w:t>²</w:t>
                  </w:r>
                  <w:r>
                    <w:t>·d</w:t>
                  </w:r>
                </w:p>
              </w:tc>
              <w:tc>
                <w:tcPr>
                  <w:tcW w:w="1010"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30"/>
                    <w:bidi w:val="0"/>
                    <w:rPr>
                      <w:rFonts w:hint="eastAsia"/>
                      <w:lang w:val="en-US" w:eastAsia="zh-CN"/>
                    </w:rPr>
                  </w:pPr>
                  <w:r>
                    <w:rPr>
                      <w:rFonts w:hint="default"/>
                      <w:lang w:val="en-US" w:eastAsia="zh-CN"/>
                    </w:rPr>
                    <w:t>44300</w:t>
                  </w:r>
                  <w:r>
                    <w:t>m</w:t>
                  </w:r>
                  <w:r>
                    <w:rPr>
                      <w:rFonts w:hint="default"/>
                    </w:rPr>
                    <w:t>²</w:t>
                  </w:r>
                </w:p>
              </w:tc>
              <w:tc>
                <w:tcPr>
                  <w:tcW w:w="953"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eastAsia"/>
                      <w:lang w:val="en-US" w:eastAsia="zh-CN"/>
                    </w:rPr>
                  </w:pPr>
                  <w:r>
                    <w:rPr>
                      <w:rFonts w:hint="eastAsia"/>
                      <w:lang w:val="en-US" w:eastAsia="zh-CN"/>
                    </w:rPr>
                    <w:t>/</w:t>
                  </w:r>
                </w:p>
              </w:tc>
              <w:tc>
                <w:tcPr>
                  <w:tcW w:w="953"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11</w:t>
                  </w:r>
                </w:p>
              </w:tc>
              <w:tc>
                <w:tcPr>
                  <w:tcW w:w="1289"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4015</w:t>
                  </w:r>
                </w:p>
              </w:tc>
              <w:tc>
                <w:tcPr>
                  <w:tcW w:w="1993"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3613.5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8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30"/>
                    <w:bidi w:val="0"/>
                  </w:pPr>
                  <w:r>
                    <w:t>检验用</w:t>
                  </w:r>
                  <w:r>
                    <w:rPr>
                      <w:rFonts w:hint="eastAsia"/>
                      <w:lang w:eastAsia="zh-CN"/>
                    </w:rPr>
                    <w:t>水</w:t>
                  </w:r>
                </w:p>
              </w:tc>
              <w:tc>
                <w:tcPr>
                  <w:tcW w:w="1246"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30"/>
                    <w:bidi w:val="0"/>
                  </w:pPr>
                  <w:r>
                    <w:t>1L/人·次</w:t>
                  </w:r>
                </w:p>
              </w:tc>
              <w:tc>
                <w:tcPr>
                  <w:tcW w:w="1010"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30"/>
                    <w:bidi w:val="0"/>
                    <w:rPr>
                      <w:rFonts w:hint="default"/>
                      <w:lang w:val="en-US" w:eastAsia="zh-CN"/>
                    </w:rPr>
                  </w:pPr>
                  <w:r>
                    <w:rPr>
                      <w:rFonts w:hint="eastAsia"/>
                      <w:lang w:val="en-US" w:eastAsia="zh-CN"/>
                    </w:rPr>
                    <w:t>300</w:t>
                  </w:r>
                </w:p>
              </w:tc>
              <w:tc>
                <w:tcPr>
                  <w:tcW w:w="953"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365</w:t>
                  </w:r>
                </w:p>
              </w:tc>
              <w:tc>
                <w:tcPr>
                  <w:tcW w:w="953"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0.3</w:t>
                  </w:r>
                </w:p>
              </w:tc>
              <w:tc>
                <w:tcPr>
                  <w:tcW w:w="1289"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109.5</w:t>
                  </w:r>
                </w:p>
              </w:tc>
              <w:tc>
                <w:tcPr>
                  <w:tcW w:w="1993"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98.55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8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30"/>
                    <w:bidi w:val="0"/>
                  </w:pPr>
                  <w:r>
                    <w:rPr>
                      <w:rFonts w:hint="eastAsia"/>
                      <w:u w:val="single"/>
                      <w:lang w:val="en-US" w:eastAsia="zh-CN"/>
                    </w:rPr>
                    <w:t>煎药室用水</w:t>
                  </w:r>
                </w:p>
              </w:tc>
              <w:tc>
                <w:tcPr>
                  <w:tcW w:w="1246"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30"/>
                    <w:bidi w:val="0"/>
                    <w:rPr>
                      <w:rFonts w:hint="default" w:eastAsia="宋体"/>
                      <w:lang w:val="en-US" w:eastAsia="zh-CN"/>
                    </w:rPr>
                  </w:pPr>
                  <w:r>
                    <w:rPr>
                      <w:rFonts w:hint="eastAsia"/>
                      <w:lang w:val="en-US" w:eastAsia="zh-CN"/>
                    </w:rPr>
                    <w:t>/</w:t>
                  </w:r>
                </w:p>
              </w:tc>
              <w:tc>
                <w:tcPr>
                  <w:tcW w:w="1010"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30"/>
                    <w:bidi w:val="0"/>
                    <w:rPr>
                      <w:rFonts w:hint="default"/>
                      <w:lang w:val="en-US" w:eastAsia="zh-CN"/>
                    </w:rPr>
                  </w:pPr>
                  <w:r>
                    <w:rPr>
                      <w:rFonts w:hint="eastAsia"/>
                      <w:lang w:val="en-US" w:eastAsia="zh-CN"/>
                    </w:rPr>
                    <w:t>/</w:t>
                  </w:r>
                </w:p>
              </w:tc>
              <w:tc>
                <w:tcPr>
                  <w:tcW w:w="953"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365</w:t>
                  </w:r>
                </w:p>
              </w:tc>
              <w:tc>
                <w:tcPr>
                  <w:tcW w:w="953"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0.302</w:t>
                  </w:r>
                </w:p>
              </w:tc>
              <w:tc>
                <w:tcPr>
                  <w:tcW w:w="1289"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110.3</w:t>
                  </w:r>
                </w:p>
              </w:tc>
              <w:tc>
                <w:tcPr>
                  <w:tcW w:w="1993"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72.27</w:t>
                  </w:r>
                </w:p>
              </w:tc>
            </w:tr>
            <w:bookmarkEnd w:id="36"/>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81"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合计</w:t>
                  </w:r>
                </w:p>
              </w:tc>
              <w:tc>
                <w:tcPr>
                  <w:tcW w:w="1246"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w:t>
                  </w:r>
                </w:p>
              </w:tc>
              <w:tc>
                <w:tcPr>
                  <w:tcW w:w="1010"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w:t>
                  </w:r>
                </w:p>
              </w:tc>
              <w:tc>
                <w:tcPr>
                  <w:tcW w:w="953"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w:t>
                  </w:r>
                </w:p>
              </w:tc>
              <w:tc>
                <w:tcPr>
                  <w:tcW w:w="953"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156.302</w:t>
                  </w:r>
                </w:p>
              </w:tc>
              <w:tc>
                <w:tcPr>
                  <w:tcW w:w="1289"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57050.3</w:t>
                  </w:r>
                </w:p>
              </w:tc>
              <w:tc>
                <w:tcPr>
                  <w:tcW w:w="1993"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51318.27</w:t>
                  </w:r>
                </w:p>
              </w:tc>
            </w:tr>
          </w:tbl>
          <w:p>
            <w:pPr>
              <w:pStyle w:val="12"/>
              <w:bidi w:val="0"/>
            </w:pPr>
            <w:r>
              <w:t>（2）排水</w:t>
            </w:r>
          </w:p>
          <w:p>
            <w:pPr>
              <w:pStyle w:val="12"/>
              <w:bidi w:val="0"/>
              <w:rPr>
                <w:u w:val="single"/>
              </w:rPr>
            </w:pPr>
            <w:r>
              <w:rPr>
                <w:u w:val="single"/>
              </w:rPr>
              <w:t>项目区排水实行雨污分流方式，雨水排入市政雨水管网。</w:t>
            </w:r>
            <w:r>
              <w:rPr>
                <w:rFonts w:hint="eastAsia"/>
                <w:u w:val="single"/>
                <w:lang w:val="en-US" w:eastAsia="zh-CN"/>
              </w:rPr>
              <w:t>本项目废水主要是检验废水经中和处理后和其他医疗废水、地面保洁废水、生活污水、食堂废水排入化粪池预处理再经医院污水处理站“</w:t>
            </w:r>
            <w:r>
              <w:rPr>
                <w:rFonts w:hint="eastAsia"/>
                <w:u w:val="single"/>
                <w:lang w:eastAsia="zh-CN"/>
              </w:rPr>
              <w:t>格栅+调节池+AAO+二沉池</w:t>
            </w:r>
            <w:r>
              <w:rPr>
                <w:rFonts w:hint="eastAsia"/>
                <w:u w:val="single"/>
                <w:lang w:val="en-US" w:eastAsia="zh-CN"/>
              </w:rPr>
              <w:t>+云氧消毒粉消毒”</w:t>
            </w:r>
            <w:r>
              <w:rPr>
                <w:rFonts w:hint="eastAsia"/>
                <w:u w:val="single"/>
              </w:rPr>
              <w:t>处理后经市政污水管网排入</w:t>
            </w:r>
            <w:r>
              <w:rPr>
                <w:rFonts w:hint="eastAsia"/>
                <w:u w:val="single"/>
                <w:lang w:val="en-US" w:eastAsia="zh-CN"/>
              </w:rPr>
              <w:t>永州市向家亭</w:t>
            </w:r>
            <w:r>
              <w:rPr>
                <w:rFonts w:hint="eastAsia"/>
                <w:u w:val="single"/>
                <w:lang w:eastAsia="zh-CN"/>
              </w:rPr>
              <w:t>污水处理厂</w:t>
            </w:r>
            <w:r>
              <w:rPr>
                <w:u w:val="single"/>
              </w:rPr>
              <w:t>处理达标后排入</w:t>
            </w:r>
            <w:r>
              <w:rPr>
                <w:rFonts w:hint="eastAsia"/>
                <w:u w:val="single"/>
                <w:lang w:val="en-US" w:eastAsia="zh-CN"/>
              </w:rPr>
              <w:t>潇水</w:t>
            </w:r>
            <w:r>
              <w:rPr>
                <w:u w:val="single"/>
              </w:rPr>
              <w:t>。</w:t>
            </w:r>
          </w:p>
          <w:p>
            <w:pPr>
              <w:bidi w:val="0"/>
              <w:rPr>
                <w:rFonts w:hint="eastAsia"/>
                <w:b/>
                <w:bCs/>
              </w:rPr>
            </w:pPr>
            <w:r>
              <w:rPr>
                <w:rFonts w:hint="eastAsia"/>
                <w:b/>
                <w:bCs/>
              </w:rPr>
              <w:t>水平衡</w:t>
            </w:r>
          </w:p>
          <w:p>
            <w:pPr>
              <w:adjustRightInd w:val="0"/>
              <w:snapToGrid w:val="0"/>
              <w:spacing w:line="360" w:lineRule="auto"/>
              <w:rPr>
                <w:rFonts w:hint="eastAsia"/>
                <w:bCs/>
                <w:color w:val="auto"/>
                <w:sz w:val="24"/>
                <w:szCs w:val="24"/>
                <w:highlight w:val="none"/>
              </w:rPr>
            </w:pPr>
            <w:bookmarkStart w:id="37" w:name="_Toc484547329"/>
            <w:bookmarkStart w:id="38" w:name="_Toc29414"/>
            <w:r>
              <w:drawing>
                <wp:inline distT="0" distB="0" distL="114300" distR="114300">
                  <wp:extent cx="5753100" cy="5086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753100" cy="5086350"/>
                          </a:xfrm>
                          <a:prstGeom prst="rect">
                            <a:avLst/>
                          </a:prstGeom>
                          <a:noFill/>
                          <a:ln>
                            <a:noFill/>
                          </a:ln>
                        </pic:spPr>
                      </pic:pic>
                    </a:graphicData>
                  </a:graphic>
                </wp:inline>
              </w:drawing>
            </w:r>
          </w:p>
          <w:p>
            <w:pPr>
              <w:pStyle w:val="29"/>
              <w:bidi w:val="0"/>
            </w:pPr>
            <w:r>
              <w:t>图</w:t>
            </w:r>
            <w:r>
              <w:rPr>
                <w:rFonts w:hint="eastAsia"/>
              </w:rPr>
              <w:t>2</w:t>
            </w:r>
            <w:r>
              <w:rPr>
                <w:rFonts w:hint="eastAsia"/>
                <w:lang w:val="en-US" w:eastAsia="zh-CN"/>
              </w:rPr>
              <w:t>.1</w:t>
            </w:r>
            <w:r>
              <w:rPr>
                <w:rFonts w:hint="eastAsia"/>
              </w:rPr>
              <w:t>-1</w:t>
            </w:r>
            <w:r>
              <w:t xml:space="preserve">  本项目水平衡图  单位：t/d</w:t>
            </w:r>
          </w:p>
          <w:bookmarkEnd w:id="37"/>
          <w:bookmarkEnd w:id="38"/>
          <w:p>
            <w:pPr>
              <w:pStyle w:val="12"/>
              <w:bidi w:val="0"/>
            </w:pPr>
            <w:r>
              <w:t>（3）热水系统</w:t>
            </w:r>
          </w:p>
          <w:p>
            <w:pPr>
              <w:pStyle w:val="12"/>
              <w:bidi w:val="0"/>
            </w:pPr>
            <w:r>
              <w:t>本项目不设置锅炉，热水使用电能，因此有足够的热量为本项目供热。</w:t>
            </w:r>
          </w:p>
          <w:p>
            <w:pPr>
              <w:pStyle w:val="12"/>
              <w:bidi w:val="0"/>
            </w:pPr>
            <w:r>
              <w:t>（4）供电系统</w:t>
            </w:r>
          </w:p>
          <w:p>
            <w:pPr>
              <w:pStyle w:val="12"/>
              <w:bidi w:val="0"/>
            </w:pPr>
            <w:r>
              <w:t>本项目由区域电网供电</w:t>
            </w:r>
            <w:r>
              <w:rPr>
                <w:rFonts w:hint="eastAsia"/>
                <w:lang w:eastAsia="zh-CN"/>
              </w:rPr>
              <w:t>，</w:t>
            </w:r>
            <w:r>
              <w:t>主要为门诊、医技、急诊及应急照明等供电。</w:t>
            </w:r>
          </w:p>
          <w:p>
            <w:pPr>
              <w:pStyle w:val="12"/>
              <w:bidi w:val="0"/>
            </w:pPr>
            <w:r>
              <w:t>（5）空调系统</w:t>
            </w:r>
          </w:p>
          <w:p>
            <w:pPr>
              <w:pStyle w:val="12"/>
              <w:bidi w:val="0"/>
            </w:pPr>
            <w:r>
              <w:t>医院采用分体式空调供暖、制冷。</w:t>
            </w:r>
          </w:p>
          <w:p>
            <w:pPr>
              <w:pStyle w:val="12"/>
              <w:bidi w:val="0"/>
            </w:pPr>
            <w:r>
              <w:rPr>
                <w:rFonts w:hint="eastAsia"/>
                <w:lang w:eastAsia="zh-CN"/>
              </w:rPr>
              <w:t>（</w:t>
            </w:r>
            <w:r>
              <w:rPr>
                <w:rFonts w:hint="eastAsia"/>
                <w:lang w:val="en-US" w:eastAsia="zh-CN"/>
              </w:rPr>
              <w:t>6）</w:t>
            </w:r>
            <w:r>
              <w:t>消毒</w:t>
            </w:r>
          </w:p>
          <w:p>
            <w:pPr>
              <w:pStyle w:val="12"/>
              <w:bidi w:val="0"/>
            </w:pPr>
            <w:r>
              <w:t>本项目污水处理站消毒剂使用医院污水消毒专用的</w:t>
            </w:r>
            <w:r>
              <w:rPr>
                <w:rFonts w:hint="eastAsia"/>
                <w:lang w:eastAsia="zh-CN"/>
              </w:rPr>
              <w:t>云氧</w:t>
            </w:r>
            <w:r>
              <w:t>消毒粉，主要成份为单过硫酸氢钾复合盐 (分子式：2KHSO</w:t>
            </w:r>
            <w:r>
              <w:rPr>
                <w:vertAlign w:val="subscript"/>
              </w:rPr>
              <w:t>5</w:t>
            </w:r>
            <w:r>
              <w:t xml:space="preserve"> ·KHSO</w:t>
            </w:r>
            <w:r>
              <w:rPr>
                <w:vertAlign w:val="subscript"/>
              </w:rPr>
              <w:t>4</w:t>
            </w:r>
            <w:r>
              <w:t xml:space="preserve"> ·K</w:t>
            </w:r>
            <w:r>
              <w:rPr>
                <w:vertAlign w:val="subscript"/>
              </w:rPr>
              <w:t>2</w:t>
            </w:r>
            <w:r>
              <w:t>SO</w:t>
            </w:r>
            <w:r>
              <w:rPr>
                <w:vertAlign w:val="subscript"/>
              </w:rPr>
              <w:t xml:space="preserve">4 </w:t>
            </w:r>
            <w:r>
              <w:t>) ，单过硫酸氢钾复合粉在常温下 为白色粉末状物质，容易储存和运输、具有高稳定性、高水溶性和价格相对低廉有优势；不燃不爆，从生产运输及储存使用等多个环节克服了其他消毒剂的泄漏、倾覆、爆炸、腐蚀等安全隐患。单过硫酸氢钾复合粉溶于水后释放活性氧</w:t>
            </w:r>
            <w:r>
              <w:rPr>
                <w:rFonts w:hint="eastAsia"/>
                <w:lang w:val="en-US" w:eastAsia="zh-CN"/>
              </w:rPr>
              <w:t>[</w:t>
            </w:r>
            <w:r>
              <w:t>O</w:t>
            </w:r>
            <w:r>
              <w:rPr>
                <w:rFonts w:hint="eastAsia"/>
                <w:lang w:val="en-US" w:eastAsia="zh-CN"/>
              </w:rPr>
              <w:t>]</w:t>
            </w:r>
            <w:r>
              <w:t>，并通过催化链式反应而产生硫酸自由基、氧自由基、进而产生羟基自由基</w:t>
            </w:r>
            <w:r>
              <w:rPr>
                <w:rFonts w:hint="eastAsia"/>
                <w:lang w:val="en-US" w:eastAsia="zh-CN"/>
              </w:rPr>
              <w:t>（</w:t>
            </w:r>
            <w:r>
              <w:t>·OH</w:t>
            </w:r>
            <w:r>
              <w:rPr>
                <w:rFonts w:hint="eastAsia"/>
                <w:lang w:eastAsia="zh-CN"/>
              </w:rPr>
              <w:t>）</w:t>
            </w:r>
            <w:r>
              <w:t xml:space="preserve"> 等多种成分，具有广泛的杀灭微生物作用，包括细菌、芽胞、病毒、真菌等。</w:t>
            </w:r>
          </w:p>
          <w:p>
            <w:pPr>
              <w:bidi w:val="0"/>
              <w:rPr>
                <w:b/>
                <w:bCs/>
              </w:rPr>
            </w:pPr>
            <w:r>
              <w:rPr>
                <w:rFonts w:hint="eastAsia"/>
                <w:b/>
                <w:bCs/>
                <w:lang w:val="en-US" w:eastAsia="zh-CN"/>
              </w:rPr>
              <w:t>8</w:t>
            </w:r>
            <w:r>
              <w:rPr>
                <w:rFonts w:hint="eastAsia"/>
                <w:b/>
                <w:bCs/>
              </w:rPr>
              <w:t>、</w:t>
            </w:r>
            <w:r>
              <w:rPr>
                <w:b/>
                <w:bCs/>
              </w:rPr>
              <w:t>劳动定员及工作制度</w:t>
            </w:r>
          </w:p>
          <w:p>
            <w:pPr>
              <w:pStyle w:val="12"/>
              <w:bidi w:val="0"/>
            </w:pPr>
            <w:r>
              <w:t>工作制度：</w:t>
            </w:r>
            <w:r>
              <w:rPr>
                <w:rFonts w:hint="default" w:ascii="Times New Roman" w:hAnsi="Times New Roman" w:cs="Times New Roman" w:eastAsiaTheme="minorEastAsia"/>
                <w:sz w:val="24"/>
                <w:szCs w:val="24"/>
              </w:rPr>
              <w:t>年工作365天，</w:t>
            </w:r>
            <w:r>
              <w:t>行政1班8小时，</w:t>
            </w:r>
            <w:r>
              <w:rPr>
                <w:rFonts w:hint="default" w:ascii="Times New Roman" w:hAnsi="Times New Roman" w:cs="Times New Roman" w:eastAsiaTheme="minorEastAsia"/>
                <w:sz w:val="24"/>
                <w:szCs w:val="24"/>
              </w:rPr>
              <w:t>设24小时急诊和值班人员。</w:t>
            </w:r>
          </w:p>
          <w:p>
            <w:pPr>
              <w:pStyle w:val="12"/>
              <w:bidi w:val="0"/>
              <w:rPr>
                <w:rFonts w:hint="default" w:ascii="Times New Roman" w:hAnsi="Times New Roman" w:cs="Times New Roman" w:eastAsiaTheme="minorEastAsia"/>
                <w:sz w:val="24"/>
                <w:szCs w:val="24"/>
              </w:rPr>
            </w:pPr>
            <w:r>
              <w:rPr>
                <w:rFonts w:hint="eastAsia"/>
              </w:rPr>
              <w:t>劳动定员：</w:t>
            </w:r>
            <w:r>
              <w:rPr>
                <w:rFonts w:hint="eastAsia"/>
                <w:color w:val="auto"/>
                <w:sz w:val="24"/>
                <w:szCs w:val="24"/>
                <w:highlight w:val="none"/>
                <w:lang w:val="en-US" w:eastAsia="zh-CN"/>
              </w:rPr>
              <w:t>劳动人员</w:t>
            </w:r>
            <w:r>
              <w:rPr>
                <w:rFonts w:hint="default" w:ascii="Times New Roman" w:hAnsi="Times New Roman" w:cs="Times New Roman" w:eastAsiaTheme="minorEastAsia"/>
                <w:spacing w:val="-65"/>
                <w:sz w:val="24"/>
                <w:szCs w:val="24"/>
              </w:rPr>
              <w:t xml:space="preserve"> </w:t>
            </w:r>
            <w:r>
              <w:rPr>
                <w:rFonts w:hint="default" w:ascii="Times New Roman" w:hAnsi="Times New Roman" w:cs="Times New Roman" w:eastAsiaTheme="minorEastAsia"/>
                <w:spacing w:val="-6"/>
                <w:sz w:val="24"/>
                <w:szCs w:val="24"/>
              </w:rPr>
              <w:t>450 人（其中医护人员</w:t>
            </w:r>
            <w:r>
              <w:rPr>
                <w:rFonts w:hint="default" w:ascii="Times New Roman" w:hAnsi="Times New Roman" w:cs="Times New Roman" w:eastAsiaTheme="minorEastAsia"/>
                <w:spacing w:val="-60"/>
                <w:sz w:val="24"/>
                <w:szCs w:val="24"/>
              </w:rPr>
              <w:t xml:space="preserve"> </w:t>
            </w:r>
            <w:r>
              <w:rPr>
                <w:rFonts w:hint="default" w:ascii="Times New Roman" w:hAnsi="Times New Roman" w:cs="Times New Roman" w:eastAsiaTheme="minorEastAsia"/>
                <w:spacing w:val="-6"/>
                <w:sz w:val="24"/>
                <w:szCs w:val="24"/>
              </w:rPr>
              <w:t>90 人）</w:t>
            </w:r>
            <w:r>
              <w:rPr>
                <w:rFonts w:hint="default" w:ascii="Times New Roman" w:hAnsi="Times New Roman" w:cs="Times New Roman" w:eastAsiaTheme="minorEastAsia"/>
                <w:sz w:val="24"/>
                <w:szCs w:val="24"/>
              </w:rPr>
              <w:t>。</w:t>
            </w:r>
          </w:p>
          <w:p>
            <w:pPr>
              <w:bidi w:val="0"/>
              <w:rPr>
                <w:b/>
                <w:bCs/>
              </w:rPr>
            </w:pPr>
            <w:r>
              <w:rPr>
                <w:rFonts w:hint="eastAsia"/>
                <w:b/>
                <w:bCs/>
                <w:lang w:val="en-US" w:eastAsia="zh-CN"/>
              </w:rPr>
              <w:t>9、</w:t>
            </w:r>
            <w:r>
              <w:rPr>
                <w:b/>
                <w:bCs/>
              </w:rPr>
              <w:t>依托工程现状及本项目依托可行性分析</w:t>
            </w:r>
          </w:p>
          <w:p>
            <w:pPr>
              <w:pStyle w:val="12"/>
              <w:bidi w:val="0"/>
            </w:pPr>
            <w:r>
              <w:t>本项目</w:t>
            </w:r>
            <w:r>
              <w:rPr>
                <w:rFonts w:hint="eastAsia"/>
                <w:lang w:eastAsia="zh-CN"/>
              </w:rPr>
              <w:t>利用</w:t>
            </w:r>
            <w:r>
              <w:rPr>
                <w:lang w:val="en-US" w:eastAsia="zh-CN"/>
              </w:rPr>
              <w:t>区妇幼保健院新综合大楼</w:t>
            </w:r>
            <w:r>
              <w:t>，依托</w:t>
            </w:r>
            <w:r>
              <w:rPr>
                <w:rFonts w:hint="eastAsia"/>
                <w:lang w:eastAsia="zh-CN"/>
              </w:rPr>
              <w:t>主体工程</w:t>
            </w:r>
            <w:r>
              <w:rPr>
                <w:lang w:val="en-US" w:eastAsia="zh-CN"/>
              </w:rPr>
              <w:t>新综合大楼</w:t>
            </w:r>
            <w:r>
              <w:rPr>
                <w:rFonts w:hint="eastAsia"/>
                <w:lang w:val="en-US" w:eastAsia="zh-CN"/>
              </w:rPr>
              <w:t>、</w:t>
            </w:r>
            <w:r>
              <w:t>公用工程</w:t>
            </w:r>
            <w:r>
              <w:rPr>
                <w:rFonts w:hint="eastAsia"/>
                <w:lang w:eastAsia="zh-CN"/>
              </w:rPr>
              <w:t>及部分环保工程等</w:t>
            </w:r>
            <w:r>
              <w:t>。</w:t>
            </w:r>
          </w:p>
          <w:p>
            <w:pPr>
              <w:pStyle w:val="12"/>
              <w:bidi w:val="0"/>
            </w:pPr>
            <w:r>
              <w:t>（1）依托工程现状</w:t>
            </w:r>
          </w:p>
          <w:p>
            <w:pPr>
              <w:pStyle w:val="12"/>
              <w:bidi w:val="0"/>
              <w:rPr>
                <w:u w:val="none"/>
              </w:rPr>
            </w:pPr>
            <w:r>
              <w:rPr>
                <w:rFonts w:hint="eastAsia"/>
                <w:lang w:val="en-US" w:eastAsia="zh-CN"/>
              </w:rPr>
              <w:t>永州市零陵区妇幼保健和计划生育服务中心整体搬迁建设项目</w:t>
            </w:r>
            <w:r>
              <w:rPr>
                <w:rFonts w:hint="default"/>
              </w:rPr>
              <w:t>位于</w:t>
            </w:r>
            <w:r>
              <w:rPr>
                <w:rFonts w:hint="eastAsia"/>
                <w:lang w:val="en-US" w:eastAsia="zh-CN"/>
              </w:rPr>
              <w:t>零陵区阳明大道与荔枝东路交汇处东南角（永州市零陵区阳明大道386号）</w:t>
            </w:r>
            <w:r>
              <w:rPr>
                <w:rFonts w:hint="default"/>
              </w:rPr>
              <w:t>，</w:t>
            </w:r>
            <w:r>
              <w:rPr>
                <w:rFonts w:hint="eastAsia"/>
                <w:lang w:eastAsia="zh-CN"/>
              </w:rPr>
              <w:t>项目于</w:t>
            </w:r>
            <w:r>
              <w:rPr>
                <w:rFonts w:hint="eastAsia"/>
                <w:lang w:val="en-US" w:eastAsia="zh-CN"/>
              </w:rPr>
              <w:t>2018年4月12日取得永州市生态环境局（原永州市环境保护局）批复，批复号：永环评[2018]35号。项目</w:t>
            </w:r>
            <w:r>
              <w:rPr>
                <w:lang w:val="en-US" w:eastAsia="zh-CN"/>
              </w:rPr>
              <w:t>占地面积</w:t>
            </w:r>
            <w:r>
              <w:rPr>
                <w:rFonts w:hint="default"/>
                <w:lang w:val="en-US" w:eastAsia="zh-CN"/>
              </w:rPr>
              <w:t>17.42</w:t>
            </w:r>
            <w:r>
              <w:rPr>
                <w:lang w:val="en-US" w:eastAsia="zh-CN"/>
              </w:rPr>
              <w:t>亩，建筑面积</w:t>
            </w:r>
            <w:r>
              <w:rPr>
                <w:rFonts w:hint="default"/>
                <w:lang w:val="en-US" w:eastAsia="zh-CN"/>
              </w:rPr>
              <w:t>44300m²</w:t>
            </w:r>
            <w:r>
              <w:rPr>
                <w:rFonts w:hint="eastAsia"/>
                <w:lang w:val="en-US" w:eastAsia="zh-CN"/>
              </w:rPr>
              <w:t>，于2018年5月开始建设</w:t>
            </w:r>
            <w:r>
              <w:rPr>
                <w:rFonts w:hint="default"/>
                <w:lang w:val="en-US" w:eastAsia="zh-CN"/>
              </w:rPr>
              <w:t>，</w:t>
            </w:r>
            <w:r>
              <w:rPr>
                <w:rFonts w:hint="eastAsia"/>
                <w:lang w:eastAsia="zh-CN"/>
              </w:rPr>
              <w:t>建设新</w:t>
            </w:r>
            <w:r>
              <w:t>综合楼</w:t>
            </w:r>
            <w:r>
              <w:rPr>
                <w:rFonts w:hint="eastAsia"/>
                <w:lang w:eastAsia="zh-CN"/>
              </w:rPr>
              <w:t>（</w:t>
            </w:r>
            <w:r>
              <w:rPr>
                <w:lang w:val="en-US" w:eastAsia="zh-CN"/>
              </w:rPr>
              <w:t>地下</w:t>
            </w:r>
            <w:r>
              <w:rPr>
                <w:rFonts w:hint="default"/>
                <w:lang w:val="en-US" w:eastAsia="zh-CN"/>
              </w:rPr>
              <w:t>2</w:t>
            </w:r>
            <w:r>
              <w:rPr>
                <w:lang w:val="en-US" w:eastAsia="zh-CN"/>
              </w:rPr>
              <w:t>层，地上</w:t>
            </w:r>
            <w:r>
              <w:rPr>
                <w:rFonts w:hint="default"/>
                <w:lang w:val="en-US" w:eastAsia="zh-CN"/>
              </w:rPr>
              <w:t>16</w:t>
            </w:r>
            <w:r>
              <w:rPr>
                <w:lang w:val="en-US" w:eastAsia="zh-CN"/>
              </w:rPr>
              <w:t>层</w:t>
            </w:r>
            <w:r>
              <w:rPr>
                <w:rFonts w:hint="eastAsia"/>
                <w:lang w:val="en-US" w:eastAsia="zh-CN"/>
              </w:rPr>
              <w:t>）</w:t>
            </w:r>
            <w:r>
              <w:t>、食堂、污水处理站及绿化景观等附属设施，按工程设计文件施工完成，并于2023年12月25日竣工验收合格</w:t>
            </w:r>
            <w:r>
              <w:rPr>
                <w:rFonts w:hint="eastAsia"/>
                <w:lang w:val="en-US" w:eastAsia="zh-CN"/>
              </w:rPr>
              <w:t>。永州市零陵区妇幼保健和计划生育服务中心试运行3个月现已搬迁，</w:t>
            </w:r>
            <w:r>
              <w:rPr>
                <w:u w:val="none"/>
              </w:rPr>
              <w:t>厂房已处于空置状态，无环境遗留问题。</w:t>
            </w:r>
          </w:p>
          <w:p>
            <w:pPr>
              <w:pStyle w:val="12"/>
              <w:bidi w:val="0"/>
            </w:pPr>
            <w:r>
              <w:t>（2）本项目依托可行性分析</w:t>
            </w:r>
          </w:p>
          <w:p>
            <w:pPr>
              <w:pStyle w:val="12"/>
              <w:bidi w:val="0"/>
            </w:pPr>
            <w:r>
              <w:t>根据现场调查，</w:t>
            </w:r>
            <w:r>
              <w:rPr>
                <w:rFonts w:hint="eastAsia"/>
                <w:lang w:eastAsia="zh-CN"/>
              </w:rPr>
              <w:t>院</w:t>
            </w:r>
            <w:r>
              <w:t>区内供电系统、供水系统均已完善，并运行正常。因此，本项目依托</w:t>
            </w:r>
            <w:r>
              <w:rPr>
                <w:rFonts w:hint="eastAsia"/>
                <w:lang w:val="en-US" w:eastAsia="zh-CN"/>
              </w:rPr>
              <w:t>永州市零陵区妇幼保健和计划生育服务中心整体搬迁建设项目</w:t>
            </w:r>
            <w:r>
              <w:t>的供电系统、供水系统等公用工程可行。</w:t>
            </w:r>
          </w:p>
          <w:p>
            <w:pPr>
              <w:pStyle w:val="12"/>
            </w:pPr>
            <w:r>
              <w:t>项目与</w:t>
            </w:r>
            <w:r>
              <w:rPr>
                <w:rFonts w:hint="eastAsia"/>
                <w:lang w:val="en-US" w:eastAsia="zh-CN"/>
              </w:rPr>
              <w:t>永州市零陵区妇幼保健和计划生育服务中心整体搬迁建设项目</w:t>
            </w:r>
            <w:r>
              <w:t>依托关系</w:t>
            </w:r>
            <w:r>
              <w:rPr>
                <w:rFonts w:hint="eastAsia"/>
                <w:lang w:eastAsia="zh-CN"/>
              </w:rPr>
              <w:t>如</w:t>
            </w:r>
            <w:r>
              <w:rPr>
                <w:rFonts w:hint="eastAsia"/>
              </w:rPr>
              <w:t>下</w:t>
            </w:r>
            <w:r>
              <w:t>。</w:t>
            </w:r>
          </w:p>
          <w:p>
            <w:pPr>
              <w:pStyle w:val="29"/>
              <w:bidi w:val="0"/>
              <w:rPr>
                <w:lang w:val="en-US"/>
              </w:rPr>
            </w:pPr>
            <w:r>
              <w:rPr>
                <w:lang w:val="en-US"/>
              </w:rPr>
              <w:t xml:space="preserve">表 </w:t>
            </w:r>
            <w:r>
              <w:rPr>
                <w:rFonts w:hint="eastAsia"/>
                <w:lang w:val="en-US" w:eastAsia="zh-CN"/>
              </w:rPr>
              <w:t>2</w:t>
            </w:r>
            <w:r>
              <w:rPr>
                <w:lang w:val="en-US"/>
              </w:rPr>
              <w:t>.1-</w:t>
            </w:r>
            <w:r>
              <w:rPr>
                <w:rFonts w:hint="eastAsia"/>
                <w:lang w:val="en-US" w:eastAsia="zh-CN"/>
              </w:rPr>
              <w:t>6</w:t>
            </w:r>
            <w:r>
              <w:rPr>
                <w:lang w:val="en-US"/>
              </w:rPr>
              <w:t xml:space="preserve"> 本</w:t>
            </w:r>
            <w:r>
              <w:rPr>
                <w:rFonts w:hint="eastAsia"/>
                <w:lang w:val="en-US" w:eastAsia="zh-CN"/>
              </w:rPr>
              <w:t>项目</w:t>
            </w:r>
            <w:r>
              <w:rPr>
                <w:lang w:val="en-US"/>
              </w:rPr>
              <w:t>与</w:t>
            </w:r>
            <w:r>
              <w:rPr>
                <w:rFonts w:hint="eastAsia"/>
                <w:lang w:val="en-US" w:eastAsia="zh-CN"/>
              </w:rPr>
              <w:t>永州市零陵区妇幼保健和计划生育服务中心整体搬迁建设项目</w:t>
            </w:r>
            <w:r>
              <w:rPr>
                <w:lang w:val="en-US"/>
              </w:rPr>
              <w:t>依托关系表</w:t>
            </w:r>
          </w:p>
          <w:tbl>
            <w:tblPr>
              <w:tblStyle w:val="28"/>
              <w:tblW w:w="905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481"/>
              <w:gridCol w:w="6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55" w:type="dxa"/>
                  <w:gridSpan w:val="2"/>
                  <w:tcBorders>
                    <w:tl2br w:val="nil"/>
                    <w:tr2bl w:val="nil"/>
                  </w:tcBorders>
                  <w:vAlign w:val="center"/>
                </w:tcPr>
                <w:p>
                  <w:pPr>
                    <w:pStyle w:val="30"/>
                    <w:bidi w:val="0"/>
                    <w:rPr>
                      <w:rFonts w:hint="default"/>
                      <w:lang w:val="en-US"/>
                    </w:rPr>
                  </w:pPr>
                  <w:r>
                    <w:rPr>
                      <w:rFonts w:hint="eastAsia"/>
                      <w:lang w:val="en-US" w:eastAsia="zh-CN"/>
                    </w:rPr>
                    <w:t>项目</w:t>
                  </w:r>
                  <w:r>
                    <w:rPr>
                      <w:rFonts w:hint="default"/>
                      <w:lang w:val="en-US"/>
                    </w:rPr>
                    <w:t>工程</w:t>
                  </w:r>
                </w:p>
              </w:tc>
              <w:tc>
                <w:tcPr>
                  <w:tcW w:w="6695" w:type="dxa"/>
                  <w:tcBorders>
                    <w:tl2br w:val="nil"/>
                    <w:tr2bl w:val="nil"/>
                  </w:tcBorders>
                  <w:vAlign w:val="center"/>
                </w:tcPr>
                <w:p>
                  <w:pPr>
                    <w:pStyle w:val="30"/>
                    <w:bidi w:val="0"/>
                    <w:rPr>
                      <w:rFonts w:hint="default"/>
                      <w:lang w:val="en-US"/>
                    </w:rPr>
                  </w:pPr>
                  <w:r>
                    <w:rPr>
                      <w:rFonts w:hint="default"/>
                      <w:lang w:val="en-US"/>
                    </w:rPr>
                    <w:t>依托关系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74" w:type="dxa"/>
                  <w:tcBorders>
                    <w:tl2br w:val="nil"/>
                    <w:tr2bl w:val="nil"/>
                  </w:tcBorders>
                  <w:shd w:val="clear" w:color="auto" w:fill="auto"/>
                  <w:vAlign w:val="center"/>
                </w:tcPr>
                <w:p>
                  <w:pPr>
                    <w:pStyle w:val="30"/>
                    <w:bidi w:val="0"/>
                    <w:rPr>
                      <w:rFonts w:hint="eastAsia"/>
                      <w:lang w:val="en-US" w:eastAsia="zh-CN"/>
                    </w:rPr>
                  </w:pPr>
                  <w:r>
                    <w:rPr>
                      <w:rFonts w:hint="eastAsia"/>
                      <w:lang w:val="en-US" w:eastAsia="zh-CN"/>
                    </w:rPr>
                    <w:t>主体工程</w:t>
                  </w:r>
                </w:p>
              </w:tc>
              <w:tc>
                <w:tcPr>
                  <w:tcW w:w="1481" w:type="dxa"/>
                  <w:tcBorders>
                    <w:tl2br w:val="nil"/>
                    <w:tr2bl w:val="nil"/>
                  </w:tcBorders>
                  <w:shd w:val="clear" w:color="auto" w:fill="auto"/>
                  <w:vAlign w:val="center"/>
                </w:tcPr>
                <w:p>
                  <w:pPr>
                    <w:pStyle w:val="30"/>
                    <w:bidi w:val="0"/>
                    <w:rPr>
                      <w:rFonts w:hint="eastAsia"/>
                      <w:lang w:val="en-US" w:eastAsia="zh-CN"/>
                    </w:rPr>
                  </w:pPr>
                  <w:r>
                    <w:rPr>
                      <w:rFonts w:hint="eastAsia"/>
                      <w:lang w:val="en-US" w:eastAsia="zh-CN"/>
                    </w:rPr>
                    <w:t>新综合大楼</w:t>
                  </w:r>
                </w:p>
              </w:tc>
              <w:tc>
                <w:tcPr>
                  <w:tcW w:w="6695" w:type="dxa"/>
                  <w:tcBorders>
                    <w:tl2br w:val="nil"/>
                    <w:tr2bl w:val="nil"/>
                  </w:tcBorders>
                  <w:shd w:val="clear" w:color="auto" w:fill="auto"/>
                  <w:vAlign w:val="center"/>
                </w:tcPr>
                <w:p>
                  <w:pPr>
                    <w:pStyle w:val="30"/>
                    <w:bidi w:val="0"/>
                    <w:rPr>
                      <w:rFonts w:hint="default"/>
                      <w:lang w:val="en-US" w:eastAsia="zh-CN"/>
                    </w:rPr>
                  </w:pPr>
                  <w:r>
                    <w:rPr>
                      <w:rFonts w:hint="eastAsia"/>
                    </w:rPr>
                    <w:t>建筑面积约为</w:t>
                  </w:r>
                  <w:r>
                    <w:rPr>
                      <w:rFonts w:hint="default"/>
                      <w:lang w:val="en-US" w:eastAsia="zh-CN"/>
                    </w:rPr>
                    <w:t>44300m²</w:t>
                  </w:r>
                  <w:r>
                    <w:rPr>
                      <w:rFonts w:hint="eastAsia"/>
                    </w:rPr>
                    <w:t>，</w:t>
                  </w:r>
                  <w:r>
                    <w:rPr>
                      <w:lang w:val="en-US" w:eastAsia="zh-CN"/>
                    </w:rPr>
                    <w:t>地下</w:t>
                  </w:r>
                  <w:r>
                    <w:rPr>
                      <w:rFonts w:hint="default"/>
                      <w:lang w:val="en-US" w:eastAsia="zh-CN"/>
                    </w:rPr>
                    <w:t>2</w:t>
                  </w:r>
                  <w:r>
                    <w:rPr>
                      <w:lang w:val="en-US" w:eastAsia="zh-CN"/>
                    </w:rPr>
                    <w:t>层，地上</w:t>
                  </w:r>
                  <w:r>
                    <w:rPr>
                      <w:rFonts w:hint="default"/>
                      <w:lang w:val="en-US" w:eastAsia="zh-CN"/>
                    </w:rPr>
                    <w:t>16</w:t>
                  </w:r>
                  <w:r>
                    <w:rPr>
                      <w:lang w:val="en-US" w:eastAsia="zh-CN"/>
                    </w:rPr>
                    <w:t>层</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74" w:type="dxa"/>
                  <w:vMerge w:val="restart"/>
                  <w:tcBorders>
                    <w:tl2br w:val="nil"/>
                    <w:tr2bl w:val="nil"/>
                  </w:tcBorders>
                  <w:vAlign w:val="center"/>
                </w:tcPr>
                <w:p>
                  <w:pPr>
                    <w:pStyle w:val="30"/>
                    <w:bidi w:val="0"/>
                    <w:rPr>
                      <w:rFonts w:hint="default"/>
                      <w:lang w:val="en-US"/>
                    </w:rPr>
                  </w:pPr>
                  <w:r>
                    <w:rPr>
                      <w:rFonts w:hint="default"/>
                      <w:lang w:val="en-US"/>
                    </w:rPr>
                    <w:t>公用工程</w:t>
                  </w:r>
                </w:p>
              </w:tc>
              <w:tc>
                <w:tcPr>
                  <w:tcW w:w="1481" w:type="dxa"/>
                  <w:tcBorders>
                    <w:tl2br w:val="nil"/>
                    <w:tr2bl w:val="nil"/>
                  </w:tcBorders>
                  <w:shd w:val="clear" w:color="auto" w:fill="auto"/>
                  <w:vAlign w:val="center"/>
                </w:tcPr>
                <w:p>
                  <w:pPr>
                    <w:pStyle w:val="30"/>
                    <w:bidi w:val="0"/>
                    <w:rPr>
                      <w:rFonts w:hint="default"/>
                      <w:lang w:val="en-US" w:eastAsia="zh-CN"/>
                    </w:rPr>
                  </w:pPr>
                  <w:r>
                    <w:rPr>
                      <w:lang w:val="en-US" w:eastAsia="zh-CN"/>
                    </w:rPr>
                    <w:t>供电</w:t>
                  </w:r>
                </w:p>
              </w:tc>
              <w:tc>
                <w:tcPr>
                  <w:tcW w:w="6695" w:type="dxa"/>
                  <w:tcBorders>
                    <w:tl2br w:val="nil"/>
                    <w:tr2bl w:val="nil"/>
                  </w:tcBorders>
                  <w:shd w:val="clear" w:color="auto" w:fill="auto"/>
                  <w:vAlign w:val="center"/>
                </w:tcPr>
                <w:p>
                  <w:pPr>
                    <w:pStyle w:val="30"/>
                    <w:bidi w:val="0"/>
                    <w:rPr>
                      <w:rFonts w:hint="eastAsia"/>
                      <w:lang w:val="en-US" w:eastAsia="zh-CN"/>
                    </w:rPr>
                  </w:pPr>
                  <w:r>
                    <w:rPr>
                      <w:lang w:val="en-US" w:eastAsia="zh-CN"/>
                    </w:rPr>
                    <w:t>市政电网供电，</w:t>
                  </w:r>
                  <w:r>
                    <w:rPr>
                      <w:rFonts w:hint="eastAsia"/>
                      <w:lang w:val="en-US" w:eastAsia="zh-CN"/>
                    </w:rPr>
                    <w:t>各</w:t>
                  </w:r>
                  <w:r>
                    <w:rPr>
                      <w:lang w:val="en-US" w:eastAsia="zh-CN"/>
                    </w:rPr>
                    <w:t>配置备用</w:t>
                  </w:r>
                  <w:r>
                    <w:rPr>
                      <w:rFonts w:hint="eastAsia"/>
                      <w:lang w:val="en-US" w:eastAsia="zh-CN"/>
                    </w:rPr>
                    <w:t>1</w:t>
                  </w:r>
                  <w:r>
                    <w:rPr>
                      <w:lang w:val="en-US" w:eastAsia="zh-CN"/>
                    </w:rPr>
                    <w:t>台柴油发电机（300KW）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74" w:type="dxa"/>
                  <w:vMerge w:val="continue"/>
                  <w:tcBorders>
                    <w:tl2br w:val="nil"/>
                    <w:tr2bl w:val="nil"/>
                  </w:tcBorders>
                  <w:vAlign w:val="center"/>
                </w:tcPr>
                <w:p>
                  <w:pPr>
                    <w:pStyle w:val="30"/>
                    <w:bidi w:val="0"/>
                    <w:rPr>
                      <w:rFonts w:hint="default"/>
                      <w:lang w:val="en-US"/>
                    </w:rPr>
                  </w:pPr>
                </w:p>
              </w:tc>
              <w:tc>
                <w:tcPr>
                  <w:tcW w:w="1481" w:type="dxa"/>
                  <w:tcBorders>
                    <w:tl2br w:val="nil"/>
                    <w:tr2bl w:val="nil"/>
                  </w:tcBorders>
                  <w:shd w:val="clear" w:color="auto" w:fill="auto"/>
                  <w:vAlign w:val="center"/>
                </w:tcPr>
                <w:p>
                  <w:pPr>
                    <w:pStyle w:val="30"/>
                    <w:bidi w:val="0"/>
                    <w:rPr>
                      <w:rFonts w:hint="default"/>
                      <w:lang w:val="en-US" w:eastAsia="zh-CN"/>
                    </w:rPr>
                  </w:pPr>
                  <w:r>
                    <w:rPr>
                      <w:lang w:val="en-US" w:eastAsia="zh-CN"/>
                    </w:rPr>
                    <w:t>供水</w:t>
                  </w:r>
                </w:p>
              </w:tc>
              <w:tc>
                <w:tcPr>
                  <w:tcW w:w="6695" w:type="dxa"/>
                  <w:tcBorders>
                    <w:tl2br w:val="nil"/>
                    <w:tr2bl w:val="nil"/>
                  </w:tcBorders>
                  <w:shd w:val="clear" w:color="auto" w:fill="auto"/>
                  <w:vAlign w:val="center"/>
                </w:tcPr>
                <w:p>
                  <w:pPr>
                    <w:pStyle w:val="30"/>
                    <w:bidi w:val="0"/>
                    <w:rPr>
                      <w:rFonts w:hint="eastAsia"/>
                      <w:lang w:val="en-US" w:eastAsia="zh-CN"/>
                    </w:rPr>
                  </w:pPr>
                  <w:r>
                    <w:rPr>
                      <w:lang w:val="en-US" w:eastAsia="zh-CN"/>
                    </w:rPr>
                    <w:t>由当地自来水管网提供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74" w:type="dxa"/>
                  <w:vMerge w:val="continue"/>
                  <w:tcBorders>
                    <w:tl2br w:val="nil"/>
                    <w:tr2bl w:val="nil"/>
                  </w:tcBorders>
                  <w:vAlign w:val="center"/>
                </w:tcPr>
                <w:p>
                  <w:pPr>
                    <w:pStyle w:val="30"/>
                    <w:bidi w:val="0"/>
                    <w:rPr>
                      <w:rFonts w:hint="default"/>
                      <w:lang w:val="en-US"/>
                    </w:rPr>
                  </w:pPr>
                </w:p>
              </w:tc>
              <w:tc>
                <w:tcPr>
                  <w:tcW w:w="1481" w:type="dxa"/>
                  <w:tcBorders>
                    <w:tl2br w:val="nil"/>
                    <w:tr2bl w:val="nil"/>
                  </w:tcBorders>
                  <w:shd w:val="clear" w:color="auto" w:fill="auto"/>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排水</w:t>
                  </w:r>
                </w:p>
              </w:tc>
              <w:tc>
                <w:tcPr>
                  <w:tcW w:w="6695" w:type="dxa"/>
                  <w:tcBorders>
                    <w:tl2br w:val="nil"/>
                    <w:tr2bl w:val="nil"/>
                  </w:tcBorders>
                  <w:shd w:val="clear" w:color="auto" w:fill="auto"/>
                  <w:vAlign w:val="center"/>
                </w:tcPr>
                <w:p>
                  <w:pPr>
                    <w:pStyle w:val="30"/>
                    <w:bidi w:val="0"/>
                    <w:rPr>
                      <w:lang w:val="en-US" w:eastAsia="zh-CN"/>
                    </w:rPr>
                  </w:pPr>
                  <w:r>
                    <w:rPr>
                      <w:lang w:val="en-US" w:eastAsia="zh-CN"/>
                    </w:rPr>
                    <w:t>采用雨、污分流制。</w:t>
                  </w:r>
                  <w:r>
                    <w:rPr>
                      <w:rFonts w:hint="eastAsia"/>
                      <w:lang w:val="en-US" w:eastAsia="zh-CN"/>
                    </w:rPr>
                    <w:t>雨水</w:t>
                  </w:r>
                  <w:r>
                    <w:rPr>
                      <w:lang w:val="en-US" w:eastAsia="zh-CN"/>
                    </w:rPr>
                    <w:t>通过雨水管网排入市政雨水管网。</w:t>
                  </w:r>
                </w:p>
                <w:p>
                  <w:pPr>
                    <w:pStyle w:val="30"/>
                    <w:bidi w:val="0"/>
                    <w:rPr>
                      <w:rFonts w:hint="eastAsia" w:ascii="Times New Roman" w:hAnsi="Times New Roman" w:eastAsia="宋体" w:cstheme="minorBidi"/>
                      <w:snapToGrid w:val="0"/>
                      <w:spacing w:val="6"/>
                      <w:kern w:val="2"/>
                      <w:sz w:val="21"/>
                      <w:szCs w:val="21"/>
                      <w:lang w:val="en-US" w:eastAsia="zh-CN" w:bidi="ar-SA"/>
                    </w:rPr>
                  </w:pPr>
                  <w:r>
                    <w:rPr>
                      <w:lang w:val="en-US" w:eastAsia="zh-CN"/>
                    </w:rPr>
                    <w:t>运营期</w:t>
                  </w:r>
                  <w:r>
                    <w:rPr>
                      <w:rFonts w:hint="eastAsia"/>
                      <w:lang w:val="en-US" w:eastAsia="zh-CN"/>
                    </w:rPr>
                    <w:t>综合</w:t>
                  </w:r>
                  <w:r>
                    <w:rPr>
                      <w:lang w:val="en-US" w:eastAsia="zh-CN"/>
                    </w:rPr>
                    <w:t>废水进入医院污水处理站处理</w:t>
                  </w:r>
                  <w:r>
                    <w:rPr>
                      <w:rFonts w:hint="eastAsia"/>
                      <w:lang w:val="en-US" w:eastAsia="zh-CN"/>
                    </w:rPr>
                    <w:t>达到《医疗机构水污染物排放标准》（</w:t>
                  </w:r>
                  <w:r>
                    <w:rPr>
                      <w:lang w:val="en-US" w:eastAsia="zh-CN"/>
                    </w:rPr>
                    <w:t>GB18466-2005</w:t>
                  </w:r>
                  <w:r>
                    <w:rPr>
                      <w:rFonts w:hint="eastAsia"/>
                      <w:lang w:val="en-US" w:eastAsia="zh-CN"/>
                    </w:rPr>
                    <w:t>）表</w:t>
                  </w:r>
                  <w:r>
                    <w:rPr>
                      <w:lang w:val="en-US" w:eastAsia="zh-CN"/>
                    </w:rPr>
                    <w:t xml:space="preserve">2 </w:t>
                  </w:r>
                  <w:r>
                    <w:rPr>
                      <w:rFonts w:hint="eastAsia"/>
                      <w:lang w:val="en-US" w:eastAsia="zh-CN"/>
                    </w:rPr>
                    <w:t>中的预处理标准后通过市政污水管网</w:t>
                  </w:r>
                  <w:r>
                    <w:t>排入</w:t>
                  </w:r>
                  <w:r>
                    <w:rPr>
                      <w:rFonts w:hint="eastAsia"/>
                      <w:lang w:val="en-US" w:eastAsia="zh-CN"/>
                    </w:rPr>
                    <w:t>向家亭</w:t>
                  </w:r>
                  <w:r>
                    <w:rPr>
                      <w:rFonts w:hint="eastAsia"/>
                      <w:lang w:eastAsia="zh-CN"/>
                    </w:rPr>
                    <w:t>污水处理</w:t>
                  </w:r>
                  <w:r>
                    <w:rPr>
                      <w:rFonts w:hint="eastAsia"/>
                      <w:lang w:val="en-US" w:eastAsia="zh-CN"/>
                    </w:rPr>
                    <w:t>厂</w:t>
                  </w:r>
                  <w:r>
                    <w:rPr>
                      <w:lang w:val="en-US" w:eastAsia="zh-CN"/>
                    </w:rPr>
                    <w:t>处理</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74" w:type="dxa"/>
                  <w:vMerge w:val="continue"/>
                  <w:tcBorders>
                    <w:tl2br w:val="nil"/>
                    <w:tr2bl w:val="nil"/>
                  </w:tcBorders>
                  <w:vAlign w:val="center"/>
                </w:tcPr>
                <w:p>
                  <w:pPr>
                    <w:pStyle w:val="30"/>
                    <w:bidi w:val="0"/>
                    <w:rPr>
                      <w:rFonts w:hint="default"/>
                      <w:lang w:val="en-US"/>
                    </w:rPr>
                  </w:pPr>
                </w:p>
              </w:tc>
              <w:tc>
                <w:tcPr>
                  <w:tcW w:w="1481" w:type="dxa"/>
                  <w:tcBorders>
                    <w:tl2br w:val="nil"/>
                    <w:tr2bl w:val="nil"/>
                  </w:tcBorders>
                  <w:shd w:val="clear" w:color="auto" w:fill="auto"/>
                  <w:vAlign w:val="center"/>
                </w:tcPr>
                <w:p>
                  <w:pPr>
                    <w:pStyle w:val="30"/>
                    <w:rPr>
                      <w:rFonts w:hint="eastAsia" w:ascii="Times New Roman" w:hAnsi="Times New Roman" w:eastAsia="宋体" w:cstheme="minorBidi"/>
                      <w:snapToGrid w:val="0"/>
                      <w:spacing w:val="6"/>
                      <w:kern w:val="2"/>
                      <w:sz w:val="21"/>
                      <w:szCs w:val="21"/>
                      <w:lang w:val="en-US" w:eastAsia="zh-CN" w:bidi="ar-SA"/>
                    </w:rPr>
                  </w:pPr>
                  <w:r>
                    <w:rPr>
                      <w:sz w:val="21"/>
                      <w:szCs w:val="21"/>
                      <w:lang w:val="en-US" w:eastAsia="zh-CN"/>
                    </w:rPr>
                    <w:t>供热、供暖</w:t>
                  </w:r>
                </w:p>
              </w:tc>
              <w:tc>
                <w:tcPr>
                  <w:tcW w:w="6695" w:type="dxa"/>
                  <w:tcBorders>
                    <w:tl2br w:val="nil"/>
                    <w:tr2bl w:val="nil"/>
                  </w:tcBorders>
                  <w:shd w:val="clear" w:color="auto" w:fill="auto"/>
                  <w:vAlign w:val="center"/>
                </w:tcPr>
                <w:p>
                  <w:pPr>
                    <w:pStyle w:val="30"/>
                    <w:bidi w:val="0"/>
                    <w:rPr>
                      <w:rFonts w:hint="eastAsia" w:ascii="Times New Roman" w:hAnsi="Times New Roman" w:eastAsia="宋体" w:cstheme="minorBidi"/>
                      <w:snapToGrid w:val="0"/>
                      <w:spacing w:val="6"/>
                      <w:kern w:val="2"/>
                      <w:sz w:val="21"/>
                      <w:szCs w:val="21"/>
                      <w:lang w:val="en-US" w:eastAsia="zh-CN" w:bidi="ar-SA"/>
                    </w:rPr>
                  </w:pPr>
                  <w:r>
                    <w:rPr>
                      <w:sz w:val="21"/>
                      <w:szCs w:val="21"/>
                      <w:lang w:val="en-US" w:eastAsia="zh-CN"/>
                    </w:rPr>
                    <w:t>供热</w:t>
                  </w:r>
                  <w:r>
                    <w:t>热源采用空气源热泵+太阳能板</w:t>
                  </w:r>
                  <w:r>
                    <w:rPr>
                      <w:lang w:val="en-US" w:eastAsia="zh-CN"/>
                    </w:rPr>
                    <w:t>，</w:t>
                  </w:r>
                  <w:r>
                    <w:rPr>
                      <w:sz w:val="21"/>
                      <w:szCs w:val="21"/>
                      <w:lang w:val="en-US" w:eastAsia="zh-CN"/>
                    </w:rPr>
                    <w:t>供暖</w:t>
                  </w:r>
                  <w:r>
                    <w:rPr>
                      <w:lang w:val="en-US" w:eastAsia="zh-CN"/>
                    </w:rPr>
                    <w:t>采用中央空调及分体式空调分体式空调</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74" w:type="dxa"/>
                  <w:vMerge w:val="continue"/>
                  <w:tcBorders>
                    <w:tl2br w:val="nil"/>
                    <w:tr2bl w:val="nil"/>
                  </w:tcBorders>
                  <w:vAlign w:val="center"/>
                </w:tcPr>
                <w:p>
                  <w:pPr>
                    <w:pStyle w:val="30"/>
                    <w:bidi w:val="0"/>
                    <w:rPr>
                      <w:rFonts w:hint="default"/>
                      <w:lang w:val="en-US"/>
                    </w:rPr>
                  </w:pPr>
                </w:p>
              </w:tc>
              <w:tc>
                <w:tcPr>
                  <w:tcW w:w="1481" w:type="dxa"/>
                  <w:tcBorders>
                    <w:tl2br w:val="nil"/>
                    <w:tr2bl w:val="nil"/>
                  </w:tcBorders>
                  <w:shd w:val="clear" w:color="auto" w:fill="auto"/>
                  <w:vAlign w:val="center"/>
                </w:tcPr>
                <w:p>
                  <w:pPr>
                    <w:pStyle w:val="30"/>
                    <w:rPr>
                      <w:rFonts w:hint="eastAsia" w:ascii="Times New Roman" w:hAnsi="Times New Roman" w:eastAsia="宋体" w:cstheme="minorBidi"/>
                      <w:snapToGrid w:val="0"/>
                      <w:spacing w:val="6"/>
                      <w:kern w:val="2"/>
                      <w:sz w:val="21"/>
                      <w:szCs w:val="21"/>
                      <w:lang w:val="en-US" w:eastAsia="zh-CN" w:bidi="ar-SA"/>
                    </w:rPr>
                  </w:pPr>
                  <w:r>
                    <w:rPr>
                      <w:rFonts w:hint="eastAsia"/>
                      <w:sz w:val="21"/>
                      <w:szCs w:val="21"/>
                      <w:lang w:val="en-US" w:eastAsia="zh-CN"/>
                    </w:rPr>
                    <w:t>消防系统</w:t>
                  </w:r>
                </w:p>
              </w:tc>
              <w:tc>
                <w:tcPr>
                  <w:tcW w:w="6695" w:type="dxa"/>
                  <w:tcBorders>
                    <w:tl2br w:val="nil"/>
                    <w:tr2bl w:val="nil"/>
                  </w:tcBorders>
                  <w:shd w:val="clear" w:color="auto" w:fill="auto"/>
                  <w:vAlign w:val="center"/>
                </w:tcPr>
                <w:p>
                  <w:pPr>
                    <w:pStyle w:val="30"/>
                    <w:rPr>
                      <w:rFonts w:hint="eastAsia" w:ascii="Times New Roman" w:hAnsi="Times New Roman" w:eastAsia="宋体" w:cstheme="minorBidi"/>
                      <w:snapToGrid w:val="0"/>
                      <w:spacing w:val="6"/>
                      <w:kern w:val="2"/>
                      <w:sz w:val="21"/>
                      <w:szCs w:val="21"/>
                      <w:lang w:val="en-US" w:eastAsia="zh-CN" w:bidi="ar-SA"/>
                    </w:rPr>
                  </w:pPr>
                  <w:r>
                    <w:rPr>
                      <w:sz w:val="21"/>
                      <w:szCs w:val="21"/>
                      <w:lang w:val="en-US" w:eastAsia="zh-CN"/>
                    </w:rPr>
                    <w:t>院区设置消防栓和灭火器，消防栓、灭火器数量与间距按照地方消防大队的要求布防。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74" w:type="dxa"/>
                  <w:vAlign w:val="center"/>
                </w:tcPr>
                <w:p>
                  <w:pPr>
                    <w:pStyle w:val="30"/>
                    <w:bidi w:val="0"/>
                    <w:rPr>
                      <w:rFonts w:hint="default"/>
                      <w:lang w:val="en-US"/>
                    </w:rPr>
                  </w:pPr>
                  <w:r>
                    <w:t>环保工程</w:t>
                  </w:r>
                </w:p>
              </w:tc>
              <w:tc>
                <w:tcPr>
                  <w:tcW w:w="1481" w:type="dxa"/>
                  <w:shd w:val="clear" w:color="auto" w:fill="auto"/>
                  <w:vAlign w:val="center"/>
                </w:tcPr>
                <w:p>
                  <w:pPr>
                    <w:pStyle w:val="30"/>
                    <w:bidi w:val="0"/>
                    <w:rPr>
                      <w:rFonts w:hint="default"/>
                      <w:lang w:val="en-US" w:eastAsia="zh-CN"/>
                    </w:rPr>
                  </w:pPr>
                  <w:r>
                    <w:rPr>
                      <w:rFonts w:hint="eastAsia"/>
                      <w:lang w:val="en-US" w:eastAsia="zh-CN"/>
                    </w:rPr>
                    <w:t>污水处理站</w:t>
                  </w:r>
                </w:p>
              </w:tc>
              <w:tc>
                <w:tcPr>
                  <w:tcW w:w="6695" w:type="dxa"/>
                  <w:shd w:val="clear" w:color="auto" w:fill="auto"/>
                  <w:vAlign w:val="center"/>
                </w:tcPr>
                <w:p>
                  <w:pPr>
                    <w:pStyle w:val="30"/>
                    <w:bidi w:val="0"/>
                    <w:rPr>
                      <w:rFonts w:hint="eastAsia"/>
                      <w:lang w:val="en-US" w:eastAsia="zh-CN"/>
                    </w:rPr>
                  </w:pPr>
                  <w:r>
                    <w:rPr>
                      <w:rFonts w:hint="default" w:ascii="Times New Roman" w:hAnsi="Times New Roman" w:cs="Times New Roman"/>
                      <w:lang w:val="en-US" w:eastAsia="zh-CN"/>
                    </w:rPr>
                    <w:t>处理能力为180m³/d，采用“</w:t>
                  </w:r>
                  <w:r>
                    <w:rPr>
                      <w:rFonts w:hint="default" w:ascii="Times New Roman" w:hAnsi="Times New Roman" w:cs="Times New Roman"/>
                      <w:lang w:eastAsia="zh-CN"/>
                    </w:rPr>
                    <w:t>格栅+调节池+AAO+二沉池</w:t>
                  </w:r>
                  <w:r>
                    <w:rPr>
                      <w:rFonts w:hint="default" w:ascii="Times New Roman" w:hAnsi="Times New Roman" w:cs="Times New Roman"/>
                      <w:lang w:val="en-US" w:eastAsia="zh-CN"/>
                    </w:rPr>
                    <w:t>+云氧消毒粉消毒”工艺</w:t>
                  </w:r>
                </w:p>
              </w:tc>
            </w:tr>
          </w:tbl>
          <w:p>
            <w:pPr>
              <w:pStyle w:val="8"/>
              <w:rPr>
                <w:rFonts w:hint="eastAsia"/>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6" w:type="dxa"/>
            <w:noWrap w:val="0"/>
            <w:vAlign w:val="center"/>
          </w:tcPr>
          <w:p>
            <w:pPr>
              <w:pStyle w:val="22"/>
              <w:adjustRightInd w:val="0"/>
              <w:snapToGrid w:val="0"/>
              <w:spacing w:before="0" w:beforeAutospacing="0" w:after="0" w:afterAutospacing="0"/>
              <w:jc w:val="center"/>
              <w:rPr>
                <w:rFonts w:cs="宋体"/>
                <w:color w:val="auto"/>
                <w:sz w:val="24"/>
                <w:szCs w:val="24"/>
                <w:highlight w:val="none"/>
                <w:lang w:val="en-US" w:eastAsia="zh-CN"/>
              </w:rPr>
            </w:pPr>
            <w:r>
              <w:rPr>
                <w:rFonts w:hint="eastAsia" w:cs="宋体"/>
                <w:color w:val="auto"/>
                <w:sz w:val="24"/>
                <w:szCs w:val="24"/>
                <w:highlight w:val="none"/>
                <w:lang w:val="en-US" w:eastAsia="zh-CN"/>
              </w:rPr>
              <w:t>工艺流程和产排污环节</w:t>
            </w:r>
          </w:p>
        </w:tc>
        <w:tc>
          <w:tcPr>
            <w:tcW w:w="9276" w:type="dxa"/>
            <w:noWrap w:val="0"/>
            <w:vAlign w:val="top"/>
          </w:tcPr>
          <w:p>
            <w:pPr>
              <w:bidi w:val="0"/>
              <w:rPr>
                <w:rFonts w:hint="default"/>
                <w:b/>
                <w:bCs/>
                <w:lang w:val="en-US" w:eastAsia="zh-CN"/>
              </w:rPr>
            </w:pPr>
            <w:r>
              <w:rPr>
                <w:rFonts w:hint="eastAsia"/>
                <w:b/>
                <w:bCs/>
                <w:lang w:val="en-US" w:eastAsia="zh-CN"/>
              </w:rPr>
              <w:t>1、本项目施工期</w:t>
            </w:r>
          </w:p>
          <w:p>
            <w:pPr>
              <w:pStyle w:val="12"/>
              <w:bidi w:val="0"/>
              <w:rPr>
                <w:rFonts w:hint="default"/>
              </w:rPr>
            </w:pPr>
            <w:r>
              <w:rPr>
                <w:rFonts w:hint="eastAsia"/>
                <w:lang w:val="en-US" w:eastAsia="zh-CN"/>
              </w:rPr>
              <w:t>本项目主体工程已建成，施工期对环境的影响已经消失，本次环评不再对施工期进行评价。</w:t>
            </w:r>
          </w:p>
          <w:p>
            <w:pPr>
              <w:numPr>
                <w:ilvl w:val="0"/>
                <w:numId w:val="4"/>
              </w:numPr>
              <w:bidi w:val="0"/>
              <w:rPr>
                <w:rFonts w:hint="eastAsia"/>
                <w:b/>
                <w:bCs/>
                <w:lang w:val="en-US" w:eastAsia="zh-CN"/>
              </w:rPr>
            </w:pPr>
            <w:r>
              <w:rPr>
                <w:rFonts w:hint="eastAsia"/>
                <w:b/>
                <w:bCs/>
                <w:lang w:val="en-US" w:eastAsia="zh-CN"/>
              </w:rPr>
              <w:t>本项目营运期工艺流程</w:t>
            </w:r>
          </w:p>
          <w:p>
            <w:pPr>
              <w:pStyle w:val="12"/>
              <w:bidi w:val="0"/>
              <w:rPr>
                <w:rFonts w:hint="eastAsia"/>
              </w:rPr>
            </w:pPr>
            <w:r>
              <w:rPr>
                <w:rFonts w:hint="eastAsia"/>
              </w:rPr>
              <w:t>本医院内不设置浆洗房，住院病人的病服、病床用品</w:t>
            </w:r>
            <w:r>
              <w:rPr>
                <w:rFonts w:hint="eastAsia"/>
                <w:lang w:eastAsia="zh-CN"/>
              </w:rPr>
              <w:t>（</w:t>
            </w:r>
            <w:r>
              <w:rPr>
                <w:rFonts w:hint="eastAsia"/>
              </w:rPr>
              <w:t>床单、被套、枕套等</w:t>
            </w:r>
            <w:r>
              <w:rPr>
                <w:rFonts w:hint="eastAsia"/>
                <w:lang w:eastAsia="zh-CN"/>
              </w:rPr>
              <w:t>）</w:t>
            </w:r>
            <w:r>
              <w:rPr>
                <w:rFonts w:hint="eastAsia"/>
              </w:rPr>
              <w:t>等外协清洗、消毒。本医院内不设置结核病科室、不设置传染病科，如发现传染病人，则按照相关医疗流程将病人转院治疗。</w:t>
            </w:r>
          </w:p>
          <w:p>
            <w:pPr>
              <w:pStyle w:val="12"/>
              <w:bidi w:val="0"/>
            </w:pPr>
            <w:r>
              <w:rPr>
                <w:rFonts w:hint="eastAsia"/>
              </w:rPr>
              <w:t xml:space="preserve"> 项目营运期，产生的主要污染物为门诊、检验室、诊室、病房等的医疗污水、 医疗废物、无毒无害药品的包装材料、中药熬药异味、生活垃圾、生活污水、中药熬药废渣、污水处理设施</w:t>
            </w:r>
            <w:r>
              <w:rPr>
                <w:rFonts w:hint="eastAsia"/>
                <w:lang w:eastAsia="zh-CN"/>
              </w:rPr>
              <w:t>废气</w:t>
            </w:r>
            <w:r>
              <w:rPr>
                <w:rFonts w:hint="eastAsia"/>
              </w:rPr>
              <w:t>、污水处理设施污泥等。</w:t>
            </w:r>
          </w:p>
          <w:p>
            <w:pPr>
              <w:pStyle w:val="12"/>
              <w:bidi w:val="0"/>
              <w:rPr>
                <w:rFonts w:hint="eastAsia"/>
                <w:lang w:val="en-US" w:eastAsia="zh-CN"/>
              </w:rPr>
            </w:pPr>
            <w:r>
              <w:t>（1）</w:t>
            </w:r>
            <w:r>
              <w:rPr>
                <w:rFonts w:hint="eastAsia"/>
                <w:lang w:val="en-US" w:eastAsia="zh-CN"/>
              </w:rPr>
              <w:t>运营期工艺流程</w:t>
            </w:r>
          </w:p>
          <w:p>
            <w:pPr>
              <w:bidi w:val="0"/>
              <w:jc w:val="center"/>
              <w:rPr>
                <w:rFonts w:hint="default"/>
                <w:color w:val="auto"/>
                <w:sz w:val="24"/>
                <w:szCs w:val="24"/>
                <w:highlight w:val="none"/>
                <w:lang w:val="en-US" w:eastAsia="zh-CN"/>
              </w:rPr>
            </w:pPr>
            <w:r>
              <w:rPr>
                <w:rFonts w:hint="default"/>
                <w:color w:val="auto"/>
                <w:sz w:val="24"/>
                <w:szCs w:val="24"/>
                <w:highlight w:val="none"/>
                <w:lang w:val="en-US" w:eastAsia="zh-CN"/>
              </w:rPr>
              <w:object>
                <v:shape id="_x0000_i1025" o:spt="75" type="#_x0000_t75" style="height:321.6pt;width:419.35pt;" o:ole="t" filled="f" o:preferrelative="t" stroked="f" coordsize="21600,21600">
                  <v:path/>
                  <v:fill on="f" focussize="0,0"/>
                  <v:stroke on="f"/>
                  <v:imagedata r:id="rId16" o:title=""/>
                  <o:lock v:ext="edit" aspectratio="f"/>
                  <w10:wrap type="none"/>
                  <w10:anchorlock/>
                </v:shape>
                <o:OLEObject Type="Embed" ProgID="Visio.Drawing.15" ShapeID="_x0000_i1025" DrawAspect="Content" ObjectID="_1468075725" r:id="rId15">
                  <o:LockedField>false</o:LockedField>
                </o:OLEObject>
              </w:object>
            </w:r>
          </w:p>
          <w:p>
            <w:pPr>
              <w:pStyle w:val="29"/>
              <w:bidi w:val="0"/>
            </w:pPr>
            <w:r>
              <w:rPr>
                <w:rFonts w:hint="eastAsia"/>
                <w:lang w:val="en-US" w:eastAsia="zh-CN"/>
              </w:rPr>
              <w:t>图2.2-1运营期工艺与产污节点图</w:t>
            </w:r>
          </w:p>
          <w:p>
            <w:pPr>
              <w:pStyle w:val="12"/>
              <w:bidi w:val="0"/>
              <w:rPr>
                <w:rFonts w:hint="default"/>
              </w:rPr>
            </w:pPr>
            <w:r>
              <w:rPr>
                <w:rFonts w:hint="default"/>
              </w:rPr>
              <w:t>本项目需进行中药熬制，通过熬煮的方式取得中药汤剂，通过购买的包装袋打包后交给病人，不进行中药浓缩合剂、颗粒剂、洗剂的制作。熬制中药品种均为医院自己的协定处方，为院内自用药，不对市场进行批量生产和销售。本项目所使用的中药材均不涉及有毒药材，所有药材在进行熬煮前都需进行预清洗。</w:t>
            </w:r>
          </w:p>
          <w:p>
            <w:pPr>
              <w:bidi w:val="0"/>
              <w:jc w:val="center"/>
            </w:pPr>
            <w:r>
              <w:drawing>
                <wp:inline distT="0" distB="0" distL="114300" distR="114300">
                  <wp:extent cx="3797300" cy="2821305"/>
                  <wp:effectExtent l="0" t="0" r="1270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797300" cy="2821305"/>
                          </a:xfrm>
                          <a:prstGeom prst="rect">
                            <a:avLst/>
                          </a:prstGeom>
                          <a:noFill/>
                          <a:ln>
                            <a:noFill/>
                          </a:ln>
                        </pic:spPr>
                      </pic:pic>
                    </a:graphicData>
                  </a:graphic>
                </wp:inline>
              </w:drawing>
            </w:r>
          </w:p>
          <w:p>
            <w:pPr>
              <w:pStyle w:val="29"/>
              <w:bidi w:val="0"/>
              <w:rPr>
                <w:rFonts w:hint="eastAsia"/>
                <w:lang w:eastAsia="zh-CN"/>
              </w:rPr>
            </w:pPr>
            <w:r>
              <w:rPr>
                <w:rFonts w:hint="eastAsia"/>
                <w:lang w:eastAsia="zh-CN"/>
              </w:rPr>
              <w:t>图</w:t>
            </w:r>
            <w:r>
              <w:rPr>
                <w:rFonts w:hint="eastAsia"/>
                <w:lang w:val="en-US" w:eastAsia="zh-CN"/>
              </w:rPr>
              <w:t>2.2-2项目中药</w:t>
            </w:r>
            <w:r>
              <w:rPr>
                <w:rFonts w:hint="default"/>
              </w:rPr>
              <w:t>熬</w:t>
            </w:r>
            <w:r>
              <w:rPr>
                <w:rFonts w:hint="eastAsia"/>
                <w:lang w:eastAsia="zh-CN"/>
              </w:rPr>
              <w:t>制流程及产污节点</w:t>
            </w:r>
          </w:p>
          <w:p>
            <w:pPr>
              <w:pStyle w:val="12"/>
              <w:bidi w:val="0"/>
              <w:rPr>
                <w:rFonts w:hint="eastAsia"/>
                <w:lang w:val="en-US" w:eastAsia="zh-CN"/>
              </w:rPr>
            </w:pPr>
            <w:r>
              <w:rPr>
                <w:rFonts w:hint="eastAsia"/>
                <w:lang w:val="en-US" w:eastAsia="zh-CN"/>
              </w:rPr>
              <w:t>①清洗</w:t>
            </w:r>
          </w:p>
          <w:p>
            <w:pPr>
              <w:pStyle w:val="12"/>
              <w:bidi w:val="0"/>
              <w:rPr>
                <w:rFonts w:hint="eastAsia"/>
                <w:lang w:val="en-US" w:eastAsia="zh-CN"/>
              </w:rPr>
            </w:pPr>
            <w:r>
              <w:rPr>
                <w:rFonts w:hint="eastAsia"/>
                <w:lang w:val="en-US" w:eastAsia="zh-CN"/>
              </w:rPr>
              <w:t xml:space="preserve"> 根据中医医师处方，由药师按照剂量进行捡药，将中药药材放入熬煮罐内加自来水进行浸泡和清洗，清洗目的主要是为了去除药材表面浮沉，浸泡和清洗后的清洗废水直接随下水管道流入项目污水处理站。</w:t>
            </w:r>
          </w:p>
          <w:p>
            <w:pPr>
              <w:pStyle w:val="12"/>
              <w:bidi w:val="0"/>
              <w:rPr>
                <w:rFonts w:hint="eastAsia"/>
                <w:lang w:val="en-US" w:eastAsia="zh-CN"/>
              </w:rPr>
            </w:pPr>
            <w:r>
              <w:rPr>
                <w:rFonts w:hint="eastAsia"/>
                <w:lang w:val="en-US" w:eastAsia="zh-CN"/>
              </w:rPr>
              <w:t xml:space="preserve"> ②煎煮</w:t>
            </w:r>
          </w:p>
          <w:p>
            <w:pPr>
              <w:pStyle w:val="12"/>
              <w:bidi w:val="0"/>
              <w:rPr>
                <w:rFonts w:hint="eastAsia"/>
                <w:lang w:val="en-US" w:eastAsia="zh-CN"/>
              </w:rPr>
            </w:pPr>
            <w:r>
              <w:rPr>
                <w:rFonts w:hint="eastAsia"/>
                <w:lang w:val="en-US" w:eastAsia="zh-CN"/>
              </w:rPr>
              <w:t xml:space="preserve"> 药材清洗后内，电加热中药熬煮罐进行熬煮，根据药材性质熬煮时间每次持续30min~120min不等。</w:t>
            </w:r>
          </w:p>
          <w:p>
            <w:pPr>
              <w:pStyle w:val="12"/>
              <w:bidi w:val="0"/>
              <w:rPr>
                <w:rFonts w:hint="eastAsia"/>
                <w:lang w:val="en-US" w:eastAsia="zh-CN"/>
              </w:rPr>
            </w:pPr>
            <w:r>
              <w:rPr>
                <w:rFonts w:hint="eastAsia"/>
                <w:lang w:val="en-US" w:eastAsia="zh-CN"/>
              </w:rPr>
              <w:t>③过滤</w:t>
            </w:r>
          </w:p>
          <w:p>
            <w:pPr>
              <w:pStyle w:val="12"/>
              <w:bidi w:val="0"/>
              <w:rPr>
                <w:rFonts w:hint="eastAsia"/>
                <w:lang w:val="en-US" w:eastAsia="zh-CN"/>
              </w:rPr>
            </w:pPr>
            <w:r>
              <w:rPr>
                <w:rFonts w:hint="eastAsia"/>
                <w:lang w:val="en-US" w:eastAsia="zh-CN"/>
              </w:rPr>
              <w:t xml:space="preserve"> 熬煮后的药液和药渣通过熬煮罐自带的滤网分离，药液待冷却后倒入外购的包装袋内。熬煮过程中仅有少量熬药废气产生，主要有少量的中药异味，熬药间密闭设置，中药异味</w:t>
            </w:r>
            <w:r>
              <w:rPr>
                <w:rFonts w:hint="eastAsia"/>
              </w:rPr>
              <w:t>经专用通道引致楼顶高空排放</w:t>
            </w:r>
            <w:r>
              <w:rPr>
                <w:rFonts w:hint="eastAsia"/>
                <w:lang w:val="en-US" w:eastAsia="zh-CN"/>
              </w:rPr>
              <w:t>。</w:t>
            </w:r>
          </w:p>
          <w:p>
            <w:pPr>
              <w:pStyle w:val="12"/>
              <w:bidi w:val="0"/>
              <w:rPr>
                <w:rFonts w:hint="eastAsia"/>
                <w:lang w:val="en-US" w:eastAsia="zh-CN"/>
              </w:rPr>
            </w:pPr>
            <w:r>
              <w:rPr>
                <w:rFonts w:hint="eastAsia"/>
                <w:lang w:val="en-US" w:eastAsia="zh-CN"/>
              </w:rPr>
              <w:t>④倒出</w:t>
            </w:r>
          </w:p>
          <w:p>
            <w:pPr>
              <w:pStyle w:val="12"/>
              <w:bidi w:val="0"/>
              <w:rPr>
                <w:rFonts w:hint="eastAsia"/>
                <w:lang w:val="en-US" w:eastAsia="zh-CN"/>
              </w:rPr>
            </w:pPr>
            <w:r>
              <w:rPr>
                <w:rFonts w:hint="eastAsia"/>
                <w:lang w:val="en-US" w:eastAsia="zh-CN"/>
              </w:rPr>
              <w:t xml:space="preserve"> 药液倒出包装袋内后，药渣残留在罐中，倒出在收集桶后委托给专门机构处理。药罐倒出后需要清洗，清洗废水直接随下水管道流入项目污水处理站。</w:t>
            </w:r>
          </w:p>
          <w:p>
            <w:pPr>
              <w:bidi w:val="0"/>
              <w:rPr>
                <w:rFonts w:hint="default"/>
                <w:b/>
                <w:bCs/>
                <w:lang w:val="en-US" w:eastAsia="zh-CN"/>
              </w:rPr>
            </w:pPr>
            <w:r>
              <w:rPr>
                <w:rFonts w:hint="eastAsia"/>
                <w:b/>
                <w:bCs/>
                <w:lang w:val="en-US" w:eastAsia="zh-CN"/>
              </w:rPr>
              <w:t>3、主要污染工序</w:t>
            </w:r>
          </w:p>
          <w:p>
            <w:pPr>
              <w:pStyle w:val="29"/>
              <w:bidi w:val="0"/>
            </w:pPr>
            <w:r>
              <w:t>表</w:t>
            </w:r>
            <w:r>
              <w:rPr>
                <w:rFonts w:hint="eastAsia"/>
              </w:rPr>
              <w:t>2</w:t>
            </w:r>
            <w:r>
              <w:rPr>
                <w:rFonts w:hint="eastAsia"/>
                <w:lang w:val="en-US" w:eastAsia="zh-CN"/>
              </w:rPr>
              <w:t>.2</w:t>
            </w:r>
            <w:r>
              <w:t>-</w:t>
            </w:r>
            <w:r>
              <w:rPr>
                <w:rFonts w:hint="eastAsia"/>
                <w:lang w:val="en-US" w:eastAsia="zh-CN"/>
              </w:rPr>
              <w:t>1</w:t>
            </w:r>
            <w:r>
              <w:t xml:space="preserve"> 项目生产工艺过程产污环节统计表</w:t>
            </w:r>
          </w:p>
          <w:tbl>
            <w:tblPr>
              <w:tblStyle w:val="27"/>
              <w:tblW w:w="9032" w:type="dxa"/>
              <w:jc w:val="center"/>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995"/>
              <w:gridCol w:w="2062"/>
              <w:gridCol w:w="2140"/>
              <w:gridCol w:w="383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95" w:type="dxa"/>
                  <w:tcBorders>
                    <w:top w:val="single" w:color="auto" w:sz="6" w:space="0"/>
                    <w:left w:val="single" w:color="auto" w:sz="6" w:space="0"/>
                    <w:bottom w:val="single" w:color="auto" w:sz="4" w:space="0"/>
                    <w:right w:val="single" w:color="auto" w:sz="4" w:space="0"/>
                  </w:tcBorders>
                  <w:noWrap w:val="0"/>
                  <w:vAlign w:val="center"/>
                </w:tcPr>
                <w:p>
                  <w:pPr>
                    <w:pStyle w:val="30"/>
                    <w:bidi w:val="0"/>
                  </w:pPr>
                  <w:r>
                    <w:t>污染物名称</w:t>
                  </w:r>
                </w:p>
              </w:tc>
              <w:tc>
                <w:tcPr>
                  <w:tcW w:w="2062" w:type="dxa"/>
                  <w:tcBorders>
                    <w:top w:val="single" w:color="auto" w:sz="6" w:space="0"/>
                    <w:left w:val="single" w:color="auto" w:sz="4" w:space="0"/>
                    <w:bottom w:val="single" w:color="auto" w:sz="4" w:space="0"/>
                    <w:right w:val="single" w:color="auto" w:sz="4" w:space="0"/>
                  </w:tcBorders>
                  <w:noWrap w:val="0"/>
                  <w:vAlign w:val="center"/>
                </w:tcPr>
                <w:p>
                  <w:pPr>
                    <w:pStyle w:val="30"/>
                    <w:bidi w:val="0"/>
                  </w:pPr>
                  <w:r>
                    <w:t>污染源</w:t>
                  </w:r>
                </w:p>
              </w:tc>
              <w:tc>
                <w:tcPr>
                  <w:tcW w:w="2140" w:type="dxa"/>
                  <w:tcBorders>
                    <w:top w:val="single" w:color="auto" w:sz="6" w:space="0"/>
                    <w:left w:val="single" w:color="auto" w:sz="4" w:space="0"/>
                    <w:bottom w:val="single" w:color="auto" w:sz="4" w:space="0"/>
                    <w:right w:val="single" w:color="auto" w:sz="4" w:space="0"/>
                  </w:tcBorders>
                  <w:noWrap w:val="0"/>
                  <w:vAlign w:val="center"/>
                </w:tcPr>
                <w:p>
                  <w:pPr>
                    <w:pStyle w:val="30"/>
                    <w:bidi w:val="0"/>
                  </w:pPr>
                  <w:r>
                    <w:t>主要污染物</w:t>
                  </w:r>
                </w:p>
              </w:tc>
              <w:tc>
                <w:tcPr>
                  <w:tcW w:w="3835" w:type="dxa"/>
                  <w:tcBorders>
                    <w:top w:val="single" w:color="auto" w:sz="6" w:space="0"/>
                    <w:left w:val="single" w:color="auto" w:sz="4" w:space="0"/>
                    <w:bottom w:val="single" w:color="auto" w:sz="4" w:space="0"/>
                    <w:right w:val="single" w:color="auto" w:sz="6" w:space="0"/>
                  </w:tcBorders>
                  <w:noWrap w:val="0"/>
                  <w:vAlign w:val="center"/>
                </w:tcPr>
                <w:p>
                  <w:pPr>
                    <w:pStyle w:val="30"/>
                    <w:bidi w:val="0"/>
                  </w:pPr>
                  <w:r>
                    <w:t>治理措施</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95" w:type="dxa"/>
                  <w:vMerge w:val="restart"/>
                  <w:tcBorders>
                    <w:top w:val="single" w:color="auto" w:sz="4" w:space="0"/>
                    <w:left w:val="single" w:color="auto" w:sz="6" w:space="0"/>
                    <w:right w:val="single" w:color="auto" w:sz="4" w:space="0"/>
                  </w:tcBorders>
                  <w:noWrap w:val="0"/>
                  <w:vAlign w:val="center"/>
                </w:tcPr>
                <w:p>
                  <w:pPr>
                    <w:pStyle w:val="30"/>
                    <w:bidi w:val="0"/>
                    <w:rPr>
                      <w:lang w:val="zh-CN"/>
                    </w:rPr>
                  </w:pPr>
                  <w:r>
                    <w:rPr>
                      <w:lang w:val="zh-CN"/>
                    </w:rPr>
                    <w:t>废气</w:t>
                  </w:r>
                </w:p>
              </w:tc>
              <w:tc>
                <w:tcPr>
                  <w:tcW w:w="2062" w:type="dxa"/>
                  <w:tcBorders>
                    <w:top w:val="single" w:color="auto" w:sz="4" w:space="0"/>
                    <w:left w:val="single" w:color="auto" w:sz="4" w:space="0"/>
                    <w:right w:val="single" w:color="auto" w:sz="4" w:space="0"/>
                  </w:tcBorders>
                  <w:noWrap w:val="0"/>
                  <w:vAlign w:val="center"/>
                </w:tcPr>
                <w:p>
                  <w:pPr>
                    <w:pStyle w:val="30"/>
                    <w:bidi w:val="0"/>
                    <w:rPr>
                      <w:rFonts w:hint="default"/>
                      <w:lang w:val="en-US" w:eastAsia="zh-CN"/>
                    </w:rPr>
                  </w:pPr>
                  <w:r>
                    <w:rPr>
                      <w:rFonts w:hint="eastAsia"/>
                      <w:lang w:val="en-US" w:eastAsia="zh-CN"/>
                    </w:rPr>
                    <w:t>污水处理站恶臭</w:t>
                  </w:r>
                </w:p>
              </w:tc>
              <w:tc>
                <w:tcPr>
                  <w:tcW w:w="2140"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lang w:val="en-US" w:eastAsia="zh-CN"/>
                    </w:rPr>
                  </w:pPr>
                  <w:r>
                    <w:rPr>
                      <w:rFonts w:hint="eastAsia"/>
                      <w:lang w:val="en-US" w:eastAsia="zh-CN"/>
                    </w:rPr>
                    <w:t>氨、硫化氢、臭气浓度</w:t>
                  </w:r>
                </w:p>
              </w:tc>
              <w:tc>
                <w:tcPr>
                  <w:tcW w:w="3835" w:type="dxa"/>
                  <w:tcBorders>
                    <w:top w:val="single" w:color="auto" w:sz="4" w:space="0"/>
                    <w:left w:val="single" w:color="auto" w:sz="4" w:space="0"/>
                    <w:right w:val="single" w:color="auto" w:sz="6" w:space="0"/>
                  </w:tcBorders>
                  <w:noWrap w:val="0"/>
                  <w:vAlign w:val="center"/>
                </w:tcPr>
                <w:p>
                  <w:pPr>
                    <w:pStyle w:val="30"/>
                    <w:bidi w:val="0"/>
                    <w:rPr>
                      <w:rFonts w:hint="default"/>
                      <w:lang w:val="en-US" w:eastAsia="zh-CN"/>
                    </w:rPr>
                  </w:pPr>
                  <w:r>
                    <w:rPr>
                      <w:rFonts w:hint="eastAsia"/>
                      <w:lang w:val="en-US" w:eastAsia="zh-CN"/>
                    </w:rPr>
                    <w:t>地埋式、喷洒除臭剂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95" w:type="dxa"/>
                  <w:vMerge w:val="continue"/>
                  <w:tcBorders>
                    <w:left w:val="single" w:color="auto" w:sz="6" w:space="0"/>
                    <w:right w:val="single" w:color="auto" w:sz="4" w:space="0"/>
                  </w:tcBorders>
                  <w:noWrap w:val="0"/>
                  <w:vAlign w:val="center"/>
                </w:tcPr>
                <w:p>
                  <w:pPr>
                    <w:pStyle w:val="30"/>
                    <w:bidi w:val="0"/>
                    <w:rPr>
                      <w:lang w:val="zh-CN"/>
                    </w:rPr>
                  </w:pPr>
                </w:p>
              </w:tc>
              <w:tc>
                <w:tcPr>
                  <w:tcW w:w="2062" w:type="dxa"/>
                  <w:tcBorders>
                    <w:top w:val="single" w:color="auto" w:sz="4" w:space="0"/>
                    <w:left w:val="single" w:color="auto" w:sz="4" w:space="0"/>
                    <w:right w:val="single" w:color="auto" w:sz="4" w:space="0"/>
                  </w:tcBorders>
                  <w:noWrap w:val="0"/>
                  <w:vAlign w:val="center"/>
                </w:tcPr>
                <w:p>
                  <w:pPr>
                    <w:pStyle w:val="30"/>
                    <w:bidi w:val="0"/>
                    <w:rPr>
                      <w:rFonts w:hint="eastAsia"/>
                      <w:lang w:val="en-US" w:eastAsia="zh-CN"/>
                    </w:rPr>
                  </w:pPr>
                  <w:r>
                    <w:rPr>
                      <w:sz w:val="21"/>
                      <w:szCs w:val="21"/>
                      <w:lang w:val="en-US" w:eastAsia="zh-CN"/>
                    </w:rPr>
                    <w:t>停车场汽车尾气</w:t>
                  </w:r>
                </w:p>
              </w:tc>
              <w:tc>
                <w:tcPr>
                  <w:tcW w:w="2140"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eastAsia"/>
                      <w:lang w:val="en-US" w:eastAsia="zh-CN"/>
                    </w:rPr>
                  </w:pPr>
                  <w:r>
                    <w:rPr>
                      <w:lang w:val="en-US" w:eastAsia="zh-CN"/>
                    </w:rPr>
                    <w:t>烟尘、HC、NOx</w:t>
                  </w:r>
                </w:p>
              </w:tc>
              <w:tc>
                <w:tcPr>
                  <w:tcW w:w="3835" w:type="dxa"/>
                  <w:tcBorders>
                    <w:top w:val="single" w:color="auto" w:sz="4" w:space="0"/>
                    <w:left w:val="single" w:color="auto" w:sz="4" w:space="0"/>
                    <w:right w:val="single" w:color="auto" w:sz="6" w:space="0"/>
                  </w:tcBorders>
                  <w:noWrap w:val="0"/>
                  <w:vAlign w:val="center"/>
                </w:tcPr>
                <w:p>
                  <w:pPr>
                    <w:pStyle w:val="30"/>
                    <w:bidi w:val="0"/>
                    <w:rPr>
                      <w:rFonts w:hint="eastAsia"/>
                      <w:lang w:val="en-US" w:eastAsia="zh-CN"/>
                    </w:rPr>
                  </w:pPr>
                  <w:r>
                    <w:rPr>
                      <w:sz w:val="21"/>
                      <w:szCs w:val="21"/>
                      <w:lang w:val="en-US" w:eastAsia="zh-CN"/>
                    </w:rPr>
                    <w:t>通过地下车库排气</w:t>
                  </w:r>
                  <w:r>
                    <w:rPr>
                      <w:rFonts w:hint="eastAsia"/>
                      <w:sz w:val="21"/>
                      <w:szCs w:val="21"/>
                      <w:lang w:val="en-US" w:eastAsia="zh-CN"/>
                    </w:rPr>
                    <w:t>系统</w:t>
                  </w:r>
                  <w:r>
                    <w:rPr>
                      <w:sz w:val="21"/>
                      <w:szCs w:val="21"/>
                      <w:lang w:val="en-US" w:eastAsia="zh-CN"/>
                    </w:rPr>
                    <w:t>引排至室外</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95" w:type="dxa"/>
                  <w:vMerge w:val="continue"/>
                  <w:tcBorders>
                    <w:left w:val="single" w:color="auto" w:sz="6" w:space="0"/>
                    <w:right w:val="single" w:color="auto" w:sz="4" w:space="0"/>
                  </w:tcBorders>
                  <w:noWrap w:val="0"/>
                  <w:vAlign w:val="center"/>
                </w:tcPr>
                <w:p>
                  <w:pPr>
                    <w:pStyle w:val="30"/>
                    <w:bidi w:val="0"/>
                    <w:rPr>
                      <w:lang w:val="zh-CN"/>
                    </w:rPr>
                  </w:pPr>
                </w:p>
              </w:tc>
              <w:tc>
                <w:tcPr>
                  <w:tcW w:w="2062" w:type="dxa"/>
                  <w:tcBorders>
                    <w:top w:val="single" w:color="auto" w:sz="4" w:space="0"/>
                    <w:left w:val="single" w:color="auto" w:sz="4" w:space="0"/>
                    <w:right w:val="single" w:color="auto" w:sz="4" w:space="0"/>
                  </w:tcBorders>
                  <w:shd w:val="clear" w:color="auto" w:fill="auto"/>
                  <w:noWrap w:val="0"/>
                  <w:vAlign w:val="center"/>
                </w:tcPr>
                <w:p>
                  <w:pPr>
                    <w:pStyle w:val="30"/>
                    <w:bidi w:val="0"/>
                    <w:rPr>
                      <w:rFonts w:hint="eastAsia"/>
                      <w:lang w:val="en-US" w:eastAsia="zh-CN"/>
                    </w:rPr>
                  </w:pPr>
                  <w:r>
                    <w:rPr>
                      <w:rFonts w:hint="eastAsia"/>
                      <w:lang w:val="en-US" w:eastAsia="zh-CN"/>
                    </w:rPr>
                    <w:t>柴油发电机</w:t>
                  </w:r>
                  <w:r>
                    <w:rPr>
                      <w:sz w:val="21"/>
                      <w:szCs w:val="21"/>
                      <w:lang w:val="en-US" w:eastAsia="zh-CN"/>
                    </w:rPr>
                    <w:t>尾气</w:t>
                  </w:r>
                </w:p>
              </w:tc>
              <w:tc>
                <w:tcPr>
                  <w:tcW w:w="214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0"/>
                    <w:bidi w:val="0"/>
                    <w:rPr>
                      <w:rFonts w:hint="eastAsia"/>
                      <w:lang w:val="en-US" w:eastAsia="zh-CN"/>
                    </w:rPr>
                  </w:pPr>
                  <w:r>
                    <w:rPr>
                      <w:lang w:val="en-US" w:eastAsia="zh-CN"/>
                    </w:rPr>
                    <w:t>烟尘、HC、SO</w:t>
                  </w:r>
                  <w:r>
                    <w:rPr>
                      <w:vertAlign w:val="subscript"/>
                      <w:lang w:val="en-US" w:eastAsia="zh-CN"/>
                    </w:rPr>
                    <w:t>2</w:t>
                  </w:r>
                  <w:r>
                    <w:rPr>
                      <w:lang w:val="en-US" w:eastAsia="zh-CN"/>
                    </w:rPr>
                    <w:t>、NOx</w:t>
                  </w:r>
                </w:p>
              </w:tc>
              <w:tc>
                <w:tcPr>
                  <w:tcW w:w="3835" w:type="dxa"/>
                  <w:tcBorders>
                    <w:top w:val="single" w:color="auto" w:sz="4" w:space="0"/>
                    <w:left w:val="single" w:color="auto" w:sz="4" w:space="0"/>
                    <w:right w:val="single" w:color="auto" w:sz="6" w:space="0"/>
                  </w:tcBorders>
                  <w:shd w:val="clear" w:color="auto" w:fill="auto"/>
                  <w:noWrap w:val="0"/>
                  <w:vAlign w:val="center"/>
                </w:tcPr>
                <w:p>
                  <w:pPr>
                    <w:pStyle w:val="30"/>
                    <w:bidi w:val="0"/>
                    <w:rPr>
                      <w:rFonts w:hint="eastAsia"/>
                      <w:lang w:val="en-US" w:eastAsia="zh-CN"/>
                    </w:rPr>
                  </w:pPr>
                  <w:r>
                    <w:rPr>
                      <w:sz w:val="21"/>
                      <w:szCs w:val="21"/>
                      <w:lang w:val="en-US" w:eastAsia="zh-CN"/>
                    </w:rPr>
                    <w:t>通过专用烟道引排至室外</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95" w:type="dxa"/>
                  <w:vMerge w:val="continue"/>
                  <w:tcBorders>
                    <w:left w:val="single" w:color="auto" w:sz="6" w:space="0"/>
                    <w:right w:val="single" w:color="auto" w:sz="4" w:space="0"/>
                  </w:tcBorders>
                  <w:noWrap w:val="0"/>
                  <w:vAlign w:val="center"/>
                </w:tcPr>
                <w:p>
                  <w:pPr>
                    <w:pStyle w:val="30"/>
                    <w:bidi w:val="0"/>
                    <w:rPr>
                      <w:lang w:val="zh-CN"/>
                    </w:rPr>
                  </w:pPr>
                </w:p>
              </w:tc>
              <w:tc>
                <w:tcPr>
                  <w:tcW w:w="2062" w:type="dxa"/>
                  <w:tcBorders>
                    <w:top w:val="single" w:color="auto" w:sz="4" w:space="0"/>
                    <w:left w:val="single" w:color="auto" w:sz="4" w:space="0"/>
                    <w:right w:val="single" w:color="auto" w:sz="4" w:space="0"/>
                  </w:tcBorders>
                  <w:shd w:val="clear" w:color="auto" w:fill="auto"/>
                  <w:noWrap w:val="0"/>
                  <w:vAlign w:val="center"/>
                </w:tcPr>
                <w:p>
                  <w:pPr>
                    <w:pStyle w:val="30"/>
                    <w:bidi w:val="0"/>
                    <w:rPr>
                      <w:rFonts w:hint="eastAsia"/>
                      <w:lang w:val="en-US" w:eastAsia="zh-CN"/>
                    </w:rPr>
                  </w:pPr>
                  <w:r>
                    <w:rPr>
                      <w:rFonts w:hint="eastAsia"/>
                      <w:lang w:val="en-US" w:eastAsia="zh-CN"/>
                    </w:rPr>
                    <w:t>中药异味</w:t>
                  </w:r>
                </w:p>
              </w:tc>
              <w:tc>
                <w:tcPr>
                  <w:tcW w:w="214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0"/>
                    <w:bidi w:val="0"/>
                    <w:rPr>
                      <w:lang w:val="en-US" w:eastAsia="zh-CN"/>
                    </w:rPr>
                  </w:pPr>
                  <w:r>
                    <w:rPr>
                      <w:rFonts w:hint="eastAsia"/>
                      <w:lang w:val="en-US" w:eastAsia="zh-CN"/>
                    </w:rPr>
                    <w:t>异味</w:t>
                  </w:r>
                </w:p>
              </w:tc>
              <w:tc>
                <w:tcPr>
                  <w:tcW w:w="3835" w:type="dxa"/>
                  <w:tcBorders>
                    <w:top w:val="single" w:color="auto" w:sz="4" w:space="0"/>
                    <w:left w:val="single" w:color="auto" w:sz="4" w:space="0"/>
                    <w:right w:val="single" w:color="auto" w:sz="6" w:space="0"/>
                  </w:tcBorders>
                  <w:shd w:val="clear" w:color="auto" w:fill="auto"/>
                  <w:noWrap w:val="0"/>
                  <w:vAlign w:val="center"/>
                </w:tcPr>
                <w:p>
                  <w:pPr>
                    <w:pStyle w:val="30"/>
                    <w:bidi w:val="0"/>
                    <w:rPr>
                      <w:sz w:val="21"/>
                      <w:szCs w:val="21"/>
                      <w:lang w:val="en-US" w:eastAsia="zh-CN"/>
                    </w:rPr>
                  </w:pPr>
                  <w:r>
                    <w:rPr>
                      <w:rFonts w:hint="eastAsia"/>
                    </w:rPr>
                    <w:t>经专用通道引致楼顶高空排放</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95" w:type="dxa"/>
                  <w:vMerge w:val="continue"/>
                  <w:tcBorders>
                    <w:left w:val="single" w:color="auto" w:sz="6" w:space="0"/>
                    <w:right w:val="single" w:color="auto" w:sz="4" w:space="0"/>
                  </w:tcBorders>
                  <w:noWrap w:val="0"/>
                  <w:vAlign w:val="center"/>
                </w:tcPr>
                <w:p>
                  <w:pPr>
                    <w:pStyle w:val="30"/>
                    <w:bidi w:val="0"/>
                    <w:rPr>
                      <w:lang w:val="zh-CN"/>
                    </w:rPr>
                  </w:pPr>
                </w:p>
              </w:tc>
              <w:tc>
                <w:tcPr>
                  <w:tcW w:w="2062" w:type="dxa"/>
                  <w:tcBorders>
                    <w:top w:val="single" w:color="auto" w:sz="4" w:space="0"/>
                    <w:left w:val="single" w:color="auto" w:sz="4" w:space="0"/>
                    <w:right w:val="single" w:color="auto" w:sz="4" w:space="0"/>
                  </w:tcBorders>
                  <w:noWrap w:val="0"/>
                  <w:vAlign w:val="center"/>
                </w:tcPr>
                <w:p>
                  <w:pPr>
                    <w:pStyle w:val="30"/>
                    <w:bidi w:val="0"/>
                    <w:rPr>
                      <w:rFonts w:hint="eastAsia"/>
                      <w:lang w:val="en-US" w:eastAsia="zh-CN"/>
                    </w:rPr>
                  </w:pPr>
                  <w:r>
                    <w:t>食堂油烟</w:t>
                  </w:r>
                </w:p>
              </w:tc>
              <w:tc>
                <w:tcPr>
                  <w:tcW w:w="2140"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eastAsia"/>
                      <w:lang w:val="en-US" w:eastAsia="zh-CN"/>
                    </w:rPr>
                  </w:pPr>
                  <w:r>
                    <w:t>油烟</w:t>
                  </w:r>
                </w:p>
              </w:tc>
              <w:tc>
                <w:tcPr>
                  <w:tcW w:w="3835" w:type="dxa"/>
                  <w:tcBorders>
                    <w:top w:val="single" w:color="auto" w:sz="4" w:space="0"/>
                    <w:left w:val="single" w:color="auto" w:sz="4" w:space="0"/>
                    <w:right w:val="single" w:color="auto" w:sz="6" w:space="0"/>
                  </w:tcBorders>
                  <w:noWrap w:val="0"/>
                  <w:vAlign w:val="center"/>
                </w:tcPr>
                <w:p>
                  <w:pPr>
                    <w:pStyle w:val="30"/>
                    <w:bidi w:val="0"/>
                    <w:rPr>
                      <w:rFonts w:hint="eastAsia"/>
                      <w:lang w:val="en-US" w:eastAsia="zh-CN"/>
                    </w:rPr>
                  </w:pPr>
                  <w:r>
                    <w:t>油烟净化器</w:t>
                  </w:r>
                  <w:r>
                    <w:rPr>
                      <w:rFonts w:hint="eastAsia"/>
                    </w:rPr>
                    <w:t>处理后经专用通道引致楼顶高空排放</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95" w:type="dxa"/>
                  <w:tcBorders>
                    <w:top w:val="single" w:color="auto" w:sz="4" w:space="0"/>
                    <w:left w:val="single" w:color="auto" w:sz="6" w:space="0"/>
                    <w:right w:val="single" w:color="auto" w:sz="4" w:space="0"/>
                  </w:tcBorders>
                  <w:noWrap w:val="0"/>
                  <w:vAlign w:val="center"/>
                </w:tcPr>
                <w:p>
                  <w:pPr>
                    <w:pStyle w:val="30"/>
                    <w:bidi w:val="0"/>
                    <w:rPr>
                      <w:lang w:val="zh-CN"/>
                    </w:rPr>
                  </w:pPr>
                  <w:r>
                    <w:rPr>
                      <w:lang w:val="zh-CN"/>
                    </w:rPr>
                    <w:t>废水</w:t>
                  </w:r>
                </w:p>
              </w:tc>
              <w:tc>
                <w:tcPr>
                  <w:tcW w:w="2062" w:type="dxa"/>
                  <w:tcBorders>
                    <w:top w:val="single" w:color="auto" w:sz="4" w:space="0"/>
                    <w:left w:val="single" w:color="auto" w:sz="4" w:space="0"/>
                    <w:bottom w:val="single" w:color="auto" w:sz="4" w:space="0"/>
                    <w:right w:val="single" w:color="auto" w:sz="4" w:space="0"/>
                  </w:tcBorders>
                  <w:noWrap w:val="0"/>
                  <w:vAlign w:val="center"/>
                </w:tcPr>
                <w:p>
                  <w:pPr>
                    <w:pStyle w:val="30"/>
                    <w:bidi w:val="0"/>
                    <w:rPr>
                      <w:lang w:val="zh-CN"/>
                    </w:rPr>
                  </w:pPr>
                  <w:r>
                    <w:rPr>
                      <w:rFonts w:hint="eastAsia"/>
                      <w:lang w:val="en-US" w:eastAsia="zh-CN"/>
                    </w:rPr>
                    <w:t>综合医疗废水</w:t>
                  </w:r>
                </w:p>
              </w:tc>
              <w:tc>
                <w:tcPr>
                  <w:tcW w:w="2140"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lang w:val="en-US" w:eastAsia="zh-CN"/>
                    </w:rPr>
                  </w:pPr>
                  <w:r>
                    <w:rPr>
                      <w:rFonts w:hint="eastAsia"/>
                    </w:rPr>
                    <w:t>pH、</w:t>
                  </w:r>
                  <w:r>
                    <w:t>COD、BOD</w:t>
                  </w:r>
                  <w:r>
                    <w:rPr>
                      <w:vertAlign w:val="subscript"/>
                    </w:rPr>
                    <w:t>5</w:t>
                  </w:r>
                  <w:r>
                    <w:t>、SS、NH</w:t>
                  </w:r>
                  <w:r>
                    <w:rPr>
                      <w:vertAlign w:val="subscript"/>
                    </w:rPr>
                    <w:t>3</w:t>
                  </w:r>
                  <w:r>
                    <w:t>-N</w:t>
                  </w:r>
                  <w:r>
                    <w:rPr>
                      <w:rFonts w:hint="eastAsia"/>
                      <w:lang w:eastAsia="zh-CN"/>
                    </w:rPr>
                    <w:t>、</w:t>
                  </w:r>
                  <w:r>
                    <w:rPr>
                      <w:rFonts w:hint="eastAsia"/>
                      <w:lang w:val="en-US" w:eastAsia="zh-CN"/>
                    </w:rPr>
                    <w:t>粪大肠菌群</w:t>
                  </w:r>
                </w:p>
              </w:tc>
              <w:tc>
                <w:tcPr>
                  <w:tcW w:w="3835" w:type="dxa"/>
                  <w:tcBorders>
                    <w:top w:val="single" w:color="auto" w:sz="4" w:space="0"/>
                    <w:left w:val="single" w:color="auto" w:sz="4" w:space="0"/>
                    <w:bottom w:val="single" w:color="auto" w:sz="4" w:space="0"/>
                    <w:right w:val="single" w:color="auto" w:sz="6" w:space="0"/>
                  </w:tcBorders>
                  <w:noWrap w:val="0"/>
                  <w:vAlign w:val="center"/>
                </w:tcPr>
                <w:p>
                  <w:pPr>
                    <w:pStyle w:val="30"/>
                    <w:bidi w:val="0"/>
                    <w:rPr>
                      <w:rFonts w:hint="eastAsia"/>
                    </w:rPr>
                  </w:pPr>
                  <w:r>
                    <w:rPr>
                      <w:rFonts w:hint="eastAsia"/>
                      <w:lang w:eastAsia="zh-CN"/>
                    </w:rPr>
                    <w:t>进入院区污水处理站处理达标进入</w:t>
                  </w:r>
                  <w:r>
                    <w:rPr>
                      <w:rFonts w:hint="eastAsia"/>
                    </w:rPr>
                    <w:t>市政</w:t>
                  </w:r>
                  <w:r>
                    <w:t>污水管网排入</w:t>
                  </w:r>
                  <w:r>
                    <w:rPr>
                      <w:rFonts w:hint="eastAsia"/>
                      <w:lang w:val="en-US" w:eastAsia="zh-CN"/>
                    </w:rPr>
                    <w:t>向家亭</w:t>
                  </w:r>
                  <w:r>
                    <w:rPr>
                      <w:rFonts w:hint="eastAsia"/>
                      <w:lang w:eastAsia="zh-CN"/>
                    </w:rPr>
                    <w:t>污水处理厂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95" w:type="dxa"/>
                  <w:vMerge w:val="restart"/>
                  <w:tcBorders>
                    <w:top w:val="single" w:color="auto" w:sz="4" w:space="0"/>
                    <w:left w:val="single" w:color="auto" w:sz="6" w:space="0"/>
                    <w:right w:val="single" w:color="auto" w:sz="4" w:space="0"/>
                  </w:tcBorders>
                  <w:noWrap w:val="0"/>
                  <w:vAlign w:val="center"/>
                </w:tcPr>
                <w:p>
                  <w:pPr>
                    <w:pStyle w:val="30"/>
                    <w:bidi w:val="0"/>
                  </w:pPr>
                  <w:r>
                    <w:t>固废</w:t>
                  </w:r>
                </w:p>
              </w:tc>
              <w:tc>
                <w:tcPr>
                  <w:tcW w:w="2062"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rPr>
                  </w:pPr>
                  <w:r>
                    <w:rPr>
                      <w:rFonts w:hint="default"/>
                    </w:rPr>
                    <w:t>生活垃圾</w:t>
                  </w:r>
                </w:p>
              </w:tc>
              <w:tc>
                <w:tcPr>
                  <w:tcW w:w="2140" w:type="dxa"/>
                  <w:tcBorders>
                    <w:top w:val="single" w:color="auto" w:sz="4" w:space="0"/>
                    <w:left w:val="single" w:color="auto" w:sz="4" w:space="0"/>
                    <w:bottom w:val="single" w:color="auto" w:sz="4" w:space="0"/>
                    <w:right w:val="single" w:color="auto" w:sz="4" w:space="0"/>
                  </w:tcBorders>
                  <w:noWrap w:val="0"/>
                  <w:vAlign w:val="center"/>
                </w:tcPr>
                <w:p>
                  <w:pPr>
                    <w:pStyle w:val="30"/>
                    <w:bidi w:val="0"/>
                  </w:pPr>
                  <w:r>
                    <w:t>/</w:t>
                  </w:r>
                </w:p>
              </w:tc>
              <w:tc>
                <w:tcPr>
                  <w:tcW w:w="3835" w:type="dxa"/>
                  <w:tcBorders>
                    <w:top w:val="single" w:color="auto" w:sz="4" w:space="0"/>
                    <w:left w:val="single" w:color="auto" w:sz="4" w:space="0"/>
                    <w:bottom w:val="single" w:color="auto" w:sz="4" w:space="0"/>
                    <w:right w:val="single" w:color="auto" w:sz="6" w:space="0"/>
                  </w:tcBorders>
                  <w:noWrap w:val="0"/>
                  <w:vAlign w:val="center"/>
                </w:tcPr>
                <w:p>
                  <w:pPr>
                    <w:pStyle w:val="30"/>
                    <w:bidi w:val="0"/>
                  </w:pPr>
                  <w:r>
                    <w:t>由环卫部门统一清运处理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95" w:type="dxa"/>
                  <w:vMerge w:val="continue"/>
                  <w:tcBorders>
                    <w:left w:val="single" w:color="auto" w:sz="6" w:space="0"/>
                    <w:right w:val="single" w:color="auto" w:sz="4" w:space="0"/>
                  </w:tcBorders>
                  <w:noWrap w:val="0"/>
                  <w:vAlign w:val="center"/>
                </w:tcPr>
                <w:p>
                  <w:pPr>
                    <w:pStyle w:val="30"/>
                    <w:bidi w:val="0"/>
                  </w:pPr>
                </w:p>
              </w:tc>
              <w:tc>
                <w:tcPr>
                  <w:tcW w:w="2062"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rPr>
                  </w:pPr>
                  <w:r>
                    <w:rPr>
                      <w:rFonts w:hint="eastAsia"/>
                      <w:lang w:val="en-US" w:eastAsia="zh-CN"/>
                    </w:rPr>
                    <w:t>中药渣</w:t>
                  </w:r>
                </w:p>
              </w:tc>
              <w:tc>
                <w:tcPr>
                  <w:tcW w:w="2140"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eastAsia" w:eastAsia="宋体"/>
                      <w:lang w:val="en-US" w:eastAsia="zh-CN"/>
                    </w:rPr>
                  </w:pPr>
                  <w:r>
                    <w:rPr>
                      <w:rFonts w:hint="eastAsia"/>
                      <w:lang w:val="en-US" w:eastAsia="zh-CN"/>
                    </w:rPr>
                    <w:t>/</w:t>
                  </w:r>
                </w:p>
              </w:tc>
              <w:tc>
                <w:tcPr>
                  <w:tcW w:w="3835" w:type="dxa"/>
                  <w:tcBorders>
                    <w:top w:val="single" w:color="auto" w:sz="4" w:space="0"/>
                    <w:left w:val="single" w:color="auto" w:sz="4" w:space="0"/>
                    <w:bottom w:val="single" w:color="auto" w:sz="4" w:space="0"/>
                    <w:right w:val="single" w:color="auto" w:sz="6" w:space="0"/>
                  </w:tcBorders>
                  <w:noWrap w:val="0"/>
                  <w:vAlign w:val="center"/>
                </w:tcPr>
                <w:p>
                  <w:pPr>
                    <w:pStyle w:val="30"/>
                    <w:bidi w:val="0"/>
                  </w:pPr>
                  <w:r>
                    <w:rPr>
                      <w:rFonts w:hint="default"/>
                      <w:lang w:val="en-US" w:eastAsia="zh-CN"/>
                    </w:rPr>
                    <w:t>采用包装袋密封收集后暂存于密闭煎药室内垃圾桶，交</w:t>
                  </w:r>
                  <w:r>
                    <w:rPr>
                      <w:rFonts w:hint="eastAsia"/>
                      <w:lang w:val="en-US" w:eastAsia="zh-CN"/>
                    </w:rPr>
                    <w:t>专门机构</w:t>
                  </w:r>
                  <w:r>
                    <w:rPr>
                      <w:rFonts w:hint="default"/>
                      <w:lang w:val="en-US" w:eastAsia="zh-CN"/>
                    </w:rPr>
                    <w:t>处理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95" w:type="dxa"/>
                  <w:vMerge w:val="continue"/>
                  <w:tcBorders>
                    <w:left w:val="single" w:color="auto" w:sz="6" w:space="0"/>
                    <w:right w:val="single" w:color="auto" w:sz="4" w:space="0"/>
                  </w:tcBorders>
                  <w:noWrap w:val="0"/>
                  <w:vAlign w:val="center"/>
                </w:tcPr>
                <w:p>
                  <w:pPr>
                    <w:pStyle w:val="30"/>
                    <w:bidi w:val="0"/>
                  </w:pPr>
                </w:p>
              </w:tc>
              <w:tc>
                <w:tcPr>
                  <w:tcW w:w="2062"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lang w:val="en-US"/>
                    </w:rPr>
                  </w:pPr>
                  <w:r>
                    <w:rPr>
                      <w:rFonts w:hint="eastAsia"/>
                      <w:lang w:val="en-US" w:eastAsia="zh-CN"/>
                    </w:rPr>
                    <w:t>包装废物</w:t>
                  </w:r>
                </w:p>
              </w:tc>
              <w:tc>
                <w:tcPr>
                  <w:tcW w:w="2140" w:type="dxa"/>
                  <w:tcBorders>
                    <w:top w:val="single" w:color="auto" w:sz="4" w:space="0"/>
                    <w:left w:val="single" w:color="auto" w:sz="4" w:space="0"/>
                    <w:bottom w:val="single" w:color="auto" w:sz="4" w:space="0"/>
                    <w:right w:val="single" w:color="auto" w:sz="4" w:space="0"/>
                  </w:tcBorders>
                  <w:noWrap w:val="0"/>
                  <w:vAlign w:val="center"/>
                </w:tcPr>
                <w:p>
                  <w:pPr>
                    <w:pStyle w:val="30"/>
                    <w:bidi w:val="0"/>
                  </w:pPr>
                  <w:r>
                    <w:t>/</w:t>
                  </w:r>
                </w:p>
              </w:tc>
              <w:tc>
                <w:tcPr>
                  <w:tcW w:w="3835" w:type="dxa"/>
                  <w:tcBorders>
                    <w:top w:val="single" w:color="auto" w:sz="4" w:space="0"/>
                    <w:left w:val="single" w:color="auto" w:sz="4" w:space="0"/>
                    <w:bottom w:val="single" w:color="auto" w:sz="4" w:space="0"/>
                    <w:right w:val="single" w:color="auto" w:sz="6" w:space="0"/>
                  </w:tcBorders>
                  <w:noWrap w:val="0"/>
                  <w:vAlign w:val="center"/>
                </w:tcPr>
                <w:p>
                  <w:pPr>
                    <w:pStyle w:val="30"/>
                    <w:bidi w:val="0"/>
                  </w:pPr>
                  <w:r>
                    <w:rPr>
                      <w:rFonts w:hint="eastAsia"/>
                    </w:rPr>
                    <w:t>收集后外售</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95" w:type="dxa"/>
                  <w:vMerge w:val="continue"/>
                  <w:tcBorders>
                    <w:left w:val="single" w:color="auto" w:sz="6" w:space="0"/>
                    <w:right w:val="single" w:color="auto" w:sz="4" w:space="0"/>
                  </w:tcBorders>
                  <w:noWrap w:val="0"/>
                  <w:vAlign w:val="center"/>
                </w:tcPr>
                <w:p>
                  <w:pPr>
                    <w:pStyle w:val="30"/>
                    <w:bidi w:val="0"/>
                  </w:pPr>
                </w:p>
              </w:tc>
              <w:tc>
                <w:tcPr>
                  <w:tcW w:w="2062"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lang w:val="en-US" w:eastAsia="zh-CN"/>
                    </w:rPr>
                  </w:pPr>
                  <w:r>
                    <w:rPr>
                      <w:rFonts w:hint="eastAsia"/>
                      <w:lang w:val="en-US" w:eastAsia="zh-CN"/>
                    </w:rPr>
                    <w:t>医疗废物</w:t>
                  </w:r>
                </w:p>
              </w:tc>
              <w:tc>
                <w:tcPr>
                  <w:tcW w:w="2140"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eastAsia"/>
                    </w:rPr>
                  </w:pPr>
                  <w:r>
                    <w:rPr>
                      <w:rFonts w:hint="eastAsia"/>
                    </w:rPr>
                    <w:t>/</w:t>
                  </w:r>
                </w:p>
              </w:tc>
              <w:tc>
                <w:tcPr>
                  <w:tcW w:w="3835" w:type="dxa"/>
                  <w:tcBorders>
                    <w:top w:val="single" w:color="auto" w:sz="4" w:space="0"/>
                    <w:left w:val="single" w:color="auto" w:sz="4" w:space="0"/>
                    <w:right w:val="single" w:color="auto" w:sz="6" w:space="0"/>
                  </w:tcBorders>
                  <w:noWrap w:val="0"/>
                  <w:vAlign w:val="center"/>
                </w:tcPr>
                <w:p>
                  <w:pPr>
                    <w:pStyle w:val="30"/>
                    <w:bidi w:val="0"/>
                  </w:pPr>
                  <w:r>
                    <w:rPr>
                      <w:rFonts w:hint="eastAsia"/>
                      <w:lang w:val="en-US" w:eastAsia="zh-CN"/>
                    </w:rPr>
                    <w:t>暂存医疗废物间，定期</w:t>
                  </w:r>
                  <w:r>
                    <w:t>交由</w:t>
                  </w:r>
                  <w:r>
                    <w:rPr>
                      <w:rFonts w:hint="eastAsia"/>
                      <w:lang w:val="en-US" w:eastAsia="zh-CN"/>
                    </w:rPr>
                    <w:t>有资质单位</w:t>
                  </w:r>
                  <w:r>
                    <w:t>处置</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95" w:type="dxa"/>
                  <w:vMerge w:val="continue"/>
                  <w:tcBorders>
                    <w:left w:val="single" w:color="auto" w:sz="6" w:space="0"/>
                    <w:right w:val="single" w:color="auto" w:sz="4" w:space="0"/>
                  </w:tcBorders>
                  <w:noWrap w:val="0"/>
                  <w:vAlign w:val="center"/>
                </w:tcPr>
                <w:p>
                  <w:pPr>
                    <w:pStyle w:val="30"/>
                    <w:bidi w:val="0"/>
                  </w:pPr>
                </w:p>
              </w:tc>
              <w:tc>
                <w:tcPr>
                  <w:tcW w:w="2062"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lang w:val="en-US" w:eastAsia="zh-CN"/>
                    </w:rPr>
                  </w:pPr>
                  <w:r>
                    <w:rPr>
                      <w:rFonts w:hint="eastAsia"/>
                      <w:lang w:val="en-US" w:eastAsia="zh-CN"/>
                    </w:rPr>
                    <w:t>污水处理污泥</w:t>
                  </w:r>
                </w:p>
              </w:tc>
              <w:tc>
                <w:tcPr>
                  <w:tcW w:w="2140"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eastAsia"/>
                    </w:rPr>
                  </w:pPr>
                  <w:r>
                    <w:rPr>
                      <w:rFonts w:hint="eastAsia"/>
                    </w:rPr>
                    <w:t>/</w:t>
                  </w:r>
                </w:p>
              </w:tc>
              <w:tc>
                <w:tcPr>
                  <w:tcW w:w="3835" w:type="dxa"/>
                  <w:tcBorders>
                    <w:top w:val="single" w:color="auto" w:sz="4" w:space="0"/>
                    <w:left w:val="single" w:color="auto" w:sz="4" w:space="0"/>
                    <w:bottom w:val="single" w:color="auto" w:sz="4" w:space="0"/>
                    <w:right w:val="single" w:color="auto" w:sz="6" w:space="0"/>
                  </w:tcBorders>
                  <w:noWrap w:val="0"/>
                  <w:vAlign w:val="center"/>
                </w:tcPr>
                <w:p>
                  <w:pPr>
                    <w:pStyle w:val="30"/>
                    <w:bidi w:val="0"/>
                  </w:pPr>
                  <w:r>
                    <w:rPr>
                      <w:rFonts w:hint="eastAsia"/>
                      <w:lang w:val="en-US" w:eastAsia="zh-CN"/>
                    </w:rPr>
                    <w:t>消毒处理后直接</w:t>
                  </w:r>
                  <w:r>
                    <w:t>交由</w:t>
                  </w:r>
                  <w:r>
                    <w:rPr>
                      <w:rFonts w:hint="eastAsia"/>
                      <w:lang w:val="en-US" w:eastAsia="zh-CN"/>
                    </w:rPr>
                    <w:t>有资质单位</w:t>
                  </w:r>
                  <w:r>
                    <w:t>处置</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95" w:type="dxa"/>
                  <w:tcBorders>
                    <w:left w:val="single" w:color="auto" w:sz="6" w:space="0"/>
                    <w:right w:val="single" w:color="auto" w:sz="4" w:space="0"/>
                  </w:tcBorders>
                  <w:noWrap w:val="0"/>
                  <w:vAlign w:val="center"/>
                </w:tcPr>
                <w:p>
                  <w:pPr>
                    <w:pStyle w:val="30"/>
                    <w:bidi w:val="0"/>
                    <w:rPr>
                      <w:rFonts w:hint="eastAsia"/>
                    </w:rPr>
                  </w:pPr>
                  <w:r>
                    <w:rPr>
                      <w:rFonts w:hint="eastAsia"/>
                    </w:rPr>
                    <w:t>噪声</w:t>
                  </w:r>
                </w:p>
              </w:tc>
              <w:tc>
                <w:tcPr>
                  <w:tcW w:w="2062"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lang w:val="en-US" w:eastAsia="zh-CN"/>
                    </w:rPr>
                  </w:pPr>
                  <w:r>
                    <w:t>设备运行噪声</w:t>
                  </w:r>
                  <w:r>
                    <w:rPr>
                      <w:rFonts w:hint="eastAsia"/>
                      <w:lang w:eastAsia="zh-CN"/>
                    </w:rPr>
                    <w:t>、</w:t>
                  </w:r>
                  <w:r>
                    <w:rPr>
                      <w:rFonts w:hint="eastAsia"/>
                      <w:lang w:val="en-US" w:eastAsia="zh-CN"/>
                    </w:rPr>
                    <w:t>车辆噪声、人群活动噪声</w:t>
                  </w:r>
                </w:p>
              </w:tc>
              <w:tc>
                <w:tcPr>
                  <w:tcW w:w="2140" w:type="dxa"/>
                  <w:tcBorders>
                    <w:top w:val="single" w:color="auto" w:sz="4" w:space="0"/>
                    <w:left w:val="single" w:color="auto" w:sz="4" w:space="0"/>
                    <w:bottom w:val="single" w:color="auto" w:sz="4" w:space="0"/>
                    <w:right w:val="single" w:color="auto" w:sz="4" w:space="0"/>
                  </w:tcBorders>
                  <w:noWrap w:val="0"/>
                  <w:vAlign w:val="center"/>
                </w:tcPr>
                <w:p>
                  <w:pPr>
                    <w:pStyle w:val="30"/>
                    <w:bidi w:val="0"/>
                  </w:pPr>
                  <w:r>
                    <w:rPr>
                      <w:rFonts w:hint="eastAsia"/>
                    </w:rPr>
                    <w:t>噪声</w:t>
                  </w:r>
                </w:p>
              </w:tc>
              <w:tc>
                <w:tcPr>
                  <w:tcW w:w="3835" w:type="dxa"/>
                  <w:tcBorders>
                    <w:top w:val="single" w:color="auto" w:sz="4" w:space="0"/>
                    <w:left w:val="single" w:color="auto" w:sz="4" w:space="0"/>
                    <w:bottom w:val="single" w:color="auto" w:sz="4" w:space="0"/>
                    <w:right w:val="single" w:color="auto" w:sz="6" w:space="0"/>
                  </w:tcBorders>
                  <w:noWrap w:val="0"/>
                  <w:vAlign w:val="center"/>
                </w:tcPr>
                <w:p>
                  <w:pPr>
                    <w:pStyle w:val="30"/>
                    <w:bidi w:val="0"/>
                  </w:pPr>
                  <w:r>
                    <w:t>减震安装、厂房隔声和距离衰减</w:t>
                  </w:r>
                </w:p>
              </w:tc>
            </w:tr>
          </w:tbl>
          <w:p>
            <w:pPr>
              <w:tabs>
                <w:tab w:val="center" w:pos="4456"/>
                <w:tab w:val="left" w:pos="7350"/>
              </w:tabs>
              <w:snapToGrid w:val="0"/>
              <w:spacing w:line="240" w:lineRule="auto"/>
              <w:ind w:left="0" w:right="0" w:firstLine="0"/>
              <w:jc w:val="both"/>
              <w:rPr>
                <w:rFonts w:ascii="宋体" w:hAnsi="宋体"/>
                <w:bCs/>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6" w:type="dxa"/>
            <w:noWrap w:val="0"/>
            <w:vAlign w:val="center"/>
          </w:tcPr>
          <w:p>
            <w:pPr>
              <w:pStyle w:val="22"/>
              <w:adjustRightInd w:val="0"/>
              <w:snapToGrid w:val="0"/>
              <w:spacing w:before="0" w:beforeAutospacing="0" w:after="0" w:afterAutospacing="0"/>
              <w:jc w:val="center"/>
              <w:rPr>
                <w:rFonts w:cs="宋体"/>
                <w:color w:val="auto"/>
                <w:sz w:val="24"/>
                <w:szCs w:val="24"/>
                <w:highlight w:val="none"/>
                <w:lang w:val="en-US" w:eastAsia="zh-CN"/>
              </w:rPr>
            </w:pPr>
            <w:r>
              <w:rPr>
                <w:rFonts w:hint="eastAsia" w:cs="宋体"/>
                <w:bCs/>
                <w:color w:val="auto"/>
                <w:kern w:val="2"/>
                <w:sz w:val="24"/>
                <w:szCs w:val="24"/>
                <w:highlight w:val="none"/>
                <w:lang w:val="en-US" w:eastAsia="zh-CN"/>
              </w:rPr>
              <w:t>与项目有关的原有环境污染问题</w:t>
            </w:r>
          </w:p>
        </w:tc>
        <w:tc>
          <w:tcPr>
            <w:tcW w:w="9276" w:type="dxa"/>
            <w:noWrap w:val="0"/>
            <w:vAlign w:val="center"/>
          </w:tcPr>
          <w:p>
            <w:pPr>
              <w:bidi w:val="0"/>
              <w:rPr>
                <w:rFonts w:hint="default"/>
                <w:b/>
                <w:bCs/>
                <w:lang w:val="en-US" w:eastAsia="zh-CN"/>
              </w:rPr>
            </w:pPr>
            <w:r>
              <w:rPr>
                <w:rFonts w:hint="eastAsia"/>
                <w:b/>
                <w:bCs/>
                <w:lang w:val="en-US" w:eastAsia="zh-CN"/>
              </w:rPr>
              <w:t>1、永州市零陵区妇幼保健和计划生育服务中心整体搬迁建设项目环评履行情况</w:t>
            </w:r>
          </w:p>
          <w:p>
            <w:pPr>
              <w:pStyle w:val="12"/>
              <w:bidi w:val="0"/>
              <w:rPr>
                <w:rFonts w:hint="default"/>
                <w:lang w:val="en-US"/>
              </w:rPr>
            </w:pPr>
            <w:r>
              <w:rPr>
                <w:rFonts w:hint="eastAsia"/>
                <w:lang w:val="en-US" w:eastAsia="zh-CN"/>
              </w:rPr>
              <w:t>永州市零陵区妇幼保健和计划生育服务中心整体搬迁建设项目</w:t>
            </w:r>
            <w:r>
              <w:rPr>
                <w:rFonts w:hint="default"/>
              </w:rPr>
              <w:t>位于</w:t>
            </w:r>
            <w:r>
              <w:rPr>
                <w:rFonts w:hint="eastAsia"/>
                <w:lang w:val="en-US" w:eastAsia="zh-CN"/>
              </w:rPr>
              <w:t>零陵区阳明大道与荔枝东路交汇处东南角（永州市零陵区阳明大道386号）</w:t>
            </w:r>
            <w:r>
              <w:rPr>
                <w:rFonts w:hint="default"/>
              </w:rPr>
              <w:t>，</w:t>
            </w:r>
            <w:r>
              <w:rPr>
                <w:rFonts w:hint="eastAsia"/>
                <w:lang w:eastAsia="zh-CN"/>
              </w:rPr>
              <w:t>项目于</w:t>
            </w:r>
            <w:r>
              <w:rPr>
                <w:rFonts w:hint="eastAsia"/>
                <w:lang w:val="en-US" w:eastAsia="zh-CN"/>
              </w:rPr>
              <w:t>2018年4月12日取得永州市生态环境局（原永州市环境保护局）批复，批复号：永环评[2018]35号。项目于2018年5月开始建设</w:t>
            </w:r>
            <w:r>
              <w:rPr>
                <w:rFonts w:hint="default"/>
                <w:lang w:val="en-US" w:eastAsia="zh-CN"/>
              </w:rPr>
              <w:t>，</w:t>
            </w:r>
            <w:r>
              <w:t>新建综合楼、食堂、污水处理站及绿化景观等附属设施，已按工程设计文件施工完成，并于2023年12月25日竣工验收合格</w:t>
            </w:r>
            <w:r>
              <w:rPr>
                <w:rFonts w:hint="eastAsia"/>
                <w:lang w:val="en-US" w:eastAsia="zh-CN"/>
              </w:rPr>
              <w:t>。医院试运行3个月现已搬迁，未进行环保竣工验收，未取得排污许可证。试运行期间未受到周边居民投诉。</w:t>
            </w:r>
          </w:p>
          <w:p>
            <w:pPr>
              <w:bidi w:val="0"/>
              <w:rPr>
                <w:rFonts w:hint="default"/>
                <w:b/>
                <w:bCs/>
                <w:lang w:val="en-US" w:eastAsia="zh-CN"/>
              </w:rPr>
            </w:pPr>
            <w:r>
              <w:rPr>
                <w:rFonts w:hint="eastAsia"/>
                <w:b/>
                <w:bCs/>
                <w:lang w:val="en-US" w:eastAsia="zh-CN"/>
              </w:rPr>
              <w:t>2</w:t>
            </w:r>
            <w:r>
              <w:rPr>
                <w:rFonts w:hint="default"/>
                <w:b/>
                <w:bCs/>
              </w:rPr>
              <w:t>、</w:t>
            </w:r>
            <w:r>
              <w:rPr>
                <w:rFonts w:hint="eastAsia"/>
                <w:b/>
                <w:bCs/>
                <w:lang w:eastAsia="zh-CN"/>
              </w:rPr>
              <w:t>原有</w:t>
            </w:r>
            <w:r>
              <w:rPr>
                <w:rFonts w:hint="default"/>
                <w:b/>
                <w:bCs/>
              </w:rPr>
              <w:t>工程</w:t>
            </w:r>
            <w:r>
              <w:rPr>
                <w:rFonts w:hint="eastAsia"/>
                <w:b/>
                <w:bCs/>
                <w:lang w:val="en-US" w:eastAsia="zh-CN"/>
              </w:rPr>
              <w:t>实际</w:t>
            </w:r>
            <w:r>
              <w:rPr>
                <w:rFonts w:hint="default"/>
                <w:b/>
                <w:bCs/>
              </w:rPr>
              <w:t>污染物</w:t>
            </w:r>
            <w:r>
              <w:rPr>
                <w:rFonts w:hint="eastAsia"/>
                <w:b/>
                <w:bCs/>
                <w:lang w:val="en-US" w:eastAsia="zh-CN"/>
              </w:rPr>
              <w:t>排放总量</w:t>
            </w:r>
          </w:p>
          <w:p>
            <w:pPr>
              <w:pStyle w:val="29"/>
              <w:bidi w:val="0"/>
              <w:rPr>
                <w:rFonts w:hint="default"/>
                <w:lang w:val="en-US" w:eastAsia="zh-CN"/>
              </w:rPr>
            </w:pPr>
            <w:r>
              <w:rPr>
                <w:rFonts w:hint="eastAsia"/>
                <w:lang w:val="en-US" w:eastAsia="zh-CN"/>
              </w:rPr>
              <w:t>表2.3-1 原有工程产污节点</w:t>
            </w:r>
          </w:p>
          <w:tbl>
            <w:tblPr>
              <w:tblStyle w:val="28"/>
              <w:tblW w:w="90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1328"/>
              <w:gridCol w:w="2052"/>
              <w:gridCol w:w="2119"/>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82" w:type="dxa"/>
                  <w:tcBorders>
                    <w:tl2br w:val="single" w:color="auto" w:sz="4" w:space="0"/>
                    <w:tr2bl w:val="nil"/>
                  </w:tcBorders>
                  <w:noWrap w:val="0"/>
                  <w:vAlign w:val="center"/>
                </w:tcPr>
                <w:p>
                  <w:pPr>
                    <w:pStyle w:val="30"/>
                    <w:bidi w:val="0"/>
                    <w:rPr>
                      <w:rFonts w:hint="eastAsia"/>
                      <w:lang w:val="en-US" w:eastAsia="zh-CN"/>
                    </w:rPr>
                  </w:pPr>
                  <w:r>
                    <w:rPr>
                      <w:rFonts w:hint="eastAsia"/>
                      <w:lang w:val="en-US" w:eastAsia="zh-CN"/>
                    </w:rPr>
                    <w:t>内容</w:t>
                  </w:r>
                </w:p>
                <w:p>
                  <w:pPr>
                    <w:pStyle w:val="30"/>
                    <w:bidi w:val="0"/>
                    <w:rPr>
                      <w:rFonts w:hint="default"/>
                      <w:lang w:val="en-US" w:eastAsia="zh-CN"/>
                    </w:rPr>
                  </w:pPr>
                  <w:r>
                    <w:rPr>
                      <w:rFonts w:hint="eastAsia"/>
                      <w:lang w:val="en-US" w:eastAsia="zh-CN"/>
                    </w:rPr>
                    <w:t>要素</w:t>
                  </w:r>
                </w:p>
              </w:tc>
              <w:tc>
                <w:tcPr>
                  <w:tcW w:w="1328" w:type="dxa"/>
                  <w:noWrap w:val="0"/>
                  <w:vAlign w:val="center"/>
                </w:tcPr>
                <w:p>
                  <w:pPr>
                    <w:pStyle w:val="30"/>
                    <w:bidi w:val="0"/>
                    <w:rPr>
                      <w:rFonts w:hint="default"/>
                      <w:lang w:val="en-US" w:eastAsia="zh-CN"/>
                    </w:rPr>
                  </w:pPr>
                  <w:r>
                    <w:rPr>
                      <w:rFonts w:hint="eastAsia"/>
                      <w:lang w:val="en-US" w:eastAsia="zh-CN"/>
                    </w:rPr>
                    <w:t>污染源</w:t>
                  </w:r>
                </w:p>
              </w:tc>
              <w:tc>
                <w:tcPr>
                  <w:tcW w:w="2052" w:type="dxa"/>
                  <w:noWrap w:val="0"/>
                  <w:vAlign w:val="center"/>
                </w:tcPr>
                <w:p>
                  <w:pPr>
                    <w:pStyle w:val="30"/>
                    <w:bidi w:val="0"/>
                    <w:rPr>
                      <w:rFonts w:hint="default"/>
                      <w:lang w:val="en-US" w:eastAsia="zh-CN"/>
                    </w:rPr>
                  </w:pPr>
                  <w:r>
                    <w:rPr>
                      <w:rFonts w:hint="eastAsia"/>
                      <w:lang w:val="en-US" w:eastAsia="zh-CN"/>
                    </w:rPr>
                    <w:t>污染项目</w:t>
                  </w:r>
                </w:p>
              </w:tc>
              <w:tc>
                <w:tcPr>
                  <w:tcW w:w="2119" w:type="dxa"/>
                  <w:noWrap w:val="0"/>
                  <w:vAlign w:val="center"/>
                </w:tcPr>
                <w:p>
                  <w:pPr>
                    <w:pStyle w:val="30"/>
                    <w:bidi w:val="0"/>
                    <w:rPr>
                      <w:rFonts w:hint="default"/>
                      <w:lang w:val="en-US" w:eastAsia="zh-CN"/>
                    </w:rPr>
                  </w:pPr>
                  <w:r>
                    <w:rPr>
                      <w:rFonts w:hint="eastAsia"/>
                      <w:lang w:val="en-US" w:eastAsia="zh-CN"/>
                    </w:rPr>
                    <w:t>环境保护措施</w:t>
                  </w:r>
                </w:p>
              </w:tc>
              <w:tc>
                <w:tcPr>
                  <w:tcW w:w="2064" w:type="dxa"/>
                  <w:noWrap w:val="0"/>
                  <w:vAlign w:val="center"/>
                </w:tcPr>
                <w:p>
                  <w:pPr>
                    <w:pStyle w:val="30"/>
                    <w:bidi w:val="0"/>
                    <w:rPr>
                      <w:rFonts w:hint="default"/>
                      <w:lang w:val="en-US" w:eastAsia="zh-CN"/>
                    </w:rPr>
                  </w:pPr>
                  <w:r>
                    <w:rPr>
                      <w:rFonts w:hint="eastAsia"/>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82" w:type="dxa"/>
                  <w:vMerge w:val="restart"/>
                  <w:noWrap w:val="0"/>
                  <w:vAlign w:val="center"/>
                </w:tcPr>
                <w:p>
                  <w:pPr>
                    <w:pStyle w:val="30"/>
                    <w:bidi w:val="0"/>
                    <w:rPr>
                      <w:rFonts w:hint="default"/>
                      <w:lang w:val="en-US" w:eastAsia="zh-CN"/>
                    </w:rPr>
                  </w:pPr>
                  <w:r>
                    <w:rPr>
                      <w:rFonts w:hint="eastAsia"/>
                      <w:lang w:val="en-US" w:eastAsia="zh-CN"/>
                    </w:rPr>
                    <w:t>废气</w:t>
                  </w:r>
                </w:p>
              </w:tc>
              <w:tc>
                <w:tcPr>
                  <w:tcW w:w="1328" w:type="dxa"/>
                  <w:noWrap w:val="0"/>
                  <w:vAlign w:val="center"/>
                </w:tcPr>
                <w:p>
                  <w:pPr>
                    <w:pStyle w:val="30"/>
                    <w:bidi w:val="0"/>
                    <w:rPr>
                      <w:rFonts w:hint="default"/>
                      <w:lang w:val="en-US" w:eastAsia="zh-CN"/>
                    </w:rPr>
                  </w:pPr>
                  <w:r>
                    <w:rPr>
                      <w:rFonts w:hint="eastAsia"/>
                      <w:lang w:val="en-US" w:eastAsia="zh-CN"/>
                    </w:rPr>
                    <w:t>恶臭气体</w:t>
                  </w:r>
                </w:p>
              </w:tc>
              <w:tc>
                <w:tcPr>
                  <w:tcW w:w="2052" w:type="dxa"/>
                  <w:noWrap w:val="0"/>
                  <w:vAlign w:val="center"/>
                </w:tcPr>
                <w:p>
                  <w:pPr>
                    <w:pStyle w:val="30"/>
                    <w:bidi w:val="0"/>
                    <w:rPr>
                      <w:rFonts w:hint="default"/>
                      <w:lang w:val="en-US" w:eastAsia="zh-CN"/>
                    </w:rPr>
                  </w:pPr>
                  <w:r>
                    <w:rPr>
                      <w:rFonts w:hint="eastAsia"/>
                      <w:lang w:val="en-US" w:eastAsia="zh-CN"/>
                    </w:rPr>
                    <w:t>硫化氢、氨、臭气浓度</w:t>
                  </w:r>
                </w:p>
              </w:tc>
              <w:tc>
                <w:tcPr>
                  <w:tcW w:w="2119" w:type="dxa"/>
                  <w:noWrap w:val="0"/>
                  <w:vAlign w:val="center"/>
                </w:tcPr>
                <w:p>
                  <w:pPr>
                    <w:pStyle w:val="30"/>
                    <w:bidi w:val="0"/>
                    <w:rPr>
                      <w:rFonts w:hint="default"/>
                      <w:lang w:val="en-US" w:eastAsia="zh-CN"/>
                    </w:rPr>
                  </w:pPr>
                  <w:r>
                    <w:rPr>
                      <w:rFonts w:hint="eastAsia"/>
                      <w:lang w:val="en-US" w:eastAsia="zh-CN"/>
                    </w:rPr>
                    <w:t>无组织排放</w:t>
                  </w:r>
                </w:p>
              </w:tc>
              <w:tc>
                <w:tcPr>
                  <w:tcW w:w="2064" w:type="dxa"/>
                  <w:noWrap w:val="0"/>
                  <w:vAlign w:val="center"/>
                </w:tcPr>
                <w:p>
                  <w:pPr>
                    <w:pStyle w:val="30"/>
                    <w:bidi w:val="0"/>
                    <w:rPr>
                      <w:rFonts w:hint="default"/>
                      <w:lang w:val="en-US" w:eastAsia="zh-CN"/>
                    </w:rPr>
                  </w:pPr>
                  <w:r>
                    <w:rPr>
                      <w:rFonts w:hint="default"/>
                      <w:lang w:val="en-US" w:eastAsia="zh-CN"/>
                    </w:rPr>
                    <w:t>GB18466-2005中表3标准值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82" w:type="dxa"/>
                  <w:vMerge w:val="continue"/>
                  <w:noWrap w:val="0"/>
                  <w:vAlign w:val="center"/>
                </w:tcPr>
                <w:p>
                  <w:pPr>
                    <w:pStyle w:val="30"/>
                    <w:bidi w:val="0"/>
                    <w:rPr>
                      <w:rFonts w:hint="eastAsia"/>
                      <w:lang w:val="en-US" w:eastAsia="zh-CN"/>
                    </w:rPr>
                  </w:pPr>
                </w:p>
              </w:tc>
              <w:tc>
                <w:tcPr>
                  <w:tcW w:w="1328" w:type="dxa"/>
                  <w:shd w:val="clear" w:color="auto" w:fill="auto"/>
                  <w:noWrap w:val="0"/>
                  <w:vAlign w:val="center"/>
                </w:tcPr>
                <w:p>
                  <w:pPr>
                    <w:pStyle w:val="30"/>
                    <w:bidi w:val="0"/>
                    <w:rPr>
                      <w:rFonts w:hint="eastAsia"/>
                      <w:lang w:val="en-US" w:eastAsia="zh-CN"/>
                    </w:rPr>
                  </w:pPr>
                  <w:r>
                    <w:rPr>
                      <w:lang w:val="en-US" w:eastAsia="zh-CN"/>
                    </w:rPr>
                    <w:t>停车场汽车尾气</w:t>
                  </w:r>
                </w:p>
              </w:tc>
              <w:tc>
                <w:tcPr>
                  <w:tcW w:w="2052" w:type="dxa"/>
                  <w:shd w:val="clear" w:color="auto" w:fill="auto"/>
                  <w:noWrap w:val="0"/>
                  <w:vAlign w:val="center"/>
                </w:tcPr>
                <w:p>
                  <w:pPr>
                    <w:pStyle w:val="30"/>
                    <w:bidi w:val="0"/>
                    <w:rPr>
                      <w:rFonts w:hint="eastAsia"/>
                      <w:lang w:val="en-US" w:eastAsia="zh-CN"/>
                    </w:rPr>
                  </w:pPr>
                  <w:r>
                    <w:rPr>
                      <w:lang w:val="en-US" w:eastAsia="zh-CN"/>
                    </w:rPr>
                    <w:t>烟尘、HC、NOx</w:t>
                  </w:r>
                </w:p>
              </w:tc>
              <w:tc>
                <w:tcPr>
                  <w:tcW w:w="2119" w:type="dxa"/>
                  <w:shd w:val="clear" w:color="auto" w:fill="auto"/>
                  <w:noWrap w:val="0"/>
                  <w:vAlign w:val="center"/>
                </w:tcPr>
                <w:p>
                  <w:pPr>
                    <w:pStyle w:val="30"/>
                    <w:bidi w:val="0"/>
                    <w:rPr>
                      <w:rFonts w:hint="eastAsia"/>
                      <w:lang w:val="en-US" w:eastAsia="zh-CN"/>
                    </w:rPr>
                  </w:pPr>
                  <w:r>
                    <w:rPr>
                      <w:lang w:val="en-US" w:eastAsia="zh-CN"/>
                    </w:rPr>
                    <w:t>通过地下车库排气</w:t>
                  </w:r>
                  <w:r>
                    <w:rPr>
                      <w:rFonts w:hint="eastAsia"/>
                      <w:lang w:val="en-US" w:eastAsia="zh-CN"/>
                    </w:rPr>
                    <w:t>系统</w:t>
                  </w:r>
                  <w:r>
                    <w:rPr>
                      <w:lang w:val="en-US" w:eastAsia="zh-CN"/>
                    </w:rPr>
                    <w:t>引排至室外</w:t>
                  </w:r>
                </w:p>
              </w:tc>
              <w:tc>
                <w:tcPr>
                  <w:tcW w:w="2064" w:type="dxa"/>
                  <w:vMerge w:val="restart"/>
                  <w:noWrap w:val="0"/>
                  <w:vAlign w:val="center"/>
                </w:tcPr>
                <w:p>
                  <w:pPr>
                    <w:pStyle w:val="30"/>
                    <w:bidi w:val="0"/>
                  </w:pPr>
                  <w:r>
                    <w:t>《大气污染物综合排放标准》</w:t>
                  </w:r>
                </w:p>
                <w:p>
                  <w:pPr>
                    <w:pStyle w:val="30"/>
                    <w:bidi w:val="0"/>
                    <w:rPr>
                      <w:rFonts w:hint="default"/>
                      <w:lang w:val="en-US" w:eastAsia="zh-CN"/>
                    </w:rPr>
                  </w:pPr>
                  <w:r>
                    <w:t>(GB16297-1996)表 2中无组织排放监控浓度限值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82" w:type="dxa"/>
                  <w:vMerge w:val="continue"/>
                  <w:noWrap w:val="0"/>
                  <w:vAlign w:val="center"/>
                </w:tcPr>
                <w:p>
                  <w:pPr>
                    <w:pStyle w:val="30"/>
                    <w:bidi w:val="0"/>
                    <w:rPr>
                      <w:rFonts w:hint="eastAsia"/>
                      <w:lang w:val="en-US" w:eastAsia="zh-CN"/>
                    </w:rPr>
                  </w:pPr>
                </w:p>
              </w:tc>
              <w:tc>
                <w:tcPr>
                  <w:tcW w:w="1328" w:type="dxa"/>
                  <w:shd w:val="clear" w:color="auto" w:fill="auto"/>
                  <w:noWrap w:val="0"/>
                  <w:vAlign w:val="center"/>
                </w:tcPr>
                <w:p>
                  <w:pPr>
                    <w:pStyle w:val="30"/>
                    <w:bidi w:val="0"/>
                    <w:rPr>
                      <w:rFonts w:hint="eastAsia"/>
                      <w:lang w:val="en-US" w:eastAsia="zh-CN"/>
                    </w:rPr>
                  </w:pPr>
                  <w:r>
                    <w:rPr>
                      <w:rFonts w:hint="eastAsia"/>
                      <w:lang w:val="en-US" w:eastAsia="zh-CN"/>
                    </w:rPr>
                    <w:t>柴油发电机</w:t>
                  </w:r>
                  <w:r>
                    <w:rPr>
                      <w:lang w:val="en-US" w:eastAsia="zh-CN"/>
                    </w:rPr>
                    <w:t>尾气</w:t>
                  </w:r>
                </w:p>
              </w:tc>
              <w:tc>
                <w:tcPr>
                  <w:tcW w:w="2052" w:type="dxa"/>
                  <w:shd w:val="clear" w:color="auto" w:fill="auto"/>
                  <w:noWrap w:val="0"/>
                  <w:vAlign w:val="center"/>
                </w:tcPr>
                <w:p>
                  <w:pPr>
                    <w:pStyle w:val="30"/>
                    <w:bidi w:val="0"/>
                    <w:rPr>
                      <w:rFonts w:hint="eastAsia"/>
                      <w:lang w:val="en-US" w:eastAsia="zh-CN"/>
                    </w:rPr>
                  </w:pPr>
                  <w:r>
                    <w:rPr>
                      <w:lang w:val="en-US" w:eastAsia="zh-CN"/>
                    </w:rPr>
                    <w:t>烟尘、HC、SO</w:t>
                  </w:r>
                  <w:r>
                    <w:rPr>
                      <w:vertAlign w:val="subscript"/>
                      <w:lang w:val="en-US" w:eastAsia="zh-CN"/>
                    </w:rPr>
                    <w:t>2</w:t>
                  </w:r>
                  <w:r>
                    <w:rPr>
                      <w:lang w:val="en-US" w:eastAsia="zh-CN"/>
                    </w:rPr>
                    <w:t>、NOx</w:t>
                  </w:r>
                </w:p>
              </w:tc>
              <w:tc>
                <w:tcPr>
                  <w:tcW w:w="2119" w:type="dxa"/>
                  <w:shd w:val="clear" w:color="auto" w:fill="auto"/>
                  <w:noWrap w:val="0"/>
                  <w:vAlign w:val="center"/>
                </w:tcPr>
                <w:p>
                  <w:pPr>
                    <w:pStyle w:val="30"/>
                    <w:bidi w:val="0"/>
                    <w:rPr>
                      <w:rFonts w:hint="eastAsia"/>
                      <w:lang w:val="en-US" w:eastAsia="zh-CN"/>
                    </w:rPr>
                  </w:pPr>
                  <w:r>
                    <w:rPr>
                      <w:lang w:val="en-US" w:eastAsia="zh-CN"/>
                    </w:rPr>
                    <w:t>通过专用烟道引排至室外</w:t>
                  </w:r>
                </w:p>
              </w:tc>
              <w:tc>
                <w:tcPr>
                  <w:tcW w:w="2064" w:type="dxa"/>
                  <w:vMerge w:val="continue"/>
                  <w:noWrap w:val="0"/>
                  <w:vAlign w:val="center"/>
                </w:tcPr>
                <w:p>
                  <w:pPr>
                    <w:pStyle w:val="3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82" w:type="dxa"/>
                  <w:vMerge w:val="continue"/>
                  <w:noWrap w:val="0"/>
                  <w:vAlign w:val="center"/>
                </w:tcPr>
                <w:p>
                  <w:pPr>
                    <w:pStyle w:val="30"/>
                    <w:bidi w:val="0"/>
                    <w:rPr>
                      <w:rFonts w:hint="eastAsia"/>
                      <w:lang w:val="en-US" w:eastAsia="zh-CN"/>
                    </w:rPr>
                  </w:pPr>
                </w:p>
              </w:tc>
              <w:tc>
                <w:tcPr>
                  <w:tcW w:w="1328" w:type="dxa"/>
                  <w:shd w:val="clear" w:color="auto" w:fill="auto"/>
                  <w:noWrap w:val="0"/>
                  <w:vAlign w:val="center"/>
                </w:tcPr>
                <w:p>
                  <w:pPr>
                    <w:pStyle w:val="30"/>
                    <w:bidi w:val="0"/>
                    <w:rPr>
                      <w:rFonts w:hint="eastAsia"/>
                      <w:lang w:val="en-US" w:eastAsia="zh-CN"/>
                    </w:rPr>
                  </w:pPr>
                  <w:r>
                    <w:t>食堂油烟</w:t>
                  </w:r>
                </w:p>
              </w:tc>
              <w:tc>
                <w:tcPr>
                  <w:tcW w:w="2052" w:type="dxa"/>
                  <w:shd w:val="clear" w:color="auto" w:fill="auto"/>
                  <w:noWrap w:val="0"/>
                  <w:vAlign w:val="center"/>
                </w:tcPr>
                <w:p>
                  <w:pPr>
                    <w:pStyle w:val="30"/>
                    <w:bidi w:val="0"/>
                    <w:rPr>
                      <w:rFonts w:hint="eastAsia"/>
                      <w:lang w:val="en-US" w:eastAsia="zh-CN"/>
                    </w:rPr>
                  </w:pPr>
                  <w:r>
                    <w:t>油烟</w:t>
                  </w:r>
                </w:p>
              </w:tc>
              <w:tc>
                <w:tcPr>
                  <w:tcW w:w="2119" w:type="dxa"/>
                  <w:shd w:val="clear" w:color="auto" w:fill="auto"/>
                  <w:noWrap w:val="0"/>
                  <w:vAlign w:val="center"/>
                </w:tcPr>
                <w:p>
                  <w:pPr>
                    <w:pStyle w:val="30"/>
                    <w:bidi w:val="0"/>
                    <w:rPr>
                      <w:rFonts w:hint="eastAsia"/>
                      <w:lang w:val="en-US" w:eastAsia="zh-CN"/>
                    </w:rPr>
                  </w:pPr>
                  <w:r>
                    <w:t>油烟净化器</w:t>
                  </w:r>
                  <w:r>
                    <w:rPr>
                      <w:rFonts w:hint="eastAsia"/>
                    </w:rPr>
                    <w:t>处理后经专用通道引致楼顶高空排放</w:t>
                  </w:r>
                </w:p>
              </w:tc>
              <w:tc>
                <w:tcPr>
                  <w:tcW w:w="2064" w:type="dxa"/>
                  <w:shd w:val="clear" w:color="auto" w:fill="auto"/>
                  <w:noWrap w:val="0"/>
                  <w:vAlign w:val="center"/>
                </w:tcPr>
                <w:p>
                  <w:pPr>
                    <w:pStyle w:val="30"/>
                    <w:bidi w:val="0"/>
                    <w:rPr>
                      <w:rFonts w:hint="default"/>
                      <w:lang w:val="en-US" w:eastAsia="zh-CN"/>
                    </w:rPr>
                  </w:pPr>
                  <w:r>
                    <w:t>《饮食业油烟排放标准</w:t>
                  </w:r>
                  <w:r>
                    <w:rPr>
                      <w:rFonts w:hint="eastAsia"/>
                    </w:rPr>
                    <w:t>(</w:t>
                  </w:r>
                  <w:r>
                    <w:t>试行</w:t>
                  </w:r>
                  <w:r>
                    <w:rPr>
                      <w:rFonts w:hint="eastAsia"/>
                    </w:rPr>
                    <w:t>)</w:t>
                  </w:r>
                  <w:r>
                    <w:t>》</w:t>
                  </w:r>
                  <w:r>
                    <w:rPr>
                      <w:rFonts w:hint="eastAsia"/>
                    </w:rPr>
                    <w:t>(</w:t>
                  </w:r>
                  <w:r>
                    <w:t>GB18483-2001</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82" w:type="dxa"/>
                  <w:noWrap w:val="0"/>
                  <w:vAlign w:val="center"/>
                </w:tcPr>
                <w:p>
                  <w:pPr>
                    <w:pStyle w:val="30"/>
                    <w:bidi w:val="0"/>
                    <w:rPr>
                      <w:rFonts w:hint="default"/>
                      <w:lang w:val="en-US" w:eastAsia="zh-CN"/>
                    </w:rPr>
                  </w:pPr>
                  <w:r>
                    <w:rPr>
                      <w:rFonts w:hint="eastAsia"/>
                      <w:lang w:val="en-US" w:eastAsia="zh-CN"/>
                    </w:rPr>
                    <w:t>废水</w:t>
                  </w:r>
                </w:p>
              </w:tc>
              <w:tc>
                <w:tcPr>
                  <w:tcW w:w="1328" w:type="dxa"/>
                  <w:noWrap w:val="0"/>
                  <w:vAlign w:val="center"/>
                </w:tcPr>
                <w:p>
                  <w:pPr>
                    <w:pStyle w:val="30"/>
                    <w:bidi w:val="0"/>
                    <w:rPr>
                      <w:rFonts w:hint="default"/>
                      <w:lang w:val="en-US" w:eastAsia="zh-CN"/>
                    </w:rPr>
                  </w:pPr>
                  <w:r>
                    <w:rPr>
                      <w:rFonts w:hint="eastAsia"/>
                      <w:lang w:val="en-US" w:eastAsia="zh-CN"/>
                    </w:rPr>
                    <w:t>污水排放口</w:t>
                  </w:r>
                </w:p>
              </w:tc>
              <w:tc>
                <w:tcPr>
                  <w:tcW w:w="2052" w:type="dxa"/>
                  <w:noWrap w:val="0"/>
                  <w:vAlign w:val="center"/>
                </w:tcPr>
                <w:p>
                  <w:pPr>
                    <w:pStyle w:val="30"/>
                    <w:bidi w:val="0"/>
                    <w:rPr>
                      <w:rFonts w:hint="default"/>
                      <w:lang w:val="en-US" w:eastAsia="zh-CN"/>
                    </w:rPr>
                  </w:pPr>
                  <w:r>
                    <w:rPr>
                      <w:rFonts w:hint="eastAsia"/>
                      <w:lang w:val="en-US" w:eastAsia="zh-CN"/>
                    </w:rPr>
                    <w:t>COD、BOD</w:t>
                  </w:r>
                  <w:r>
                    <w:rPr>
                      <w:rFonts w:hint="eastAsia"/>
                      <w:vertAlign w:val="subscript"/>
                      <w:lang w:val="en-US" w:eastAsia="zh-CN"/>
                    </w:rPr>
                    <w:t>5</w:t>
                  </w:r>
                  <w:r>
                    <w:rPr>
                      <w:rFonts w:hint="eastAsia"/>
                      <w:lang w:val="en-US" w:eastAsia="zh-CN"/>
                    </w:rPr>
                    <w:t>、SS、氨氮、动植物油、粪大肠菌群</w:t>
                  </w:r>
                </w:p>
              </w:tc>
              <w:tc>
                <w:tcPr>
                  <w:tcW w:w="2119" w:type="dxa"/>
                  <w:noWrap w:val="0"/>
                  <w:vAlign w:val="center"/>
                </w:tcPr>
                <w:p>
                  <w:pPr>
                    <w:pStyle w:val="30"/>
                    <w:bidi w:val="0"/>
                    <w:rPr>
                      <w:rFonts w:hint="default"/>
                      <w:lang w:val="en-US" w:eastAsia="zh-CN"/>
                    </w:rPr>
                  </w:pPr>
                  <w:r>
                    <w:rPr>
                      <w:rFonts w:hint="eastAsia"/>
                      <w:lang w:val="en-US" w:eastAsia="zh-CN"/>
                    </w:rPr>
                    <w:t>医疗废水、生活污水排入化粪池再经医院污水处理站处理后排入向家亭污水处理厂处理</w:t>
                  </w:r>
                </w:p>
              </w:tc>
              <w:tc>
                <w:tcPr>
                  <w:tcW w:w="2064" w:type="dxa"/>
                  <w:noWrap w:val="0"/>
                  <w:vAlign w:val="center"/>
                </w:tcPr>
                <w:p>
                  <w:pPr>
                    <w:pStyle w:val="30"/>
                    <w:bidi w:val="0"/>
                    <w:rPr>
                      <w:rFonts w:hint="default"/>
                      <w:lang w:val="en-US" w:eastAsia="zh-CN"/>
                    </w:rPr>
                  </w:pPr>
                  <w:r>
                    <w:rPr>
                      <w:rFonts w:hint="default"/>
                      <w:lang w:val="en-US" w:eastAsia="zh-CN"/>
                    </w:rPr>
                    <w:t>GB18466-2005表2预处理标准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82" w:type="dxa"/>
                  <w:noWrap w:val="0"/>
                  <w:vAlign w:val="center"/>
                </w:tcPr>
                <w:p>
                  <w:pPr>
                    <w:pStyle w:val="30"/>
                    <w:bidi w:val="0"/>
                    <w:rPr>
                      <w:rFonts w:hint="default"/>
                      <w:lang w:val="en-US" w:eastAsia="zh-CN"/>
                    </w:rPr>
                  </w:pPr>
                  <w:r>
                    <w:rPr>
                      <w:rFonts w:hint="eastAsia"/>
                      <w:lang w:val="en-US" w:eastAsia="zh-CN"/>
                    </w:rPr>
                    <w:t>噪声</w:t>
                  </w:r>
                </w:p>
              </w:tc>
              <w:tc>
                <w:tcPr>
                  <w:tcW w:w="1328" w:type="dxa"/>
                  <w:noWrap w:val="0"/>
                  <w:vAlign w:val="center"/>
                </w:tcPr>
                <w:p>
                  <w:pPr>
                    <w:pStyle w:val="30"/>
                    <w:bidi w:val="0"/>
                    <w:rPr>
                      <w:rFonts w:hint="default"/>
                      <w:lang w:val="en-US" w:eastAsia="zh-CN"/>
                    </w:rPr>
                  </w:pPr>
                  <w:r>
                    <w:rPr>
                      <w:rFonts w:hint="eastAsia"/>
                      <w:lang w:val="en-US" w:eastAsia="zh-CN"/>
                    </w:rPr>
                    <w:t>生产设备</w:t>
                  </w:r>
                </w:p>
              </w:tc>
              <w:tc>
                <w:tcPr>
                  <w:tcW w:w="2052" w:type="dxa"/>
                  <w:noWrap w:val="0"/>
                  <w:vAlign w:val="center"/>
                </w:tcPr>
                <w:p>
                  <w:pPr>
                    <w:pStyle w:val="30"/>
                    <w:bidi w:val="0"/>
                    <w:rPr>
                      <w:rFonts w:hint="default"/>
                      <w:lang w:val="en-US" w:eastAsia="zh-CN"/>
                    </w:rPr>
                  </w:pPr>
                  <w:r>
                    <w:rPr>
                      <w:rFonts w:hint="eastAsia"/>
                      <w:lang w:val="en-US" w:eastAsia="zh-CN"/>
                    </w:rPr>
                    <w:t>设备噪声</w:t>
                  </w:r>
                </w:p>
              </w:tc>
              <w:tc>
                <w:tcPr>
                  <w:tcW w:w="2119" w:type="dxa"/>
                  <w:noWrap w:val="0"/>
                  <w:vAlign w:val="center"/>
                </w:tcPr>
                <w:p>
                  <w:pPr>
                    <w:pStyle w:val="30"/>
                    <w:bidi w:val="0"/>
                    <w:rPr>
                      <w:rFonts w:hint="default"/>
                      <w:lang w:val="en-US" w:eastAsia="zh-CN"/>
                    </w:rPr>
                  </w:pPr>
                  <w:r>
                    <w:rPr>
                      <w:rFonts w:hint="default"/>
                      <w:lang w:val="en-US" w:eastAsia="zh-CN"/>
                    </w:rPr>
                    <w:t>隔声、减振等各项降噪措施</w:t>
                  </w:r>
                </w:p>
              </w:tc>
              <w:tc>
                <w:tcPr>
                  <w:tcW w:w="2064" w:type="dxa"/>
                  <w:noWrap w:val="0"/>
                  <w:vAlign w:val="center"/>
                </w:tcPr>
                <w:p>
                  <w:pPr>
                    <w:pStyle w:val="30"/>
                    <w:bidi w:val="0"/>
                    <w:rPr>
                      <w:rFonts w:hint="default"/>
                      <w:lang w:val="en-US" w:eastAsia="zh-CN"/>
                    </w:rPr>
                  </w:pPr>
                  <w:r>
                    <w:rPr>
                      <w:rFonts w:hint="default"/>
                      <w:lang w:val="en-US" w:eastAsia="zh-CN"/>
                    </w:rPr>
                    <w:t>GB12348-2008中2类标准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82" w:type="dxa"/>
                  <w:vMerge w:val="restart"/>
                  <w:noWrap w:val="0"/>
                  <w:vAlign w:val="center"/>
                </w:tcPr>
                <w:p>
                  <w:pPr>
                    <w:pStyle w:val="30"/>
                    <w:bidi w:val="0"/>
                    <w:rPr>
                      <w:rFonts w:hint="eastAsia"/>
                      <w:lang w:val="en-US" w:eastAsia="zh-CN"/>
                    </w:rPr>
                  </w:pPr>
                  <w:r>
                    <w:rPr>
                      <w:rFonts w:hint="eastAsia"/>
                      <w:lang w:val="en-US" w:eastAsia="zh-CN"/>
                    </w:rPr>
                    <w:t>固废</w:t>
                  </w:r>
                </w:p>
              </w:tc>
              <w:tc>
                <w:tcPr>
                  <w:tcW w:w="1328" w:type="dxa"/>
                  <w:shd w:val="clear" w:color="auto" w:fill="auto"/>
                  <w:noWrap w:val="0"/>
                  <w:vAlign w:val="center"/>
                </w:tcPr>
                <w:p>
                  <w:pPr>
                    <w:pStyle w:val="30"/>
                    <w:bidi w:val="0"/>
                    <w:rPr>
                      <w:rFonts w:hint="eastAsia"/>
                      <w:lang w:val="en-US" w:eastAsia="zh-CN"/>
                    </w:rPr>
                  </w:pPr>
                  <w:r>
                    <w:rPr>
                      <w:rFonts w:hint="eastAsia"/>
                      <w:lang w:val="en-US" w:eastAsia="zh-CN"/>
                    </w:rPr>
                    <w:t>医疗废物</w:t>
                  </w:r>
                </w:p>
              </w:tc>
              <w:tc>
                <w:tcPr>
                  <w:tcW w:w="2052" w:type="dxa"/>
                  <w:vMerge w:val="restart"/>
                  <w:shd w:val="clear" w:color="auto" w:fill="auto"/>
                  <w:noWrap w:val="0"/>
                  <w:vAlign w:val="center"/>
                </w:tcPr>
                <w:p>
                  <w:pPr>
                    <w:pStyle w:val="30"/>
                    <w:bidi w:val="0"/>
                    <w:rPr>
                      <w:rFonts w:hint="eastAsia"/>
                      <w:lang w:val="en-US" w:eastAsia="zh-CN"/>
                    </w:rPr>
                  </w:pPr>
                  <w:r>
                    <w:rPr>
                      <w:rFonts w:hint="eastAsia"/>
                      <w:lang w:val="en-US" w:eastAsia="zh-CN"/>
                    </w:rPr>
                    <w:t>危险废物</w:t>
                  </w:r>
                </w:p>
              </w:tc>
              <w:tc>
                <w:tcPr>
                  <w:tcW w:w="2119" w:type="dxa"/>
                  <w:vMerge w:val="restart"/>
                  <w:shd w:val="clear" w:color="auto" w:fill="auto"/>
                  <w:noWrap w:val="0"/>
                  <w:vAlign w:val="center"/>
                </w:tcPr>
                <w:p>
                  <w:pPr>
                    <w:pStyle w:val="30"/>
                    <w:bidi w:val="0"/>
                    <w:rPr>
                      <w:rFonts w:hint="default"/>
                      <w:lang w:val="en-US" w:eastAsia="zh-CN"/>
                    </w:rPr>
                  </w:pPr>
                  <w:r>
                    <w:rPr>
                      <w:rFonts w:hint="eastAsia"/>
                      <w:lang w:val="en-US" w:eastAsia="zh-CN"/>
                    </w:rPr>
                    <w:t>委托永州市医疗废物集中处置有限公司处置</w:t>
                  </w:r>
                </w:p>
              </w:tc>
              <w:tc>
                <w:tcPr>
                  <w:tcW w:w="2064" w:type="dxa"/>
                  <w:vMerge w:val="restart"/>
                  <w:noWrap w:val="0"/>
                  <w:vAlign w:val="center"/>
                </w:tcPr>
                <w:p>
                  <w:pPr>
                    <w:pStyle w:val="30"/>
                    <w:bidi w:val="0"/>
                    <w:rPr>
                      <w:rFonts w:hint="default"/>
                      <w:lang w:val="en-US" w:eastAsia="zh-CN"/>
                    </w:rPr>
                  </w:pPr>
                  <w:r>
                    <w:t>《危险废物贮存污染控制标准》（GB18597-20</w:t>
                  </w:r>
                  <w:r>
                    <w:rPr>
                      <w:rFonts w:hint="eastAsia"/>
                      <w:lang w:val="en-US" w:eastAsia="zh-CN"/>
                    </w:rPr>
                    <w:t>23</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82" w:type="dxa"/>
                  <w:vMerge w:val="continue"/>
                  <w:noWrap w:val="0"/>
                  <w:vAlign w:val="center"/>
                </w:tcPr>
                <w:p>
                  <w:pPr>
                    <w:pStyle w:val="30"/>
                    <w:bidi w:val="0"/>
                    <w:rPr>
                      <w:rFonts w:hint="eastAsia"/>
                      <w:lang w:val="en-US" w:eastAsia="zh-CN"/>
                    </w:rPr>
                  </w:pPr>
                </w:p>
              </w:tc>
              <w:tc>
                <w:tcPr>
                  <w:tcW w:w="1328" w:type="dxa"/>
                  <w:shd w:val="clear" w:color="auto" w:fill="auto"/>
                  <w:noWrap w:val="0"/>
                  <w:vAlign w:val="center"/>
                </w:tcPr>
                <w:p>
                  <w:pPr>
                    <w:pStyle w:val="30"/>
                    <w:bidi w:val="0"/>
                    <w:rPr>
                      <w:rFonts w:hint="eastAsia"/>
                      <w:lang w:val="en-US" w:eastAsia="zh-CN"/>
                    </w:rPr>
                  </w:pPr>
                  <w:r>
                    <w:rPr>
                      <w:rFonts w:hint="eastAsia"/>
                      <w:lang w:val="en-US" w:eastAsia="zh-CN"/>
                    </w:rPr>
                    <w:t>检测废物</w:t>
                  </w:r>
                </w:p>
              </w:tc>
              <w:tc>
                <w:tcPr>
                  <w:tcW w:w="2052" w:type="dxa"/>
                  <w:vMerge w:val="continue"/>
                  <w:shd w:val="clear" w:color="auto" w:fill="auto"/>
                  <w:noWrap w:val="0"/>
                  <w:vAlign w:val="center"/>
                </w:tcPr>
                <w:p>
                  <w:pPr>
                    <w:pStyle w:val="30"/>
                    <w:bidi w:val="0"/>
                    <w:rPr>
                      <w:rFonts w:hint="eastAsia"/>
                      <w:lang w:val="en-US" w:eastAsia="zh-CN"/>
                    </w:rPr>
                  </w:pPr>
                </w:p>
              </w:tc>
              <w:tc>
                <w:tcPr>
                  <w:tcW w:w="2119" w:type="dxa"/>
                  <w:vMerge w:val="continue"/>
                  <w:shd w:val="clear" w:color="auto" w:fill="auto"/>
                  <w:noWrap w:val="0"/>
                  <w:vAlign w:val="center"/>
                </w:tcPr>
                <w:p>
                  <w:pPr>
                    <w:pStyle w:val="30"/>
                    <w:bidi w:val="0"/>
                    <w:rPr>
                      <w:rFonts w:hint="eastAsia"/>
                      <w:lang w:val="en-US" w:eastAsia="zh-CN"/>
                    </w:rPr>
                  </w:pPr>
                </w:p>
              </w:tc>
              <w:tc>
                <w:tcPr>
                  <w:tcW w:w="2064" w:type="dxa"/>
                  <w:vMerge w:val="continue"/>
                  <w:noWrap w:val="0"/>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82" w:type="dxa"/>
                  <w:vMerge w:val="continue"/>
                </w:tcPr>
                <w:p>
                  <w:pPr>
                    <w:pStyle w:val="30"/>
                    <w:bidi w:val="0"/>
                    <w:rPr>
                      <w:rFonts w:hint="eastAsia"/>
                      <w:lang w:val="en-US" w:eastAsia="zh-CN"/>
                    </w:rPr>
                  </w:pPr>
                </w:p>
              </w:tc>
              <w:tc>
                <w:tcPr>
                  <w:tcW w:w="1328" w:type="dxa"/>
                  <w:shd w:val="clear" w:color="auto" w:fill="auto"/>
                  <w:vAlign w:val="center"/>
                </w:tcPr>
                <w:p>
                  <w:pPr>
                    <w:pStyle w:val="30"/>
                    <w:bidi w:val="0"/>
                    <w:rPr>
                      <w:rFonts w:hint="eastAsia"/>
                      <w:lang w:val="en-US" w:eastAsia="zh-CN"/>
                    </w:rPr>
                  </w:pPr>
                  <w:r>
                    <w:rPr>
                      <w:rFonts w:hint="eastAsia"/>
                      <w:lang w:val="en-US" w:eastAsia="zh-CN"/>
                    </w:rPr>
                    <w:t>污水处理站污泥</w:t>
                  </w:r>
                </w:p>
              </w:tc>
              <w:tc>
                <w:tcPr>
                  <w:tcW w:w="2052" w:type="dxa"/>
                  <w:vMerge w:val="continue"/>
                  <w:shd w:val="clear" w:color="auto" w:fill="auto"/>
                  <w:vAlign w:val="center"/>
                </w:tcPr>
                <w:p>
                  <w:pPr>
                    <w:pStyle w:val="30"/>
                    <w:bidi w:val="0"/>
                    <w:rPr>
                      <w:rFonts w:hint="eastAsia"/>
                      <w:lang w:val="en-US" w:eastAsia="zh-CN"/>
                    </w:rPr>
                  </w:pPr>
                </w:p>
              </w:tc>
              <w:tc>
                <w:tcPr>
                  <w:tcW w:w="2119" w:type="dxa"/>
                  <w:vMerge w:val="continue"/>
                </w:tcPr>
                <w:p>
                  <w:pPr>
                    <w:pStyle w:val="30"/>
                    <w:bidi w:val="0"/>
                    <w:rPr>
                      <w:rFonts w:hint="default"/>
                      <w:lang w:val="en-US" w:eastAsia="zh-CN"/>
                    </w:rPr>
                  </w:pPr>
                </w:p>
              </w:tc>
              <w:tc>
                <w:tcPr>
                  <w:tcW w:w="2064" w:type="dxa"/>
                  <w:vMerge w:val="continue"/>
                </w:tcPr>
                <w:p>
                  <w:pPr>
                    <w:pStyle w:val="3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82" w:type="dxa"/>
                  <w:vMerge w:val="continue"/>
                </w:tcPr>
                <w:p>
                  <w:pPr>
                    <w:pStyle w:val="30"/>
                    <w:bidi w:val="0"/>
                    <w:rPr>
                      <w:rFonts w:hint="eastAsia"/>
                      <w:lang w:val="en-US" w:eastAsia="zh-CN"/>
                    </w:rPr>
                  </w:pPr>
                </w:p>
              </w:tc>
              <w:tc>
                <w:tcPr>
                  <w:tcW w:w="1328" w:type="dxa"/>
                  <w:shd w:val="clear" w:color="auto" w:fill="auto"/>
                  <w:vAlign w:val="center"/>
                </w:tcPr>
                <w:p>
                  <w:pPr>
                    <w:pStyle w:val="30"/>
                    <w:bidi w:val="0"/>
                    <w:rPr>
                      <w:rFonts w:hint="eastAsia"/>
                      <w:lang w:val="en-US" w:eastAsia="zh-CN"/>
                    </w:rPr>
                  </w:pPr>
                  <w:r>
                    <w:rPr>
                      <w:rFonts w:hint="eastAsia"/>
                      <w:lang w:val="en-US" w:eastAsia="zh-CN"/>
                    </w:rPr>
                    <w:t>包装废物</w:t>
                  </w:r>
                </w:p>
              </w:tc>
              <w:tc>
                <w:tcPr>
                  <w:tcW w:w="2052" w:type="dxa"/>
                  <w:shd w:val="clear" w:color="auto" w:fill="auto"/>
                  <w:vAlign w:val="center"/>
                </w:tcPr>
                <w:p>
                  <w:pPr>
                    <w:pStyle w:val="30"/>
                    <w:bidi w:val="0"/>
                    <w:rPr>
                      <w:rFonts w:hint="eastAsia"/>
                      <w:lang w:val="en-US" w:eastAsia="zh-CN"/>
                    </w:rPr>
                  </w:pPr>
                  <w:r>
                    <w:rPr>
                      <w:rFonts w:hint="eastAsia"/>
                      <w:lang w:val="en-US" w:eastAsia="zh-CN"/>
                    </w:rPr>
                    <w:t>一般固废</w:t>
                  </w:r>
                </w:p>
              </w:tc>
              <w:tc>
                <w:tcPr>
                  <w:tcW w:w="2119" w:type="dxa"/>
                  <w:shd w:val="clear" w:color="auto" w:fill="auto"/>
                  <w:vAlign w:val="center"/>
                </w:tcPr>
                <w:p>
                  <w:pPr>
                    <w:pStyle w:val="30"/>
                    <w:bidi w:val="0"/>
                    <w:rPr>
                      <w:rFonts w:hint="default"/>
                      <w:lang w:val="en-US" w:eastAsia="zh-CN"/>
                    </w:rPr>
                  </w:pPr>
                  <w:r>
                    <w:rPr>
                      <w:rFonts w:hint="eastAsia"/>
                      <w:lang w:val="en-US" w:eastAsia="zh-CN"/>
                    </w:rPr>
                    <w:t>收集后外售</w:t>
                  </w:r>
                </w:p>
              </w:tc>
              <w:tc>
                <w:tcPr>
                  <w:tcW w:w="2064" w:type="dxa"/>
                </w:tcPr>
                <w:p>
                  <w:pPr>
                    <w:pStyle w:val="30"/>
                    <w:bidi w:val="0"/>
                    <w:rPr>
                      <w:rFonts w:hint="default"/>
                      <w:lang w:val="en-US" w:eastAsia="zh-CN"/>
                    </w:rPr>
                  </w:pPr>
                  <w:r>
                    <w:rPr>
                      <w:rFonts w:hint="eastAsia"/>
                    </w:rPr>
                    <w:t>《一般工业固体废物贮存和填埋污染控制标准》（GB18599-2020）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82" w:type="dxa"/>
                  <w:vMerge w:val="continue"/>
                </w:tcPr>
                <w:p>
                  <w:pPr>
                    <w:pStyle w:val="30"/>
                    <w:bidi w:val="0"/>
                    <w:rPr>
                      <w:rFonts w:hint="eastAsia"/>
                      <w:lang w:val="en-US" w:eastAsia="zh-CN"/>
                    </w:rPr>
                  </w:pPr>
                </w:p>
              </w:tc>
              <w:tc>
                <w:tcPr>
                  <w:tcW w:w="1328" w:type="dxa"/>
                  <w:shd w:val="clear" w:color="auto" w:fill="auto"/>
                  <w:vAlign w:val="center"/>
                </w:tcPr>
                <w:p>
                  <w:pPr>
                    <w:pStyle w:val="30"/>
                    <w:bidi w:val="0"/>
                    <w:rPr>
                      <w:rFonts w:hint="eastAsia"/>
                      <w:lang w:val="en-US" w:eastAsia="zh-CN"/>
                    </w:rPr>
                  </w:pPr>
                  <w:r>
                    <w:rPr>
                      <w:rFonts w:hint="eastAsia"/>
                      <w:lang w:val="en-US" w:eastAsia="zh-CN"/>
                    </w:rPr>
                    <w:t>生活垃圾</w:t>
                  </w:r>
                </w:p>
              </w:tc>
              <w:tc>
                <w:tcPr>
                  <w:tcW w:w="2052" w:type="dxa"/>
                  <w:shd w:val="clear" w:color="auto" w:fill="auto"/>
                  <w:vAlign w:val="center"/>
                </w:tcPr>
                <w:p>
                  <w:pPr>
                    <w:pStyle w:val="30"/>
                    <w:bidi w:val="0"/>
                    <w:rPr>
                      <w:rFonts w:hint="eastAsia"/>
                      <w:lang w:val="en-US" w:eastAsia="zh-CN"/>
                    </w:rPr>
                  </w:pPr>
                  <w:r>
                    <w:rPr>
                      <w:rFonts w:hint="eastAsia"/>
                      <w:lang w:val="en-US" w:eastAsia="zh-CN"/>
                    </w:rPr>
                    <w:t>生活垃圾</w:t>
                  </w:r>
                </w:p>
              </w:tc>
              <w:tc>
                <w:tcPr>
                  <w:tcW w:w="2119" w:type="dxa"/>
                  <w:shd w:val="clear" w:color="auto" w:fill="auto"/>
                  <w:vAlign w:val="center"/>
                </w:tcPr>
                <w:p>
                  <w:pPr>
                    <w:pStyle w:val="30"/>
                    <w:bidi w:val="0"/>
                    <w:rPr>
                      <w:rFonts w:hint="default"/>
                      <w:lang w:val="en-US" w:eastAsia="zh-CN"/>
                    </w:rPr>
                  </w:pPr>
                  <w:r>
                    <w:rPr>
                      <w:rFonts w:hint="eastAsia"/>
                      <w:lang w:val="en-US" w:eastAsia="zh-CN"/>
                    </w:rPr>
                    <w:t>环卫部门处理</w:t>
                  </w:r>
                </w:p>
              </w:tc>
              <w:tc>
                <w:tcPr>
                  <w:tcW w:w="2064" w:type="dxa"/>
                </w:tcPr>
                <w:p>
                  <w:pPr>
                    <w:pStyle w:val="30"/>
                    <w:bidi w:val="0"/>
                    <w:rPr>
                      <w:rFonts w:hint="default"/>
                      <w:lang w:val="en-US" w:eastAsia="zh-CN"/>
                    </w:rPr>
                  </w:pPr>
                  <w:r>
                    <w:rPr>
                      <w:rFonts w:hint="eastAsia"/>
                    </w:rPr>
                    <w:t>生活垃圾填埋</w:t>
                  </w:r>
                  <w:r>
                    <w:rPr>
                      <w:rFonts w:hint="eastAsia"/>
                      <w:lang w:val="en-US" w:eastAsia="zh-CN"/>
                    </w:rPr>
                    <w:t>场</w:t>
                  </w:r>
                  <w:r>
                    <w:rPr>
                      <w:rFonts w:hint="eastAsia"/>
                    </w:rPr>
                    <w:t>污染控制标准》(</w:t>
                  </w:r>
                  <w:r>
                    <w:rPr>
                      <w:rFonts w:hint="eastAsia"/>
                      <w:lang w:eastAsia="zh-CN"/>
                    </w:rPr>
                    <w:t>GB16889-2024</w:t>
                  </w:r>
                  <w:r>
                    <w:rPr>
                      <w:rFonts w:hint="eastAsia"/>
                    </w:rPr>
                    <w:t>)</w:t>
                  </w:r>
                </w:p>
              </w:tc>
            </w:tr>
          </w:tbl>
          <w:p>
            <w:pPr>
              <w:numPr>
                <w:ilvl w:val="0"/>
                <w:numId w:val="5"/>
              </w:numPr>
              <w:bidi w:val="0"/>
              <w:rPr>
                <w:rFonts w:hint="default"/>
                <w:b/>
                <w:bCs/>
                <w:lang w:val="en-US" w:eastAsia="zh-CN"/>
              </w:rPr>
            </w:pPr>
            <w:r>
              <w:rPr>
                <w:rFonts w:hint="eastAsia"/>
                <w:b/>
                <w:bCs/>
                <w:lang w:val="en-US" w:eastAsia="zh-CN"/>
              </w:rPr>
              <w:t>原</w:t>
            </w:r>
            <w:r>
              <w:rPr>
                <w:rFonts w:hint="default"/>
                <w:b/>
                <w:bCs/>
                <w:lang w:val="en-US" w:eastAsia="zh-CN"/>
              </w:rPr>
              <w:t>有项目存在的环境问题及整改措施</w:t>
            </w:r>
          </w:p>
          <w:p>
            <w:pPr>
              <w:pStyle w:val="12"/>
              <w:bidi w:val="0"/>
              <w:rPr>
                <w:rFonts w:hint="default"/>
                <w:lang w:val="en-US" w:eastAsia="zh-CN"/>
              </w:rPr>
            </w:pPr>
            <w:r>
              <w:rPr>
                <w:rFonts w:hint="default"/>
                <w:lang w:val="en-US" w:eastAsia="zh-CN"/>
              </w:rPr>
              <w:t>针对现场调查结果，环评要求对不符合要求的相关环保设施进行整改，环评整改意见详见</w:t>
            </w:r>
            <w:r>
              <w:rPr>
                <w:rFonts w:hint="eastAsia"/>
                <w:lang w:val="en-US" w:eastAsia="zh-CN"/>
              </w:rPr>
              <w:t>下</w:t>
            </w:r>
            <w:r>
              <w:rPr>
                <w:rFonts w:hint="default"/>
                <w:lang w:val="en-US" w:eastAsia="zh-CN"/>
              </w:rPr>
              <w:t>表。</w:t>
            </w:r>
          </w:p>
          <w:p>
            <w:pPr>
              <w:pStyle w:val="29"/>
              <w:bidi w:val="0"/>
              <w:rPr>
                <w:rFonts w:hint="default"/>
              </w:rPr>
            </w:pPr>
            <w:r>
              <w:rPr>
                <w:rFonts w:hint="default"/>
              </w:rPr>
              <w:t>表</w:t>
            </w:r>
            <w:r>
              <w:rPr>
                <w:rFonts w:hint="eastAsia"/>
                <w:lang w:val="en-US" w:eastAsia="zh-CN"/>
              </w:rPr>
              <w:t>2.3-2</w:t>
            </w:r>
            <w:r>
              <w:rPr>
                <w:rFonts w:hint="default"/>
              </w:rPr>
              <w:t xml:space="preserve"> </w:t>
            </w:r>
            <w:r>
              <w:rPr>
                <w:rFonts w:hint="eastAsia"/>
                <w:lang w:eastAsia="zh-CN"/>
              </w:rPr>
              <w:t>原有</w:t>
            </w:r>
            <w:r>
              <w:rPr>
                <w:rFonts w:hint="default"/>
              </w:rPr>
              <w:t>项目存在问题及拟整改措施</w:t>
            </w:r>
          </w:p>
          <w:tbl>
            <w:tblPr>
              <w:tblStyle w:val="27"/>
              <w:tblW w:w="90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060"/>
              <w:gridCol w:w="4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6" w:type="dxa"/>
                  <w:noWrap w:val="0"/>
                  <w:vAlign w:val="center"/>
                </w:tcPr>
                <w:p>
                  <w:pPr>
                    <w:pStyle w:val="30"/>
                    <w:bidi w:val="0"/>
                    <w:rPr>
                      <w:rFonts w:hint="default"/>
                    </w:rPr>
                  </w:pPr>
                  <w:r>
                    <w:rPr>
                      <w:rFonts w:hint="default"/>
                    </w:rPr>
                    <w:t>项目</w:t>
                  </w:r>
                </w:p>
              </w:tc>
              <w:tc>
                <w:tcPr>
                  <w:tcW w:w="3060" w:type="dxa"/>
                  <w:noWrap w:val="0"/>
                  <w:vAlign w:val="center"/>
                </w:tcPr>
                <w:p>
                  <w:pPr>
                    <w:pStyle w:val="30"/>
                    <w:bidi w:val="0"/>
                    <w:rPr>
                      <w:rFonts w:hint="default"/>
                    </w:rPr>
                  </w:pPr>
                  <w:r>
                    <w:rPr>
                      <w:rFonts w:hint="default"/>
                    </w:rPr>
                    <w:t>存在问题</w:t>
                  </w:r>
                </w:p>
              </w:tc>
              <w:tc>
                <w:tcPr>
                  <w:tcW w:w="4799" w:type="dxa"/>
                  <w:noWrap w:val="0"/>
                  <w:vAlign w:val="center"/>
                </w:tcPr>
                <w:p>
                  <w:pPr>
                    <w:pStyle w:val="30"/>
                    <w:bidi w:val="0"/>
                    <w:rPr>
                      <w:rFonts w:hint="default"/>
                    </w:rPr>
                  </w:pPr>
                  <w:r>
                    <w:rPr>
                      <w:rFonts w:hint="default"/>
                    </w:rPr>
                    <w:t>整改措施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6" w:type="dxa"/>
                  <w:noWrap w:val="0"/>
                  <w:vAlign w:val="center"/>
                </w:tcPr>
                <w:p>
                  <w:pPr>
                    <w:pStyle w:val="30"/>
                    <w:bidi w:val="0"/>
                    <w:rPr>
                      <w:rFonts w:hint="default"/>
                      <w:lang w:val="en-US" w:eastAsia="zh-CN"/>
                    </w:rPr>
                  </w:pPr>
                  <w:r>
                    <w:rPr>
                      <w:rFonts w:hint="eastAsia"/>
                      <w:lang w:val="en-US" w:eastAsia="zh-CN"/>
                    </w:rPr>
                    <w:t>环保设施</w:t>
                  </w:r>
                </w:p>
              </w:tc>
              <w:tc>
                <w:tcPr>
                  <w:tcW w:w="3060" w:type="dxa"/>
                  <w:noWrap w:val="0"/>
                  <w:vAlign w:val="center"/>
                </w:tcPr>
                <w:p>
                  <w:pPr>
                    <w:pStyle w:val="30"/>
                    <w:bidi w:val="0"/>
                    <w:rPr>
                      <w:rFonts w:hint="default"/>
                      <w:lang w:val="en-US" w:eastAsia="zh-CN"/>
                    </w:rPr>
                  </w:pPr>
                  <w:r>
                    <w:rPr>
                      <w:rFonts w:hint="eastAsia"/>
                      <w:lang w:val="en-US" w:eastAsia="zh-CN"/>
                    </w:rPr>
                    <w:t>废气处理设施不完善，未设置规范的医疗废物暂存间</w:t>
                  </w:r>
                </w:p>
              </w:tc>
              <w:tc>
                <w:tcPr>
                  <w:tcW w:w="4799" w:type="dxa"/>
                  <w:noWrap w:val="0"/>
                  <w:vAlign w:val="center"/>
                </w:tcPr>
                <w:p>
                  <w:pPr>
                    <w:pStyle w:val="30"/>
                    <w:bidi w:val="0"/>
                    <w:rPr>
                      <w:rFonts w:hint="default"/>
                      <w:lang w:val="en-US" w:eastAsia="zh-CN"/>
                    </w:rPr>
                  </w:pPr>
                  <w:r>
                    <w:rPr>
                      <w:rFonts w:hint="eastAsia"/>
                      <w:lang w:val="en-US" w:eastAsia="zh-CN"/>
                    </w:rPr>
                    <w:t>完善废气处理设施，设置规范的医疗废物暂存间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6" w:type="dxa"/>
                  <w:shd w:val="clear" w:color="auto" w:fill="auto"/>
                  <w:noWrap w:val="0"/>
                  <w:vAlign w:val="center"/>
                </w:tcPr>
                <w:p>
                  <w:pPr>
                    <w:pStyle w:val="30"/>
                    <w:bidi w:val="0"/>
                    <w:rPr>
                      <w:rFonts w:hint="eastAsia" w:ascii="Times New Roman" w:hAnsi="Times New Roman" w:eastAsia="宋体" w:cstheme="minorBidi"/>
                      <w:snapToGrid w:val="0"/>
                      <w:spacing w:val="6"/>
                      <w:kern w:val="2"/>
                      <w:sz w:val="21"/>
                      <w:szCs w:val="21"/>
                      <w:lang w:val="en-US" w:eastAsia="zh-CN" w:bidi="ar-SA"/>
                    </w:rPr>
                  </w:pPr>
                  <w:r>
                    <w:rPr>
                      <w:rFonts w:hint="eastAsia"/>
                      <w:lang w:val="en-US" w:eastAsia="zh-CN"/>
                    </w:rPr>
                    <w:t>环境风险</w:t>
                  </w:r>
                </w:p>
              </w:tc>
              <w:tc>
                <w:tcPr>
                  <w:tcW w:w="3060" w:type="dxa"/>
                  <w:shd w:val="clear" w:color="auto" w:fill="auto"/>
                  <w:noWrap w:val="0"/>
                  <w:vAlign w:val="center"/>
                </w:tcPr>
                <w:p>
                  <w:pPr>
                    <w:pStyle w:val="30"/>
                    <w:bidi w:val="0"/>
                    <w:rPr>
                      <w:rFonts w:hint="eastAsia" w:ascii="Times New Roman" w:hAnsi="Times New Roman" w:eastAsia="宋体" w:cstheme="minorBidi"/>
                      <w:snapToGrid w:val="0"/>
                      <w:spacing w:val="6"/>
                      <w:kern w:val="2"/>
                      <w:sz w:val="21"/>
                      <w:szCs w:val="21"/>
                      <w:lang w:val="en-US" w:eastAsia="zh-CN" w:bidi="ar-SA"/>
                    </w:rPr>
                  </w:pPr>
                  <w:r>
                    <w:rPr>
                      <w:rFonts w:hint="eastAsia"/>
                      <w:lang w:val="en-US" w:eastAsia="zh-CN"/>
                    </w:rPr>
                    <w:t>未建设应急事故池</w:t>
                  </w:r>
                </w:p>
              </w:tc>
              <w:tc>
                <w:tcPr>
                  <w:tcW w:w="4799" w:type="dxa"/>
                  <w:shd w:val="clear" w:color="auto" w:fill="auto"/>
                  <w:noWrap w:val="0"/>
                  <w:vAlign w:val="center"/>
                </w:tcPr>
                <w:p>
                  <w:pPr>
                    <w:pStyle w:val="30"/>
                    <w:bidi w:val="0"/>
                    <w:rPr>
                      <w:rFonts w:hint="eastAsia" w:ascii="Times New Roman" w:hAnsi="Times New Roman" w:eastAsia="宋体" w:cstheme="minorBidi"/>
                      <w:snapToGrid w:val="0"/>
                      <w:spacing w:val="6"/>
                      <w:kern w:val="2"/>
                      <w:sz w:val="21"/>
                      <w:szCs w:val="21"/>
                      <w:lang w:val="en-US" w:eastAsia="zh-CN" w:bidi="ar-SA"/>
                    </w:rPr>
                  </w:pPr>
                  <w:r>
                    <w:rPr>
                      <w:rFonts w:hint="eastAsia"/>
                      <w:lang w:val="en-US" w:eastAsia="zh-CN"/>
                    </w:rPr>
                    <w:t>在污水处理站东侧建设一座</w:t>
                  </w:r>
                  <w:r>
                    <w:rPr>
                      <w:rFonts w:hint="default" w:ascii="Times New Roman" w:hAnsi="Times New Roman" w:cs="Times New Roman"/>
                      <w:lang w:val="en-US" w:eastAsia="zh-CN"/>
                    </w:rPr>
                    <w:t>50m³</w:t>
                  </w:r>
                  <w:r>
                    <w:rPr>
                      <w:rFonts w:hint="eastAsia"/>
                      <w:lang w:val="en-US" w:eastAsia="zh-CN"/>
                    </w:rPr>
                    <w:t>的应急事故池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6" w:type="dxa"/>
                  <w:noWrap w:val="0"/>
                  <w:vAlign w:val="center"/>
                </w:tcPr>
                <w:p>
                  <w:pPr>
                    <w:pStyle w:val="30"/>
                    <w:bidi w:val="0"/>
                    <w:rPr>
                      <w:rFonts w:hint="default"/>
                      <w:lang w:val="en-US" w:eastAsia="zh-CN"/>
                    </w:rPr>
                  </w:pPr>
                  <w:r>
                    <w:rPr>
                      <w:rFonts w:hint="eastAsia"/>
                      <w:lang w:val="en-US" w:eastAsia="zh-CN"/>
                    </w:rPr>
                    <w:t>管理制度</w:t>
                  </w:r>
                </w:p>
              </w:tc>
              <w:tc>
                <w:tcPr>
                  <w:tcW w:w="3060" w:type="dxa"/>
                  <w:noWrap w:val="0"/>
                  <w:vAlign w:val="center"/>
                </w:tcPr>
                <w:p>
                  <w:pPr>
                    <w:pStyle w:val="30"/>
                    <w:bidi w:val="0"/>
                    <w:rPr>
                      <w:rFonts w:hint="default"/>
                      <w:lang w:val="en-US" w:eastAsia="zh-CN"/>
                    </w:rPr>
                  </w:pPr>
                  <w:r>
                    <w:rPr>
                      <w:rFonts w:hint="eastAsia"/>
                      <w:lang w:val="en-US" w:eastAsia="zh-CN"/>
                    </w:rPr>
                    <w:t>危废暂存间标识标牌不规范、管理制度未上墙</w:t>
                  </w:r>
                </w:p>
              </w:tc>
              <w:tc>
                <w:tcPr>
                  <w:tcW w:w="4799" w:type="dxa"/>
                  <w:noWrap w:val="0"/>
                  <w:vAlign w:val="center"/>
                </w:tcPr>
                <w:p>
                  <w:pPr>
                    <w:pStyle w:val="30"/>
                    <w:bidi w:val="0"/>
                    <w:rPr>
                      <w:rFonts w:hint="default"/>
                      <w:lang w:val="en-US" w:eastAsia="zh-CN"/>
                    </w:rPr>
                  </w:pPr>
                  <w:r>
                    <w:rPr>
                      <w:rFonts w:hint="eastAsia"/>
                      <w:lang w:val="en-US" w:eastAsia="zh-CN"/>
                    </w:rPr>
                    <w:t>按规范在危废暂存间粘贴标识、标牌，管理制度粘贴上墙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6" w:type="dxa"/>
                  <w:noWrap w:val="0"/>
                  <w:vAlign w:val="center"/>
                </w:tcPr>
                <w:p>
                  <w:pPr>
                    <w:pStyle w:val="30"/>
                    <w:bidi w:val="0"/>
                    <w:rPr>
                      <w:rFonts w:hint="default"/>
                      <w:lang w:val="en-US" w:eastAsia="zh-CN"/>
                    </w:rPr>
                  </w:pPr>
                  <w:r>
                    <w:rPr>
                      <w:rFonts w:hint="eastAsia"/>
                      <w:lang w:val="en-US" w:eastAsia="zh-CN"/>
                    </w:rPr>
                    <w:t>排污许可</w:t>
                  </w:r>
                </w:p>
              </w:tc>
              <w:tc>
                <w:tcPr>
                  <w:tcW w:w="3060" w:type="dxa"/>
                  <w:noWrap w:val="0"/>
                  <w:vAlign w:val="center"/>
                </w:tcPr>
                <w:p>
                  <w:pPr>
                    <w:pStyle w:val="30"/>
                    <w:bidi w:val="0"/>
                    <w:rPr>
                      <w:rFonts w:hint="default"/>
                      <w:lang w:val="en-US" w:eastAsia="zh-CN"/>
                    </w:rPr>
                  </w:pPr>
                  <w:r>
                    <w:rPr>
                      <w:rFonts w:hint="eastAsia"/>
                      <w:lang w:val="en-US" w:eastAsia="zh-CN"/>
                    </w:rPr>
                    <w:t>未按排污许可管理要求进行排污登记</w:t>
                  </w:r>
                </w:p>
              </w:tc>
              <w:tc>
                <w:tcPr>
                  <w:tcW w:w="4799" w:type="dxa"/>
                  <w:noWrap w:val="0"/>
                  <w:vAlign w:val="center"/>
                </w:tcPr>
                <w:p>
                  <w:pPr>
                    <w:pStyle w:val="30"/>
                    <w:bidi w:val="0"/>
                    <w:rPr>
                      <w:rFonts w:hint="default"/>
                      <w:lang w:val="en-US" w:eastAsia="zh-CN"/>
                    </w:rPr>
                  </w:pPr>
                  <w:r>
                    <w:rPr>
                      <w:rFonts w:hint="eastAsia"/>
                      <w:lang w:val="en-US" w:eastAsia="zh-CN"/>
                    </w:rPr>
                    <w:t>在管理平台进行排污登记管理</w:t>
                  </w:r>
                </w:p>
              </w:tc>
            </w:tr>
          </w:tbl>
          <w:p>
            <w:pPr>
              <w:ind w:firstLine="480"/>
              <w:rPr>
                <w:rFonts w:hint="default" w:ascii="Times New Roman" w:hAnsi="Times New Roman" w:eastAsia="宋体" w:cs="Times New Roman"/>
                <w:color w:val="auto"/>
                <w:u w:val="none" w:color="auto"/>
              </w:rPr>
            </w:pPr>
          </w:p>
          <w:p>
            <w:pPr>
              <w:pStyle w:val="31"/>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both"/>
              <w:textAlignment w:val="auto"/>
              <w:outlineLvl w:val="9"/>
              <w:rPr>
                <w:rFonts w:hint="default" w:ascii="宋体" w:hAnsi="宋体"/>
                <w:bCs/>
                <w:color w:val="auto"/>
                <w:sz w:val="24"/>
                <w:szCs w:val="24"/>
                <w:highlight w:val="none"/>
                <w:lang w:val="en-US"/>
              </w:rPr>
            </w:pPr>
          </w:p>
        </w:tc>
      </w:tr>
    </w:tbl>
    <w:p>
      <w:pPr>
        <w:bidi w:val="0"/>
        <w:sectPr>
          <w:pgSz w:w="11906" w:h="16838"/>
          <w:pgMar w:top="1440" w:right="1800" w:bottom="1440" w:left="1800" w:header="851" w:footer="992" w:gutter="0"/>
          <w:pgNumType w:fmt="decimal"/>
          <w:cols w:space="425" w:num="1"/>
          <w:docGrid w:type="lines" w:linePitch="312" w:charSpace="0"/>
        </w:sectPr>
      </w:pPr>
    </w:p>
    <w:p>
      <w:pPr>
        <w:pStyle w:val="2"/>
        <w:bidi w:val="0"/>
      </w:pPr>
      <w:bookmarkStart w:id="39" w:name="_Toc14695"/>
      <w:bookmarkStart w:id="40" w:name="_Toc6337"/>
      <w:bookmarkStart w:id="41" w:name="_Toc17896"/>
      <w:bookmarkStart w:id="42" w:name="_Toc14691"/>
      <w:bookmarkStart w:id="43" w:name="_Toc7485"/>
      <w:bookmarkStart w:id="44" w:name="_Toc15266"/>
      <w:bookmarkStart w:id="45" w:name="_Toc10721"/>
      <w:bookmarkStart w:id="46" w:name="_Toc26844"/>
      <w:bookmarkStart w:id="47" w:name="_Toc3725"/>
      <w:bookmarkStart w:id="48" w:name="_Toc7"/>
      <w:bookmarkStart w:id="49" w:name="_Toc18149"/>
      <w:bookmarkStart w:id="50" w:name="_Toc22653"/>
      <w:bookmarkStart w:id="51" w:name="_Toc13320"/>
      <w:bookmarkStart w:id="52" w:name="_Toc16961"/>
      <w:bookmarkStart w:id="53" w:name="_Toc15195"/>
      <w:r>
        <w:rPr>
          <w:rFonts w:hint="eastAsia"/>
        </w:rPr>
        <w:t>三</w:t>
      </w:r>
      <w:r>
        <w:rPr>
          <w:rFonts w:hint="eastAsia"/>
          <w:lang w:eastAsia="zh-CN"/>
        </w:rPr>
        <w:t>、</w:t>
      </w:r>
      <w:r>
        <w:rPr>
          <w:rFonts w:hint="eastAsia"/>
        </w:rPr>
        <w:t>区域环境质量现状、环境保护目标及评价标准</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tbl>
      <w:tblPr>
        <w:tblStyle w:val="27"/>
        <w:tblW w:w="876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8"/>
        <w:gridCol w:w="78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8" w:type="dxa"/>
            <w:noWrap w:val="0"/>
            <w:vAlign w:val="center"/>
          </w:tcPr>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区域</w:t>
            </w:r>
          </w:p>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环境</w:t>
            </w:r>
          </w:p>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质量</w:t>
            </w:r>
          </w:p>
          <w:p>
            <w:pPr>
              <w:adjustRightInd w:val="0"/>
              <w:snapToGrid w:val="0"/>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现状</w:t>
            </w:r>
          </w:p>
        </w:tc>
        <w:tc>
          <w:tcPr>
            <w:tcW w:w="7853" w:type="dxa"/>
            <w:noWrap w:val="0"/>
            <w:vAlign w:val="center"/>
          </w:tcPr>
          <w:p>
            <w:pPr>
              <w:bidi w:val="0"/>
            </w:pPr>
            <w:r>
              <w:rPr>
                <w:rFonts w:hint="eastAsia"/>
              </w:rPr>
              <w:t>1</w:t>
            </w:r>
            <w:r>
              <w:t>、大气环境</w:t>
            </w:r>
          </w:p>
          <w:p>
            <w:pPr>
              <w:pStyle w:val="12"/>
              <w:bidi w:val="0"/>
              <w:rPr>
                <w:rFonts w:hint="default"/>
              </w:rPr>
            </w:pPr>
            <w:r>
              <w:rPr>
                <w:rFonts w:hint="default"/>
              </w:rPr>
              <w:t>根据《建设项目环境影响报告表编制技术指南（污染影响类）（试行）》 常规污染物引用与建设项目距离近的有效数据，包括近3年的规划环境影响 评价的监测数据，国家、地方环境空气质量监测网数据或生态环境主管部门 公开发布的质量数据等；引用的数据为近3年的数据，满足要求。</w:t>
            </w:r>
          </w:p>
          <w:p>
            <w:pPr>
              <w:bidi w:val="0"/>
              <w:rPr>
                <w:rFonts w:hint="default" w:ascii="Times New Roman" w:hAnsi="Times New Roman" w:cs="Times New Roman"/>
                <w:lang w:val="en-US" w:eastAsia="zh-CN"/>
              </w:rPr>
            </w:pPr>
            <w:r>
              <w:rPr>
                <w:rFonts w:hint="default" w:ascii="Times New Roman" w:hAnsi="Times New Roman" w:eastAsia="宋体" w:cs="Times New Roman"/>
                <w:sz w:val="24"/>
                <w:szCs w:val="24"/>
              </w:rPr>
              <w:t>为了解项目所在区域的环境空气质量达标情况，本评价引用永州市生态环境局发布的2023年连续一年的大气环境质量状况监测数据（《关于2023年12月全市环境质量状况通报》中附件4《2023年1-12月全市城市环境空气质量污染物浓度情况》），区域环境空气质量现状评价见下表</w:t>
            </w:r>
            <w:r>
              <w:rPr>
                <w:rFonts w:hint="default" w:ascii="Times New Roman" w:hAnsi="Times New Roman" w:cs="Times New Roman"/>
                <w:lang w:val="en-US" w:eastAsia="zh-CN"/>
              </w:rPr>
              <w:t>。</w:t>
            </w:r>
          </w:p>
          <w:p>
            <w:pPr>
              <w:pStyle w:val="29"/>
              <w:bidi w:val="0"/>
              <w:rPr>
                <w:rFonts w:hint="default"/>
                <w:lang w:eastAsia="zh-CN"/>
              </w:rPr>
            </w:pPr>
            <w:r>
              <w:rPr>
                <w:rFonts w:hint="default"/>
              </w:rPr>
              <w:t>表3</w:t>
            </w:r>
            <w:r>
              <w:rPr>
                <w:rFonts w:hint="eastAsia"/>
                <w:lang w:val="en-US" w:eastAsia="zh-CN"/>
              </w:rPr>
              <w:t>.1</w:t>
            </w:r>
            <w:r>
              <w:rPr>
                <w:rFonts w:hint="default"/>
              </w:rPr>
              <w:t>-1</w:t>
            </w:r>
            <w:r>
              <w:rPr>
                <w:rFonts w:hint="default"/>
                <w:lang w:val="en-US" w:eastAsia="zh-CN"/>
              </w:rPr>
              <w:t xml:space="preserve"> </w:t>
            </w:r>
            <w:r>
              <w:rPr>
                <w:rFonts w:hint="default"/>
              </w:rPr>
              <w:t xml:space="preserve"> 20</w:t>
            </w:r>
            <w:r>
              <w:rPr>
                <w:rFonts w:hint="default"/>
                <w:lang w:val="en-US" w:eastAsia="zh-CN"/>
              </w:rPr>
              <w:t>2</w:t>
            </w:r>
            <w:r>
              <w:rPr>
                <w:rFonts w:hint="eastAsia"/>
                <w:lang w:val="en-US" w:eastAsia="zh-CN"/>
              </w:rPr>
              <w:t>3</w:t>
            </w:r>
            <w:r>
              <w:rPr>
                <w:rFonts w:hint="default"/>
              </w:rPr>
              <w:t>年</w:t>
            </w:r>
            <w:r>
              <w:rPr>
                <w:rFonts w:hint="default"/>
                <w:lang w:eastAsia="zh-CN"/>
              </w:rPr>
              <w:t>零陵区</w:t>
            </w:r>
            <w:r>
              <w:rPr>
                <w:rFonts w:hint="default"/>
              </w:rPr>
              <w:t>环境空气质量监测结果统计表 单位：µg/m</w:t>
            </w:r>
            <w:r>
              <w:rPr>
                <w:rFonts w:hint="default" w:ascii="Times New Roman" w:hAnsi="Times New Roman" w:cs="Times New Roman"/>
              </w:rPr>
              <w:t>³</w:t>
            </w:r>
            <w:r>
              <w:rPr>
                <w:rFonts w:hint="default"/>
                <w:lang w:eastAsia="zh-CN"/>
              </w:rPr>
              <w:t>(</w:t>
            </w:r>
            <w:r>
              <w:rPr>
                <w:rFonts w:hint="default"/>
              </w:rPr>
              <w:t>CO为mg/m</w:t>
            </w:r>
            <w:r>
              <w:rPr>
                <w:rFonts w:hint="default" w:ascii="Times New Roman" w:hAnsi="Times New Roman" w:cs="Times New Roman"/>
              </w:rPr>
              <w:t>³</w:t>
            </w:r>
            <w:r>
              <w:rPr>
                <w:rFonts w:hint="default"/>
                <w:lang w:eastAsia="zh-CN"/>
              </w:rPr>
              <w:t>)</w:t>
            </w:r>
          </w:p>
          <w:tbl>
            <w:tblPr>
              <w:tblStyle w:val="27"/>
              <w:tblW w:w="76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2086"/>
              <w:gridCol w:w="1262"/>
              <w:gridCol w:w="1257"/>
              <w:gridCol w:w="1308"/>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815" w:type="dxa"/>
                  <w:tcBorders>
                    <w:tl2br w:val="nil"/>
                    <w:tr2bl w:val="nil"/>
                  </w:tcBorders>
                  <w:noWrap w:val="0"/>
                  <w:vAlign w:val="center"/>
                </w:tcPr>
                <w:p>
                  <w:pPr>
                    <w:pStyle w:val="30"/>
                    <w:bidi w:val="0"/>
                    <w:rPr>
                      <w:rFonts w:hint="default"/>
                    </w:rPr>
                  </w:pPr>
                  <w:r>
                    <w:rPr>
                      <w:rFonts w:hint="default"/>
                    </w:rPr>
                    <w:t>污染物</w:t>
                  </w:r>
                </w:p>
              </w:tc>
              <w:tc>
                <w:tcPr>
                  <w:tcW w:w="2086" w:type="dxa"/>
                  <w:tcBorders>
                    <w:tl2br w:val="nil"/>
                    <w:tr2bl w:val="nil"/>
                  </w:tcBorders>
                  <w:noWrap w:val="0"/>
                  <w:vAlign w:val="center"/>
                </w:tcPr>
                <w:p>
                  <w:pPr>
                    <w:pStyle w:val="30"/>
                    <w:bidi w:val="0"/>
                    <w:rPr>
                      <w:rFonts w:hint="default"/>
                    </w:rPr>
                  </w:pPr>
                  <w:r>
                    <w:rPr>
                      <w:rFonts w:hint="default"/>
                    </w:rPr>
                    <w:t>评价指标</w:t>
                  </w:r>
                </w:p>
              </w:tc>
              <w:tc>
                <w:tcPr>
                  <w:tcW w:w="1262" w:type="dxa"/>
                  <w:tcBorders>
                    <w:tl2br w:val="nil"/>
                    <w:tr2bl w:val="nil"/>
                  </w:tcBorders>
                  <w:noWrap w:val="0"/>
                  <w:vAlign w:val="center"/>
                </w:tcPr>
                <w:p>
                  <w:pPr>
                    <w:pStyle w:val="30"/>
                    <w:bidi w:val="0"/>
                    <w:rPr>
                      <w:rFonts w:hint="default"/>
                    </w:rPr>
                  </w:pPr>
                  <w:r>
                    <w:rPr>
                      <w:rFonts w:hint="default"/>
                    </w:rPr>
                    <w:t>现状浓度</w:t>
                  </w:r>
                </w:p>
              </w:tc>
              <w:tc>
                <w:tcPr>
                  <w:tcW w:w="1257" w:type="dxa"/>
                  <w:tcBorders>
                    <w:tl2br w:val="nil"/>
                    <w:tr2bl w:val="nil"/>
                  </w:tcBorders>
                  <w:noWrap w:val="0"/>
                  <w:vAlign w:val="center"/>
                </w:tcPr>
                <w:p>
                  <w:pPr>
                    <w:pStyle w:val="30"/>
                    <w:bidi w:val="0"/>
                    <w:rPr>
                      <w:rFonts w:hint="default"/>
                    </w:rPr>
                  </w:pPr>
                  <w:r>
                    <w:rPr>
                      <w:rFonts w:hint="default"/>
                    </w:rPr>
                    <w:t>标准值</w:t>
                  </w:r>
                </w:p>
              </w:tc>
              <w:tc>
                <w:tcPr>
                  <w:tcW w:w="1308" w:type="dxa"/>
                  <w:tcBorders>
                    <w:tl2br w:val="nil"/>
                    <w:tr2bl w:val="nil"/>
                  </w:tcBorders>
                  <w:noWrap w:val="0"/>
                  <w:vAlign w:val="center"/>
                </w:tcPr>
                <w:p>
                  <w:pPr>
                    <w:pStyle w:val="30"/>
                    <w:bidi w:val="0"/>
                    <w:rPr>
                      <w:rFonts w:hint="default"/>
                    </w:rPr>
                  </w:pPr>
                  <w:r>
                    <w:rPr>
                      <w:rFonts w:hint="default"/>
                    </w:rPr>
                    <w:t>占标率/%</w:t>
                  </w:r>
                </w:p>
              </w:tc>
              <w:tc>
                <w:tcPr>
                  <w:tcW w:w="896" w:type="dxa"/>
                  <w:tcBorders>
                    <w:tl2br w:val="nil"/>
                    <w:tr2bl w:val="nil"/>
                  </w:tcBorders>
                  <w:noWrap w:val="0"/>
                  <w:vAlign w:val="center"/>
                </w:tcPr>
                <w:p>
                  <w:pPr>
                    <w:pStyle w:val="30"/>
                    <w:bidi w:val="0"/>
                    <w:rPr>
                      <w:rFonts w:hint="default"/>
                    </w:rPr>
                  </w:pPr>
                  <w:r>
                    <w:rPr>
                      <w:rFonts w:hint="default"/>
                    </w:rPr>
                    <w:t>达标</w:t>
                  </w:r>
                </w:p>
                <w:p>
                  <w:pPr>
                    <w:pStyle w:val="30"/>
                    <w:bidi w:val="0"/>
                    <w:rPr>
                      <w:rFonts w:hint="default"/>
                    </w:rPr>
                  </w:pPr>
                  <w:r>
                    <w:rPr>
                      <w:rFonts w:hint="default"/>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15" w:type="dxa"/>
                  <w:tcBorders>
                    <w:tl2br w:val="nil"/>
                    <w:tr2bl w:val="nil"/>
                  </w:tcBorders>
                  <w:noWrap w:val="0"/>
                  <w:vAlign w:val="center"/>
                </w:tcPr>
                <w:p>
                  <w:pPr>
                    <w:pStyle w:val="30"/>
                    <w:bidi w:val="0"/>
                    <w:rPr>
                      <w:rFonts w:hint="default"/>
                    </w:rPr>
                  </w:pPr>
                  <w:r>
                    <w:rPr>
                      <w:rFonts w:hint="default"/>
                    </w:rPr>
                    <w:t>SO</w:t>
                  </w:r>
                  <w:r>
                    <w:rPr>
                      <w:rFonts w:hint="default"/>
                      <w:vertAlign w:val="subscript"/>
                    </w:rPr>
                    <w:t>2</w:t>
                  </w:r>
                </w:p>
              </w:tc>
              <w:tc>
                <w:tcPr>
                  <w:tcW w:w="2086" w:type="dxa"/>
                  <w:tcBorders>
                    <w:tl2br w:val="nil"/>
                    <w:tr2bl w:val="nil"/>
                  </w:tcBorders>
                  <w:noWrap w:val="0"/>
                  <w:vAlign w:val="center"/>
                </w:tcPr>
                <w:p>
                  <w:pPr>
                    <w:pStyle w:val="30"/>
                    <w:bidi w:val="0"/>
                    <w:rPr>
                      <w:rFonts w:hint="default"/>
                    </w:rPr>
                  </w:pPr>
                  <w:r>
                    <w:rPr>
                      <w:rFonts w:hint="default"/>
                    </w:rPr>
                    <w:t>年平均质量浓度</w:t>
                  </w:r>
                </w:p>
              </w:tc>
              <w:tc>
                <w:tcPr>
                  <w:tcW w:w="1262" w:type="dxa"/>
                  <w:tcBorders>
                    <w:tl2br w:val="nil"/>
                    <w:tr2bl w:val="nil"/>
                  </w:tcBorders>
                  <w:noWrap w:val="0"/>
                  <w:vAlign w:val="center"/>
                </w:tcPr>
                <w:p>
                  <w:pPr>
                    <w:pStyle w:val="30"/>
                    <w:bidi w:val="0"/>
                    <w:rPr>
                      <w:rFonts w:hint="default"/>
                      <w:lang w:val="en-US" w:eastAsia="zh-CN"/>
                    </w:rPr>
                  </w:pPr>
                  <w:r>
                    <w:rPr>
                      <w:rFonts w:hint="eastAsia"/>
                      <w:lang w:val="en-US" w:eastAsia="zh-CN"/>
                    </w:rPr>
                    <w:t>9</w:t>
                  </w:r>
                </w:p>
              </w:tc>
              <w:tc>
                <w:tcPr>
                  <w:tcW w:w="1257" w:type="dxa"/>
                  <w:tcBorders>
                    <w:tl2br w:val="nil"/>
                    <w:tr2bl w:val="nil"/>
                  </w:tcBorders>
                  <w:noWrap w:val="0"/>
                  <w:vAlign w:val="center"/>
                </w:tcPr>
                <w:p>
                  <w:pPr>
                    <w:pStyle w:val="30"/>
                    <w:bidi w:val="0"/>
                    <w:rPr>
                      <w:rFonts w:hint="default"/>
                    </w:rPr>
                  </w:pPr>
                  <w:r>
                    <w:rPr>
                      <w:rFonts w:hint="default"/>
                    </w:rPr>
                    <w:t>60</w:t>
                  </w:r>
                </w:p>
              </w:tc>
              <w:tc>
                <w:tcPr>
                  <w:tcW w:w="1308" w:type="dxa"/>
                  <w:tcBorders>
                    <w:tl2br w:val="nil"/>
                    <w:tr2bl w:val="nil"/>
                  </w:tcBorders>
                  <w:noWrap w:val="0"/>
                  <w:vAlign w:val="center"/>
                </w:tcPr>
                <w:p>
                  <w:pPr>
                    <w:pStyle w:val="30"/>
                    <w:bidi w:val="0"/>
                    <w:rPr>
                      <w:rFonts w:hint="default"/>
                      <w:lang w:val="en-US" w:eastAsia="zh-CN"/>
                    </w:rPr>
                  </w:pPr>
                  <w:r>
                    <w:rPr>
                      <w:rFonts w:hint="eastAsia"/>
                      <w:lang w:val="en-US" w:eastAsia="zh-CN"/>
                    </w:rPr>
                    <w:t xml:space="preserve">15.0 </w:t>
                  </w:r>
                </w:p>
              </w:tc>
              <w:tc>
                <w:tcPr>
                  <w:tcW w:w="896" w:type="dxa"/>
                  <w:tcBorders>
                    <w:tl2br w:val="nil"/>
                    <w:tr2bl w:val="nil"/>
                  </w:tcBorders>
                  <w:noWrap w:val="0"/>
                  <w:vAlign w:val="center"/>
                </w:tcPr>
                <w:p>
                  <w:pPr>
                    <w:pStyle w:val="30"/>
                    <w:bidi w:val="0"/>
                    <w:rPr>
                      <w:rFonts w:hint="default"/>
                    </w:rPr>
                  </w:pP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15" w:type="dxa"/>
                  <w:tcBorders>
                    <w:tl2br w:val="nil"/>
                    <w:tr2bl w:val="nil"/>
                  </w:tcBorders>
                  <w:noWrap w:val="0"/>
                  <w:vAlign w:val="center"/>
                </w:tcPr>
                <w:p>
                  <w:pPr>
                    <w:pStyle w:val="30"/>
                    <w:bidi w:val="0"/>
                    <w:rPr>
                      <w:rFonts w:hint="default"/>
                    </w:rPr>
                  </w:pPr>
                  <w:r>
                    <w:rPr>
                      <w:rFonts w:hint="default"/>
                    </w:rPr>
                    <w:t>NO</w:t>
                  </w:r>
                  <w:r>
                    <w:rPr>
                      <w:rFonts w:hint="default"/>
                      <w:vertAlign w:val="subscript"/>
                    </w:rPr>
                    <w:t>2</w:t>
                  </w:r>
                </w:p>
              </w:tc>
              <w:tc>
                <w:tcPr>
                  <w:tcW w:w="2086" w:type="dxa"/>
                  <w:tcBorders>
                    <w:tl2br w:val="nil"/>
                    <w:tr2bl w:val="nil"/>
                  </w:tcBorders>
                  <w:noWrap w:val="0"/>
                  <w:vAlign w:val="center"/>
                </w:tcPr>
                <w:p>
                  <w:pPr>
                    <w:pStyle w:val="30"/>
                    <w:bidi w:val="0"/>
                    <w:rPr>
                      <w:rFonts w:hint="default"/>
                    </w:rPr>
                  </w:pPr>
                  <w:r>
                    <w:rPr>
                      <w:rFonts w:hint="default"/>
                    </w:rPr>
                    <w:t>年平均质量浓度</w:t>
                  </w:r>
                </w:p>
              </w:tc>
              <w:tc>
                <w:tcPr>
                  <w:tcW w:w="1262" w:type="dxa"/>
                  <w:tcBorders>
                    <w:tl2br w:val="nil"/>
                    <w:tr2bl w:val="nil"/>
                  </w:tcBorders>
                  <w:noWrap w:val="0"/>
                  <w:vAlign w:val="center"/>
                </w:tcPr>
                <w:p>
                  <w:pPr>
                    <w:pStyle w:val="30"/>
                    <w:bidi w:val="0"/>
                    <w:rPr>
                      <w:rFonts w:hint="default"/>
                      <w:lang w:val="en-US" w:eastAsia="zh-CN"/>
                    </w:rPr>
                  </w:pPr>
                  <w:r>
                    <w:rPr>
                      <w:rFonts w:hint="eastAsia"/>
                      <w:lang w:val="en-US" w:eastAsia="zh-CN"/>
                    </w:rPr>
                    <w:t>16</w:t>
                  </w:r>
                </w:p>
              </w:tc>
              <w:tc>
                <w:tcPr>
                  <w:tcW w:w="1257" w:type="dxa"/>
                  <w:tcBorders>
                    <w:tl2br w:val="nil"/>
                    <w:tr2bl w:val="nil"/>
                  </w:tcBorders>
                  <w:noWrap w:val="0"/>
                  <w:vAlign w:val="center"/>
                </w:tcPr>
                <w:p>
                  <w:pPr>
                    <w:pStyle w:val="30"/>
                    <w:bidi w:val="0"/>
                    <w:rPr>
                      <w:rFonts w:hint="default"/>
                    </w:rPr>
                  </w:pPr>
                  <w:r>
                    <w:rPr>
                      <w:rFonts w:hint="default"/>
                    </w:rPr>
                    <w:t>40</w:t>
                  </w:r>
                </w:p>
              </w:tc>
              <w:tc>
                <w:tcPr>
                  <w:tcW w:w="1308" w:type="dxa"/>
                  <w:tcBorders>
                    <w:tl2br w:val="nil"/>
                    <w:tr2bl w:val="nil"/>
                  </w:tcBorders>
                  <w:noWrap w:val="0"/>
                  <w:vAlign w:val="center"/>
                </w:tcPr>
                <w:p>
                  <w:pPr>
                    <w:pStyle w:val="30"/>
                    <w:bidi w:val="0"/>
                    <w:rPr>
                      <w:rFonts w:hint="default"/>
                      <w:lang w:val="en-US" w:eastAsia="zh-CN"/>
                    </w:rPr>
                  </w:pPr>
                  <w:r>
                    <w:rPr>
                      <w:rFonts w:hint="eastAsia"/>
                      <w:lang w:val="en-US" w:eastAsia="zh-CN"/>
                    </w:rPr>
                    <w:t xml:space="preserve">40.0 </w:t>
                  </w:r>
                </w:p>
              </w:tc>
              <w:tc>
                <w:tcPr>
                  <w:tcW w:w="896" w:type="dxa"/>
                  <w:tcBorders>
                    <w:tl2br w:val="nil"/>
                    <w:tr2bl w:val="nil"/>
                  </w:tcBorders>
                  <w:noWrap w:val="0"/>
                  <w:vAlign w:val="center"/>
                </w:tcPr>
                <w:p>
                  <w:pPr>
                    <w:pStyle w:val="30"/>
                    <w:bidi w:val="0"/>
                    <w:rPr>
                      <w:rFonts w:hint="default"/>
                    </w:rPr>
                  </w:pP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15" w:type="dxa"/>
                  <w:tcBorders>
                    <w:tl2br w:val="nil"/>
                    <w:tr2bl w:val="nil"/>
                  </w:tcBorders>
                  <w:noWrap w:val="0"/>
                  <w:vAlign w:val="center"/>
                </w:tcPr>
                <w:p>
                  <w:pPr>
                    <w:pStyle w:val="30"/>
                    <w:bidi w:val="0"/>
                    <w:rPr>
                      <w:rFonts w:hint="default"/>
                    </w:rPr>
                  </w:pPr>
                  <w:r>
                    <w:rPr>
                      <w:rFonts w:hint="default"/>
                    </w:rPr>
                    <w:t>PM</w:t>
                  </w:r>
                  <w:r>
                    <w:rPr>
                      <w:rFonts w:hint="default"/>
                      <w:vertAlign w:val="subscript"/>
                    </w:rPr>
                    <w:t>10</w:t>
                  </w:r>
                </w:p>
              </w:tc>
              <w:tc>
                <w:tcPr>
                  <w:tcW w:w="2086" w:type="dxa"/>
                  <w:tcBorders>
                    <w:tl2br w:val="nil"/>
                    <w:tr2bl w:val="nil"/>
                  </w:tcBorders>
                  <w:noWrap w:val="0"/>
                  <w:vAlign w:val="center"/>
                </w:tcPr>
                <w:p>
                  <w:pPr>
                    <w:pStyle w:val="30"/>
                    <w:bidi w:val="0"/>
                    <w:rPr>
                      <w:rFonts w:hint="default"/>
                    </w:rPr>
                  </w:pPr>
                  <w:r>
                    <w:rPr>
                      <w:rFonts w:hint="default"/>
                    </w:rPr>
                    <w:t>年平均质量浓度</w:t>
                  </w:r>
                </w:p>
              </w:tc>
              <w:tc>
                <w:tcPr>
                  <w:tcW w:w="1262" w:type="dxa"/>
                  <w:tcBorders>
                    <w:tl2br w:val="nil"/>
                    <w:tr2bl w:val="nil"/>
                  </w:tcBorders>
                  <w:noWrap w:val="0"/>
                  <w:vAlign w:val="center"/>
                </w:tcPr>
                <w:p>
                  <w:pPr>
                    <w:pStyle w:val="30"/>
                    <w:bidi w:val="0"/>
                    <w:rPr>
                      <w:rFonts w:hint="default"/>
                      <w:lang w:val="en-US" w:eastAsia="zh-CN"/>
                    </w:rPr>
                  </w:pPr>
                  <w:r>
                    <w:rPr>
                      <w:rFonts w:hint="eastAsia"/>
                      <w:lang w:val="en-US" w:eastAsia="zh-CN"/>
                    </w:rPr>
                    <w:t>50</w:t>
                  </w:r>
                </w:p>
              </w:tc>
              <w:tc>
                <w:tcPr>
                  <w:tcW w:w="1257" w:type="dxa"/>
                  <w:tcBorders>
                    <w:tl2br w:val="nil"/>
                    <w:tr2bl w:val="nil"/>
                  </w:tcBorders>
                  <w:noWrap w:val="0"/>
                  <w:vAlign w:val="center"/>
                </w:tcPr>
                <w:p>
                  <w:pPr>
                    <w:pStyle w:val="30"/>
                    <w:bidi w:val="0"/>
                    <w:rPr>
                      <w:rFonts w:hint="default"/>
                    </w:rPr>
                  </w:pPr>
                  <w:r>
                    <w:rPr>
                      <w:rFonts w:hint="default"/>
                    </w:rPr>
                    <w:t>70</w:t>
                  </w:r>
                </w:p>
              </w:tc>
              <w:tc>
                <w:tcPr>
                  <w:tcW w:w="1308" w:type="dxa"/>
                  <w:tcBorders>
                    <w:tl2br w:val="nil"/>
                    <w:tr2bl w:val="nil"/>
                  </w:tcBorders>
                  <w:noWrap w:val="0"/>
                  <w:vAlign w:val="center"/>
                </w:tcPr>
                <w:p>
                  <w:pPr>
                    <w:pStyle w:val="30"/>
                    <w:bidi w:val="0"/>
                    <w:rPr>
                      <w:rFonts w:hint="default"/>
                      <w:lang w:val="en-US" w:eastAsia="zh-CN"/>
                    </w:rPr>
                  </w:pPr>
                  <w:r>
                    <w:rPr>
                      <w:rFonts w:hint="eastAsia"/>
                      <w:lang w:val="en-US" w:eastAsia="zh-CN"/>
                    </w:rPr>
                    <w:t xml:space="preserve">71.4 </w:t>
                  </w:r>
                </w:p>
              </w:tc>
              <w:tc>
                <w:tcPr>
                  <w:tcW w:w="896" w:type="dxa"/>
                  <w:tcBorders>
                    <w:tl2br w:val="nil"/>
                    <w:tr2bl w:val="nil"/>
                  </w:tcBorders>
                  <w:noWrap w:val="0"/>
                  <w:vAlign w:val="center"/>
                </w:tcPr>
                <w:p>
                  <w:pPr>
                    <w:pStyle w:val="30"/>
                    <w:bidi w:val="0"/>
                    <w:rPr>
                      <w:rFonts w:hint="default"/>
                    </w:rPr>
                  </w:pP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15" w:type="dxa"/>
                  <w:tcBorders>
                    <w:tl2br w:val="nil"/>
                    <w:tr2bl w:val="nil"/>
                  </w:tcBorders>
                  <w:noWrap w:val="0"/>
                  <w:vAlign w:val="center"/>
                </w:tcPr>
                <w:p>
                  <w:pPr>
                    <w:pStyle w:val="30"/>
                    <w:bidi w:val="0"/>
                    <w:rPr>
                      <w:rFonts w:hint="default"/>
                    </w:rPr>
                  </w:pPr>
                  <w:r>
                    <w:rPr>
                      <w:rFonts w:hint="default"/>
                    </w:rPr>
                    <w:t>PM</w:t>
                  </w:r>
                  <w:r>
                    <w:rPr>
                      <w:rFonts w:hint="default"/>
                      <w:vertAlign w:val="subscript"/>
                    </w:rPr>
                    <w:t>2.5</w:t>
                  </w:r>
                </w:p>
              </w:tc>
              <w:tc>
                <w:tcPr>
                  <w:tcW w:w="2086" w:type="dxa"/>
                  <w:tcBorders>
                    <w:tl2br w:val="nil"/>
                    <w:tr2bl w:val="nil"/>
                  </w:tcBorders>
                  <w:noWrap w:val="0"/>
                  <w:vAlign w:val="center"/>
                </w:tcPr>
                <w:p>
                  <w:pPr>
                    <w:pStyle w:val="30"/>
                    <w:bidi w:val="0"/>
                    <w:rPr>
                      <w:rFonts w:hint="default"/>
                    </w:rPr>
                  </w:pPr>
                  <w:r>
                    <w:rPr>
                      <w:rFonts w:hint="default"/>
                    </w:rPr>
                    <w:t>年平均质量浓度</w:t>
                  </w:r>
                </w:p>
              </w:tc>
              <w:tc>
                <w:tcPr>
                  <w:tcW w:w="1262" w:type="dxa"/>
                  <w:tcBorders>
                    <w:tl2br w:val="nil"/>
                    <w:tr2bl w:val="nil"/>
                  </w:tcBorders>
                  <w:noWrap w:val="0"/>
                  <w:vAlign w:val="center"/>
                </w:tcPr>
                <w:p>
                  <w:pPr>
                    <w:pStyle w:val="30"/>
                    <w:bidi w:val="0"/>
                    <w:rPr>
                      <w:rFonts w:hint="default"/>
                      <w:lang w:val="en-US" w:eastAsia="zh-CN"/>
                    </w:rPr>
                  </w:pPr>
                  <w:r>
                    <w:rPr>
                      <w:rFonts w:hint="eastAsia"/>
                      <w:lang w:val="en-US" w:eastAsia="zh-CN"/>
                    </w:rPr>
                    <w:t>36</w:t>
                  </w:r>
                </w:p>
              </w:tc>
              <w:tc>
                <w:tcPr>
                  <w:tcW w:w="1257" w:type="dxa"/>
                  <w:tcBorders>
                    <w:tl2br w:val="nil"/>
                    <w:tr2bl w:val="nil"/>
                  </w:tcBorders>
                  <w:noWrap w:val="0"/>
                  <w:vAlign w:val="center"/>
                </w:tcPr>
                <w:p>
                  <w:pPr>
                    <w:pStyle w:val="30"/>
                    <w:bidi w:val="0"/>
                    <w:rPr>
                      <w:rFonts w:hint="default"/>
                    </w:rPr>
                  </w:pPr>
                  <w:r>
                    <w:rPr>
                      <w:rFonts w:hint="default"/>
                    </w:rPr>
                    <w:t>35</w:t>
                  </w:r>
                </w:p>
              </w:tc>
              <w:tc>
                <w:tcPr>
                  <w:tcW w:w="1308" w:type="dxa"/>
                  <w:tcBorders>
                    <w:tl2br w:val="nil"/>
                    <w:tr2bl w:val="nil"/>
                  </w:tcBorders>
                  <w:noWrap w:val="0"/>
                  <w:vAlign w:val="center"/>
                </w:tcPr>
                <w:p>
                  <w:pPr>
                    <w:pStyle w:val="30"/>
                    <w:bidi w:val="0"/>
                    <w:rPr>
                      <w:rFonts w:hint="default"/>
                      <w:lang w:val="en-US" w:eastAsia="zh-CN"/>
                    </w:rPr>
                  </w:pPr>
                  <w:r>
                    <w:rPr>
                      <w:rFonts w:hint="eastAsia"/>
                      <w:lang w:val="en-US" w:eastAsia="zh-CN"/>
                    </w:rPr>
                    <w:t xml:space="preserve">102.9 </w:t>
                  </w:r>
                </w:p>
              </w:tc>
              <w:tc>
                <w:tcPr>
                  <w:tcW w:w="896" w:type="dxa"/>
                  <w:tcBorders>
                    <w:tl2br w:val="nil"/>
                    <w:tr2bl w:val="nil"/>
                  </w:tcBorders>
                  <w:noWrap w:val="0"/>
                  <w:vAlign w:val="center"/>
                </w:tcPr>
                <w:p>
                  <w:pPr>
                    <w:pStyle w:val="30"/>
                    <w:bidi w:val="0"/>
                    <w:rPr>
                      <w:rFonts w:hint="default"/>
                    </w:rPr>
                  </w:pPr>
                  <w:r>
                    <w:rPr>
                      <w:rFonts w:hint="eastAsia"/>
                      <w:lang w:val="en-US" w:eastAsia="zh-CN"/>
                    </w:rPr>
                    <w:t>不</w:t>
                  </w: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15" w:type="dxa"/>
                  <w:tcBorders>
                    <w:tl2br w:val="nil"/>
                    <w:tr2bl w:val="nil"/>
                  </w:tcBorders>
                  <w:noWrap w:val="0"/>
                  <w:vAlign w:val="center"/>
                </w:tcPr>
                <w:p>
                  <w:pPr>
                    <w:pStyle w:val="30"/>
                    <w:bidi w:val="0"/>
                    <w:rPr>
                      <w:rFonts w:hint="default"/>
                    </w:rPr>
                  </w:pPr>
                  <w:r>
                    <w:rPr>
                      <w:rFonts w:hint="default"/>
                    </w:rPr>
                    <w:t>CO</w:t>
                  </w:r>
                </w:p>
              </w:tc>
              <w:tc>
                <w:tcPr>
                  <w:tcW w:w="2086" w:type="dxa"/>
                  <w:tcBorders>
                    <w:tl2br w:val="nil"/>
                    <w:tr2bl w:val="nil"/>
                  </w:tcBorders>
                  <w:noWrap w:val="0"/>
                  <w:vAlign w:val="center"/>
                </w:tcPr>
                <w:p>
                  <w:pPr>
                    <w:pStyle w:val="30"/>
                    <w:bidi w:val="0"/>
                    <w:rPr>
                      <w:rFonts w:hint="default"/>
                    </w:rPr>
                  </w:pPr>
                  <w:r>
                    <w:rPr>
                      <w:rFonts w:hint="eastAsia"/>
                    </w:rPr>
                    <w:t>年平均质量浓度</w:t>
                  </w:r>
                </w:p>
              </w:tc>
              <w:tc>
                <w:tcPr>
                  <w:tcW w:w="1262" w:type="dxa"/>
                  <w:tcBorders>
                    <w:tl2br w:val="nil"/>
                    <w:tr2bl w:val="nil"/>
                  </w:tcBorders>
                  <w:noWrap w:val="0"/>
                  <w:vAlign w:val="center"/>
                </w:tcPr>
                <w:p>
                  <w:pPr>
                    <w:pStyle w:val="30"/>
                    <w:bidi w:val="0"/>
                    <w:rPr>
                      <w:rFonts w:hint="default"/>
                      <w:lang w:val="en-US" w:eastAsia="zh-CN"/>
                    </w:rPr>
                  </w:pPr>
                  <w:r>
                    <w:rPr>
                      <w:rFonts w:hint="eastAsia"/>
                      <w:lang w:val="en-US" w:eastAsia="zh-CN"/>
                    </w:rPr>
                    <w:t>1.0</w:t>
                  </w:r>
                </w:p>
              </w:tc>
              <w:tc>
                <w:tcPr>
                  <w:tcW w:w="1257" w:type="dxa"/>
                  <w:tcBorders>
                    <w:tl2br w:val="nil"/>
                    <w:tr2bl w:val="nil"/>
                  </w:tcBorders>
                  <w:noWrap w:val="0"/>
                  <w:vAlign w:val="center"/>
                </w:tcPr>
                <w:p>
                  <w:pPr>
                    <w:pStyle w:val="30"/>
                    <w:bidi w:val="0"/>
                    <w:rPr>
                      <w:rFonts w:hint="default"/>
                    </w:rPr>
                  </w:pPr>
                  <w:r>
                    <w:rPr>
                      <w:rFonts w:hint="default"/>
                    </w:rPr>
                    <w:t>4</w:t>
                  </w:r>
                </w:p>
              </w:tc>
              <w:tc>
                <w:tcPr>
                  <w:tcW w:w="1308" w:type="dxa"/>
                  <w:tcBorders>
                    <w:tl2br w:val="nil"/>
                    <w:tr2bl w:val="nil"/>
                  </w:tcBorders>
                  <w:noWrap w:val="0"/>
                  <w:vAlign w:val="center"/>
                </w:tcPr>
                <w:p>
                  <w:pPr>
                    <w:pStyle w:val="30"/>
                    <w:bidi w:val="0"/>
                    <w:rPr>
                      <w:rFonts w:hint="default"/>
                      <w:lang w:val="en-US" w:eastAsia="zh-CN"/>
                    </w:rPr>
                  </w:pPr>
                  <w:r>
                    <w:rPr>
                      <w:rFonts w:hint="eastAsia"/>
                      <w:lang w:val="en-US" w:eastAsia="zh-CN"/>
                    </w:rPr>
                    <w:t xml:space="preserve">25.0 </w:t>
                  </w:r>
                </w:p>
              </w:tc>
              <w:tc>
                <w:tcPr>
                  <w:tcW w:w="896" w:type="dxa"/>
                  <w:tcBorders>
                    <w:tl2br w:val="nil"/>
                    <w:tr2bl w:val="nil"/>
                  </w:tcBorders>
                  <w:noWrap w:val="0"/>
                  <w:vAlign w:val="center"/>
                </w:tcPr>
                <w:p>
                  <w:pPr>
                    <w:pStyle w:val="30"/>
                    <w:bidi w:val="0"/>
                    <w:rPr>
                      <w:rFonts w:hint="default"/>
                    </w:rPr>
                  </w:pP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15" w:type="dxa"/>
                  <w:tcBorders>
                    <w:tl2br w:val="nil"/>
                    <w:tr2bl w:val="nil"/>
                  </w:tcBorders>
                  <w:noWrap w:val="0"/>
                  <w:vAlign w:val="center"/>
                </w:tcPr>
                <w:p>
                  <w:pPr>
                    <w:pStyle w:val="30"/>
                    <w:bidi w:val="0"/>
                    <w:rPr>
                      <w:rFonts w:hint="default"/>
                    </w:rPr>
                  </w:pPr>
                  <w:r>
                    <w:rPr>
                      <w:rFonts w:hint="default"/>
                    </w:rPr>
                    <w:t>O</w:t>
                  </w:r>
                  <w:r>
                    <w:rPr>
                      <w:rFonts w:hint="default"/>
                      <w:vertAlign w:val="subscript"/>
                    </w:rPr>
                    <w:t>3</w:t>
                  </w:r>
                </w:p>
              </w:tc>
              <w:tc>
                <w:tcPr>
                  <w:tcW w:w="2086" w:type="dxa"/>
                  <w:tcBorders>
                    <w:tl2br w:val="nil"/>
                    <w:tr2bl w:val="nil"/>
                  </w:tcBorders>
                  <w:noWrap w:val="0"/>
                  <w:vAlign w:val="center"/>
                </w:tcPr>
                <w:p>
                  <w:pPr>
                    <w:pStyle w:val="30"/>
                    <w:bidi w:val="0"/>
                    <w:rPr>
                      <w:rFonts w:hint="default"/>
                    </w:rPr>
                  </w:pPr>
                  <w:r>
                    <w:rPr>
                      <w:rFonts w:hint="eastAsia"/>
                    </w:rPr>
                    <w:t>年8h平均质量浓度</w:t>
                  </w:r>
                </w:p>
              </w:tc>
              <w:tc>
                <w:tcPr>
                  <w:tcW w:w="1262" w:type="dxa"/>
                  <w:tcBorders>
                    <w:tl2br w:val="nil"/>
                    <w:tr2bl w:val="nil"/>
                  </w:tcBorders>
                  <w:noWrap w:val="0"/>
                  <w:vAlign w:val="center"/>
                </w:tcPr>
                <w:p>
                  <w:pPr>
                    <w:pStyle w:val="30"/>
                    <w:bidi w:val="0"/>
                    <w:rPr>
                      <w:rFonts w:hint="default"/>
                      <w:lang w:val="en-US" w:eastAsia="zh-CN"/>
                    </w:rPr>
                  </w:pPr>
                  <w:r>
                    <w:rPr>
                      <w:rFonts w:hint="eastAsia"/>
                      <w:lang w:val="en-US" w:eastAsia="zh-CN"/>
                    </w:rPr>
                    <w:t>127</w:t>
                  </w:r>
                </w:p>
              </w:tc>
              <w:tc>
                <w:tcPr>
                  <w:tcW w:w="1257" w:type="dxa"/>
                  <w:tcBorders>
                    <w:tl2br w:val="nil"/>
                    <w:tr2bl w:val="nil"/>
                  </w:tcBorders>
                  <w:noWrap w:val="0"/>
                  <w:vAlign w:val="center"/>
                </w:tcPr>
                <w:p>
                  <w:pPr>
                    <w:pStyle w:val="30"/>
                    <w:bidi w:val="0"/>
                    <w:rPr>
                      <w:rFonts w:hint="default"/>
                    </w:rPr>
                  </w:pPr>
                  <w:r>
                    <w:rPr>
                      <w:rFonts w:hint="default"/>
                    </w:rPr>
                    <w:t>160</w:t>
                  </w:r>
                </w:p>
              </w:tc>
              <w:tc>
                <w:tcPr>
                  <w:tcW w:w="1308" w:type="dxa"/>
                  <w:tcBorders>
                    <w:tl2br w:val="nil"/>
                    <w:tr2bl w:val="nil"/>
                  </w:tcBorders>
                  <w:noWrap w:val="0"/>
                  <w:vAlign w:val="center"/>
                </w:tcPr>
                <w:p>
                  <w:pPr>
                    <w:pStyle w:val="30"/>
                    <w:bidi w:val="0"/>
                    <w:rPr>
                      <w:rFonts w:hint="default"/>
                      <w:lang w:val="en-US" w:eastAsia="zh-CN"/>
                    </w:rPr>
                  </w:pPr>
                  <w:r>
                    <w:rPr>
                      <w:rFonts w:hint="eastAsia"/>
                      <w:lang w:val="en-US" w:eastAsia="zh-CN"/>
                    </w:rPr>
                    <w:t xml:space="preserve">79.4 </w:t>
                  </w:r>
                </w:p>
              </w:tc>
              <w:tc>
                <w:tcPr>
                  <w:tcW w:w="896" w:type="dxa"/>
                  <w:tcBorders>
                    <w:tl2br w:val="nil"/>
                    <w:tr2bl w:val="nil"/>
                  </w:tcBorders>
                  <w:noWrap w:val="0"/>
                  <w:vAlign w:val="center"/>
                </w:tcPr>
                <w:p>
                  <w:pPr>
                    <w:pStyle w:val="30"/>
                    <w:bidi w:val="0"/>
                    <w:rPr>
                      <w:rFonts w:hint="default"/>
                    </w:rPr>
                  </w:pPr>
                  <w:r>
                    <w:rPr>
                      <w:rFonts w:hint="default"/>
                    </w:rPr>
                    <w:t>达标</w:t>
                  </w:r>
                </w:p>
              </w:tc>
            </w:tr>
          </w:tbl>
          <w:p>
            <w:pPr>
              <w:pStyle w:val="12"/>
              <w:bidi w:val="0"/>
              <w:rPr>
                <w:rFonts w:hint="eastAsia"/>
                <w:lang w:val="en-US" w:eastAsia="zh-CN"/>
              </w:rPr>
            </w:pPr>
            <w:r>
              <w:rPr>
                <w:rFonts w:hint="default"/>
                <w:lang w:val="en-US"/>
              </w:rPr>
              <w:t>根据</w:t>
            </w:r>
            <w:r>
              <w:rPr>
                <w:rFonts w:hint="eastAsia"/>
                <w:lang w:val="en-US" w:eastAsia="zh-CN"/>
              </w:rPr>
              <w:t>上表</w:t>
            </w:r>
            <w:r>
              <w:rPr>
                <w:rFonts w:hint="default"/>
                <w:lang w:val="en-US"/>
              </w:rPr>
              <w:t>可知，</w:t>
            </w:r>
            <w:r>
              <w:rPr>
                <w:rFonts w:hint="eastAsia"/>
                <w:lang w:val="en-US" w:eastAsia="zh-CN"/>
              </w:rPr>
              <w:t>零陵区2023年常规大气污染物中PM</w:t>
            </w:r>
            <w:r>
              <w:rPr>
                <w:rFonts w:hint="eastAsia"/>
                <w:vertAlign w:val="subscript"/>
                <w:lang w:val="en-US" w:eastAsia="zh-CN"/>
              </w:rPr>
              <w:t>10</w:t>
            </w:r>
            <w:r>
              <w:rPr>
                <w:rFonts w:hint="eastAsia"/>
                <w:lang w:val="en-US" w:eastAsia="zh-CN"/>
              </w:rPr>
              <w:t>、SO</w:t>
            </w:r>
            <w:r>
              <w:rPr>
                <w:rFonts w:hint="eastAsia"/>
                <w:vertAlign w:val="subscript"/>
                <w:lang w:val="en-US" w:eastAsia="zh-CN"/>
              </w:rPr>
              <w:t>2</w:t>
            </w:r>
            <w:r>
              <w:rPr>
                <w:rFonts w:hint="eastAsia"/>
                <w:lang w:val="en-US" w:eastAsia="zh-CN"/>
              </w:rPr>
              <w:t>、NO</w:t>
            </w:r>
            <w:r>
              <w:rPr>
                <w:rFonts w:hint="eastAsia"/>
                <w:vertAlign w:val="subscript"/>
                <w:lang w:val="en-US" w:eastAsia="zh-CN"/>
              </w:rPr>
              <w:t>2</w:t>
            </w:r>
            <w:r>
              <w:rPr>
                <w:rFonts w:hint="eastAsia"/>
                <w:lang w:val="en-US" w:eastAsia="zh-CN"/>
              </w:rPr>
              <w:t>、CO年平均值、O</w:t>
            </w:r>
            <w:r>
              <w:rPr>
                <w:rFonts w:hint="eastAsia"/>
                <w:vertAlign w:val="subscript"/>
                <w:lang w:val="en-US" w:eastAsia="zh-CN"/>
              </w:rPr>
              <w:t>3</w:t>
            </w:r>
            <w:r>
              <w:rPr>
                <w:rFonts w:hint="eastAsia"/>
                <w:lang w:val="en-US" w:eastAsia="zh-CN"/>
              </w:rPr>
              <w:t>日最大8h平均值浓度均满足《环境空气质量标准》（GB3096-2012）中二级标准要求。PM</w:t>
            </w:r>
            <w:r>
              <w:rPr>
                <w:rFonts w:hint="eastAsia"/>
                <w:vertAlign w:val="subscript"/>
                <w:lang w:val="en-US" w:eastAsia="zh-CN"/>
              </w:rPr>
              <w:t>2.5</w:t>
            </w:r>
            <w:r>
              <w:rPr>
                <w:rFonts w:hint="eastAsia"/>
                <w:lang w:val="en-US" w:eastAsia="zh-CN"/>
              </w:rPr>
              <w:t>占标率是102.9%，项目所在区域环境空气属于不达标区。</w:t>
            </w:r>
          </w:p>
          <w:p>
            <w:pPr>
              <w:bidi w:val="0"/>
              <w:rPr>
                <w:rFonts w:hint="eastAsia"/>
                <w:lang w:val="en-US" w:eastAsia="zh-CN"/>
              </w:rPr>
            </w:pPr>
            <w:r>
              <w:rPr>
                <w:rFonts w:hint="eastAsia"/>
                <w:lang w:val="en-US" w:eastAsia="zh-CN"/>
              </w:rPr>
              <w:t>超标原因分析：1、重污染天气应急减排不到位；2、烟花爆竹燃放管控不到位。</w:t>
            </w:r>
          </w:p>
          <w:p>
            <w:pPr>
              <w:bidi w:val="0"/>
              <w:rPr>
                <w:rFonts w:hint="eastAsia"/>
                <w:lang w:val="en-US" w:eastAsia="zh-CN"/>
              </w:rPr>
            </w:pPr>
            <w:r>
              <w:rPr>
                <w:rFonts w:hint="eastAsia"/>
                <w:lang w:val="en-US" w:eastAsia="zh-CN"/>
              </w:rPr>
              <w:t>应对措施：强化重污染天气防范和应对，全力加强烟花爆竹燃放管控。</w:t>
            </w:r>
          </w:p>
          <w:p>
            <w:pPr>
              <w:bidi w:val="0"/>
              <w:rPr>
                <w:rFonts w:hint="eastAsia"/>
              </w:rPr>
            </w:pPr>
            <w:r>
              <w:rPr>
                <w:rFonts w:hint="eastAsia"/>
                <w:lang w:val="en-US" w:eastAsia="zh-CN"/>
              </w:rPr>
              <w:t>在采取上述措施后环境空气质量将得到明显改善，零陵区将恢复到达标区</w:t>
            </w:r>
            <w:r>
              <w:rPr>
                <w:rFonts w:hint="eastAsia"/>
              </w:rPr>
              <w:t>。</w:t>
            </w:r>
          </w:p>
          <w:p>
            <w:pPr>
              <w:bidi w:val="0"/>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其他污染物</w:t>
            </w:r>
          </w:p>
          <w:p>
            <w:pPr>
              <w:pStyle w:val="12"/>
              <w:bidi w:val="0"/>
              <w:rPr>
                <w:rFonts w:hint="eastAsia"/>
              </w:rPr>
            </w:pPr>
            <w:r>
              <w:rPr>
                <w:rFonts w:hint="eastAsia"/>
                <w:lang w:val="en-US" w:eastAsia="zh-CN"/>
              </w:rPr>
              <w:t>根据生态环境部2021年10月20日发布的《&lt;建设项目环境影响报告表&gt;内容、格式及编制技术指南常见问题解答》：“排放的特征污染物需要在国家、地方环境空气质量标准中有限值要求才涉及现状监测”，本项目排放特征污染物为硫化氢、氨，在国家、地方环境空气质量标准中没有标准限值要求，故未对硫化氢、氨进行大气现状监测。</w:t>
            </w:r>
          </w:p>
          <w:p>
            <w:pPr>
              <w:bidi w:val="0"/>
              <w:rPr>
                <w:rFonts w:hint="eastAsia"/>
              </w:rPr>
            </w:pPr>
            <w:r>
              <w:rPr>
                <w:rFonts w:hint="eastAsia"/>
              </w:rPr>
              <w:t>2、地表水环境质量现状</w:t>
            </w:r>
          </w:p>
          <w:p>
            <w:pPr>
              <w:pStyle w:val="12"/>
              <w:bidi w:val="0"/>
              <w:rPr>
                <w:rFonts w:hint="default"/>
              </w:rPr>
            </w:pPr>
            <w:r>
              <w:rPr>
                <w:rFonts w:hint="default"/>
              </w:rPr>
              <w:t>本项目废水经医院污水处理站预处理后通过市政污水管网排入</w:t>
            </w:r>
            <w:r>
              <w:rPr>
                <w:rFonts w:hint="default"/>
                <w:lang w:eastAsia="zh-CN"/>
              </w:rPr>
              <w:t>向家亭污水处理厂</w:t>
            </w:r>
            <w:r>
              <w:rPr>
                <w:rFonts w:hint="default"/>
              </w:rPr>
              <w:t>处理达到《城镇污水处理厂污染物排放标准》(GB18918-2002</w:t>
            </w:r>
            <w:r>
              <w:rPr>
                <w:rFonts w:hint="default"/>
                <w:lang w:eastAsia="zh-CN"/>
              </w:rPr>
              <w:t>)</w:t>
            </w:r>
            <w:r>
              <w:rPr>
                <w:rFonts w:hint="default"/>
              </w:rPr>
              <w:t>一级排放A标准后排入</w:t>
            </w:r>
            <w:r>
              <w:rPr>
                <w:rFonts w:hint="default"/>
                <w:lang w:val="en-US" w:eastAsia="zh-CN"/>
              </w:rPr>
              <w:t>潇水</w:t>
            </w:r>
            <w:r>
              <w:rPr>
                <w:rFonts w:hint="default"/>
              </w:rPr>
              <w:t>，执行《地表水环境质量标准》</w:t>
            </w:r>
            <w:r>
              <w:rPr>
                <w:rFonts w:hint="eastAsia"/>
              </w:rPr>
              <w:t>(</w:t>
            </w:r>
            <w:r>
              <w:rPr>
                <w:rFonts w:hint="default"/>
              </w:rPr>
              <w:t>GB3838-2002</w:t>
            </w:r>
            <w:r>
              <w:rPr>
                <w:rFonts w:hint="eastAsia"/>
              </w:rPr>
              <w:t>)</w:t>
            </w:r>
            <w:r>
              <w:rPr>
                <w:rFonts w:hint="default"/>
              </w:rPr>
              <w:t>III类标准。为了解</w:t>
            </w:r>
            <w:r>
              <w:rPr>
                <w:rFonts w:hint="default"/>
                <w:lang w:val="en-US" w:eastAsia="zh-CN"/>
              </w:rPr>
              <w:t>潇水</w:t>
            </w:r>
            <w:r>
              <w:rPr>
                <w:rFonts w:hint="default"/>
              </w:rPr>
              <w:t>地表水水质情况，本环评收集了本次评价收集了</w:t>
            </w:r>
            <w:r>
              <w:rPr>
                <w:rFonts w:hint="eastAsia"/>
                <w:lang w:eastAsia="zh-CN"/>
              </w:rPr>
              <w:t>永州</w:t>
            </w:r>
            <w:r>
              <w:rPr>
                <w:rFonts w:hint="default"/>
              </w:rPr>
              <w:t>市生态环境局发布的20</w:t>
            </w:r>
            <w:r>
              <w:rPr>
                <w:rFonts w:hint="eastAsia"/>
                <w:lang w:val="en-US" w:eastAsia="zh-CN"/>
              </w:rPr>
              <w:t>24</w:t>
            </w:r>
            <w:r>
              <w:rPr>
                <w:rFonts w:hint="default"/>
              </w:rPr>
              <w:t>年</w:t>
            </w:r>
            <w:r>
              <w:rPr>
                <w:rFonts w:hint="eastAsia"/>
                <w:lang w:eastAsia="zh-CN"/>
              </w:rPr>
              <w:t>永州</w:t>
            </w:r>
            <w:r>
              <w:rPr>
                <w:rFonts w:hint="default"/>
              </w:rPr>
              <w:t>市地表水水质监测数据（http://hbj.yzcity.gov.cn/hbj/0300/zwgkList.shtml?catecode=031004）：</w:t>
            </w:r>
            <w:r>
              <w:rPr>
                <w:rFonts w:hint="eastAsia"/>
              </w:rPr>
              <w:t>“</w:t>
            </w:r>
            <w:r>
              <w:rPr>
                <w:rFonts w:hint="default"/>
              </w:rPr>
              <w:t>按照《地表水和污水监测技术规范》及环境监测质量保证手册</w:t>
            </w:r>
            <w:r>
              <w:rPr>
                <w:rFonts w:hint="eastAsia"/>
                <w:lang w:eastAsia="zh-CN"/>
              </w:rPr>
              <w:t>(</w:t>
            </w:r>
            <w:r>
              <w:rPr>
                <w:rFonts w:hint="default"/>
              </w:rPr>
              <w:t>第二版</w:t>
            </w:r>
            <w:r>
              <w:rPr>
                <w:rFonts w:hint="eastAsia"/>
                <w:lang w:eastAsia="zh-CN"/>
              </w:rPr>
              <w:t>)</w:t>
            </w:r>
            <w:r>
              <w:rPr>
                <w:rFonts w:hint="default"/>
              </w:rPr>
              <w:t>质量保证要求，</w:t>
            </w:r>
            <w:r>
              <w:rPr>
                <w:rFonts w:hint="eastAsia"/>
                <w:lang w:val="en-US" w:eastAsia="zh-CN"/>
              </w:rPr>
              <w:t>6</w:t>
            </w:r>
            <w:r>
              <w:rPr>
                <w:rFonts w:hint="default"/>
              </w:rPr>
              <w:t>月份考核我市的52个省控地表水断面水质状况：Ⅰ类水质断面</w:t>
            </w:r>
            <w:r>
              <w:rPr>
                <w:rFonts w:hint="eastAsia"/>
                <w:lang w:val="en-US" w:eastAsia="zh-CN"/>
              </w:rPr>
              <w:t>3</w:t>
            </w:r>
            <w:r>
              <w:rPr>
                <w:rFonts w:hint="default"/>
              </w:rPr>
              <w:t>个、Ⅱ类水质断面4</w:t>
            </w:r>
            <w:r>
              <w:rPr>
                <w:rFonts w:hint="eastAsia"/>
                <w:lang w:val="en-US" w:eastAsia="zh-CN"/>
              </w:rPr>
              <w:t>9</w:t>
            </w:r>
            <w:r>
              <w:rPr>
                <w:rFonts w:hint="default"/>
              </w:rPr>
              <w:t>个。距离本项目较近的湘江潇水国控考核断面</w:t>
            </w:r>
            <w:r>
              <w:rPr>
                <w:rFonts w:hint="default"/>
                <w:lang w:eastAsia="zh-CN"/>
              </w:rPr>
              <w:t>--</w:t>
            </w:r>
            <w:r>
              <w:rPr>
                <w:rFonts w:hint="default"/>
              </w:rPr>
              <w:t>诸葛庙，202</w:t>
            </w:r>
            <w:r>
              <w:rPr>
                <w:rFonts w:hint="eastAsia"/>
                <w:lang w:val="en-US" w:eastAsia="zh-CN"/>
              </w:rPr>
              <w:t>4</w:t>
            </w:r>
            <w:r>
              <w:rPr>
                <w:rFonts w:hint="default"/>
              </w:rPr>
              <w:t>年</w:t>
            </w:r>
            <w:r>
              <w:rPr>
                <w:rFonts w:hint="eastAsia"/>
                <w:lang w:val="en-US" w:eastAsia="zh-CN"/>
              </w:rPr>
              <w:t>6</w:t>
            </w:r>
            <w:r>
              <w:rPr>
                <w:rFonts w:hint="default"/>
              </w:rPr>
              <w:t>月份水质为Ⅱ类，202</w:t>
            </w:r>
            <w:r>
              <w:rPr>
                <w:rFonts w:hint="eastAsia"/>
                <w:lang w:val="en-US" w:eastAsia="zh-CN"/>
              </w:rPr>
              <w:t>3</w:t>
            </w:r>
            <w:r>
              <w:rPr>
                <w:rFonts w:hint="default"/>
              </w:rPr>
              <w:t>年</w:t>
            </w:r>
            <w:r>
              <w:rPr>
                <w:rFonts w:hint="default"/>
                <w:lang w:val="en-US" w:eastAsia="zh-CN"/>
              </w:rPr>
              <w:t>1-</w:t>
            </w:r>
            <w:r>
              <w:rPr>
                <w:rFonts w:hint="eastAsia"/>
                <w:lang w:val="en-US" w:eastAsia="zh-CN"/>
              </w:rPr>
              <w:t>12</w:t>
            </w:r>
            <w:r>
              <w:rPr>
                <w:rFonts w:hint="default"/>
                <w:lang w:val="en-US" w:eastAsia="zh-CN"/>
              </w:rPr>
              <w:t>月</w:t>
            </w:r>
            <w:r>
              <w:rPr>
                <w:rFonts w:hint="default"/>
              </w:rPr>
              <w:t>水质均为Ⅱ类。</w:t>
            </w:r>
            <w:r>
              <w:t>由此可知，本项目相关地表水质量状况良好。</w:t>
            </w:r>
          </w:p>
          <w:p>
            <w:pPr>
              <w:bidi w:val="0"/>
              <w:rPr>
                <w:rFonts w:hint="eastAsia"/>
              </w:rPr>
            </w:pPr>
            <w:r>
              <w:rPr>
                <w:rFonts w:hint="eastAsia"/>
                <w:lang w:val="en-US" w:eastAsia="zh-CN"/>
              </w:rPr>
              <w:t>3</w:t>
            </w:r>
            <w:r>
              <w:rPr>
                <w:rFonts w:hint="eastAsia"/>
              </w:rPr>
              <w:t>、</w:t>
            </w:r>
            <w:r>
              <w:rPr>
                <w:rFonts w:hint="eastAsia"/>
                <w:lang w:val="en-US" w:eastAsia="zh-CN"/>
              </w:rPr>
              <w:t>声</w:t>
            </w:r>
            <w:r>
              <w:rPr>
                <w:rFonts w:hint="eastAsia"/>
              </w:rPr>
              <w:t>环境质量现状</w:t>
            </w:r>
          </w:p>
          <w:p>
            <w:pPr>
              <w:pStyle w:val="12"/>
              <w:bidi w:val="0"/>
              <w:rPr>
                <w:rFonts w:hint="default"/>
                <w:lang w:val="en-US" w:eastAsia="zh-CN"/>
              </w:rPr>
            </w:pPr>
            <w:r>
              <w:rPr>
                <w:rFonts w:hint="default"/>
                <w:lang w:val="en-US" w:eastAsia="zh-CN"/>
              </w:rPr>
              <w:t>评价期间委托</w:t>
            </w:r>
            <w:r>
              <w:rPr>
                <w:rFonts w:hint="default"/>
                <w:lang w:eastAsia="zh-CN"/>
              </w:rPr>
              <w:t>湖南中额环保科技有限公司</w:t>
            </w:r>
            <w:r>
              <w:rPr>
                <w:rFonts w:hint="default"/>
                <w:lang w:val="en-US" w:eastAsia="zh-CN"/>
              </w:rPr>
              <w:t>对项目地</w:t>
            </w:r>
            <w:r>
              <w:rPr>
                <w:rFonts w:hint="eastAsia"/>
                <w:lang w:val="en-US" w:eastAsia="zh-CN"/>
              </w:rPr>
              <w:t>北侧约32m处的居民点、南侧约20m处的居民点的</w:t>
            </w:r>
            <w:r>
              <w:rPr>
                <w:rFonts w:hint="default"/>
                <w:lang w:val="en-US" w:eastAsia="zh-CN"/>
              </w:rPr>
              <w:t>声环境进行一天的现状监测。</w:t>
            </w:r>
          </w:p>
          <w:p>
            <w:pPr>
              <w:pStyle w:val="12"/>
              <w:bidi w:val="0"/>
              <w:rPr>
                <w:rFonts w:hint="default"/>
                <w:lang w:val="en-US" w:eastAsia="zh-CN"/>
              </w:rPr>
            </w:pPr>
            <w:r>
              <w:rPr>
                <w:rFonts w:hint="eastAsia"/>
                <w:lang w:val="en-US" w:eastAsia="zh-CN"/>
              </w:rPr>
              <w:t>1）</w:t>
            </w:r>
            <w:r>
              <w:rPr>
                <w:rFonts w:hint="default"/>
                <w:lang w:val="en-US" w:eastAsia="zh-CN"/>
              </w:rPr>
              <w:t>监测时间和频率：时间为1天，昼夜各监测一次，监测结果列于</w:t>
            </w:r>
            <w:r>
              <w:rPr>
                <w:rFonts w:hint="eastAsia"/>
                <w:lang w:val="en-US" w:eastAsia="zh-CN"/>
              </w:rPr>
              <w:t>下</w:t>
            </w:r>
            <w:r>
              <w:rPr>
                <w:rFonts w:hint="default"/>
                <w:lang w:val="en-US" w:eastAsia="zh-CN"/>
              </w:rPr>
              <w:t>表。</w:t>
            </w:r>
          </w:p>
          <w:p>
            <w:pPr>
              <w:pStyle w:val="12"/>
              <w:bidi w:val="0"/>
              <w:rPr>
                <w:rFonts w:hint="default"/>
                <w:lang w:val="en-US" w:eastAsia="zh-CN"/>
              </w:rPr>
            </w:pPr>
            <w:r>
              <w:rPr>
                <w:rFonts w:hint="eastAsia"/>
                <w:lang w:val="en-US" w:eastAsia="zh-CN"/>
              </w:rPr>
              <w:t>2）</w:t>
            </w:r>
            <w:r>
              <w:rPr>
                <w:rFonts w:hint="default"/>
                <w:lang w:val="en-US" w:eastAsia="zh-CN"/>
              </w:rPr>
              <w:t>监测点：项目地</w:t>
            </w:r>
            <w:r>
              <w:rPr>
                <w:rFonts w:hint="eastAsia"/>
                <w:lang w:val="en-US" w:eastAsia="zh-CN"/>
              </w:rPr>
              <w:t>北侧约32m处的居民点、南侧约20m处的居民点</w:t>
            </w:r>
            <w:r>
              <w:rPr>
                <w:rFonts w:hint="default"/>
                <w:lang w:val="en-US" w:eastAsia="zh-CN"/>
              </w:rPr>
              <w:t>。</w:t>
            </w:r>
          </w:p>
          <w:p>
            <w:pPr>
              <w:pStyle w:val="12"/>
              <w:bidi w:val="0"/>
              <w:rPr>
                <w:rFonts w:hint="default"/>
                <w:lang w:val="en-US" w:eastAsia="zh-CN"/>
              </w:rPr>
            </w:pPr>
            <w:r>
              <w:rPr>
                <w:rFonts w:hint="eastAsia"/>
                <w:lang w:val="en-US" w:eastAsia="zh-CN"/>
              </w:rPr>
              <w:t>3）</w:t>
            </w:r>
            <w:r>
              <w:rPr>
                <w:rFonts w:hint="default"/>
                <w:lang w:val="en-US" w:eastAsia="zh-CN"/>
              </w:rPr>
              <w:t>评价标准：《声环境质量标准》</w:t>
            </w:r>
            <w:r>
              <w:rPr>
                <w:rFonts w:hint="eastAsia"/>
                <w:lang w:val="en-US" w:eastAsia="zh-CN"/>
              </w:rPr>
              <w:t>（</w:t>
            </w:r>
            <w:r>
              <w:rPr>
                <w:rFonts w:hint="default"/>
                <w:lang w:val="en-US" w:eastAsia="zh-CN"/>
              </w:rPr>
              <w:t>GB3096-2008</w:t>
            </w:r>
            <w:r>
              <w:rPr>
                <w:rFonts w:hint="eastAsia"/>
                <w:lang w:val="en-US" w:eastAsia="zh-CN"/>
              </w:rPr>
              <w:t>）</w:t>
            </w:r>
            <w:r>
              <w:rPr>
                <w:rFonts w:hint="default"/>
                <w:lang w:val="en-US" w:eastAsia="zh-CN"/>
              </w:rPr>
              <w:t>中2类标准。</w:t>
            </w:r>
          </w:p>
          <w:p>
            <w:pPr>
              <w:pStyle w:val="12"/>
              <w:bidi w:val="0"/>
              <w:rPr>
                <w:rFonts w:hint="default"/>
                <w:lang w:val="en-US" w:eastAsia="zh-CN"/>
              </w:rPr>
            </w:pPr>
            <w:r>
              <w:rPr>
                <w:rFonts w:hint="eastAsia"/>
                <w:lang w:val="en-US" w:eastAsia="zh-CN"/>
              </w:rPr>
              <w:t>4）</w:t>
            </w:r>
            <w:r>
              <w:rPr>
                <w:rFonts w:hint="default"/>
                <w:lang w:val="en-US" w:eastAsia="zh-CN"/>
              </w:rPr>
              <w:t>评价方法：比较法，将监测值与评价标准比较评价。</w:t>
            </w:r>
          </w:p>
          <w:p>
            <w:pPr>
              <w:pStyle w:val="12"/>
              <w:bidi w:val="0"/>
              <w:rPr>
                <w:rFonts w:hint="default"/>
              </w:rPr>
            </w:pPr>
            <w:r>
              <w:rPr>
                <w:rFonts w:hint="default"/>
                <w:lang w:val="en-US" w:eastAsia="zh-CN"/>
              </w:rPr>
              <w:t>监测结果统计如下表。</w:t>
            </w:r>
          </w:p>
          <w:p>
            <w:pPr>
              <w:pStyle w:val="29"/>
              <w:bidi w:val="0"/>
              <w:rPr>
                <w:rFonts w:hint="default"/>
                <w:lang w:eastAsia="zh-CN"/>
              </w:rPr>
            </w:pPr>
            <w:r>
              <w:rPr>
                <w:rFonts w:hint="default"/>
              </w:rPr>
              <w:t>表3</w:t>
            </w:r>
            <w:r>
              <w:rPr>
                <w:rFonts w:hint="eastAsia"/>
                <w:lang w:val="en-US" w:eastAsia="zh-CN"/>
              </w:rPr>
              <w:t>.1</w:t>
            </w:r>
            <w:r>
              <w:rPr>
                <w:rFonts w:hint="default"/>
              </w:rPr>
              <w:t>-</w:t>
            </w:r>
            <w:r>
              <w:rPr>
                <w:rFonts w:hint="eastAsia"/>
                <w:lang w:val="en-US" w:eastAsia="zh-CN"/>
              </w:rPr>
              <w:t>2</w:t>
            </w:r>
            <w:r>
              <w:rPr>
                <w:rFonts w:hint="default"/>
                <w:lang w:val="en-US" w:eastAsia="zh-CN"/>
              </w:rPr>
              <w:t xml:space="preserve"> </w:t>
            </w:r>
            <w:r>
              <w:rPr>
                <w:rFonts w:hint="default"/>
              </w:rPr>
              <w:t>声环境质量监测结果dB</w:t>
            </w:r>
            <w:r>
              <w:rPr>
                <w:rFonts w:hint="default"/>
                <w:lang w:eastAsia="zh-CN"/>
              </w:rPr>
              <w:t>(</w:t>
            </w:r>
            <w:r>
              <w:rPr>
                <w:rFonts w:hint="default"/>
              </w:rPr>
              <w:t>A</w:t>
            </w:r>
            <w:r>
              <w:rPr>
                <w:rFonts w:hint="default"/>
                <w:lang w:eastAsia="zh-CN"/>
              </w:rPr>
              <w:t>)</w:t>
            </w:r>
          </w:p>
          <w:tbl>
            <w:tblPr>
              <w:tblStyle w:val="27"/>
              <w:tblW w:w="76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4"/>
              <w:gridCol w:w="1823"/>
              <w:gridCol w:w="2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364" w:type="dxa"/>
                  <w:vMerge w:val="restart"/>
                  <w:noWrap w:val="0"/>
                  <w:vAlign w:val="center"/>
                </w:tcPr>
                <w:p>
                  <w:pPr>
                    <w:pStyle w:val="30"/>
                    <w:bidi w:val="0"/>
                    <w:rPr>
                      <w:rFonts w:hint="default"/>
                      <w:lang w:eastAsia="zh-CN"/>
                    </w:rPr>
                  </w:pPr>
                  <w:r>
                    <w:rPr>
                      <w:rFonts w:hint="default"/>
                      <w:lang w:eastAsia="zh-CN"/>
                    </w:rPr>
                    <w:t>检测点位</w:t>
                  </w:r>
                </w:p>
              </w:tc>
              <w:tc>
                <w:tcPr>
                  <w:tcW w:w="4260" w:type="dxa"/>
                  <w:gridSpan w:val="2"/>
                  <w:noWrap w:val="0"/>
                  <w:vAlign w:val="center"/>
                </w:tcPr>
                <w:p>
                  <w:pPr>
                    <w:pStyle w:val="30"/>
                    <w:bidi w:val="0"/>
                    <w:rPr>
                      <w:rFonts w:hint="default"/>
                      <w:lang w:eastAsia="zh-CN"/>
                    </w:rPr>
                  </w:pPr>
                  <w:r>
                    <w:rPr>
                      <w:rFonts w:hint="default"/>
                      <w:lang w:eastAsia="zh-CN"/>
                    </w:rPr>
                    <w:t>检测结果（单位：dB(A)）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364" w:type="dxa"/>
                  <w:vMerge w:val="continue"/>
                  <w:noWrap w:val="0"/>
                  <w:vAlign w:val="center"/>
                </w:tcPr>
                <w:p>
                  <w:pPr>
                    <w:pStyle w:val="30"/>
                    <w:bidi w:val="0"/>
                    <w:rPr>
                      <w:rFonts w:hint="default"/>
                      <w:lang w:eastAsia="zh-CN"/>
                    </w:rPr>
                  </w:pPr>
                </w:p>
              </w:tc>
              <w:tc>
                <w:tcPr>
                  <w:tcW w:w="4260" w:type="dxa"/>
                  <w:gridSpan w:val="2"/>
                  <w:noWrap w:val="0"/>
                  <w:vAlign w:val="center"/>
                </w:tcPr>
                <w:p>
                  <w:pPr>
                    <w:pStyle w:val="30"/>
                    <w:bidi w:val="0"/>
                    <w:rPr>
                      <w:rFonts w:hint="default"/>
                      <w:lang w:val="en-US" w:eastAsia="zh-CN"/>
                    </w:rPr>
                  </w:pPr>
                  <w:r>
                    <w:rPr>
                      <w:rFonts w:hint="eastAsia"/>
                      <w:lang w:val="en-US" w:eastAsia="zh-CN"/>
                    </w:rPr>
                    <w:t>2024</w:t>
                  </w:r>
                  <w:r>
                    <w:rPr>
                      <w:rFonts w:hint="default"/>
                      <w:lang w:val="en-US" w:eastAsia="zh-CN"/>
                    </w:rPr>
                    <w:t>.</w:t>
                  </w:r>
                  <w:r>
                    <w:rPr>
                      <w:rFonts w:hint="eastAsia"/>
                      <w:lang w:val="en-US" w:eastAsia="zh-CN"/>
                    </w:rPr>
                    <w:t>09.03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364" w:type="dxa"/>
                  <w:vMerge w:val="continue"/>
                  <w:noWrap w:val="0"/>
                  <w:vAlign w:val="center"/>
                </w:tcPr>
                <w:p>
                  <w:pPr>
                    <w:pStyle w:val="30"/>
                    <w:bidi w:val="0"/>
                    <w:rPr>
                      <w:rFonts w:hint="default"/>
                      <w:lang w:eastAsia="zh-CN"/>
                    </w:rPr>
                  </w:pPr>
                </w:p>
              </w:tc>
              <w:tc>
                <w:tcPr>
                  <w:tcW w:w="1823" w:type="dxa"/>
                  <w:noWrap w:val="0"/>
                  <w:vAlign w:val="center"/>
                </w:tcPr>
                <w:p>
                  <w:pPr>
                    <w:pStyle w:val="30"/>
                    <w:bidi w:val="0"/>
                    <w:rPr>
                      <w:rFonts w:hint="default"/>
                      <w:lang w:val="en-US" w:eastAsia="zh-CN"/>
                    </w:rPr>
                  </w:pPr>
                  <w:r>
                    <w:rPr>
                      <w:rFonts w:hint="default"/>
                      <w:lang w:val="en-US" w:eastAsia="zh-CN"/>
                    </w:rPr>
                    <w:t>昼间</w:t>
                  </w:r>
                </w:p>
              </w:tc>
              <w:tc>
                <w:tcPr>
                  <w:tcW w:w="2437" w:type="dxa"/>
                  <w:noWrap w:val="0"/>
                  <w:vAlign w:val="center"/>
                </w:tcPr>
                <w:p>
                  <w:pPr>
                    <w:pStyle w:val="30"/>
                    <w:bidi w:val="0"/>
                    <w:rPr>
                      <w:rFonts w:hint="default"/>
                      <w:lang w:val="en-US" w:eastAsia="zh-CN"/>
                    </w:rPr>
                  </w:pPr>
                  <w:r>
                    <w:rPr>
                      <w:rFonts w:hint="eastAsia"/>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364" w:type="dxa"/>
                  <w:noWrap w:val="0"/>
                  <w:vAlign w:val="center"/>
                </w:tcPr>
                <w:p>
                  <w:pPr>
                    <w:pStyle w:val="30"/>
                    <w:bidi w:val="0"/>
                    <w:rPr>
                      <w:rFonts w:hint="default"/>
                      <w:lang w:val="en-US" w:eastAsia="zh-CN"/>
                    </w:rPr>
                  </w:pPr>
                  <w:r>
                    <w:rPr>
                      <w:rFonts w:hint="eastAsia"/>
                      <w:lang w:val="en-US" w:eastAsia="zh-CN"/>
                    </w:rPr>
                    <w:t>N1项目北侧约32m处的居民点</w:t>
                  </w:r>
                </w:p>
              </w:tc>
              <w:tc>
                <w:tcPr>
                  <w:tcW w:w="1823" w:type="dxa"/>
                  <w:noWrap w:val="0"/>
                  <w:vAlign w:val="center"/>
                </w:tcPr>
                <w:p>
                  <w:pPr>
                    <w:pStyle w:val="30"/>
                    <w:bidi w:val="0"/>
                    <w:rPr>
                      <w:rFonts w:hint="default"/>
                      <w:lang w:val="en-US" w:eastAsia="zh-CN"/>
                    </w:rPr>
                  </w:pPr>
                  <w:r>
                    <w:rPr>
                      <w:rFonts w:hint="eastAsia"/>
                      <w:lang w:val="en-US" w:eastAsia="zh-CN"/>
                    </w:rPr>
                    <w:t>50</w:t>
                  </w:r>
                </w:p>
              </w:tc>
              <w:tc>
                <w:tcPr>
                  <w:tcW w:w="2437" w:type="dxa"/>
                  <w:noWrap w:val="0"/>
                  <w:vAlign w:val="center"/>
                </w:tcPr>
                <w:p>
                  <w:pPr>
                    <w:pStyle w:val="30"/>
                    <w:bidi w:val="0"/>
                    <w:rPr>
                      <w:rFonts w:hint="default"/>
                      <w:lang w:val="en-US" w:eastAsia="zh-CN"/>
                    </w:rPr>
                  </w:pPr>
                  <w:r>
                    <w:rPr>
                      <w:rFonts w:hint="eastAsia"/>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364" w:type="dxa"/>
                  <w:noWrap w:val="0"/>
                  <w:vAlign w:val="center"/>
                </w:tcPr>
                <w:p>
                  <w:pPr>
                    <w:pStyle w:val="30"/>
                    <w:bidi w:val="0"/>
                    <w:rPr>
                      <w:rFonts w:hint="eastAsia"/>
                      <w:lang w:val="en-US" w:eastAsia="zh-CN"/>
                    </w:rPr>
                  </w:pPr>
                  <w:r>
                    <w:rPr>
                      <w:rFonts w:hint="eastAsia"/>
                      <w:lang w:val="en-US" w:eastAsia="zh-CN"/>
                    </w:rPr>
                    <w:t>N2项目南侧约20m处的居民点</w:t>
                  </w:r>
                </w:p>
              </w:tc>
              <w:tc>
                <w:tcPr>
                  <w:tcW w:w="1823" w:type="dxa"/>
                  <w:noWrap w:val="0"/>
                  <w:vAlign w:val="center"/>
                </w:tcPr>
                <w:p>
                  <w:pPr>
                    <w:pStyle w:val="30"/>
                    <w:bidi w:val="0"/>
                    <w:rPr>
                      <w:rFonts w:hint="default"/>
                      <w:lang w:val="en-US" w:eastAsia="zh-CN"/>
                    </w:rPr>
                  </w:pPr>
                  <w:r>
                    <w:rPr>
                      <w:rFonts w:hint="eastAsia"/>
                      <w:lang w:val="en-US" w:eastAsia="zh-CN"/>
                    </w:rPr>
                    <w:t>53</w:t>
                  </w:r>
                </w:p>
              </w:tc>
              <w:tc>
                <w:tcPr>
                  <w:tcW w:w="2437" w:type="dxa"/>
                  <w:noWrap w:val="0"/>
                  <w:vAlign w:val="center"/>
                </w:tcPr>
                <w:p>
                  <w:pPr>
                    <w:pStyle w:val="30"/>
                    <w:bidi w:val="0"/>
                    <w:rPr>
                      <w:rFonts w:hint="default"/>
                      <w:lang w:val="en-US" w:eastAsia="zh-CN"/>
                    </w:rPr>
                  </w:pPr>
                  <w:r>
                    <w:rPr>
                      <w:rFonts w:hint="eastAsia"/>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364" w:type="dxa"/>
                  <w:noWrap w:val="0"/>
                  <w:vAlign w:val="center"/>
                </w:tcPr>
                <w:p>
                  <w:pPr>
                    <w:pStyle w:val="30"/>
                    <w:bidi w:val="0"/>
                    <w:rPr>
                      <w:rFonts w:hint="eastAsia"/>
                      <w:lang w:val="en-US" w:eastAsia="zh-CN"/>
                    </w:rPr>
                  </w:pPr>
                  <w:r>
                    <w:rPr>
                      <w:rFonts w:hint="eastAsia"/>
                      <w:lang w:val="en-US" w:eastAsia="zh-CN"/>
                    </w:rPr>
                    <w:t>限值</w:t>
                  </w:r>
                </w:p>
              </w:tc>
              <w:tc>
                <w:tcPr>
                  <w:tcW w:w="1823" w:type="dxa"/>
                  <w:noWrap w:val="0"/>
                  <w:vAlign w:val="center"/>
                </w:tcPr>
                <w:p>
                  <w:pPr>
                    <w:pStyle w:val="30"/>
                    <w:bidi w:val="0"/>
                    <w:rPr>
                      <w:rFonts w:hint="default"/>
                      <w:lang w:val="en-US" w:eastAsia="zh-CN"/>
                    </w:rPr>
                  </w:pPr>
                  <w:r>
                    <w:rPr>
                      <w:rFonts w:hint="eastAsia"/>
                      <w:lang w:val="en-US" w:eastAsia="zh-CN"/>
                    </w:rPr>
                    <w:t>60</w:t>
                  </w:r>
                </w:p>
              </w:tc>
              <w:tc>
                <w:tcPr>
                  <w:tcW w:w="2437" w:type="dxa"/>
                  <w:noWrap w:val="0"/>
                  <w:vAlign w:val="center"/>
                </w:tcPr>
                <w:p>
                  <w:pPr>
                    <w:pStyle w:val="30"/>
                    <w:bidi w:val="0"/>
                    <w:rPr>
                      <w:rFonts w:hint="default"/>
                      <w:lang w:val="en-US" w:eastAsia="zh-CN"/>
                    </w:rPr>
                  </w:pPr>
                  <w:r>
                    <w:rPr>
                      <w:rFonts w:hint="eastAsia"/>
                      <w:lang w:val="en-US" w:eastAsia="zh-CN"/>
                    </w:rPr>
                    <w:t>50</w:t>
                  </w:r>
                </w:p>
              </w:tc>
            </w:tr>
          </w:tbl>
          <w:p>
            <w:pPr>
              <w:pStyle w:val="12"/>
              <w:bidi w:val="0"/>
              <w:rPr>
                <w:rFonts w:hint="default"/>
                <w:lang w:val="en-US" w:eastAsia="zh-CN"/>
              </w:rPr>
            </w:pPr>
            <w:r>
              <w:rPr>
                <w:rFonts w:hint="default"/>
                <w:lang w:val="en-US" w:eastAsia="zh-CN"/>
              </w:rPr>
              <w:t>根据监测结果，项目项目地</w:t>
            </w:r>
            <w:r>
              <w:rPr>
                <w:rFonts w:hint="eastAsia"/>
                <w:lang w:val="en-US" w:eastAsia="zh-CN"/>
              </w:rPr>
              <w:t>北侧约32m处的居民点、南侧约20m处的居民点</w:t>
            </w:r>
            <w:r>
              <w:rPr>
                <w:rFonts w:hint="default"/>
                <w:lang w:val="en-US" w:eastAsia="zh-CN"/>
              </w:rPr>
              <w:t>监测点噪声值均未超过《声环境质量标准》</w:t>
            </w:r>
            <w:r>
              <w:rPr>
                <w:rFonts w:hint="eastAsia"/>
                <w:lang w:val="en-US" w:eastAsia="zh-CN"/>
              </w:rPr>
              <w:t>(</w:t>
            </w:r>
            <w:r>
              <w:rPr>
                <w:rFonts w:hint="default"/>
                <w:lang w:val="en-US" w:eastAsia="zh-CN"/>
              </w:rPr>
              <w:t>GB3096-2008</w:t>
            </w:r>
            <w:r>
              <w:rPr>
                <w:rFonts w:hint="eastAsia"/>
                <w:lang w:val="en-US" w:eastAsia="zh-CN"/>
              </w:rPr>
              <w:t>)</w:t>
            </w:r>
            <w:r>
              <w:rPr>
                <w:rFonts w:hint="default"/>
                <w:lang w:val="en-US" w:eastAsia="zh-CN"/>
              </w:rPr>
              <w:t>2类标准</w:t>
            </w:r>
            <w:r>
              <w:rPr>
                <w:rFonts w:hint="eastAsia"/>
                <w:lang w:val="en-US" w:eastAsia="zh-CN"/>
              </w:rPr>
              <w:t>(</w:t>
            </w:r>
            <w:r>
              <w:rPr>
                <w:rFonts w:hint="default"/>
                <w:lang w:val="en-US" w:eastAsia="zh-CN"/>
              </w:rPr>
              <w:t>即昼间≤60dB(A</w:t>
            </w:r>
            <w:r>
              <w:rPr>
                <w:rFonts w:hint="eastAsia"/>
                <w:lang w:val="en-US" w:eastAsia="zh-CN"/>
              </w:rPr>
              <w:t>)</w:t>
            </w:r>
            <w:r>
              <w:rPr>
                <w:rFonts w:hint="default"/>
                <w:lang w:val="en-US" w:eastAsia="zh-CN"/>
              </w:rPr>
              <w:t>、夜间≤50dB(A)</w:t>
            </w:r>
            <w:r>
              <w:rPr>
                <w:rFonts w:hint="eastAsia"/>
                <w:lang w:val="en-US" w:eastAsia="zh-CN"/>
              </w:rPr>
              <w:t>)</w:t>
            </w:r>
            <w:r>
              <w:rPr>
                <w:rFonts w:hint="default"/>
                <w:lang w:val="en-US" w:eastAsia="zh-CN"/>
              </w:rPr>
              <w:t>。</w:t>
            </w:r>
          </w:p>
          <w:p>
            <w:pPr>
              <w:bidi w:val="0"/>
              <w:rPr>
                <w:rFonts w:hint="default"/>
                <w:lang w:val="en-US" w:eastAsia="zh-CN"/>
              </w:rPr>
            </w:pPr>
            <w:r>
              <w:rPr>
                <w:rFonts w:hint="eastAsia"/>
                <w:lang w:val="en-US" w:eastAsia="zh-CN"/>
              </w:rPr>
              <w:t>4、生态环境</w:t>
            </w:r>
          </w:p>
          <w:p>
            <w:pPr>
              <w:pStyle w:val="12"/>
              <w:bidi w:val="0"/>
            </w:pPr>
            <w:r>
              <w:rPr>
                <w:rFonts w:hint="eastAsia"/>
                <w:lang w:val="en-US" w:eastAsia="zh-CN"/>
              </w:rPr>
              <w:t>根据现场勘查，本项目位于永州市零陵区阳明大道386号，区域生态环境质量一般，无珍贵保护动植物和风景名胜区，区域生态系统敏感程度较低。本项目用地范围内不涉及生态环境保护目标。</w:t>
            </w:r>
          </w:p>
          <w:p>
            <w:pPr>
              <w:bidi w:val="0"/>
              <w:rPr>
                <w:rFonts w:hint="default"/>
                <w:lang w:val="en-US" w:eastAsia="zh-CN"/>
              </w:rPr>
            </w:pPr>
            <w:r>
              <w:rPr>
                <w:rFonts w:hint="eastAsia"/>
                <w:lang w:val="en-US" w:eastAsia="zh-CN"/>
              </w:rPr>
              <w:t>5、地下水、土壤环境</w:t>
            </w:r>
          </w:p>
          <w:p>
            <w:pPr>
              <w:pStyle w:val="12"/>
              <w:bidi w:val="0"/>
            </w:pPr>
            <w:r>
              <w:t>根据《环境影响评价技术导则 地下水环境》</w:t>
            </w:r>
            <w:r>
              <w:rPr>
                <w:rFonts w:hint="eastAsia"/>
                <w:lang w:eastAsia="zh-CN"/>
              </w:rPr>
              <w:t>（</w:t>
            </w:r>
            <w:r>
              <w:t>HJ610-2016</w:t>
            </w:r>
            <w:r>
              <w:rPr>
                <w:rFonts w:hint="eastAsia"/>
                <w:lang w:eastAsia="zh-CN"/>
              </w:rPr>
              <w:t>）</w:t>
            </w:r>
            <w:r>
              <w:t>，本项目</w:t>
            </w:r>
            <w:r>
              <w:rPr>
                <w:rFonts w:hint="eastAsia"/>
                <w:lang w:val="en-US" w:eastAsia="zh-CN"/>
              </w:rPr>
              <w:t>属于“158、医院”项目，建设项目地下水环境影响评价项目类别为</w:t>
            </w:r>
            <w:r>
              <w:rPr>
                <w:rFonts w:hint="default"/>
                <w:lang w:val="en-US" w:eastAsia="zh-CN"/>
              </w:rPr>
              <w:t>Ⅳ</w:t>
            </w:r>
            <w:r>
              <w:rPr>
                <w:rFonts w:hint="eastAsia"/>
                <w:lang w:val="en-US" w:eastAsia="zh-CN"/>
              </w:rPr>
              <w:t>类</w:t>
            </w:r>
            <w:r>
              <w:t>，因此，可不开展地下水环境影响评价。</w:t>
            </w:r>
          </w:p>
          <w:p>
            <w:pPr>
              <w:pStyle w:val="12"/>
              <w:bidi w:val="0"/>
            </w:pPr>
            <w:r>
              <w:t>根据《环境影响评价技术导则 土壤环境 (试行) 》 (HJ964-2018) ，本项目属于</w:t>
            </w:r>
            <w:r>
              <w:rPr>
                <w:rFonts w:hint="eastAsia"/>
                <w:lang w:eastAsia="zh-CN"/>
              </w:rPr>
              <w:t>“社会事业和服务业</w:t>
            </w:r>
            <w:r>
              <w:rPr>
                <w:rFonts w:hint="eastAsia"/>
                <w:lang w:val="en-US" w:eastAsia="zh-CN"/>
              </w:rPr>
              <w:t xml:space="preserve"> 其他”建设项目</w:t>
            </w:r>
            <w:r>
              <w:t>土壤</w:t>
            </w:r>
            <w:r>
              <w:rPr>
                <w:rFonts w:hint="eastAsia"/>
                <w:lang w:val="en-US" w:eastAsia="zh-CN"/>
              </w:rPr>
              <w:t>环境影响评价项目类别为</w:t>
            </w:r>
            <w:r>
              <w:rPr>
                <w:rFonts w:hint="default"/>
                <w:lang w:val="en-US" w:eastAsia="zh-CN"/>
              </w:rPr>
              <w:t>Ⅳ</w:t>
            </w:r>
            <w:r>
              <w:rPr>
                <w:rFonts w:hint="eastAsia"/>
                <w:lang w:val="en-US" w:eastAsia="zh-CN"/>
              </w:rPr>
              <w:t>类</w:t>
            </w:r>
            <w:r>
              <w:t>，可不开展土壤环境影响评价。</w:t>
            </w:r>
          </w:p>
          <w:p>
            <w:pPr>
              <w:pStyle w:val="12"/>
              <w:bidi w:val="0"/>
              <w:rPr>
                <w:rFonts w:hint="eastAsia"/>
                <w:lang w:eastAsia="zh-CN"/>
              </w:rPr>
            </w:pPr>
            <w:r>
              <w:rPr>
                <w:rFonts w:hint="default"/>
                <w:lang w:val="en-US" w:eastAsia="zh-CN"/>
              </w:rPr>
              <w:t>根据《建设项目环境影响报告表编制技术指南（污染影响类）（试行）》中提到的</w:t>
            </w:r>
            <w:r>
              <w:rPr>
                <w:rFonts w:hint="eastAsia"/>
                <w:lang w:val="en-US" w:eastAsia="zh-CN"/>
              </w:rPr>
              <w:t>“</w:t>
            </w:r>
            <w:r>
              <w:rPr>
                <w:rFonts w:hint="default"/>
                <w:lang w:val="en-US" w:eastAsia="zh-CN"/>
              </w:rPr>
              <w:t>原则上不开展环境质量现状调查。建设项目存在土壤、地下水环境污染途径的，应结合污染源、保护目标分布情况开展现状调查以留作背景值</w:t>
            </w:r>
            <w:r>
              <w:rPr>
                <w:rFonts w:hint="eastAsia"/>
                <w:lang w:val="en-US" w:eastAsia="zh-CN"/>
              </w:rPr>
              <w:t>”。</w:t>
            </w:r>
            <w:r>
              <w:rPr>
                <w:rFonts w:hint="default"/>
                <w:lang w:val="en-US" w:eastAsia="zh-CN"/>
              </w:rPr>
              <w:t>根据《建设项目环境影响报告表编制技术指南（污染影响类）（试行）》中提到的</w:t>
            </w:r>
            <w:r>
              <w:rPr>
                <w:rFonts w:hint="eastAsia"/>
                <w:lang w:val="en-US" w:eastAsia="zh-CN"/>
              </w:rPr>
              <w:t>“</w:t>
            </w:r>
            <w:r>
              <w:rPr>
                <w:rFonts w:hint="default"/>
                <w:lang w:val="en-US" w:eastAsia="zh-CN"/>
              </w:rPr>
              <w:t>原则上不开展环境质量现状调查。建设项目存在土壤、地下水环境污染途径的，应结合污染源、保护目标分布情况开展现状调查以留作背景值</w:t>
            </w:r>
            <w:r>
              <w:rPr>
                <w:rFonts w:hint="eastAsia"/>
                <w:lang w:val="en-US" w:eastAsia="zh-CN"/>
              </w:rPr>
              <w:t>”。</w:t>
            </w:r>
            <w:r>
              <w:rPr>
                <w:rFonts w:hint="default"/>
              </w:rPr>
              <w:t>本项目为</w:t>
            </w:r>
            <w:r>
              <w:rPr>
                <w:rFonts w:hint="eastAsia"/>
                <w:lang w:eastAsia="zh-CN"/>
              </w:rPr>
              <w:t>Q841</w:t>
            </w:r>
            <w:r>
              <w:rPr>
                <w:rFonts w:hint="eastAsia"/>
                <w:lang w:val="en-US" w:eastAsia="zh-CN"/>
              </w:rPr>
              <w:t>1</w:t>
            </w:r>
            <w:r>
              <w:rPr>
                <w:rFonts w:hint="eastAsia"/>
                <w:lang w:eastAsia="zh-CN"/>
              </w:rPr>
              <w:t>综合医院</w:t>
            </w:r>
            <w:r>
              <w:rPr>
                <w:rFonts w:hint="default"/>
              </w:rPr>
              <w:t>项目，营运过程中危废间发生环境风险物质泄漏以及医院污水处理站废水泄露，因防渗措施不到位会导致污染物下渗造成土壤和地下水污染，本项目营运过程中危废间和危化品间以及污水处理站均严格按照国家相关规范要求采取</w:t>
            </w:r>
            <w:r>
              <w:rPr>
                <w:rFonts w:hint="eastAsia"/>
                <w:lang w:val="en-US" w:eastAsia="zh-CN"/>
              </w:rPr>
              <w:t>了</w:t>
            </w:r>
            <w:r>
              <w:rPr>
                <w:rFonts w:hint="default"/>
              </w:rPr>
              <w:t>相应的防渗漏措施，可有效防止项目污水和环境风险物质下渗对地下水环境质量造成污染；同时项目周边居民均使用</w:t>
            </w:r>
            <w:r>
              <w:rPr>
                <w:rFonts w:hint="default"/>
                <w:lang w:eastAsia="zh-CN"/>
              </w:rPr>
              <w:t>零陵区</w:t>
            </w:r>
            <w:r>
              <w:rPr>
                <w:rFonts w:hint="default"/>
              </w:rPr>
              <w:t>自来厂管网供水，区域无地下水取水点等敏感目标，厂界外500米范围内无地下水集中式饮用水水源，因此不开展地下水和土壤环境质量现状调查</w:t>
            </w:r>
            <w:r>
              <w:rPr>
                <w:rFonts w:hint="eastAsia"/>
                <w:lang w:eastAsia="zh-CN"/>
              </w:rPr>
              <w:t>。</w:t>
            </w:r>
          </w:p>
          <w:p>
            <w:pPr>
              <w:bidi w:val="0"/>
              <w:rPr>
                <w:rFonts w:hint="eastAsia"/>
                <w:b/>
                <w:bCs/>
                <w:lang w:val="en-US" w:eastAsia="zh-CN"/>
              </w:rPr>
            </w:pPr>
            <w:r>
              <w:rPr>
                <w:rFonts w:hint="eastAsia"/>
                <w:b/>
                <w:bCs/>
                <w:lang w:val="en-US" w:eastAsia="zh-CN"/>
              </w:rPr>
              <w:t>6、电磁辐射</w:t>
            </w:r>
          </w:p>
          <w:p>
            <w:pPr>
              <w:pStyle w:val="12"/>
              <w:bidi w:val="0"/>
              <w:rPr>
                <w:rFonts w:hint="default"/>
                <w:lang w:val="en-US" w:eastAsia="zh-CN"/>
              </w:rPr>
            </w:pPr>
            <w:r>
              <w:t>本项目</w:t>
            </w:r>
            <w:r>
              <w:rPr>
                <w:rFonts w:hint="eastAsia"/>
              </w:rPr>
              <w:t>设有</w:t>
            </w:r>
            <w:r>
              <w:rPr>
                <w:rFonts w:hint="eastAsia"/>
                <w:lang w:val="en-US" w:eastAsia="zh-CN"/>
              </w:rPr>
              <w:t>B超室</w:t>
            </w:r>
            <w:r>
              <w:rPr>
                <w:rFonts w:hint="eastAsia"/>
              </w:rPr>
              <w:t>，项目涉及的由放射性医疗设备造成的电磁辐射影响评价、预测及防护措施等内容，由建设单位另行委托评价，不在本报告表范围之内。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8" w:type="dxa"/>
            <w:noWrap w:val="0"/>
            <w:vAlign w:val="center"/>
          </w:tcPr>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环境</w:t>
            </w:r>
          </w:p>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保护</w:t>
            </w:r>
          </w:p>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目标</w:t>
            </w:r>
          </w:p>
        </w:tc>
        <w:tc>
          <w:tcPr>
            <w:tcW w:w="7853" w:type="dxa"/>
            <w:noWrap w:val="0"/>
            <w:vAlign w:val="center"/>
          </w:tcPr>
          <w:p>
            <w:pPr>
              <w:pStyle w:val="12"/>
              <w:bidi w:val="0"/>
              <w:rPr>
                <w:lang w:val="en-US" w:eastAsia="zh-CN"/>
              </w:rPr>
            </w:pPr>
            <w:r>
              <w:rPr>
                <w:lang w:val="en-US" w:eastAsia="zh-CN"/>
              </w:rPr>
              <w:t>建设项目附近无自然保护区、风景旅游点和文物古迹等需要特殊保护的环境敏感对象。总体上不因本项目的实施而</w:t>
            </w:r>
            <w:r>
              <w:rPr>
                <w:rFonts w:hint="eastAsia"/>
                <w:lang w:val="en-US" w:eastAsia="zh-CN"/>
              </w:rPr>
              <w:t>改</w:t>
            </w:r>
            <w:r>
              <w:rPr>
                <w:lang w:val="en-US" w:eastAsia="zh-CN"/>
              </w:rPr>
              <w:t>变区域环境现有功能，根据现场踏勘及建设项目周边情况，确定建设项目具体环境保护目标如下：</w:t>
            </w:r>
          </w:p>
          <w:p>
            <w:pPr>
              <w:pStyle w:val="12"/>
              <w:bidi w:val="0"/>
              <w:rPr>
                <w:lang w:val="en-US" w:eastAsia="zh-CN"/>
              </w:rPr>
            </w:pPr>
            <w:r>
              <w:rPr>
                <w:lang w:val="en-US" w:eastAsia="zh-CN"/>
              </w:rPr>
              <w:t>1、环境空气保护目标：</w:t>
            </w:r>
            <w:r>
              <w:rPr>
                <w:rFonts w:hint="default"/>
                <w:lang w:val="en-US" w:eastAsia="zh-CN"/>
              </w:rPr>
              <w:t>厂界外500米矩形范围内的</w:t>
            </w:r>
            <w:r>
              <w:rPr>
                <w:rFonts w:hint="eastAsia"/>
                <w:lang w:val="en-US" w:eastAsia="zh-CN"/>
              </w:rPr>
              <w:t>有</w:t>
            </w:r>
            <w:r>
              <w:rPr>
                <w:rFonts w:hint="default"/>
                <w:lang w:val="en-US" w:eastAsia="zh-CN"/>
              </w:rPr>
              <w:t>人群较集中的区域</w:t>
            </w:r>
            <w:r>
              <w:rPr>
                <w:rFonts w:hint="eastAsia"/>
                <w:lang w:val="en-US" w:eastAsia="zh-CN"/>
              </w:rPr>
              <w:t>，无</w:t>
            </w:r>
            <w:r>
              <w:rPr>
                <w:rFonts w:hint="default"/>
                <w:lang w:val="en-US" w:eastAsia="zh-CN"/>
              </w:rPr>
              <w:t>自然保护区、风景名胜区等保护目标</w:t>
            </w:r>
            <w:r>
              <w:rPr>
                <w:lang w:val="en-US" w:eastAsia="zh-CN"/>
              </w:rPr>
              <w:t>。</w:t>
            </w:r>
          </w:p>
          <w:p>
            <w:pPr>
              <w:pStyle w:val="12"/>
              <w:bidi w:val="0"/>
              <w:rPr>
                <w:rFonts w:hint="default"/>
                <w:lang w:val="en-US" w:eastAsia="zh-CN"/>
              </w:rPr>
            </w:pPr>
            <w:r>
              <w:rPr>
                <w:rFonts w:hint="default"/>
                <w:lang w:val="en-US" w:eastAsia="zh-CN"/>
              </w:rPr>
              <w:t>2、地下水环境：厂界外500米范围内</w:t>
            </w:r>
            <w:r>
              <w:rPr>
                <w:rFonts w:hint="eastAsia"/>
                <w:lang w:val="en-US" w:eastAsia="zh-CN"/>
              </w:rPr>
              <w:t>无</w:t>
            </w:r>
            <w:r>
              <w:rPr>
                <w:rFonts w:hint="default"/>
                <w:lang w:val="en-US" w:eastAsia="zh-CN"/>
              </w:rPr>
              <w:t>地下水集中式饮用水水源和热水、矿泉水、温泉等特殊地下水资源；</w:t>
            </w:r>
          </w:p>
          <w:p>
            <w:pPr>
              <w:pStyle w:val="12"/>
              <w:bidi w:val="0"/>
            </w:pPr>
            <w:r>
              <w:rPr>
                <w:rFonts w:hint="default"/>
                <w:lang w:val="en-US" w:eastAsia="zh-CN"/>
              </w:rPr>
              <w:t>3、声环境保护目标：厂界外50米范围内的声环境保护目标</w:t>
            </w:r>
            <w:r>
              <w:t>。</w:t>
            </w:r>
          </w:p>
          <w:p>
            <w:pPr>
              <w:pStyle w:val="29"/>
              <w:bidi w:val="0"/>
            </w:pPr>
            <w:r>
              <w:t>表</w:t>
            </w:r>
            <w:r>
              <w:rPr>
                <w:rFonts w:hint="eastAsia"/>
              </w:rPr>
              <w:t>3</w:t>
            </w:r>
            <w:r>
              <w:rPr>
                <w:rFonts w:hint="eastAsia"/>
                <w:lang w:val="en-US" w:eastAsia="zh-CN"/>
              </w:rPr>
              <w:t>.2</w:t>
            </w:r>
            <w:r>
              <w:rPr>
                <w:rFonts w:hint="eastAsia"/>
              </w:rPr>
              <w:t>-</w:t>
            </w:r>
            <w:r>
              <w:rPr>
                <w:rFonts w:hint="eastAsia"/>
                <w:lang w:val="en-US" w:eastAsia="zh-CN"/>
              </w:rPr>
              <w:t>1</w:t>
            </w:r>
            <w:r>
              <w:t xml:space="preserve"> 环境空气保护目标一览表</w:t>
            </w:r>
          </w:p>
          <w:tbl>
            <w:tblPr>
              <w:tblStyle w:val="32"/>
              <w:tblW w:w="76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2"/>
              <w:gridCol w:w="930"/>
              <w:gridCol w:w="868"/>
              <w:gridCol w:w="1193"/>
              <w:gridCol w:w="655"/>
              <w:gridCol w:w="1095"/>
              <w:gridCol w:w="1215"/>
              <w:gridCol w:w="593"/>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32" w:type="dxa"/>
                  <w:vMerge w:val="restart"/>
                  <w:noWrap w:val="0"/>
                  <w:vAlign w:val="center"/>
                </w:tcPr>
                <w:p>
                  <w:pPr>
                    <w:pStyle w:val="30"/>
                    <w:bidi w:val="0"/>
                  </w:pPr>
                  <w:r>
                    <w:t>序号</w:t>
                  </w:r>
                </w:p>
              </w:tc>
              <w:tc>
                <w:tcPr>
                  <w:tcW w:w="930" w:type="dxa"/>
                  <w:vMerge w:val="restart"/>
                  <w:noWrap w:val="0"/>
                  <w:vAlign w:val="center"/>
                </w:tcPr>
                <w:p>
                  <w:pPr>
                    <w:pStyle w:val="30"/>
                    <w:bidi w:val="0"/>
                  </w:pPr>
                  <w:r>
                    <w:t>敏感点名称</w:t>
                  </w:r>
                </w:p>
              </w:tc>
              <w:tc>
                <w:tcPr>
                  <w:tcW w:w="2061" w:type="dxa"/>
                  <w:gridSpan w:val="2"/>
                  <w:noWrap w:val="0"/>
                  <w:vAlign w:val="center"/>
                </w:tcPr>
                <w:p>
                  <w:pPr>
                    <w:pStyle w:val="30"/>
                    <w:bidi w:val="0"/>
                  </w:pPr>
                  <w:r>
                    <w:t>坐标（ m）</w:t>
                  </w:r>
                </w:p>
              </w:tc>
              <w:tc>
                <w:tcPr>
                  <w:tcW w:w="655" w:type="dxa"/>
                  <w:vMerge w:val="restart"/>
                  <w:noWrap w:val="0"/>
                  <w:vAlign w:val="center"/>
                </w:tcPr>
                <w:p>
                  <w:pPr>
                    <w:pStyle w:val="30"/>
                    <w:bidi w:val="0"/>
                  </w:pPr>
                  <w:r>
                    <w:t>保护对象</w:t>
                  </w:r>
                </w:p>
              </w:tc>
              <w:tc>
                <w:tcPr>
                  <w:tcW w:w="1095" w:type="dxa"/>
                  <w:vMerge w:val="restart"/>
                  <w:noWrap w:val="0"/>
                  <w:vAlign w:val="center"/>
                </w:tcPr>
                <w:p>
                  <w:pPr>
                    <w:pStyle w:val="30"/>
                    <w:bidi w:val="0"/>
                  </w:pPr>
                  <w:r>
                    <w:t>保护内容</w:t>
                  </w:r>
                </w:p>
              </w:tc>
              <w:tc>
                <w:tcPr>
                  <w:tcW w:w="1215" w:type="dxa"/>
                  <w:vMerge w:val="restart"/>
                  <w:noWrap w:val="0"/>
                  <w:vAlign w:val="center"/>
                </w:tcPr>
                <w:p>
                  <w:pPr>
                    <w:pStyle w:val="30"/>
                    <w:bidi w:val="0"/>
                  </w:pPr>
                  <w:r>
                    <w:t>环境功能区</w:t>
                  </w:r>
                </w:p>
              </w:tc>
              <w:tc>
                <w:tcPr>
                  <w:tcW w:w="593" w:type="dxa"/>
                  <w:vMerge w:val="restart"/>
                  <w:noWrap w:val="0"/>
                  <w:vAlign w:val="center"/>
                </w:tcPr>
                <w:p>
                  <w:pPr>
                    <w:pStyle w:val="30"/>
                    <w:bidi w:val="0"/>
                  </w:pPr>
                  <w:r>
                    <w:t>相对厂址方位</w:t>
                  </w:r>
                </w:p>
              </w:tc>
              <w:tc>
                <w:tcPr>
                  <w:tcW w:w="840" w:type="dxa"/>
                  <w:vMerge w:val="restart"/>
                  <w:noWrap w:val="0"/>
                  <w:vAlign w:val="center"/>
                </w:tcPr>
                <w:p>
                  <w:pPr>
                    <w:pStyle w:val="30"/>
                    <w:bidi w:val="0"/>
                  </w:pPr>
                  <w: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32" w:type="dxa"/>
                  <w:vMerge w:val="continue"/>
                  <w:noWrap w:val="0"/>
                  <w:vAlign w:val="center"/>
                </w:tcPr>
                <w:p>
                  <w:pPr>
                    <w:pStyle w:val="30"/>
                    <w:bidi w:val="0"/>
                  </w:pPr>
                </w:p>
              </w:tc>
              <w:tc>
                <w:tcPr>
                  <w:tcW w:w="930" w:type="dxa"/>
                  <w:vMerge w:val="continue"/>
                  <w:noWrap w:val="0"/>
                  <w:vAlign w:val="center"/>
                </w:tcPr>
                <w:p>
                  <w:pPr>
                    <w:pStyle w:val="30"/>
                    <w:bidi w:val="0"/>
                  </w:pPr>
                </w:p>
              </w:tc>
              <w:tc>
                <w:tcPr>
                  <w:tcW w:w="868" w:type="dxa"/>
                  <w:noWrap w:val="0"/>
                  <w:vAlign w:val="center"/>
                </w:tcPr>
                <w:p>
                  <w:pPr>
                    <w:pStyle w:val="30"/>
                    <w:bidi w:val="0"/>
                  </w:pPr>
                  <w:r>
                    <w:t>x</w:t>
                  </w:r>
                </w:p>
              </w:tc>
              <w:tc>
                <w:tcPr>
                  <w:tcW w:w="1193" w:type="dxa"/>
                  <w:noWrap w:val="0"/>
                  <w:vAlign w:val="center"/>
                </w:tcPr>
                <w:p>
                  <w:pPr>
                    <w:pStyle w:val="30"/>
                    <w:bidi w:val="0"/>
                  </w:pPr>
                  <w:r>
                    <w:t>y</w:t>
                  </w:r>
                </w:p>
              </w:tc>
              <w:tc>
                <w:tcPr>
                  <w:tcW w:w="655" w:type="dxa"/>
                  <w:vMerge w:val="continue"/>
                  <w:noWrap w:val="0"/>
                  <w:vAlign w:val="center"/>
                </w:tcPr>
                <w:p>
                  <w:pPr>
                    <w:pStyle w:val="30"/>
                    <w:bidi w:val="0"/>
                  </w:pPr>
                </w:p>
              </w:tc>
              <w:tc>
                <w:tcPr>
                  <w:tcW w:w="1095" w:type="dxa"/>
                  <w:vMerge w:val="continue"/>
                  <w:noWrap w:val="0"/>
                  <w:vAlign w:val="center"/>
                </w:tcPr>
                <w:p>
                  <w:pPr>
                    <w:pStyle w:val="30"/>
                    <w:bidi w:val="0"/>
                  </w:pPr>
                </w:p>
              </w:tc>
              <w:tc>
                <w:tcPr>
                  <w:tcW w:w="1215" w:type="dxa"/>
                  <w:vMerge w:val="continue"/>
                  <w:noWrap w:val="0"/>
                  <w:vAlign w:val="center"/>
                </w:tcPr>
                <w:p>
                  <w:pPr>
                    <w:pStyle w:val="30"/>
                    <w:bidi w:val="0"/>
                  </w:pPr>
                </w:p>
              </w:tc>
              <w:tc>
                <w:tcPr>
                  <w:tcW w:w="593" w:type="dxa"/>
                  <w:vMerge w:val="continue"/>
                  <w:noWrap w:val="0"/>
                  <w:vAlign w:val="center"/>
                </w:tcPr>
                <w:p>
                  <w:pPr>
                    <w:pStyle w:val="30"/>
                    <w:bidi w:val="0"/>
                  </w:pPr>
                </w:p>
              </w:tc>
              <w:tc>
                <w:tcPr>
                  <w:tcW w:w="840" w:type="dxa"/>
                  <w:vMerge w:val="continue"/>
                  <w:noWrap w:val="0"/>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32" w:type="dxa"/>
                  <w:noWrap w:val="0"/>
                  <w:vAlign w:val="center"/>
                </w:tcPr>
                <w:p>
                  <w:pPr>
                    <w:pStyle w:val="30"/>
                    <w:bidi w:val="0"/>
                  </w:pPr>
                  <w:r>
                    <w:t>1</w:t>
                  </w:r>
                </w:p>
              </w:tc>
              <w:tc>
                <w:tcPr>
                  <w:tcW w:w="930" w:type="dxa"/>
                  <w:shd w:val="clear" w:color="auto" w:fill="auto"/>
                  <w:noWrap w:val="0"/>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天誉华府</w:t>
                  </w:r>
                  <w:r>
                    <w:t>居民</w:t>
                  </w:r>
                </w:p>
              </w:tc>
              <w:tc>
                <w:tcPr>
                  <w:tcW w:w="868" w:type="dxa"/>
                  <w:noWrap w:val="0"/>
                  <w:vAlign w:val="center"/>
                </w:tcPr>
                <w:p>
                  <w:pPr>
                    <w:pStyle w:val="30"/>
                    <w:bidi w:val="0"/>
                    <w:rPr>
                      <w:rFonts w:hint="default" w:ascii="Times New Roman" w:hAnsi="Times New Roman" w:cs="Times New Roman"/>
                      <w:lang w:val="en-US" w:eastAsia="zh-CN"/>
                    </w:rPr>
                  </w:pPr>
                  <w:r>
                    <w:rPr>
                      <w:rFonts w:hint="default" w:ascii="Times New Roman" w:hAnsi="Times New Roman" w:cs="Times New Roman"/>
                      <w:lang w:val="en-US" w:eastAsia="zh-CN"/>
                    </w:rPr>
                    <w:t>111°38′9.17″</w:t>
                  </w:r>
                </w:p>
              </w:tc>
              <w:tc>
                <w:tcPr>
                  <w:tcW w:w="1193" w:type="dxa"/>
                  <w:noWrap w:val="0"/>
                  <w:vAlign w:val="center"/>
                </w:tcPr>
                <w:p>
                  <w:pPr>
                    <w:pStyle w:val="30"/>
                    <w:bidi w:val="0"/>
                    <w:rPr>
                      <w:rFonts w:hint="default" w:ascii="Times New Roman" w:hAnsi="Times New Roman" w:cs="Times New Roman"/>
                      <w:lang w:val="en-US" w:eastAsia="zh-CN"/>
                    </w:rPr>
                  </w:pPr>
                  <w:r>
                    <w:rPr>
                      <w:rFonts w:hint="default" w:ascii="Times New Roman" w:hAnsi="Times New Roman" w:cs="Times New Roman"/>
                      <w:lang w:val="en-US" w:eastAsia="zh-CN"/>
                    </w:rPr>
                    <w:t>26°14′20.16″</w:t>
                  </w:r>
                </w:p>
              </w:tc>
              <w:tc>
                <w:tcPr>
                  <w:tcW w:w="655" w:type="dxa"/>
                  <w:shd w:val="clear" w:color="auto" w:fill="auto"/>
                  <w:noWrap w:val="0"/>
                  <w:vAlign w:val="center"/>
                </w:tcPr>
                <w:p>
                  <w:pPr>
                    <w:pStyle w:val="30"/>
                    <w:bidi w:val="0"/>
                    <w:rPr>
                      <w:rFonts w:hint="eastAsia" w:ascii="Times New Roman" w:hAnsi="Times New Roman" w:eastAsia="宋体" w:cstheme="minorBidi"/>
                      <w:snapToGrid w:val="0"/>
                      <w:spacing w:val="6"/>
                      <w:kern w:val="2"/>
                      <w:sz w:val="21"/>
                      <w:szCs w:val="21"/>
                      <w:lang w:val="en-US" w:eastAsia="zh-CN" w:bidi="ar-SA"/>
                    </w:rPr>
                  </w:pPr>
                  <w:r>
                    <w:rPr>
                      <w:rFonts w:hint="eastAsia"/>
                      <w:lang w:val="en-US" w:eastAsia="zh-CN"/>
                    </w:rPr>
                    <w:t>居民</w:t>
                  </w:r>
                </w:p>
              </w:tc>
              <w:tc>
                <w:tcPr>
                  <w:tcW w:w="1095" w:type="dxa"/>
                  <w:shd w:val="clear" w:color="auto" w:fill="auto"/>
                  <w:noWrap w:val="0"/>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人群（9000人）</w:t>
                  </w:r>
                </w:p>
              </w:tc>
              <w:tc>
                <w:tcPr>
                  <w:tcW w:w="1215" w:type="dxa"/>
                  <w:vMerge w:val="restart"/>
                  <w:noWrap w:val="0"/>
                  <w:vAlign w:val="center"/>
                </w:tcPr>
                <w:p>
                  <w:pPr>
                    <w:pStyle w:val="30"/>
                    <w:bidi w:val="0"/>
                  </w:pPr>
                  <w:r>
                    <w:t>（GB3095-2012）二级标准</w:t>
                  </w:r>
                </w:p>
              </w:tc>
              <w:tc>
                <w:tcPr>
                  <w:tcW w:w="593" w:type="dxa"/>
                  <w:noWrap w:val="0"/>
                  <w:vAlign w:val="center"/>
                </w:tcPr>
                <w:p>
                  <w:pPr>
                    <w:pStyle w:val="30"/>
                    <w:bidi w:val="0"/>
                    <w:rPr>
                      <w:rFonts w:hint="default"/>
                      <w:lang w:val="en-US" w:eastAsia="zh-CN"/>
                    </w:rPr>
                  </w:pPr>
                  <w:r>
                    <w:rPr>
                      <w:rFonts w:hint="eastAsia"/>
                      <w:lang w:val="en-US" w:eastAsia="zh-CN"/>
                    </w:rPr>
                    <w:t>N</w:t>
                  </w:r>
                </w:p>
              </w:tc>
              <w:tc>
                <w:tcPr>
                  <w:tcW w:w="840" w:type="dxa"/>
                  <w:shd w:val="clear" w:color="auto" w:fill="auto"/>
                  <w:noWrap w:val="0"/>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30-420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32" w:type="dxa"/>
                  <w:shd w:val="clear" w:color="auto" w:fill="auto"/>
                  <w:noWrap w:val="0"/>
                  <w:vAlign w:val="center"/>
                </w:tcPr>
                <w:p>
                  <w:pPr>
                    <w:pStyle w:val="30"/>
                    <w:bidi w:val="0"/>
                    <w:rPr>
                      <w:rFonts w:ascii="Times New Roman" w:hAnsi="Times New Roman" w:eastAsia="宋体" w:cstheme="minorBidi"/>
                      <w:snapToGrid w:val="0"/>
                      <w:spacing w:val="6"/>
                      <w:kern w:val="2"/>
                      <w:sz w:val="21"/>
                      <w:szCs w:val="21"/>
                      <w:lang w:val="en-US" w:eastAsia="zh-CN" w:bidi="ar-SA"/>
                    </w:rPr>
                  </w:pPr>
                  <w:r>
                    <w:t>2</w:t>
                  </w:r>
                </w:p>
              </w:tc>
              <w:tc>
                <w:tcPr>
                  <w:tcW w:w="930" w:type="dxa"/>
                  <w:shd w:val="clear" w:color="auto" w:fill="auto"/>
                  <w:noWrap w:val="0"/>
                  <w:vAlign w:val="center"/>
                </w:tcPr>
                <w:p>
                  <w:pPr>
                    <w:pStyle w:val="30"/>
                    <w:bidi w:val="0"/>
                    <w:rPr>
                      <w:rFonts w:hint="eastAsia"/>
                      <w:lang w:val="en-US" w:eastAsia="zh-CN"/>
                    </w:rPr>
                  </w:pPr>
                  <w:r>
                    <w:rPr>
                      <w:rFonts w:hint="eastAsia"/>
                      <w:u w:val="single"/>
                      <w:lang w:val="en-US" w:eastAsia="zh-CN"/>
                    </w:rPr>
                    <w:t>天誉华府幼儿园</w:t>
                  </w:r>
                </w:p>
              </w:tc>
              <w:tc>
                <w:tcPr>
                  <w:tcW w:w="868" w:type="dxa"/>
                  <w:noWrap w:val="0"/>
                  <w:vAlign w:val="center"/>
                </w:tcPr>
                <w:p>
                  <w:pPr>
                    <w:pStyle w:val="30"/>
                    <w:bidi w:val="0"/>
                    <w:rPr>
                      <w:rFonts w:hint="default" w:ascii="Times New Roman" w:hAnsi="Times New Roman" w:cs="Times New Roman"/>
                      <w:lang w:val="en-US" w:eastAsia="zh-CN"/>
                    </w:rPr>
                  </w:pPr>
                  <w:r>
                    <w:rPr>
                      <w:rFonts w:hint="default"/>
                      <w:lang w:val="en-US" w:eastAsia="zh-CN"/>
                    </w:rPr>
                    <w:t>111°38′7.96″</w:t>
                  </w:r>
                </w:p>
              </w:tc>
              <w:tc>
                <w:tcPr>
                  <w:tcW w:w="1193" w:type="dxa"/>
                  <w:noWrap w:val="0"/>
                  <w:vAlign w:val="center"/>
                </w:tcPr>
                <w:p>
                  <w:pPr>
                    <w:pStyle w:val="30"/>
                    <w:bidi w:val="0"/>
                    <w:rPr>
                      <w:rFonts w:hint="default" w:ascii="Times New Roman" w:hAnsi="Times New Roman" w:cs="Times New Roman"/>
                      <w:lang w:val="en-US" w:eastAsia="zh-CN"/>
                    </w:rPr>
                  </w:pPr>
                  <w:r>
                    <w:rPr>
                      <w:rFonts w:hint="default"/>
                      <w:lang w:val="en-US" w:eastAsia="zh-CN"/>
                    </w:rPr>
                    <w:t>26°14′20.51″</w:t>
                  </w:r>
                </w:p>
              </w:tc>
              <w:tc>
                <w:tcPr>
                  <w:tcW w:w="655" w:type="dxa"/>
                  <w:shd w:val="clear" w:color="auto" w:fill="auto"/>
                  <w:noWrap w:val="0"/>
                  <w:vAlign w:val="center"/>
                </w:tcPr>
                <w:p>
                  <w:pPr>
                    <w:pStyle w:val="30"/>
                    <w:bidi w:val="0"/>
                    <w:rPr>
                      <w:rFonts w:hint="eastAsia"/>
                      <w:lang w:val="en-US" w:eastAsia="zh-CN"/>
                    </w:rPr>
                  </w:pPr>
                  <w:r>
                    <w:rPr>
                      <w:rFonts w:hint="eastAsia"/>
                      <w:lang w:val="en-US" w:eastAsia="zh-CN"/>
                    </w:rPr>
                    <w:t>幼儿园</w:t>
                  </w:r>
                </w:p>
              </w:tc>
              <w:tc>
                <w:tcPr>
                  <w:tcW w:w="1095" w:type="dxa"/>
                  <w:shd w:val="clear" w:color="auto" w:fill="auto"/>
                  <w:noWrap w:val="0"/>
                  <w:vAlign w:val="center"/>
                </w:tcPr>
                <w:p>
                  <w:pPr>
                    <w:pStyle w:val="30"/>
                    <w:bidi w:val="0"/>
                    <w:rPr>
                      <w:rFonts w:hint="eastAsia"/>
                      <w:lang w:val="en-US" w:eastAsia="zh-CN"/>
                    </w:rPr>
                  </w:pPr>
                  <w:r>
                    <w:rPr>
                      <w:rFonts w:hint="eastAsia"/>
                      <w:lang w:val="en-US" w:eastAsia="zh-CN"/>
                    </w:rPr>
                    <w:t>300人</w:t>
                  </w:r>
                </w:p>
              </w:tc>
              <w:tc>
                <w:tcPr>
                  <w:tcW w:w="1215" w:type="dxa"/>
                  <w:vMerge w:val="continue"/>
                  <w:noWrap w:val="0"/>
                  <w:vAlign w:val="center"/>
                </w:tcPr>
                <w:p>
                  <w:pPr>
                    <w:pStyle w:val="30"/>
                    <w:bidi w:val="0"/>
                  </w:pPr>
                </w:p>
              </w:tc>
              <w:tc>
                <w:tcPr>
                  <w:tcW w:w="593" w:type="dxa"/>
                  <w:noWrap w:val="0"/>
                  <w:vAlign w:val="center"/>
                </w:tcPr>
                <w:p>
                  <w:pPr>
                    <w:pStyle w:val="30"/>
                    <w:bidi w:val="0"/>
                    <w:rPr>
                      <w:rFonts w:hint="eastAsia"/>
                      <w:lang w:val="en-US" w:eastAsia="zh-CN"/>
                    </w:rPr>
                  </w:pPr>
                  <w:r>
                    <w:rPr>
                      <w:rFonts w:hint="eastAsia"/>
                      <w:lang w:val="en-US" w:eastAsia="zh-CN"/>
                    </w:rPr>
                    <w:t>N</w:t>
                  </w:r>
                </w:p>
              </w:tc>
              <w:tc>
                <w:tcPr>
                  <w:tcW w:w="840" w:type="dxa"/>
                  <w:shd w:val="clear" w:color="auto" w:fill="auto"/>
                  <w:noWrap w:val="0"/>
                  <w:vAlign w:val="center"/>
                </w:tcPr>
                <w:p>
                  <w:pPr>
                    <w:pStyle w:val="30"/>
                    <w:bidi w:val="0"/>
                    <w:rPr>
                      <w:rFonts w:hint="eastAsia"/>
                      <w:lang w:val="en-US" w:eastAsia="zh-CN"/>
                    </w:rPr>
                  </w:pPr>
                  <w:r>
                    <w:rPr>
                      <w:rFonts w:hint="eastAsia"/>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32" w:type="dxa"/>
                  <w:shd w:val="clear" w:color="auto" w:fill="auto"/>
                  <w:noWrap w:val="0"/>
                  <w:vAlign w:val="center"/>
                </w:tcPr>
                <w:p>
                  <w:pPr>
                    <w:pStyle w:val="30"/>
                    <w:bidi w:val="0"/>
                    <w:rPr>
                      <w:rFonts w:ascii="Times New Roman" w:hAnsi="Times New Roman" w:eastAsia="宋体" w:cstheme="minorBidi"/>
                      <w:snapToGrid w:val="0"/>
                      <w:spacing w:val="6"/>
                      <w:kern w:val="2"/>
                      <w:sz w:val="21"/>
                      <w:szCs w:val="21"/>
                      <w:lang w:val="en-US" w:eastAsia="zh-CN" w:bidi="ar-SA"/>
                    </w:rPr>
                  </w:pPr>
                  <w:r>
                    <w:t>3</w:t>
                  </w:r>
                </w:p>
              </w:tc>
              <w:tc>
                <w:tcPr>
                  <w:tcW w:w="930" w:type="dxa"/>
                  <w:shd w:val="clear" w:color="auto" w:fill="auto"/>
                  <w:noWrap w:val="0"/>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永州市蘋州小学</w:t>
                  </w:r>
                </w:p>
              </w:tc>
              <w:tc>
                <w:tcPr>
                  <w:tcW w:w="868" w:type="dxa"/>
                  <w:noWrap w:val="0"/>
                  <w:vAlign w:val="center"/>
                </w:tcPr>
                <w:p>
                  <w:pPr>
                    <w:pStyle w:val="30"/>
                    <w:bidi w:val="0"/>
                    <w:rPr>
                      <w:rFonts w:hint="default" w:ascii="Times New Roman" w:hAnsi="Times New Roman" w:cs="Times New Roman"/>
                      <w:lang w:val="en-US" w:eastAsia="zh-CN"/>
                    </w:rPr>
                  </w:pPr>
                  <w:r>
                    <w:rPr>
                      <w:rFonts w:hint="default" w:ascii="Times New Roman" w:hAnsi="Times New Roman" w:cs="Times New Roman"/>
                      <w:lang w:val="en-US" w:eastAsia="zh-CN"/>
                    </w:rPr>
                    <w:t>111°38′8.96″</w:t>
                  </w:r>
                </w:p>
              </w:tc>
              <w:tc>
                <w:tcPr>
                  <w:tcW w:w="1193" w:type="dxa"/>
                  <w:noWrap w:val="0"/>
                  <w:vAlign w:val="center"/>
                </w:tcPr>
                <w:p>
                  <w:pPr>
                    <w:pStyle w:val="30"/>
                    <w:bidi w:val="0"/>
                    <w:rPr>
                      <w:rFonts w:hint="default" w:ascii="Times New Roman" w:hAnsi="Times New Roman" w:cs="Times New Roman"/>
                      <w:lang w:val="en-US" w:eastAsia="zh-CN"/>
                    </w:rPr>
                  </w:pPr>
                  <w:r>
                    <w:rPr>
                      <w:rFonts w:hint="default" w:ascii="Times New Roman" w:hAnsi="Times New Roman" w:cs="Times New Roman"/>
                      <w:lang w:val="en-US" w:eastAsia="zh-CN"/>
                    </w:rPr>
                    <w:t>26°14′34.51″</w:t>
                  </w:r>
                </w:p>
              </w:tc>
              <w:tc>
                <w:tcPr>
                  <w:tcW w:w="655" w:type="dxa"/>
                  <w:shd w:val="clear" w:color="auto" w:fill="auto"/>
                  <w:noWrap w:val="0"/>
                  <w:vAlign w:val="center"/>
                </w:tcPr>
                <w:p>
                  <w:pPr>
                    <w:pStyle w:val="30"/>
                    <w:bidi w:val="0"/>
                    <w:rPr>
                      <w:rFonts w:hint="eastAsia" w:ascii="Times New Roman" w:hAnsi="Times New Roman" w:eastAsia="宋体" w:cstheme="minorBidi"/>
                      <w:snapToGrid w:val="0"/>
                      <w:spacing w:val="6"/>
                      <w:kern w:val="2"/>
                      <w:sz w:val="21"/>
                      <w:szCs w:val="21"/>
                      <w:lang w:val="en-US" w:eastAsia="zh-CN" w:bidi="ar-SA"/>
                    </w:rPr>
                  </w:pPr>
                  <w:r>
                    <w:rPr>
                      <w:rFonts w:hint="eastAsia"/>
                      <w:lang w:val="en-US" w:eastAsia="zh-CN"/>
                    </w:rPr>
                    <w:t>小学</w:t>
                  </w:r>
                </w:p>
              </w:tc>
              <w:tc>
                <w:tcPr>
                  <w:tcW w:w="1095" w:type="dxa"/>
                  <w:shd w:val="clear" w:color="auto" w:fill="auto"/>
                  <w:noWrap w:val="0"/>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3000人</w:t>
                  </w:r>
                </w:p>
              </w:tc>
              <w:tc>
                <w:tcPr>
                  <w:tcW w:w="1215" w:type="dxa"/>
                  <w:vMerge w:val="continue"/>
                  <w:noWrap w:val="0"/>
                  <w:vAlign w:val="center"/>
                </w:tcPr>
                <w:p>
                  <w:pPr>
                    <w:pStyle w:val="30"/>
                    <w:bidi w:val="0"/>
                  </w:pPr>
                </w:p>
              </w:tc>
              <w:tc>
                <w:tcPr>
                  <w:tcW w:w="593" w:type="dxa"/>
                  <w:noWrap w:val="0"/>
                  <w:vAlign w:val="center"/>
                </w:tcPr>
                <w:p>
                  <w:pPr>
                    <w:pStyle w:val="30"/>
                    <w:bidi w:val="0"/>
                    <w:rPr>
                      <w:rFonts w:hint="default"/>
                      <w:lang w:val="en-US" w:eastAsia="zh-CN"/>
                    </w:rPr>
                  </w:pPr>
                  <w:r>
                    <w:rPr>
                      <w:rFonts w:hint="eastAsia"/>
                      <w:lang w:val="en-US" w:eastAsia="zh-CN"/>
                    </w:rPr>
                    <w:t>N</w:t>
                  </w:r>
                </w:p>
              </w:tc>
              <w:tc>
                <w:tcPr>
                  <w:tcW w:w="840" w:type="dxa"/>
                  <w:shd w:val="clear" w:color="auto" w:fill="auto"/>
                  <w:noWrap w:val="0"/>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450-500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32" w:type="dxa"/>
                  <w:shd w:val="clear" w:color="auto" w:fill="auto"/>
                  <w:noWrap w:val="0"/>
                  <w:vAlign w:val="center"/>
                </w:tcPr>
                <w:p>
                  <w:pPr>
                    <w:pStyle w:val="30"/>
                    <w:bidi w:val="0"/>
                    <w:rPr>
                      <w:rFonts w:ascii="Times New Roman" w:hAnsi="Times New Roman" w:eastAsia="宋体" w:cstheme="minorBidi"/>
                      <w:snapToGrid w:val="0"/>
                      <w:spacing w:val="6"/>
                      <w:kern w:val="2"/>
                      <w:sz w:val="21"/>
                      <w:szCs w:val="21"/>
                      <w:lang w:val="en-US" w:eastAsia="zh-CN" w:bidi="ar-SA"/>
                    </w:rPr>
                  </w:pPr>
                  <w:r>
                    <w:t>4</w:t>
                  </w:r>
                </w:p>
              </w:tc>
              <w:tc>
                <w:tcPr>
                  <w:tcW w:w="930" w:type="dxa"/>
                  <w:shd w:val="clear" w:color="auto" w:fill="auto"/>
                  <w:noWrap w:val="0"/>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鑫龙城上城</w:t>
                  </w:r>
                  <w:r>
                    <w:t>居民</w:t>
                  </w:r>
                </w:p>
              </w:tc>
              <w:tc>
                <w:tcPr>
                  <w:tcW w:w="868" w:type="dxa"/>
                  <w:noWrap w:val="0"/>
                  <w:vAlign w:val="center"/>
                </w:tcPr>
                <w:p>
                  <w:pPr>
                    <w:pStyle w:val="30"/>
                    <w:bidi w:val="0"/>
                    <w:rPr>
                      <w:rFonts w:hint="default" w:ascii="Times New Roman" w:hAnsi="Times New Roman" w:cs="Times New Roman"/>
                      <w:lang w:val="en-US" w:eastAsia="zh-CN"/>
                    </w:rPr>
                  </w:pPr>
                  <w:r>
                    <w:rPr>
                      <w:rFonts w:hint="default" w:ascii="Times New Roman" w:hAnsi="Times New Roman" w:cs="Times New Roman"/>
                      <w:lang w:val="en-US" w:eastAsia="zh-CN"/>
                    </w:rPr>
                    <w:t>111°38′2.60″</w:t>
                  </w:r>
                </w:p>
              </w:tc>
              <w:tc>
                <w:tcPr>
                  <w:tcW w:w="1193" w:type="dxa"/>
                  <w:noWrap w:val="0"/>
                  <w:vAlign w:val="center"/>
                </w:tcPr>
                <w:p>
                  <w:pPr>
                    <w:pStyle w:val="30"/>
                    <w:bidi w:val="0"/>
                    <w:rPr>
                      <w:rFonts w:hint="default" w:ascii="Times New Roman" w:hAnsi="Times New Roman" w:cs="Times New Roman"/>
                      <w:lang w:val="en-US" w:eastAsia="zh-CN"/>
                    </w:rPr>
                  </w:pPr>
                  <w:r>
                    <w:rPr>
                      <w:rFonts w:hint="default" w:ascii="Times New Roman" w:hAnsi="Times New Roman" w:cs="Times New Roman"/>
                      <w:lang w:val="en-US" w:eastAsia="zh-CN"/>
                    </w:rPr>
                    <w:t>26°14′20.70″</w:t>
                  </w:r>
                </w:p>
              </w:tc>
              <w:tc>
                <w:tcPr>
                  <w:tcW w:w="655" w:type="dxa"/>
                  <w:shd w:val="clear" w:color="auto" w:fill="auto"/>
                  <w:noWrap w:val="0"/>
                  <w:vAlign w:val="center"/>
                </w:tcPr>
                <w:p>
                  <w:pPr>
                    <w:pStyle w:val="30"/>
                    <w:bidi w:val="0"/>
                    <w:rPr>
                      <w:rFonts w:hint="eastAsia" w:ascii="Times New Roman" w:hAnsi="Times New Roman" w:eastAsia="宋体" w:cstheme="minorBidi"/>
                      <w:snapToGrid w:val="0"/>
                      <w:spacing w:val="6"/>
                      <w:kern w:val="2"/>
                      <w:sz w:val="21"/>
                      <w:szCs w:val="21"/>
                      <w:lang w:val="en-US" w:eastAsia="zh-CN" w:bidi="ar-SA"/>
                    </w:rPr>
                  </w:pPr>
                  <w:r>
                    <w:rPr>
                      <w:rFonts w:hint="eastAsia"/>
                      <w:lang w:val="en-US" w:eastAsia="zh-CN"/>
                    </w:rPr>
                    <w:t>居民</w:t>
                  </w:r>
                </w:p>
              </w:tc>
              <w:tc>
                <w:tcPr>
                  <w:tcW w:w="1095" w:type="dxa"/>
                  <w:shd w:val="clear" w:color="auto" w:fill="auto"/>
                  <w:noWrap w:val="0"/>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人群（3000人）</w:t>
                  </w:r>
                </w:p>
              </w:tc>
              <w:tc>
                <w:tcPr>
                  <w:tcW w:w="1215" w:type="dxa"/>
                  <w:vMerge w:val="continue"/>
                  <w:noWrap w:val="0"/>
                  <w:vAlign w:val="center"/>
                </w:tcPr>
                <w:p>
                  <w:pPr>
                    <w:pStyle w:val="30"/>
                    <w:bidi w:val="0"/>
                  </w:pPr>
                </w:p>
              </w:tc>
              <w:tc>
                <w:tcPr>
                  <w:tcW w:w="593" w:type="dxa"/>
                  <w:noWrap w:val="0"/>
                  <w:vAlign w:val="center"/>
                </w:tcPr>
                <w:p>
                  <w:pPr>
                    <w:pStyle w:val="30"/>
                    <w:bidi w:val="0"/>
                    <w:rPr>
                      <w:rFonts w:hint="default"/>
                      <w:lang w:val="en-US" w:eastAsia="zh-CN"/>
                    </w:rPr>
                  </w:pPr>
                  <w:r>
                    <w:rPr>
                      <w:rFonts w:hint="eastAsia"/>
                      <w:lang w:val="en-US" w:eastAsia="zh-CN"/>
                    </w:rPr>
                    <w:t>WN</w:t>
                  </w:r>
                </w:p>
              </w:tc>
              <w:tc>
                <w:tcPr>
                  <w:tcW w:w="840" w:type="dxa"/>
                  <w:shd w:val="clear" w:color="auto" w:fill="auto"/>
                  <w:noWrap w:val="0"/>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100-500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32" w:type="dxa"/>
                  <w:shd w:val="clear" w:color="auto" w:fill="auto"/>
                  <w:noWrap w:val="0"/>
                  <w:vAlign w:val="center"/>
                </w:tcPr>
                <w:p>
                  <w:pPr>
                    <w:pStyle w:val="30"/>
                    <w:bidi w:val="0"/>
                    <w:rPr>
                      <w:rFonts w:ascii="Times New Roman" w:hAnsi="Times New Roman" w:eastAsia="宋体" w:cstheme="minorBidi"/>
                      <w:snapToGrid w:val="0"/>
                      <w:spacing w:val="6"/>
                      <w:kern w:val="2"/>
                      <w:sz w:val="21"/>
                      <w:szCs w:val="21"/>
                      <w:lang w:val="en-US" w:eastAsia="zh-CN" w:bidi="ar-SA"/>
                    </w:rPr>
                  </w:pPr>
                  <w:r>
                    <w:t>5</w:t>
                  </w:r>
                </w:p>
              </w:tc>
              <w:tc>
                <w:tcPr>
                  <w:tcW w:w="930" w:type="dxa"/>
                  <w:shd w:val="clear" w:color="auto" w:fill="auto"/>
                  <w:noWrap w:val="0"/>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日升小区</w:t>
                  </w:r>
                  <w:r>
                    <w:t>居民</w:t>
                  </w:r>
                </w:p>
              </w:tc>
              <w:tc>
                <w:tcPr>
                  <w:tcW w:w="868" w:type="dxa"/>
                  <w:noWrap w:val="0"/>
                  <w:vAlign w:val="center"/>
                </w:tcPr>
                <w:p>
                  <w:pPr>
                    <w:pStyle w:val="30"/>
                    <w:bidi w:val="0"/>
                    <w:rPr>
                      <w:rFonts w:hint="default" w:ascii="Times New Roman" w:hAnsi="Times New Roman" w:cs="Times New Roman"/>
                      <w:lang w:val="en-US" w:eastAsia="zh-CN"/>
                    </w:rPr>
                  </w:pPr>
                  <w:r>
                    <w:rPr>
                      <w:rFonts w:hint="default" w:ascii="Times New Roman" w:hAnsi="Times New Roman" w:cs="Times New Roman"/>
                      <w:lang w:val="en-US" w:eastAsia="zh-CN"/>
                    </w:rPr>
                    <w:t>111°38′2.41″</w:t>
                  </w:r>
                </w:p>
              </w:tc>
              <w:tc>
                <w:tcPr>
                  <w:tcW w:w="1193" w:type="dxa"/>
                  <w:noWrap w:val="0"/>
                  <w:vAlign w:val="center"/>
                </w:tcPr>
                <w:p>
                  <w:pPr>
                    <w:pStyle w:val="30"/>
                    <w:bidi w:val="0"/>
                    <w:rPr>
                      <w:rFonts w:hint="default" w:ascii="Times New Roman" w:hAnsi="Times New Roman" w:cs="Times New Roman"/>
                      <w:lang w:val="en-US" w:eastAsia="zh-CN"/>
                    </w:rPr>
                  </w:pPr>
                  <w:r>
                    <w:rPr>
                      <w:rFonts w:hint="default" w:ascii="Times New Roman" w:hAnsi="Times New Roman" w:cs="Times New Roman"/>
                      <w:lang w:val="en-US" w:eastAsia="zh-CN"/>
                    </w:rPr>
                    <w:t>26°14′13.42″</w:t>
                  </w:r>
                </w:p>
              </w:tc>
              <w:tc>
                <w:tcPr>
                  <w:tcW w:w="655" w:type="dxa"/>
                  <w:shd w:val="clear" w:color="auto" w:fill="auto"/>
                  <w:noWrap w:val="0"/>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居民</w:t>
                  </w:r>
                </w:p>
              </w:tc>
              <w:tc>
                <w:tcPr>
                  <w:tcW w:w="1095" w:type="dxa"/>
                  <w:shd w:val="clear" w:color="auto" w:fill="auto"/>
                  <w:noWrap w:val="0"/>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人群（2000人）</w:t>
                  </w:r>
                </w:p>
              </w:tc>
              <w:tc>
                <w:tcPr>
                  <w:tcW w:w="1215" w:type="dxa"/>
                  <w:vMerge w:val="continue"/>
                  <w:noWrap w:val="0"/>
                  <w:vAlign w:val="center"/>
                </w:tcPr>
                <w:p>
                  <w:pPr>
                    <w:pStyle w:val="30"/>
                    <w:bidi w:val="0"/>
                  </w:pPr>
                </w:p>
              </w:tc>
              <w:tc>
                <w:tcPr>
                  <w:tcW w:w="593" w:type="dxa"/>
                  <w:noWrap w:val="0"/>
                  <w:vAlign w:val="center"/>
                </w:tcPr>
                <w:p>
                  <w:pPr>
                    <w:pStyle w:val="30"/>
                    <w:bidi w:val="0"/>
                    <w:rPr>
                      <w:rFonts w:hint="default"/>
                      <w:lang w:val="en-US" w:eastAsia="zh-CN"/>
                    </w:rPr>
                  </w:pPr>
                  <w:r>
                    <w:rPr>
                      <w:rFonts w:hint="eastAsia"/>
                      <w:lang w:val="en-US" w:eastAsia="zh-CN"/>
                    </w:rPr>
                    <w:t>SW</w:t>
                  </w:r>
                </w:p>
              </w:tc>
              <w:tc>
                <w:tcPr>
                  <w:tcW w:w="840" w:type="dxa"/>
                  <w:shd w:val="clear" w:color="auto" w:fill="auto"/>
                  <w:noWrap w:val="0"/>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137-500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32" w:type="dxa"/>
                  <w:noWrap w:val="0"/>
                  <w:vAlign w:val="center"/>
                </w:tcPr>
                <w:p>
                  <w:pPr>
                    <w:pStyle w:val="30"/>
                    <w:bidi w:val="0"/>
                    <w:rPr>
                      <w:rFonts w:hint="eastAsia" w:eastAsia="宋体"/>
                      <w:lang w:val="en-US" w:eastAsia="zh-CN"/>
                    </w:rPr>
                  </w:pPr>
                  <w:r>
                    <w:rPr>
                      <w:rFonts w:hint="eastAsia"/>
                      <w:lang w:val="en-US" w:eastAsia="zh-CN"/>
                    </w:rPr>
                    <w:t>6</w:t>
                  </w:r>
                </w:p>
              </w:tc>
              <w:tc>
                <w:tcPr>
                  <w:tcW w:w="930" w:type="dxa"/>
                  <w:shd w:val="clear" w:color="auto" w:fill="auto"/>
                  <w:noWrap w:val="0"/>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七里店社区居民</w:t>
                  </w:r>
                </w:p>
              </w:tc>
              <w:tc>
                <w:tcPr>
                  <w:tcW w:w="868" w:type="dxa"/>
                  <w:noWrap w:val="0"/>
                  <w:vAlign w:val="center"/>
                </w:tcPr>
                <w:p>
                  <w:pPr>
                    <w:pStyle w:val="30"/>
                    <w:bidi w:val="0"/>
                    <w:rPr>
                      <w:rFonts w:hint="default" w:ascii="Times New Roman" w:hAnsi="Times New Roman" w:cs="Times New Roman"/>
                      <w:lang w:val="en-US" w:eastAsia="zh-CN"/>
                    </w:rPr>
                  </w:pPr>
                  <w:r>
                    <w:rPr>
                      <w:rFonts w:hint="default" w:ascii="Times New Roman" w:hAnsi="Times New Roman" w:cs="Times New Roman"/>
                      <w:lang w:val="en-US" w:eastAsia="zh-CN"/>
                    </w:rPr>
                    <w:t>111°38′8.09″</w:t>
                  </w:r>
                </w:p>
              </w:tc>
              <w:tc>
                <w:tcPr>
                  <w:tcW w:w="1193" w:type="dxa"/>
                  <w:noWrap w:val="0"/>
                  <w:vAlign w:val="center"/>
                </w:tcPr>
                <w:p>
                  <w:pPr>
                    <w:pStyle w:val="30"/>
                    <w:bidi w:val="0"/>
                    <w:rPr>
                      <w:rFonts w:hint="default" w:ascii="Times New Roman" w:hAnsi="Times New Roman" w:cs="Times New Roman"/>
                      <w:lang w:val="en-US" w:eastAsia="zh-CN"/>
                    </w:rPr>
                  </w:pPr>
                  <w:r>
                    <w:rPr>
                      <w:rFonts w:hint="default" w:ascii="Times New Roman" w:hAnsi="Times New Roman" w:cs="Times New Roman"/>
                      <w:lang w:val="en-US" w:eastAsia="zh-CN"/>
                    </w:rPr>
                    <w:t>26°14′16.53″</w:t>
                  </w:r>
                </w:p>
              </w:tc>
              <w:tc>
                <w:tcPr>
                  <w:tcW w:w="655" w:type="dxa"/>
                  <w:shd w:val="clear" w:color="auto" w:fill="auto"/>
                  <w:noWrap w:val="0"/>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居民</w:t>
                  </w:r>
                </w:p>
              </w:tc>
              <w:tc>
                <w:tcPr>
                  <w:tcW w:w="1095" w:type="dxa"/>
                  <w:shd w:val="clear" w:color="auto" w:fill="auto"/>
                  <w:noWrap w:val="0"/>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人群（200人）</w:t>
                  </w:r>
                </w:p>
              </w:tc>
              <w:tc>
                <w:tcPr>
                  <w:tcW w:w="1215" w:type="dxa"/>
                  <w:vMerge w:val="continue"/>
                  <w:noWrap w:val="0"/>
                  <w:vAlign w:val="center"/>
                </w:tcPr>
                <w:p>
                  <w:pPr>
                    <w:pStyle w:val="30"/>
                    <w:bidi w:val="0"/>
                  </w:pPr>
                </w:p>
              </w:tc>
              <w:tc>
                <w:tcPr>
                  <w:tcW w:w="593" w:type="dxa"/>
                  <w:noWrap w:val="0"/>
                  <w:vAlign w:val="center"/>
                </w:tcPr>
                <w:p>
                  <w:pPr>
                    <w:pStyle w:val="30"/>
                    <w:bidi w:val="0"/>
                    <w:rPr>
                      <w:rFonts w:hint="default"/>
                      <w:lang w:val="en-US" w:eastAsia="zh-CN"/>
                    </w:rPr>
                  </w:pPr>
                  <w:r>
                    <w:rPr>
                      <w:rFonts w:hint="eastAsia"/>
                      <w:lang w:val="en-US" w:eastAsia="zh-CN"/>
                    </w:rPr>
                    <w:t>S、E</w:t>
                  </w:r>
                </w:p>
              </w:tc>
              <w:tc>
                <w:tcPr>
                  <w:tcW w:w="840" w:type="dxa"/>
                  <w:shd w:val="clear" w:color="auto" w:fill="auto"/>
                  <w:noWrap w:val="0"/>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15-500</w:t>
                  </w:r>
                </w:p>
              </w:tc>
            </w:tr>
          </w:tbl>
          <w:p>
            <w:pPr>
              <w:pStyle w:val="29"/>
              <w:bidi w:val="0"/>
            </w:pPr>
            <w:r>
              <w:rPr>
                <w:rFonts w:hint="default"/>
                <w:lang w:val="en-US" w:eastAsia="zh-CN"/>
              </w:rPr>
              <w:t>表</w:t>
            </w:r>
            <w:r>
              <w:rPr>
                <w:rFonts w:hint="eastAsia"/>
                <w:lang w:val="en-US" w:eastAsia="zh-CN"/>
              </w:rPr>
              <w:t>3.2-2</w:t>
            </w:r>
            <w:r>
              <w:rPr>
                <w:rFonts w:hint="default"/>
                <w:lang w:eastAsia="zh-CN"/>
              </w:rPr>
              <w:t xml:space="preserve">  </w:t>
            </w:r>
            <w:r>
              <w:t>其他环境要素的保护目标表</w:t>
            </w:r>
          </w:p>
          <w:tbl>
            <w:tblPr>
              <w:tblStyle w:val="32"/>
              <w:tblW w:w="76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7"/>
              <w:gridCol w:w="1531"/>
              <w:gridCol w:w="1394"/>
              <w:gridCol w:w="1124"/>
              <w:gridCol w:w="924"/>
              <w:gridCol w:w="1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857" w:type="dxa"/>
                  <w:vAlign w:val="center"/>
                </w:tcPr>
                <w:p>
                  <w:pPr>
                    <w:pStyle w:val="30"/>
                    <w:bidi w:val="0"/>
                  </w:pPr>
                  <w:r>
                    <w:t>类别</w:t>
                  </w:r>
                </w:p>
              </w:tc>
              <w:tc>
                <w:tcPr>
                  <w:tcW w:w="1531" w:type="dxa"/>
                  <w:vAlign w:val="center"/>
                </w:tcPr>
                <w:p>
                  <w:pPr>
                    <w:pStyle w:val="30"/>
                    <w:bidi w:val="0"/>
                  </w:pPr>
                  <w:r>
                    <w:t>环保目标</w:t>
                  </w:r>
                </w:p>
              </w:tc>
              <w:tc>
                <w:tcPr>
                  <w:tcW w:w="1394" w:type="dxa"/>
                  <w:vAlign w:val="center"/>
                </w:tcPr>
                <w:p>
                  <w:pPr>
                    <w:pStyle w:val="30"/>
                    <w:bidi w:val="0"/>
                  </w:pPr>
                  <w:r>
                    <w:t>规模</w:t>
                  </w:r>
                </w:p>
              </w:tc>
              <w:tc>
                <w:tcPr>
                  <w:tcW w:w="1124" w:type="dxa"/>
                  <w:vAlign w:val="center"/>
                </w:tcPr>
                <w:p>
                  <w:pPr>
                    <w:pStyle w:val="30"/>
                    <w:bidi w:val="0"/>
                  </w:pPr>
                  <w:r>
                    <w:t>方位，直线距离</w:t>
                  </w:r>
                </w:p>
              </w:tc>
              <w:tc>
                <w:tcPr>
                  <w:tcW w:w="924" w:type="dxa"/>
                  <w:vAlign w:val="center"/>
                </w:tcPr>
                <w:p>
                  <w:pPr>
                    <w:pStyle w:val="30"/>
                    <w:bidi w:val="0"/>
                  </w:pPr>
                  <w:r>
                    <w:t>目标环境 功能</w:t>
                  </w:r>
                </w:p>
              </w:tc>
              <w:tc>
                <w:tcPr>
                  <w:tcW w:w="1794" w:type="dxa"/>
                  <w:vAlign w:val="center"/>
                </w:tcPr>
                <w:p>
                  <w:pPr>
                    <w:pStyle w:val="30"/>
                    <w:bidi w:val="0"/>
                  </w:pPr>
                  <w:r>
                    <w:t>保护</w:t>
                  </w:r>
                </w:p>
                <w:p>
                  <w:pPr>
                    <w:pStyle w:val="30"/>
                    <w:bidi w:val="0"/>
                  </w:pPr>
                  <w: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857" w:type="dxa"/>
                  <w:vMerge w:val="restart"/>
                  <w:vAlign w:val="center"/>
                </w:tcPr>
                <w:p>
                  <w:pPr>
                    <w:pStyle w:val="30"/>
                    <w:bidi w:val="0"/>
                  </w:pPr>
                  <w:r>
                    <w:t>水环境</w:t>
                  </w:r>
                </w:p>
              </w:tc>
              <w:tc>
                <w:tcPr>
                  <w:tcW w:w="1531" w:type="dxa"/>
                  <w:vAlign w:val="center"/>
                </w:tcPr>
                <w:p>
                  <w:pPr>
                    <w:pStyle w:val="30"/>
                    <w:bidi w:val="0"/>
                  </w:pPr>
                  <w:r>
                    <w:rPr>
                      <w:rFonts w:hint="eastAsia"/>
                      <w:lang w:eastAsia="zh-CN"/>
                    </w:rPr>
                    <w:t>茆江</w:t>
                  </w:r>
                  <w:r>
                    <w:t>河</w:t>
                  </w:r>
                </w:p>
              </w:tc>
              <w:tc>
                <w:tcPr>
                  <w:tcW w:w="1394" w:type="dxa"/>
                  <w:vAlign w:val="center"/>
                </w:tcPr>
                <w:p>
                  <w:pPr>
                    <w:pStyle w:val="30"/>
                    <w:bidi w:val="0"/>
                  </w:pPr>
                  <w:r>
                    <w:t>小河</w:t>
                  </w:r>
                </w:p>
              </w:tc>
              <w:tc>
                <w:tcPr>
                  <w:tcW w:w="1124" w:type="dxa"/>
                  <w:vAlign w:val="center"/>
                </w:tcPr>
                <w:p>
                  <w:pPr>
                    <w:pStyle w:val="30"/>
                    <w:bidi w:val="0"/>
                  </w:pPr>
                  <w:r>
                    <w:t xml:space="preserve">S </w:t>
                  </w:r>
                  <w:r>
                    <w:rPr>
                      <w:rFonts w:hint="eastAsia"/>
                      <w:lang w:val="en-US" w:eastAsia="zh-CN"/>
                    </w:rPr>
                    <w:t>15</w:t>
                  </w:r>
                  <w:r>
                    <w:t>10m</w:t>
                  </w:r>
                </w:p>
              </w:tc>
              <w:tc>
                <w:tcPr>
                  <w:tcW w:w="924" w:type="dxa"/>
                  <w:vAlign w:val="center"/>
                </w:tcPr>
                <w:p>
                  <w:pPr>
                    <w:pStyle w:val="30"/>
                    <w:bidi w:val="0"/>
                  </w:pPr>
                  <w:r>
                    <w:rPr>
                      <w:rFonts w:hint="eastAsia" w:ascii="Times New Roman" w:hAnsi="Times New Roman" w:eastAsia="宋体" w:cs="Times New Roman"/>
                      <w:color w:val="auto"/>
                      <w:sz w:val="21"/>
                      <w:szCs w:val="21"/>
                      <w:highlight w:val="none"/>
                      <w:lang w:val="en-US" w:eastAsia="zh-CN"/>
                    </w:rPr>
                    <w:t>农业</w:t>
                  </w:r>
                  <w:r>
                    <w:t>用水</w:t>
                  </w:r>
                </w:p>
              </w:tc>
              <w:tc>
                <w:tcPr>
                  <w:tcW w:w="1794" w:type="dxa"/>
                  <w:vMerge w:val="restart"/>
                  <w:vAlign w:val="center"/>
                </w:tcPr>
                <w:p>
                  <w:pPr>
                    <w:pStyle w:val="30"/>
                    <w:bidi w:val="0"/>
                  </w:pPr>
                  <w:r>
                    <w:rPr>
                      <w:rFonts w:hint="eastAsia"/>
                      <w:lang w:val="en-US" w:eastAsia="zh-CN"/>
                    </w:rPr>
                    <w:t>（</w:t>
                  </w:r>
                  <w:r>
                    <w:rPr>
                      <w:rFonts w:hint="default"/>
                      <w:lang w:val="en-US" w:eastAsia="zh-CN"/>
                    </w:rPr>
                    <w:t>GB3838-2002</w:t>
                  </w:r>
                  <w:r>
                    <w:rPr>
                      <w:rFonts w:hint="eastAsia"/>
                      <w:lang w:val="en-US" w:eastAsia="zh-CN"/>
                    </w:rPr>
                    <w:t>）</w:t>
                  </w:r>
                  <w:r>
                    <w:rPr>
                      <w:rFonts w:hint="eastAsia" w:ascii="微软雅黑" w:hAnsi="微软雅黑" w:eastAsia="微软雅黑" w:cs="微软雅黑"/>
                      <w:u w:val="single"/>
                      <w:lang w:val="en-US" w:eastAsia="zh-CN"/>
                    </w:rPr>
                    <w:t>Ⅲ</w:t>
                  </w:r>
                  <w:r>
                    <w:rPr>
                      <w:rFonts w:hint="eastAsia"/>
                      <w:u w:val="single"/>
                      <w:lang w:val="en-US"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857" w:type="dxa"/>
                  <w:vMerge w:val="continue"/>
                  <w:vAlign w:val="center"/>
                </w:tcPr>
                <w:p>
                  <w:pPr>
                    <w:pStyle w:val="30"/>
                    <w:bidi w:val="0"/>
                  </w:pPr>
                </w:p>
              </w:tc>
              <w:tc>
                <w:tcPr>
                  <w:tcW w:w="1531" w:type="dxa"/>
                  <w:vAlign w:val="center"/>
                </w:tcPr>
                <w:p>
                  <w:pPr>
                    <w:pStyle w:val="30"/>
                    <w:bidi w:val="0"/>
                    <w:rPr>
                      <w:rFonts w:hint="eastAsia"/>
                      <w:lang w:eastAsia="zh-CN"/>
                    </w:rPr>
                  </w:pPr>
                  <w:r>
                    <w:rPr>
                      <w:rFonts w:hint="eastAsia" w:ascii="Times New Roman" w:hAnsi="Times New Roman" w:eastAsia="宋体" w:cs="Times New Roman"/>
                      <w:color w:val="auto"/>
                      <w:sz w:val="21"/>
                      <w:szCs w:val="21"/>
                      <w:highlight w:val="none"/>
                      <w:lang w:val="en-US" w:eastAsia="zh-CN"/>
                    </w:rPr>
                    <w:t>潇水</w:t>
                  </w:r>
                </w:p>
              </w:tc>
              <w:tc>
                <w:tcPr>
                  <w:tcW w:w="1394" w:type="dxa"/>
                  <w:vAlign w:val="center"/>
                </w:tcPr>
                <w:p>
                  <w:pPr>
                    <w:pStyle w:val="30"/>
                    <w:bidi w:val="0"/>
                  </w:pPr>
                  <w:r>
                    <w:rPr>
                      <w:rFonts w:hint="eastAsia"/>
                      <w:lang w:eastAsia="zh-CN"/>
                    </w:rPr>
                    <w:t>大</w:t>
                  </w:r>
                  <w:r>
                    <w:t>河</w:t>
                  </w:r>
                </w:p>
              </w:tc>
              <w:tc>
                <w:tcPr>
                  <w:tcW w:w="1124" w:type="dxa"/>
                  <w:vAlign w:val="center"/>
                </w:tcPr>
                <w:p>
                  <w:pPr>
                    <w:pStyle w:val="30"/>
                    <w:bidi w:val="0"/>
                  </w:pPr>
                  <w:r>
                    <w:rPr>
                      <w:rFonts w:hint="eastAsia"/>
                      <w:lang w:val="en-US" w:eastAsia="zh-CN"/>
                    </w:rPr>
                    <w:t>W 23</w:t>
                  </w:r>
                  <w:r>
                    <w:t>00m</w:t>
                  </w:r>
                </w:p>
              </w:tc>
              <w:tc>
                <w:tcPr>
                  <w:tcW w:w="924" w:type="dxa"/>
                  <w:vAlign w:val="center"/>
                </w:tcPr>
                <w:p>
                  <w:pPr>
                    <w:pStyle w:val="30"/>
                    <w:bidi w:val="0"/>
                  </w:pPr>
                  <w:r>
                    <w:t>渔业用水</w:t>
                  </w:r>
                </w:p>
              </w:tc>
              <w:tc>
                <w:tcPr>
                  <w:tcW w:w="1794"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857" w:type="dxa"/>
                  <w:vMerge w:val="restart"/>
                  <w:vAlign w:val="center"/>
                </w:tcPr>
                <w:p>
                  <w:pPr>
                    <w:pStyle w:val="30"/>
                    <w:bidi w:val="0"/>
                  </w:pPr>
                  <w:r>
                    <w:t>声环境</w:t>
                  </w:r>
                </w:p>
              </w:tc>
              <w:tc>
                <w:tcPr>
                  <w:tcW w:w="1531" w:type="dxa"/>
                  <w:vAlign w:val="center"/>
                </w:tcPr>
                <w:p>
                  <w:pPr>
                    <w:pStyle w:val="30"/>
                    <w:bidi w:val="0"/>
                    <w:rPr>
                      <w:lang w:val="en-US" w:eastAsia="zh-CN"/>
                    </w:rPr>
                  </w:pPr>
                  <w:r>
                    <w:rPr>
                      <w:rFonts w:hint="eastAsia"/>
                      <w:lang w:val="en-US" w:eastAsia="zh-CN"/>
                    </w:rPr>
                    <w:t>天誉华府</w:t>
                  </w:r>
                  <w:r>
                    <w:t>居民</w:t>
                  </w:r>
                </w:p>
              </w:tc>
              <w:tc>
                <w:tcPr>
                  <w:tcW w:w="1394" w:type="dxa"/>
                  <w:vAlign w:val="center"/>
                </w:tcPr>
                <w:p>
                  <w:pPr>
                    <w:pStyle w:val="30"/>
                    <w:bidi w:val="0"/>
                    <w:rPr>
                      <w:lang w:val="en-US" w:eastAsia="zh-CN"/>
                    </w:rPr>
                  </w:pPr>
                  <w:r>
                    <w:rPr>
                      <w:rFonts w:hint="eastAsia"/>
                      <w:lang w:val="en-US" w:eastAsia="zh-CN"/>
                    </w:rPr>
                    <w:t>人群（300人）</w:t>
                  </w:r>
                </w:p>
              </w:tc>
              <w:tc>
                <w:tcPr>
                  <w:tcW w:w="1124" w:type="dxa"/>
                  <w:vAlign w:val="center"/>
                </w:tcPr>
                <w:p>
                  <w:pPr>
                    <w:pStyle w:val="30"/>
                    <w:bidi w:val="0"/>
                    <w:rPr>
                      <w:lang w:val="en-US" w:eastAsia="zh-CN"/>
                    </w:rPr>
                  </w:pPr>
                  <w:r>
                    <w:t>W 1</w:t>
                  </w:r>
                  <w:r>
                    <w:rPr>
                      <w:rFonts w:hint="eastAsia"/>
                      <w:lang w:val="en-US" w:eastAsia="zh-CN"/>
                    </w:rPr>
                    <w:t>0</w:t>
                  </w:r>
                  <w:r>
                    <w:t>~200m</w:t>
                  </w:r>
                </w:p>
              </w:tc>
              <w:tc>
                <w:tcPr>
                  <w:tcW w:w="924" w:type="dxa"/>
                  <w:vAlign w:val="center"/>
                </w:tcPr>
                <w:p>
                  <w:pPr>
                    <w:pStyle w:val="30"/>
                    <w:bidi w:val="0"/>
                    <w:rPr>
                      <w:lang w:val="en-US" w:eastAsia="zh-CN"/>
                    </w:rPr>
                  </w:pPr>
                  <w:r>
                    <w:t>居住区</w:t>
                  </w:r>
                </w:p>
              </w:tc>
              <w:tc>
                <w:tcPr>
                  <w:tcW w:w="1794" w:type="dxa"/>
                  <w:vMerge w:val="restart"/>
                  <w:vAlign w:val="center"/>
                </w:tcPr>
                <w:p>
                  <w:pPr>
                    <w:pStyle w:val="30"/>
                    <w:bidi w:val="0"/>
                  </w:pPr>
                  <w:r>
                    <w:rPr>
                      <w:rFonts w:hint="eastAsia"/>
                      <w:lang w:val="en-US" w:eastAsia="zh-CN"/>
                    </w:rPr>
                    <w:t>（</w:t>
                  </w:r>
                  <w:r>
                    <w:rPr>
                      <w:rFonts w:hint="default"/>
                      <w:lang w:val="en-US" w:eastAsia="zh-CN"/>
                    </w:rPr>
                    <w:t>GB3096-2008</w:t>
                  </w:r>
                  <w:r>
                    <w:rPr>
                      <w:rFonts w:hint="eastAsia"/>
                      <w:lang w:val="en-US" w:eastAsia="zh-CN"/>
                    </w:rPr>
                    <w:t>）</w:t>
                  </w:r>
                  <w:r>
                    <w:rPr>
                      <w:rFonts w:hint="default"/>
                      <w:lang w:val="en-US" w:eastAsia="zh-CN"/>
                    </w:rPr>
                    <w:t xml:space="preserve">2 </w:t>
                  </w:r>
                  <w:r>
                    <w:rPr>
                      <w:rFonts w:hint="eastAsia"/>
                      <w:lang w:val="en-US"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857" w:type="dxa"/>
                  <w:vMerge w:val="continue"/>
                  <w:vAlign w:val="center"/>
                </w:tcPr>
                <w:p>
                  <w:pPr>
                    <w:pStyle w:val="30"/>
                    <w:bidi w:val="0"/>
                  </w:pPr>
                </w:p>
              </w:tc>
              <w:tc>
                <w:tcPr>
                  <w:tcW w:w="1531" w:type="dxa"/>
                  <w:vAlign w:val="center"/>
                </w:tcPr>
                <w:p>
                  <w:pPr>
                    <w:pStyle w:val="30"/>
                    <w:bidi w:val="0"/>
                    <w:ind w:firstLine="0" w:firstLineChars="0"/>
                    <w:rPr>
                      <w:rFonts w:ascii="Times New Roman" w:hAnsi="Times New Roman" w:eastAsia="宋体" w:cstheme="minorBidi"/>
                      <w:kern w:val="2"/>
                      <w:sz w:val="21"/>
                      <w:szCs w:val="21"/>
                      <w:lang w:val="en-US" w:eastAsia="zh-CN" w:bidi="zh-CN"/>
                    </w:rPr>
                  </w:pPr>
                  <w:r>
                    <w:rPr>
                      <w:rFonts w:hint="eastAsia"/>
                      <w:lang w:val="en-US" w:eastAsia="zh-CN"/>
                    </w:rPr>
                    <w:t>七里店社区居民</w:t>
                  </w:r>
                  <w:r>
                    <w:t>居民点</w:t>
                  </w:r>
                </w:p>
              </w:tc>
              <w:tc>
                <w:tcPr>
                  <w:tcW w:w="1394" w:type="dxa"/>
                  <w:vAlign w:val="center"/>
                </w:tcPr>
                <w:p>
                  <w:pPr>
                    <w:pStyle w:val="30"/>
                    <w:bidi w:val="0"/>
                    <w:ind w:firstLine="0" w:firstLineChars="0"/>
                    <w:rPr>
                      <w:rFonts w:ascii="Times New Roman" w:hAnsi="Times New Roman" w:eastAsia="宋体" w:cstheme="minorBidi"/>
                      <w:kern w:val="2"/>
                      <w:sz w:val="21"/>
                      <w:szCs w:val="21"/>
                      <w:lang w:val="en-US" w:eastAsia="zh-CN" w:bidi="zh-CN"/>
                    </w:rPr>
                  </w:pPr>
                  <w:r>
                    <w:rPr>
                      <w:rFonts w:hint="eastAsia"/>
                      <w:lang w:val="en-US" w:eastAsia="zh-CN"/>
                    </w:rPr>
                    <w:t>人群（40人）</w:t>
                  </w:r>
                </w:p>
              </w:tc>
              <w:tc>
                <w:tcPr>
                  <w:tcW w:w="1124" w:type="dxa"/>
                  <w:vAlign w:val="center"/>
                </w:tcPr>
                <w:p>
                  <w:pPr>
                    <w:pStyle w:val="30"/>
                    <w:bidi w:val="0"/>
                    <w:ind w:firstLine="0" w:firstLineChars="0"/>
                    <w:rPr>
                      <w:rFonts w:ascii="Times New Roman" w:hAnsi="Times New Roman" w:eastAsia="宋体" w:cstheme="minorBidi"/>
                      <w:kern w:val="2"/>
                      <w:sz w:val="21"/>
                      <w:szCs w:val="21"/>
                      <w:lang w:val="en-US" w:eastAsia="zh-CN" w:bidi="zh-CN"/>
                    </w:rPr>
                  </w:pPr>
                  <w:r>
                    <w:rPr>
                      <w:rFonts w:hint="eastAsia"/>
                      <w:lang w:val="en-US" w:eastAsia="zh-CN"/>
                    </w:rPr>
                    <w:t>E</w:t>
                  </w:r>
                  <w:r>
                    <w:t xml:space="preserve"> </w:t>
                  </w:r>
                  <w:r>
                    <w:rPr>
                      <w:rFonts w:hint="eastAsia"/>
                      <w:lang w:val="en-US" w:eastAsia="zh-CN"/>
                    </w:rPr>
                    <w:t>8</w:t>
                  </w:r>
                  <w:r>
                    <w:t>0~ 195m</w:t>
                  </w:r>
                </w:p>
              </w:tc>
              <w:tc>
                <w:tcPr>
                  <w:tcW w:w="924" w:type="dxa"/>
                  <w:vAlign w:val="center"/>
                </w:tcPr>
                <w:p>
                  <w:pPr>
                    <w:pStyle w:val="30"/>
                    <w:bidi w:val="0"/>
                    <w:ind w:firstLine="0" w:firstLineChars="0"/>
                    <w:rPr>
                      <w:rFonts w:ascii="Times New Roman" w:hAnsi="Times New Roman" w:eastAsia="宋体" w:cstheme="minorBidi"/>
                      <w:kern w:val="2"/>
                      <w:sz w:val="21"/>
                      <w:szCs w:val="21"/>
                      <w:lang w:val="en-US" w:eastAsia="zh-CN" w:bidi="zh-CN"/>
                    </w:rPr>
                  </w:pPr>
                  <w:r>
                    <w:t>居住区</w:t>
                  </w:r>
                </w:p>
              </w:tc>
              <w:tc>
                <w:tcPr>
                  <w:tcW w:w="1794" w:type="dxa"/>
                  <w:vMerge w:val="continue"/>
                  <w:vAlign w:val="center"/>
                </w:tcPr>
                <w:p>
                  <w:pPr>
                    <w:pStyle w:val="30"/>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857" w:type="dxa"/>
                  <w:vAlign w:val="center"/>
                </w:tcPr>
                <w:p>
                  <w:pPr>
                    <w:pStyle w:val="30"/>
                    <w:bidi w:val="0"/>
                  </w:pPr>
                  <w:r>
                    <w:t>生态</w:t>
                  </w:r>
                </w:p>
                <w:p>
                  <w:pPr>
                    <w:pStyle w:val="30"/>
                    <w:bidi w:val="0"/>
                  </w:pPr>
                  <w:r>
                    <w:t>环境</w:t>
                  </w:r>
                </w:p>
              </w:tc>
              <w:tc>
                <w:tcPr>
                  <w:tcW w:w="6767" w:type="dxa"/>
                  <w:gridSpan w:val="5"/>
                  <w:vAlign w:val="center"/>
                </w:tcPr>
                <w:p>
                  <w:pPr>
                    <w:pStyle w:val="30"/>
                    <w:bidi w:val="0"/>
                    <w:rPr>
                      <w:rFonts w:hint="eastAsia" w:eastAsia="宋体"/>
                      <w:lang w:eastAsia="zh-CN"/>
                    </w:rPr>
                  </w:pPr>
                  <w:r>
                    <w:rPr>
                      <w:rFonts w:hint="eastAsia"/>
                      <w:lang w:val="en-US" w:eastAsia="zh-CN"/>
                    </w:rPr>
                    <w:t>项目周边不涉及生态敏感区，保护目标主要考虑项目周边农田、林地、植被等生态环境。</w:t>
                  </w:r>
                  <w:r>
                    <w:t>项目地及周界外</w:t>
                  </w:r>
                  <w:r>
                    <w:rPr>
                      <w:rFonts w:hint="eastAsia"/>
                      <w:lang w:val="en-US" w:eastAsia="zh-CN"/>
                    </w:rPr>
                    <w:t>2</w:t>
                  </w:r>
                  <w:r>
                    <w:t>00m范围内</w:t>
                  </w:r>
                  <w:r>
                    <w:rPr>
                      <w:rFonts w:hint="eastAsia"/>
                      <w:lang w:eastAsia="zh-CN"/>
                    </w:rPr>
                    <w:t>。</w:t>
                  </w:r>
                </w:p>
              </w:tc>
            </w:tr>
          </w:tbl>
          <w:p>
            <w:pPr>
              <w:adjustRightInd w:val="0"/>
              <w:snapToGrid w:val="0"/>
              <w:rPr>
                <w:rFonts w:ascii="宋体" w:hAnsi="宋体" w:cs="宋体"/>
                <w:color w:val="auto"/>
                <w:kern w:val="0"/>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8" w:type="dxa"/>
            <w:noWrap w:val="0"/>
            <w:tcMar>
              <w:left w:w="28" w:type="dxa"/>
              <w:right w:w="28" w:type="dxa"/>
            </w:tcMar>
            <w:vAlign w:val="center"/>
          </w:tcPr>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污染</w:t>
            </w:r>
          </w:p>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物排</w:t>
            </w:r>
          </w:p>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放控</w:t>
            </w:r>
          </w:p>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制标</w:t>
            </w:r>
          </w:p>
          <w:p>
            <w:pPr>
              <w:adjustRightInd w:val="0"/>
              <w:snapToGrid w:val="0"/>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准</w:t>
            </w:r>
          </w:p>
        </w:tc>
        <w:tc>
          <w:tcPr>
            <w:tcW w:w="7853" w:type="dxa"/>
            <w:noWrap w:val="0"/>
            <w:vAlign w:val="center"/>
          </w:tcPr>
          <w:p>
            <w:pPr>
              <w:bidi w:val="0"/>
            </w:pPr>
            <w:r>
              <w:t>1</w:t>
            </w:r>
            <w:r>
              <w:rPr>
                <w:rFonts w:hint="eastAsia"/>
              </w:rPr>
              <w:t>、废气</w:t>
            </w:r>
          </w:p>
          <w:p>
            <w:pPr>
              <w:pStyle w:val="12"/>
              <w:bidi w:val="0"/>
            </w:pPr>
            <w:r>
              <w:t>医院污水处理站臭气无组织排放执行《医疗机构水污染物排放标准》（GB18466-2005）表3中标准</w:t>
            </w:r>
            <w:r>
              <w:rPr>
                <w:rFonts w:hint="eastAsia"/>
                <w:lang w:eastAsia="zh-CN"/>
              </w:rPr>
              <w:t>，</w:t>
            </w:r>
            <w:r>
              <w:rPr>
                <w:rFonts w:hint="eastAsia"/>
                <w:lang w:val="en-US" w:eastAsia="zh-CN"/>
              </w:rPr>
              <w:t>其他执行《大气污染物综合排放标准》（</w:t>
            </w:r>
            <w:r>
              <w:rPr>
                <w:rFonts w:hint="default"/>
                <w:lang w:val="en-US" w:eastAsia="zh-CN"/>
              </w:rPr>
              <w:t>GB16297-1996</w:t>
            </w:r>
            <w:r>
              <w:rPr>
                <w:rFonts w:hint="eastAsia"/>
                <w:lang w:val="en-US" w:eastAsia="zh-CN"/>
              </w:rPr>
              <w:t>）中的二级标准；</w:t>
            </w:r>
            <w:r>
              <w:rPr>
                <w:lang w:val="en-US" w:eastAsia="zh-CN"/>
              </w:rPr>
              <w:t>食堂油烟参照执行《饮食业油烟排放标准</w:t>
            </w:r>
            <w:r>
              <w:rPr>
                <w:rFonts w:hint="eastAsia"/>
                <w:lang w:val="en-US" w:eastAsia="zh-CN"/>
              </w:rPr>
              <w:t>》</w:t>
            </w:r>
            <w:r>
              <w:rPr>
                <w:lang w:val="en-US" w:eastAsia="zh-CN"/>
              </w:rPr>
              <w:t>（GB18483-2001）</w:t>
            </w:r>
            <w:r>
              <w:rPr>
                <w:rFonts w:hint="eastAsia"/>
                <w:lang w:val="en-US" w:eastAsia="zh-CN"/>
              </w:rPr>
              <w:t>大</w:t>
            </w:r>
            <w:r>
              <w:rPr>
                <w:lang w:val="en-US" w:eastAsia="zh-CN"/>
              </w:rPr>
              <w:t>型标准</w:t>
            </w:r>
            <w:r>
              <w:rPr>
                <w:rFonts w:hint="eastAsia"/>
                <w:lang w:val="en-US" w:eastAsia="zh-CN"/>
              </w:rPr>
              <w:t>。</w:t>
            </w:r>
            <w:r>
              <w:t>具体标准值详见下表。</w:t>
            </w:r>
          </w:p>
          <w:p>
            <w:pPr>
              <w:pStyle w:val="29"/>
              <w:bidi w:val="0"/>
              <w:rPr>
                <w:rFonts w:hint="default"/>
                <w:lang w:val="en-US" w:eastAsia="zh-CN"/>
              </w:rPr>
            </w:pPr>
            <w:r>
              <w:rPr>
                <w:lang w:val="en-US" w:eastAsia="zh-CN"/>
              </w:rPr>
              <w:t>表</w:t>
            </w:r>
            <w:r>
              <w:rPr>
                <w:rFonts w:hint="eastAsia"/>
                <w:lang w:val="en-US" w:eastAsia="zh-CN"/>
              </w:rPr>
              <w:t>3.3-1</w:t>
            </w:r>
            <w:r>
              <w:rPr>
                <w:lang w:val="en-US" w:eastAsia="zh-CN"/>
              </w:rPr>
              <w:t xml:space="preserve"> </w:t>
            </w:r>
            <w:r>
              <w:rPr>
                <w:rFonts w:hint="eastAsia"/>
                <w:lang w:val="en-US" w:eastAsia="zh-CN"/>
              </w:rPr>
              <w:t>《医疗机构水污染物排放标准》（GB18466-2005）（摘录）</w:t>
            </w:r>
          </w:p>
          <w:tbl>
            <w:tblPr>
              <w:tblStyle w:val="28"/>
              <w:tblW w:w="836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9"/>
              <w:gridCol w:w="1888"/>
              <w:gridCol w:w="2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689" w:type="dxa"/>
                  <w:tcBorders>
                    <w:tl2br w:val="nil"/>
                    <w:tr2bl w:val="nil"/>
                  </w:tcBorders>
                  <w:noWrap w:val="0"/>
                  <w:vAlign w:val="center"/>
                </w:tcPr>
                <w:p>
                  <w:pPr>
                    <w:pStyle w:val="30"/>
                    <w:bidi w:val="0"/>
                    <w:rPr>
                      <w:rFonts w:hint="default"/>
                      <w:lang w:val="en-US" w:eastAsia="zh-CN"/>
                    </w:rPr>
                  </w:pPr>
                  <w:r>
                    <w:rPr>
                      <w:rFonts w:hint="eastAsia"/>
                      <w:lang w:val="en-US" w:eastAsia="zh-CN"/>
                    </w:rPr>
                    <w:t>控制项目</w:t>
                  </w:r>
                </w:p>
              </w:tc>
              <w:tc>
                <w:tcPr>
                  <w:tcW w:w="1888" w:type="dxa"/>
                  <w:tcBorders>
                    <w:tl2br w:val="nil"/>
                    <w:tr2bl w:val="nil"/>
                  </w:tcBorders>
                  <w:noWrap w:val="0"/>
                  <w:vAlign w:val="center"/>
                </w:tcPr>
                <w:p>
                  <w:pPr>
                    <w:pStyle w:val="30"/>
                    <w:bidi w:val="0"/>
                    <w:rPr>
                      <w:rFonts w:hint="default"/>
                      <w:lang w:val="en-US" w:eastAsia="zh-CN"/>
                    </w:rPr>
                  </w:pPr>
                  <w:r>
                    <w:rPr>
                      <w:rFonts w:hint="eastAsia"/>
                      <w:lang w:val="en-US" w:eastAsia="zh-CN"/>
                    </w:rPr>
                    <w:t>单位</w:t>
                  </w:r>
                </w:p>
              </w:tc>
              <w:tc>
                <w:tcPr>
                  <w:tcW w:w="2790" w:type="dxa"/>
                  <w:tcBorders>
                    <w:tl2br w:val="nil"/>
                    <w:tr2bl w:val="nil"/>
                  </w:tcBorders>
                  <w:noWrap w:val="0"/>
                  <w:vAlign w:val="center"/>
                </w:tcPr>
                <w:p>
                  <w:pPr>
                    <w:pStyle w:val="30"/>
                    <w:bidi w:val="0"/>
                    <w:rPr>
                      <w:rFonts w:hint="default"/>
                      <w:lang w:val="en-US" w:eastAsia="zh-CN"/>
                    </w:rPr>
                  </w:pPr>
                  <w:r>
                    <w:rPr>
                      <w:rFonts w:hint="eastAsia"/>
                      <w:lang w:val="en-US" w:eastAsia="zh-CN"/>
                    </w:rPr>
                    <w:t>浓度标准限值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689" w:type="dxa"/>
                  <w:tcBorders>
                    <w:tl2br w:val="nil"/>
                    <w:tr2bl w:val="nil"/>
                  </w:tcBorders>
                  <w:noWrap w:val="0"/>
                  <w:vAlign w:val="center"/>
                </w:tcPr>
                <w:p>
                  <w:pPr>
                    <w:pStyle w:val="30"/>
                    <w:bidi w:val="0"/>
                    <w:rPr>
                      <w:rFonts w:hint="default"/>
                      <w:lang w:val="en-US" w:eastAsia="zh-CN"/>
                    </w:rPr>
                  </w:pPr>
                  <w:r>
                    <w:rPr>
                      <w:rFonts w:hint="eastAsia"/>
                      <w:lang w:val="en-US" w:eastAsia="zh-CN"/>
                    </w:rPr>
                    <w:t>氨</w:t>
                  </w:r>
                </w:p>
              </w:tc>
              <w:tc>
                <w:tcPr>
                  <w:tcW w:w="1888" w:type="dxa"/>
                  <w:tcBorders>
                    <w:tl2br w:val="nil"/>
                    <w:tr2bl w:val="nil"/>
                  </w:tcBorders>
                  <w:noWrap w:val="0"/>
                  <w:vAlign w:val="center"/>
                </w:tcPr>
                <w:p>
                  <w:pPr>
                    <w:pStyle w:val="30"/>
                    <w:bidi w:val="0"/>
                    <w:rPr>
                      <w:rFonts w:hint="default"/>
                      <w:lang w:val="en-US" w:eastAsia="zh-CN"/>
                    </w:rPr>
                  </w:pPr>
                  <w:r>
                    <w:rPr>
                      <w:rFonts w:hint="eastAsia"/>
                      <w:lang w:val="en-US" w:eastAsia="zh-CN"/>
                    </w:rPr>
                    <w:t>mg/m</w:t>
                  </w:r>
                  <w:r>
                    <w:rPr>
                      <w:rFonts w:hint="default" w:ascii="Times New Roman" w:hAnsi="Times New Roman" w:cs="Times New Roman"/>
                      <w:lang w:val="en-US" w:eastAsia="zh-CN"/>
                    </w:rPr>
                    <w:t>³</w:t>
                  </w:r>
                </w:p>
              </w:tc>
              <w:tc>
                <w:tcPr>
                  <w:tcW w:w="2790" w:type="dxa"/>
                  <w:tcBorders>
                    <w:tl2br w:val="nil"/>
                    <w:tr2bl w:val="nil"/>
                  </w:tcBorders>
                  <w:noWrap w:val="0"/>
                  <w:vAlign w:val="center"/>
                </w:tcPr>
                <w:p>
                  <w:pPr>
                    <w:pStyle w:val="30"/>
                    <w:bidi w:val="0"/>
                    <w:rPr>
                      <w:rFonts w:hint="default"/>
                      <w:lang w:val="en-US" w:eastAsia="zh-CN"/>
                    </w:rPr>
                  </w:pPr>
                  <w:r>
                    <w:rPr>
                      <w:rFonts w:hint="eastAsia"/>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689" w:type="dxa"/>
                  <w:tcBorders>
                    <w:tl2br w:val="nil"/>
                    <w:tr2bl w:val="nil"/>
                  </w:tcBorders>
                  <w:noWrap w:val="0"/>
                  <w:vAlign w:val="center"/>
                </w:tcPr>
                <w:p>
                  <w:pPr>
                    <w:pStyle w:val="30"/>
                    <w:bidi w:val="0"/>
                    <w:rPr>
                      <w:rFonts w:hint="default"/>
                      <w:lang w:val="en-US" w:eastAsia="zh-CN"/>
                    </w:rPr>
                  </w:pPr>
                  <w:r>
                    <w:rPr>
                      <w:rFonts w:hint="eastAsia"/>
                      <w:lang w:val="en-US" w:eastAsia="zh-CN"/>
                    </w:rPr>
                    <w:t>硫化氢</w:t>
                  </w:r>
                </w:p>
              </w:tc>
              <w:tc>
                <w:tcPr>
                  <w:tcW w:w="1888" w:type="dxa"/>
                  <w:tcBorders>
                    <w:tl2br w:val="nil"/>
                    <w:tr2bl w:val="nil"/>
                  </w:tcBorders>
                  <w:noWrap w:val="0"/>
                  <w:vAlign w:val="center"/>
                </w:tcPr>
                <w:p>
                  <w:pPr>
                    <w:pStyle w:val="30"/>
                    <w:bidi w:val="0"/>
                    <w:rPr>
                      <w:lang w:val="en-US" w:eastAsia="zh-CN"/>
                    </w:rPr>
                  </w:pPr>
                  <w:r>
                    <w:rPr>
                      <w:rFonts w:hint="eastAsia"/>
                      <w:lang w:val="en-US" w:eastAsia="zh-CN"/>
                    </w:rPr>
                    <w:t>mg/m</w:t>
                  </w:r>
                  <w:r>
                    <w:rPr>
                      <w:rFonts w:hint="default" w:ascii="Times New Roman" w:hAnsi="Times New Roman" w:cs="Times New Roman"/>
                      <w:lang w:val="en-US" w:eastAsia="zh-CN"/>
                    </w:rPr>
                    <w:t>³</w:t>
                  </w:r>
                </w:p>
              </w:tc>
              <w:tc>
                <w:tcPr>
                  <w:tcW w:w="2790" w:type="dxa"/>
                  <w:tcBorders>
                    <w:tl2br w:val="nil"/>
                    <w:tr2bl w:val="nil"/>
                  </w:tcBorders>
                  <w:noWrap w:val="0"/>
                  <w:vAlign w:val="center"/>
                </w:tcPr>
                <w:p>
                  <w:pPr>
                    <w:pStyle w:val="30"/>
                    <w:bidi w:val="0"/>
                    <w:rPr>
                      <w:rFonts w:hint="default"/>
                      <w:lang w:val="en-US" w:eastAsia="zh-CN"/>
                    </w:rPr>
                  </w:pPr>
                  <w:r>
                    <w:rPr>
                      <w:rFonts w:hint="eastAsia"/>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trPr>
              <w:tc>
                <w:tcPr>
                  <w:tcW w:w="3689" w:type="dxa"/>
                  <w:tcBorders>
                    <w:tl2br w:val="nil"/>
                    <w:tr2bl w:val="nil"/>
                  </w:tcBorders>
                  <w:noWrap w:val="0"/>
                  <w:vAlign w:val="center"/>
                </w:tcPr>
                <w:p>
                  <w:pPr>
                    <w:pStyle w:val="30"/>
                    <w:bidi w:val="0"/>
                    <w:rPr>
                      <w:rFonts w:hint="default"/>
                      <w:lang w:val="en-US" w:eastAsia="zh-CN"/>
                    </w:rPr>
                  </w:pPr>
                  <w:r>
                    <w:rPr>
                      <w:rFonts w:hint="eastAsia"/>
                      <w:lang w:val="en-US" w:eastAsia="zh-CN"/>
                    </w:rPr>
                    <w:t>臭气浓度</w:t>
                  </w:r>
                </w:p>
              </w:tc>
              <w:tc>
                <w:tcPr>
                  <w:tcW w:w="1888" w:type="dxa"/>
                  <w:tcBorders>
                    <w:tl2br w:val="nil"/>
                    <w:tr2bl w:val="nil"/>
                  </w:tcBorders>
                  <w:noWrap w:val="0"/>
                  <w:vAlign w:val="center"/>
                </w:tcPr>
                <w:p>
                  <w:pPr>
                    <w:pStyle w:val="30"/>
                    <w:bidi w:val="0"/>
                    <w:rPr>
                      <w:rFonts w:hint="default"/>
                      <w:lang w:val="en-US" w:eastAsia="zh-CN"/>
                    </w:rPr>
                  </w:pPr>
                  <w:r>
                    <w:rPr>
                      <w:rFonts w:hint="eastAsia"/>
                      <w:lang w:val="en-US" w:eastAsia="zh-CN"/>
                    </w:rPr>
                    <w:t>无量纲</w:t>
                  </w:r>
                </w:p>
              </w:tc>
              <w:tc>
                <w:tcPr>
                  <w:tcW w:w="2790" w:type="dxa"/>
                  <w:tcBorders>
                    <w:tl2br w:val="nil"/>
                    <w:tr2bl w:val="nil"/>
                  </w:tcBorders>
                  <w:noWrap w:val="0"/>
                  <w:vAlign w:val="center"/>
                </w:tcPr>
                <w:p>
                  <w:pPr>
                    <w:pStyle w:val="30"/>
                    <w:bidi w:val="0"/>
                    <w:rPr>
                      <w:rFonts w:hint="default"/>
                      <w:lang w:val="en-US" w:eastAsia="zh-CN"/>
                    </w:rPr>
                  </w:pPr>
                  <w:r>
                    <w:rPr>
                      <w:rFonts w:hint="eastAsia"/>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689" w:type="dxa"/>
                  <w:tcBorders>
                    <w:tl2br w:val="nil"/>
                    <w:tr2bl w:val="nil"/>
                  </w:tcBorders>
                  <w:noWrap w:val="0"/>
                  <w:vAlign w:val="center"/>
                </w:tcPr>
                <w:p>
                  <w:pPr>
                    <w:pStyle w:val="30"/>
                    <w:bidi w:val="0"/>
                    <w:rPr>
                      <w:rFonts w:hint="default"/>
                      <w:lang w:val="en-US" w:eastAsia="zh-CN"/>
                    </w:rPr>
                  </w:pPr>
                  <w:r>
                    <w:rPr>
                      <w:rFonts w:hint="eastAsia"/>
                      <w:lang w:val="en-US" w:eastAsia="zh-CN"/>
                    </w:rPr>
                    <w:t>氯气</w:t>
                  </w:r>
                </w:p>
              </w:tc>
              <w:tc>
                <w:tcPr>
                  <w:tcW w:w="1888" w:type="dxa"/>
                  <w:tcBorders>
                    <w:tl2br w:val="nil"/>
                    <w:tr2bl w:val="nil"/>
                  </w:tcBorders>
                  <w:noWrap w:val="0"/>
                  <w:vAlign w:val="center"/>
                </w:tcPr>
                <w:p>
                  <w:pPr>
                    <w:pStyle w:val="30"/>
                    <w:bidi w:val="0"/>
                    <w:rPr>
                      <w:lang w:val="en-US" w:eastAsia="zh-CN"/>
                    </w:rPr>
                  </w:pPr>
                  <w:r>
                    <w:rPr>
                      <w:rFonts w:hint="eastAsia"/>
                      <w:lang w:val="en-US" w:eastAsia="zh-CN"/>
                    </w:rPr>
                    <w:t>mg/m</w:t>
                  </w:r>
                  <w:r>
                    <w:rPr>
                      <w:rFonts w:hint="default" w:ascii="Times New Roman" w:hAnsi="Times New Roman" w:cs="Times New Roman"/>
                      <w:lang w:val="en-US" w:eastAsia="zh-CN"/>
                    </w:rPr>
                    <w:t>³</w:t>
                  </w:r>
                </w:p>
              </w:tc>
              <w:tc>
                <w:tcPr>
                  <w:tcW w:w="2790" w:type="dxa"/>
                  <w:tcBorders>
                    <w:tl2br w:val="nil"/>
                    <w:tr2bl w:val="nil"/>
                  </w:tcBorders>
                  <w:noWrap w:val="0"/>
                  <w:vAlign w:val="center"/>
                </w:tcPr>
                <w:p>
                  <w:pPr>
                    <w:pStyle w:val="30"/>
                    <w:bidi w:val="0"/>
                    <w:rPr>
                      <w:rFonts w:hint="default"/>
                      <w:lang w:val="en-US" w:eastAsia="zh-CN"/>
                    </w:rPr>
                  </w:pPr>
                  <w:r>
                    <w:rPr>
                      <w:rFonts w:hint="eastAsia"/>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689" w:type="dxa"/>
                  <w:tcBorders>
                    <w:tl2br w:val="nil"/>
                    <w:tr2bl w:val="nil"/>
                  </w:tcBorders>
                  <w:noWrap w:val="0"/>
                  <w:vAlign w:val="center"/>
                </w:tcPr>
                <w:p>
                  <w:pPr>
                    <w:pStyle w:val="30"/>
                    <w:bidi w:val="0"/>
                    <w:rPr>
                      <w:rFonts w:hint="default"/>
                      <w:lang w:val="en-US" w:eastAsia="zh-CN"/>
                    </w:rPr>
                  </w:pPr>
                  <w:r>
                    <w:rPr>
                      <w:rFonts w:hint="eastAsia"/>
                      <w:lang w:val="en-US" w:eastAsia="zh-CN"/>
                    </w:rPr>
                    <w:t>甲烷（指处理站内最高体积百分数）</w:t>
                  </w:r>
                </w:p>
              </w:tc>
              <w:tc>
                <w:tcPr>
                  <w:tcW w:w="1888" w:type="dxa"/>
                  <w:tcBorders>
                    <w:tl2br w:val="nil"/>
                    <w:tr2bl w:val="nil"/>
                  </w:tcBorders>
                  <w:noWrap w:val="0"/>
                  <w:vAlign w:val="center"/>
                </w:tcPr>
                <w:p>
                  <w:pPr>
                    <w:pStyle w:val="30"/>
                    <w:bidi w:val="0"/>
                    <w:rPr>
                      <w:rFonts w:hint="default"/>
                      <w:lang w:val="en-US" w:eastAsia="zh-CN"/>
                    </w:rPr>
                  </w:pPr>
                  <w:r>
                    <w:rPr>
                      <w:rFonts w:hint="eastAsia"/>
                      <w:lang w:val="en-US" w:eastAsia="zh-CN"/>
                    </w:rPr>
                    <w:t>%</w:t>
                  </w:r>
                </w:p>
              </w:tc>
              <w:tc>
                <w:tcPr>
                  <w:tcW w:w="2790" w:type="dxa"/>
                  <w:tcBorders>
                    <w:tl2br w:val="nil"/>
                    <w:tr2bl w:val="nil"/>
                  </w:tcBorders>
                  <w:noWrap w:val="0"/>
                  <w:vAlign w:val="center"/>
                </w:tcPr>
                <w:p>
                  <w:pPr>
                    <w:pStyle w:val="30"/>
                    <w:bidi w:val="0"/>
                    <w:rPr>
                      <w:rFonts w:hint="default"/>
                      <w:lang w:val="en-US" w:eastAsia="zh-CN"/>
                    </w:rPr>
                  </w:pPr>
                  <w:r>
                    <w:rPr>
                      <w:rFonts w:hint="eastAsia"/>
                      <w:lang w:val="en-US" w:eastAsia="zh-CN"/>
                    </w:rPr>
                    <w:t>1</w:t>
                  </w:r>
                </w:p>
              </w:tc>
            </w:tr>
          </w:tbl>
          <w:p>
            <w:pPr>
              <w:pStyle w:val="29"/>
              <w:bidi w:val="0"/>
              <w:rPr>
                <w:rFonts w:hint="eastAsia"/>
              </w:rPr>
            </w:pPr>
            <w:r>
              <w:t>表3</w:t>
            </w:r>
            <w:r>
              <w:rPr>
                <w:rFonts w:hint="eastAsia"/>
                <w:lang w:val="en-US" w:eastAsia="zh-CN"/>
              </w:rPr>
              <w:t>.3</w:t>
            </w:r>
            <w:r>
              <w:t>-</w:t>
            </w:r>
            <w:r>
              <w:rPr>
                <w:rFonts w:hint="eastAsia"/>
                <w:lang w:val="en-US" w:eastAsia="zh-CN"/>
              </w:rPr>
              <w:t>2</w:t>
            </w:r>
            <w:r>
              <w:t xml:space="preserve"> 《饮食业油烟排放标准</w:t>
            </w:r>
            <w:r>
              <w:rPr>
                <w:rFonts w:hint="eastAsia"/>
              </w:rPr>
              <w:t>(</w:t>
            </w:r>
            <w:r>
              <w:t>试行</w:t>
            </w:r>
            <w:r>
              <w:rPr>
                <w:rFonts w:hint="eastAsia"/>
              </w:rPr>
              <w:t>)</w:t>
            </w:r>
            <w:r>
              <w:t>》</w:t>
            </w:r>
            <w:r>
              <w:rPr>
                <w:rFonts w:hint="eastAsia"/>
              </w:rPr>
              <w:t>(</w:t>
            </w:r>
            <w:r>
              <w:t>GB18483-2001</w:t>
            </w:r>
            <w:r>
              <w:rPr>
                <w:rFonts w:hint="eastAsia"/>
              </w:rPr>
              <w:t>)</w:t>
            </w:r>
          </w:p>
          <w:tbl>
            <w:tblPr>
              <w:tblStyle w:val="27"/>
              <w:tblW w:w="7829" w:type="dxa"/>
              <w:tblInd w:w="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49"/>
              <w:gridCol w:w="1560"/>
              <w:gridCol w:w="1429"/>
              <w:gridCol w:w="129"/>
              <w:gridCol w:w="9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3749" w:type="dxa"/>
                  <w:noWrap w:val="0"/>
                  <w:vAlign w:val="top"/>
                </w:tcPr>
                <w:p>
                  <w:pPr>
                    <w:pStyle w:val="30"/>
                    <w:rPr>
                      <w:lang w:val="en-US" w:eastAsia="zh-CN"/>
                    </w:rPr>
                  </w:pPr>
                  <w:r>
                    <w:rPr>
                      <w:lang w:val="en-US" w:eastAsia="zh-CN"/>
                    </w:rPr>
                    <w:t>规模</w:t>
                  </w:r>
                </w:p>
              </w:tc>
              <w:tc>
                <w:tcPr>
                  <w:tcW w:w="1560" w:type="dxa"/>
                  <w:noWrap w:val="0"/>
                  <w:vAlign w:val="top"/>
                </w:tcPr>
                <w:p>
                  <w:pPr>
                    <w:pStyle w:val="30"/>
                    <w:rPr>
                      <w:lang w:val="en-US" w:eastAsia="zh-CN"/>
                    </w:rPr>
                  </w:pPr>
                  <w:r>
                    <w:rPr>
                      <w:lang w:val="en-US" w:eastAsia="zh-CN"/>
                    </w:rPr>
                    <w:t>小型</w:t>
                  </w:r>
                </w:p>
              </w:tc>
              <w:tc>
                <w:tcPr>
                  <w:tcW w:w="1429" w:type="dxa"/>
                  <w:noWrap w:val="0"/>
                  <w:vAlign w:val="top"/>
                </w:tcPr>
                <w:p>
                  <w:pPr>
                    <w:pStyle w:val="30"/>
                    <w:rPr>
                      <w:lang w:val="en-US" w:eastAsia="zh-CN"/>
                    </w:rPr>
                  </w:pPr>
                  <w:r>
                    <w:rPr>
                      <w:lang w:val="en-US" w:eastAsia="zh-CN"/>
                    </w:rPr>
                    <w:t>中型</w:t>
                  </w:r>
                </w:p>
              </w:tc>
              <w:tc>
                <w:tcPr>
                  <w:tcW w:w="1091" w:type="dxa"/>
                  <w:gridSpan w:val="2"/>
                  <w:noWrap w:val="0"/>
                  <w:vAlign w:val="top"/>
                </w:tcPr>
                <w:p>
                  <w:pPr>
                    <w:pStyle w:val="30"/>
                    <w:rPr>
                      <w:lang w:val="en-US" w:eastAsia="zh-CN"/>
                    </w:rPr>
                  </w:pPr>
                  <w:r>
                    <w:rPr>
                      <w:lang w:val="en-US" w:eastAsia="zh-CN"/>
                    </w:rPr>
                    <w:t>大型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3749" w:type="dxa"/>
                  <w:noWrap w:val="0"/>
                  <w:vAlign w:val="top"/>
                </w:tcPr>
                <w:p>
                  <w:pPr>
                    <w:pStyle w:val="30"/>
                    <w:rPr>
                      <w:lang w:val="en-US" w:eastAsia="zh-CN"/>
                    </w:rPr>
                  </w:pPr>
                  <w:r>
                    <w:rPr>
                      <w:lang w:val="en-US" w:eastAsia="zh-CN"/>
                    </w:rPr>
                    <w:t>基准灶头数</w:t>
                  </w:r>
                </w:p>
              </w:tc>
              <w:tc>
                <w:tcPr>
                  <w:tcW w:w="1560" w:type="dxa"/>
                  <w:noWrap w:val="0"/>
                  <w:vAlign w:val="top"/>
                </w:tcPr>
                <w:p>
                  <w:pPr>
                    <w:pStyle w:val="30"/>
                    <w:rPr>
                      <w:lang w:val="en-US" w:eastAsia="zh-CN"/>
                    </w:rPr>
                  </w:pPr>
                  <w:r>
                    <w:rPr>
                      <w:lang w:val="en-US" w:eastAsia="zh-CN"/>
                    </w:rPr>
                    <w:t>≥1，&lt;3</w:t>
                  </w:r>
                </w:p>
              </w:tc>
              <w:tc>
                <w:tcPr>
                  <w:tcW w:w="1429" w:type="dxa"/>
                  <w:noWrap w:val="0"/>
                  <w:vAlign w:val="top"/>
                </w:tcPr>
                <w:p>
                  <w:pPr>
                    <w:pStyle w:val="30"/>
                    <w:rPr>
                      <w:lang w:val="en-US" w:eastAsia="zh-CN"/>
                    </w:rPr>
                  </w:pPr>
                  <w:r>
                    <w:rPr>
                      <w:lang w:val="en-US" w:eastAsia="zh-CN"/>
                    </w:rPr>
                    <w:t>≥3 ，&lt;6</w:t>
                  </w:r>
                </w:p>
              </w:tc>
              <w:tc>
                <w:tcPr>
                  <w:tcW w:w="1091" w:type="dxa"/>
                  <w:gridSpan w:val="2"/>
                  <w:noWrap w:val="0"/>
                  <w:vAlign w:val="top"/>
                </w:tcPr>
                <w:p>
                  <w:pPr>
                    <w:pStyle w:val="30"/>
                    <w:rPr>
                      <w:lang w:val="en-US" w:eastAsia="zh-CN"/>
                    </w:rPr>
                  </w:pPr>
                  <w:r>
                    <w:rPr>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3749" w:type="dxa"/>
                  <w:noWrap w:val="0"/>
                  <w:vAlign w:val="top"/>
                </w:tcPr>
                <w:p>
                  <w:pPr>
                    <w:pStyle w:val="30"/>
                    <w:rPr>
                      <w:lang w:val="en-US" w:eastAsia="zh-CN"/>
                    </w:rPr>
                  </w:pPr>
                  <w:r>
                    <w:rPr>
                      <w:lang w:val="en-US" w:eastAsia="zh-CN"/>
                    </w:rPr>
                    <w:t>油烟最高允许排放浓度(mg/m³)</w:t>
                  </w:r>
                </w:p>
              </w:tc>
              <w:tc>
                <w:tcPr>
                  <w:tcW w:w="4080" w:type="dxa"/>
                  <w:gridSpan w:val="4"/>
                  <w:noWrap w:val="0"/>
                  <w:vAlign w:val="top"/>
                </w:tcPr>
                <w:p>
                  <w:pPr>
                    <w:pStyle w:val="30"/>
                    <w:rPr>
                      <w:lang w:val="en-US" w:eastAsia="zh-CN"/>
                    </w:rPr>
                  </w:pPr>
                  <w:r>
                    <w:rPr>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3749" w:type="dxa"/>
                  <w:noWrap w:val="0"/>
                  <w:vAlign w:val="top"/>
                </w:tcPr>
                <w:p>
                  <w:pPr>
                    <w:pStyle w:val="30"/>
                    <w:rPr>
                      <w:lang w:val="en-US" w:eastAsia="zh-CN"/>
                    </w:rPr>
                  </w:pPr>
                  <w:r>
                    <w:rPr>
                      <w:lang w:val="en-US" w:eastAsia="zh-CN"/>
                    </w:rPr>
                    <w:t>净化设施最低去除效率(%)</w:t>
                  </w:r>
                </w:p>
              </w:tc>
              <w:tc>
                <w:tcPr>
                  <w:tcW w:w="1560" w:type="dxa"/>
                  <w:noWrap w:val="0"/>
                  <w:vAlign w:val="top"/>
                </w:tcPr>
                <w:p>
                  <w:pPr>
                    <w:pStyle w:val="30"/>
                    <w:rPr>
                      <w:lang w:val="en-US" w:eastAsia="zh-CN"/>
                    </w:rPr>
                  </w:pPr>
                  <w:r>
                    <w:rPr>
                      <w:lang w:val="en-US" w:eastAsia="zh-CN"/>
                    </w:rPr>
                    <w:t>60</w:t>
                  </w:r>
                </w:p>
              </w:tc>
              <w:tc>
                <w:tcPr>
                  <w:tcW w:w="1558" w:type="dxa"/>
                  <w:gridSpan w:val="2"/>
                  <w:noWrap w:val="0"/>
                  <w:vAlign w:val="top"/>
                </w:tcPr>
                <w:p>
                  <w:pPr>
                    <w:pStyle w:val="30"/>
                    <w:rPr>
                      <w:lang w:val="en-US" w:eastAsia="zh-CN"/>
                    </w:rPr>
                  </w:pPr>
                  <w:r>
                    <w:rPr>
                      <w:lang w:val="en-US" w:eastAsia="zh-CN"/>
                    </w:rPr>
                    <w:t>75</w:t>
                  </w:r>
                </w:p>
              </w:tc>
              <w:tc>
                <w:tcPr>
                  <w:tcW w:w="962" w:type="dxa"/>
                  <w:noWrap w:val="0"/>
                  <w:vAlign w:val="top"/>
                </w:tcPr>
                <w:p>
                  <w:pPr>
                    <w:pStyle w:val="30"/>
                    <w:rPr>
                      <w:lang w:val="en-US" w:eastAsia="zh-CN"/>
                    </w:rPr>
                  </w:pPr>
                  <w:r>
                    <w:rPr>
                      <w:lang w:val="en-US" w:eastAsia="zh-CN"/>
                    </w:rPr>
                    <w:t>85</w:t>
                  </w:r>
                </w:p>
              </w:tc>
            </w:tr>
          </w:tbl>
          <w:p>
            <w:pPr>
              <w:bidi w:val="0"/>
              <w:rPr>
                <w:rFonts w:hint="eastAsia"/>
              </w:rPr>
            </w:pPr>
            <w:r>
              <w:rPr>
                <w:rFonts w:hint="eastAsia"/>
                <w:lang w:val="en-US" w:eastAsia="zh-CN"/>
              </w:rPr>
              <w:t>2、</w:t>
            </w:r>
            <w:r>
              <w:rPr>
                <w:rFonts w:hint="eastAsia"/>
              </w:rPr>
              <w:t>废水</w:t>
            </w:r>
          </w:p>
          <w:p>
            <w:pPr>
              <w:pStyle w:val="12"/>
              <w:bidi w:val="0"/>
              <w:rPr>
                <w:lang w:val="en-US" w:eastAsia="zh-CN"/>
              </w:rPr>
            </w:pPr>
            <w:r>
              <w:rPr>
                <w:rFonts w:hint="eastAsia"/>
                <w:lang w:val="en-US" w:eastAsia="zh-CN"/>
              </w:rPr>
              <w:t>项目营运期废水经自建污水处理站处理后达到《医疗机构水污染物排放标准》（GB18466-2005）表2预处理标准及向家亭污水处理厂进水水质指标后排至镇区污水管网，进入向家亭污水处理厂进一步处理达到《城</w:t>
            </w:r>
            <w:r>
              <w:t>镇污水处理厂污染物排放标准》（GB18918-2002）一级A标准</w:t>
            </w:r>
            <w:r>
              <w:rPr>
                <w:rFonts w:hint="eastAsia"/>
                <w:lang w:val="en-US" w:eastAsia="zh-CN"/>
              </w:rPr>
              <w:t>后最终排入湘江，其执行的排放标准限值如下表所示</w:t>
            </w:r>
            <w:r>
              <w:rPr>
                <w:lang w:val="en-US" w:eastAsia="zh-CN"/>
              </w:rPr>
              <w:t>。</w:t>
            </w:r>
          </w:p>
          <w:p>
            <w:pPr>
              <w:pStyle w:val="29"/>
              <w:bidi w:val="0"/>
              <w:rPr>
                <w:rFonts w:hint="default"/>
                <w:lang w:val="en-US" w:eastAsia="zh-CN"/>
              </w:rPr>
            </w:pPr>
            <w:r>
              <w:rPr>
                <w:rFonts w:hint="eastAsia"/>
                <w:lang w:val="en-US" w:eastAsia="zh-CN"/>
              </w:rPr>
              <w:t>表3.3-3 《城镇污水处理厂污染物排放标准》（GB18918-2002）表1（摘录）</w:t>
            </w:r>
          </w:p>
          <w:tbl>
            <w:tblPr>
              <w:tblStyle w:val="28"/>
              <w:tblW w:w="76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3116"/>
              <w:gridCol w:w="1387"/>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1" w:type="dxa"/>
                  <w:tcBorders>
                    <w:tl2br w:val="nil"/>
                    <w:tr2bl w:val="nil"/>
                  </w:tcBorders>
                  <w:noWrap w:val="0"/>
                  <w:vAlign w:val="center"/>
                </w:tcPr>
                <w:p>
                  <w:pPr>
                    <w:pStyle w:val="30"/>
                    <w:bidi w:val="0"/>
                    <w:rPr>
                      <w:rFonts w:hint="default"/>
                      <w:lang w:val="en-US" w:eastAsia="zh-CN"/>
                    </w:rPr>
                  </w:pPr>
                  <w:r>
                    <w:rPr>
                      <w:rFonts w:hint="default"/>
                      <w:lang w:val="en-US" w:eastAsia="zh-CN"/>
                    </w:rPr>
                    <w:t>序号</w:t>
                  </w:r>
                </w:p>
              </w:tc>
              <w:tc>
                <w:tcPr>
                  <w:tcW w:w="3116" w:type="dxa"/>
                  <w:tcBorders>
                    <w:tl2br w:val="nil"/>
                    <w:tr2bl w:val="nil"/>
                  </w:tcBorders>
                  <w:noWrap w:val="0"/>
                  <w:vAlign w:val="center"/>
                </w:tcPr>
                <w:p>
                  <w:pPr>
                    <w:pStyle w:val="30"/>
                    <w:bidi w:val="0"/>
                    <w:rPr>
                      <w:rFonts w:hint="default"/>
                      <w:lang w:val="en-US" w:eastAsia="zh-CN"/>
                    </w:rPr>
                  </w:pPr>
                  <w:r>
                    <w:rPr>
                      <w:rFonts w:hint="default"/>
                      <w:lang w:val="en-US" w:eastAsia="zh-CN"/>
                    </w:rPr>
                    <w:t>控制项目</w:t>
                  </w:r>
                </w:p>
              </w:tc>
              <w:tc>
                <w:tcPr>
                  <w:tcW w:w="1387" w:type="dxa"/>
                  <w:tcBorders>
                    <w:tl2br w:val="nil"/>
                    <w:tr2bl w:val="nil"/>
                  </w:tcBorders>
                  <w:noWrap w:val="0"/>
                  <w:vAlign w:val="center"/>
                </w:tcPr>
                <w:p>
                  <w:pPr>
                    <w:pStyle w:val="30"/>
                    <w:bidi w:val="0"/>
                    <w:rPr>
                      <w:rFonts w:hint="default"/>
                      <w:lang w:val="en-US" w:eastAsia="zh-CN"/>
                    </w:rPr>
                  </w:pPr>
                  <w:r>
                    <w:rPr>
                      <w:rFonts w:hint="default"/>
                      <w:lang w:val="en-US" w:eastAsia="zh-CN"/>
                    </w:rPr>
                    <w:t>单位</w:t>
                  </w:r>
                </w:p>
              </w:tc>
              <w:tc>
                <w:tcPr>
                  <w:tcW w:w="2080" w:type="dxa"/>
                  <w:tcBorders>
                    <w:tl2br w:val="nil"/>
                    <w:tr2bl w:val="nil"/>
                  </w:tcBorders>
                  <w:noWrap w:val="0"/>
                  <w:vAlign w:val="center"/>
                </w:tcPr>
                <w:p>
                  <w:pPr>
                    <w:pStyle w:val="30"/>
                    <w:bidi w:val="0"/>
                    <w:rPr>
                      <w:rFonts w:hint="default"/>
                      <w:lang w:val="en-US" w:eastAsia="zh-CN"/>
                    </w:rPr>
                  </w:pPr>
                  <w:r>
                    <w:rPr>
                      <w:rFonts w:hint="default"/>
                      <w:lang w:val="en-US" w:eastAsia="zh-CN"/>
                    </w:rPr>
                    <w:t>一级A标准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1" w:type="dxa"/>
                  <w:tcBorders>
                    <w:tl2br w:val="nil"/>
                    <w:tr2bl w:val="nil"/>
                  </w:tcBorders>
                  <w:noWrap w:val="0"/>
                  <w:vAlign w:val="center"/>
                </w:tcPr>
                <w:p>
                  <w:pPr>
                    <w:pStyle w:val="30"/>
                    <w:bidi w:val="0"/>
                    <w:rPr>
                      <w:rFonts w:hint="default"/>
                      <w:lang w:val="en-US" w:eastAsia="zh-CN"/>
                    </w:rPr>
                  </w:pPr>
                  <w:r>
                    <w:rPr>
                      <w:rFonts w:hint="default"/>
                      <w:lang w:val="en-US" w:eastAsia="zh-CN"/>
                    </w:rPr>
                    <w:t>1</w:t>
                  </w:r>
                </w:p>
              </w:tc>
              <w:tc>
                <w:tcPr>
                  <w:tcW w:w="3116" w:type="dxa"/>
                  <w:tcBorders>
                    <w:tl2br w:val="nil"/>
                    <w:tr2bl w:val="nil"/>
                  </w:tcBorders>
                  <w:noWrap w:val="0"/>
                  <w:vAlign w:val="center"/>
                </w:tcPr>
                <w:p>
                  <w:pPr>
                    <w:pStyle w:val="30"/>
                    <w:bidi w:val="0"/>
                    <w:rPr>
                      <w:rFonts w:hint="default"/>
                      <w:lang w:val="en-US" w:eastAsia="zh-CN"/>
                    </w:rPr>
                  </w:pPr>
                  <w:r>
                    <w:rPr>
                      <w:rFonts w:hint="default"/>
                      <w:lang w:val="en-US" w:eastAsia="zh-CN"/>
                    </w:rPr>
                    <w:t>粪大肠菌群数</w:t>
                  </w:r>
                </w:p>
              </w:tc>
              <w:tc>
                <w:tcPr>
                  <w:tcW w:w="1387" w:type="dxa"/>
                  <w:tcBorders>
                    <w:tl2br w:val="nil"/>
                    <w:tr2bl w:val="nil"/>
                  </w:tcBorders>
                  <w:noWrap w:val="0"/>
                  <w:vAlign w:val="center"/>
                </w:tcPr>
                <w:p>
                  <w:pPr>
                    <w:pStyle w:val="30"/>
                    <w:bidi w:val="0"/>
                    <w:rPr>
                      <w:rFonts w:hint="default"/>
                      <w:lang w:val="en-US" w:eastAsia="zh-CN"/>
                    </w:rPr>
                  </w:pPr>
                  <w:r>
                    <w:rPr>
                      <w:rFonts w:hint="default"/>
                      <w:lang w:val="en-US" w:eastAsia="zh-CN"/>
                    </w:rPr>
                    <w:t>MPN/L</w:t>
                  </w:r>
                </w:p>
              </w:tc>
              <w:tc>
                <w:tcPr>
                  <w:tcW w:w="2080" w:type="dxa"/>
                  <w:tcBorders>
                    <w:tl2br w:val="nil"/>
                    <w:tr2bl w:val="nil"/>
                  </w:tcBorders>
                  <w:noWrap w:val="0"/>
                  <w:vAlign w:val="center"/>
                </w:tcPr>
                <w:p>
                  <w:pPr>
                    <w:pStyle w:val="30"/>
                    <w:bidi w:val="0"/>
                    <w:rPr>
                      <w:rFonts w:hint="default"/>
                      <w:lang w:val="en-US" w:eastAsia="zh-CN"/>
                    </w:rPr>
                  </w:pPr>
                  <w:r>
                    <w:rPr>
                      <w:rFonts w:hint="default"/>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1" w:type="dxa"/>
                  <w:tcBorders>
                    <w:tl2br w:val="nil"/>
                    <w:tr2bl w:val="nil"/>
                  </w:tcBorders>
                  <w:noWrap w:val="0"/>
                  <w:vAlign w:val="center"/>
                </w:tcPr>
                <w:p>
                  <w:pPr>
                    <w:pStyle w:val="30"/>
                    <w:bidi w:val="0"/>
                    <w:rPr>
                      <w:rFonts w:hint="default"/>
                      <w:lang w:val="en-US" w:eastAsia="zh-CN"/>
                    </w:rPr>
                  </w:pPr>
                  <w:r>
                    <w:rPr>
                      <w:rFonts w:hint="default"/>
                      <w:lang w:val="en-US" w:eastAsia="zh-CN"/>
                    </w:rPr>
                    <w:t>2</w:t>
                  </w:r>
                </w:p>
              </w:tc>
              <w:tc>
                <w:tcPr>
                  <w:tcW w:w="3116" w:type="dxa"/>
                  <w:tcBorders>
                    <w:tl2br w:val="nil"/>
                    <w:tr2bl w:val="nil"/>
                  </w:tcBorders>
                  <w:noWrap w:val="0"/>
                  <w:vAlign w:val="center"/>
                </w:tcPr>
                <w:p>
                  <w:pPr>
                    <w:pStyle w:val="30"/>
                    <w:bidi w:val="0"/>
                    <w:rPr>
                      <w:rFonts w:hint="default"/>
                      <w:lang w:val="en-US" w:eastAsia="zh-CN"/>
                    </w:rPr>
                  </w:pPr>
                  <w:r>
                    <w:rPr>
                      <w:rFonts w:hint="default"/>
                      <w:lang w:val="en-US" w:eastAsia="zh-CN"/>
                    </w:rPr>
                    <w:t>pH</w:t>
                  </w:r>
                </w:p>
              </w:tc>
              <w:tc>
                <w:tcPr>
                  <w:tcW w:w="1387" w:type="dxa"/>
                  <w:tcBorders>
                    <w:tl2br w:val="nil"/>
                    <w:tr2bl w:val="nil"/>
                  </w:tcBorders>
                  <w:noWrap w:val="0"/>
                  <w:vAlign w:val="center"/>
                </w:tcPr>
                <w:p>
                  <w:pPr>
                    <w:pStyle w:val="30"/>
                    <w:bidi w:val="0"/>
                    <w:rPr>
                      <w:rFonts w:hint="default"/>
                      <w:lang w:val="en-US" w:eastAsia="zh-CN"/>
                    </w:rPr>
                  </w:pPr>
                  <w:r>
                    <w:rPr>
                      <w:rFonts w:hint="default"/>
                      <w:lang w:val="en-US" w:eastAsia="zh-CN"/>
                    </w:rPr>
                    <w:t>无量纲</w:t>
                  </w:r>
                </w:p>
              </w:tc>
              <w:tc>
                <w:tcPr>
                  <w:tcW w:w="2080" w:type="dxa"/>
                  <w:tcBorders>
                    <w:tl2br w:val="nil"/>
                    <w:tr2bl w:val="nil"/>
                  </w:tcBorders>
                  <w:noWrap w:val="0"/>
                  <w:vAlign w:val="center"/>
                </w:tcPr>
                <w:p>
                  <w:pPr>
                    <w:pStyle w:val="30"/>
                    <w:bidi w:val="0"/>
                    <w:rPr>
                      <w:rFonts w:hint="default"/>
                      <w:lang w:val="en-US" w:eastAsia="zh-CN"/>
                    </w:rPr>
                  </w:pPr>
                  <w:r>
                    <w:rPr>
                      <w:rFonts w:hint="default"/>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1" w:type="dxa"/>
                  <w:tcBorders>
                    <w:tl2br w:val="nil"/>
                    <w:tr2bl w:val="nil"/>
                  </w:tcBorders>
                  <w:noWrap w:val="0"/>
                  <w:vAlign w:val="center"/>
                </w:tcPr>
                <w:p>
                  <w:pPr>
                    <w:pStyle w:val="30"/>
                    <w:bidi w:val="0"/>
                    <w:rPr>
                      <w:rFonts w:hint="default"/>
                      <w:lang w:val="en-US" w:eastAsia="zh-CN"/>
                    </w:rPr>
                  </w:pPr>
                  <w:r>
                    <w:rPr>
                      <w:rFonts w:hint="default"/>
                      <w:lang w:val="en-US" w:eastAsia="zh-CN"/>
                    </w:rPr>
                    <w:t>3</w:t>
                  </w:r>
                </w:p>
              </w:tc>
              <w:tc>
                <w:tcPr>
                  <w:tcW w:w="3116" w:type="dxa"/>
                  <w:tcBorders>
                    <w:tl2br w:val="nil"/>
                    <w:tr2bl w:val="nil"/>
                  </w:tcBorders>
                  <w:noWrap w:val="0"/>
                  <w:vAlign w:val="center"/>
                </w:tcPr>
                <w:p>
                  <w:pPr>
                    <w:pStyle w:val="30"/>
                    <w:bidi w:val="0"/>
                    <w:rPr>
                      <w:rFonts w:hint="default"/>
                      <w:lang w:val="en-US" w:eastAsia="zh-CN"/>
                    </w:rPr>
                  </w:pPr>
                  <w:r>
                    <w:rPr>
                      <w:rFonts w:hint="default"/>
                      <w:lang w:val="en-US" w:eastAsia="zh-CN"/>
                    </w:rPr>
                    <w:t>化学需氧量</w:t>
                  </w:r>
                </w:p>
              </w:tc>
              <w:tc>
                <w:tcPr>
                  <w:tcW w:w="1387" w:type="dxa"/>
                  <w:tcBorders>
                    <w:tl2br w:val="nil"/>
                    <w:tr2bl w:val="nil"/>
                  </w:tcBorders>
                  <w:noWrap w:val="0"/>
                  <w:vAlign w:val="center"/>
                </w:tcPr>
                <w:p>
                  <w:pPr>
                    <w:pStyle w:val="30"/>
                    <w:bidi w:val="0"/>
                    <w:rPr>
                      <w:rFonts w:hint="default"/>
                      <w:lang w:val="en-US" w:eastAsia="zh-CN"/>
                    </w:rPr>
                  </w:pPr>
                  <w:r>
                    <w:rPr>
                      <w:rFonts w:hint="default"/>
                      <w:lang w:val="en-US" w:eastAsia="zh-CN"/>
                    </w:rPr>
                    <w:t>mg/L</w:t>
                  </w:r>
                </w:p>
              </w:tc>
              <w:tc>
                <w:tcPr>
                  <w:tcW w:w="2080" w:type="dxa"/>
                  <w:tcBorders>
                    <w:tl2br w:val="nil"/>
                    <w:tr2bl w:val="nil"/>
                  </w:tcBorders>
                  <w:noWrap w:val="0"/>
                  <w:vAlign w:val="center"/>
                </w:tcPr>
                <w:p>
                  <w:pPr>
                    <w:pStyle w:val="30"/>
                    <w:bidi w:val="0"/>
                    <w:rPr>
                      <w:rFonts w:hint="default"/>
                      <w:lang w:val="en-US" w:eastAsia="zh-CN"/>
                    </w:rPr>
                  </w:pPr>
                  <w:r>
                    <w:rPr>
                      <w:rFonts w:hint="default"/>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1" w:type="dxa"/>
                  <w:tcBorders>
                    <w:tl2br w:val="nil"/>
                    <w:tr2bl w:val="nil"/>
                  </w:tcBorders>
                  <w:noWrap w:val="0"/>
                  <w:vAlign w:val="center"/>
                </w:tcPr>
                <w:p>
                  <w:pPr>
                    <w:pStyle w:val="30"/>
                    <w:bidi w:val="0"/>
                    <w:rPr>
                      <w:rFonts w:hint="default"/>
                      <w:lang w:val="en-US" w:eastAsia="zh-CN"/>
                    </w:rPr>
                  </w:pPr>
                  <w:r>
                    <w:rPr>
                      <w:rFonts w:hint="default"/>
                      <w:lang w:val="en-US" w:eastAsia="zh-CN"/>
                    </w:rPr>
                    <w:t>4</w:t>
                  </w:r>
                </w:p>
              </w:tc>
              <w:tc>
                <w:tcPr>
                  <w:tcW w:w="3116" w:type="dxa"/>
                  <w:tcBorders>
                    <w:tl2br w:val="nil"/>
                    <w:tr2bl w:val="nil"/>
                  </w:tcBorders>
                  <w:noWrap w:val="0"/>
                  <w:vAlign w:val="center"/>
                </w:tcPr>
                <w:p>
                  <w:pPr>
                    <w:pStyle w:val="30"/>
                    <w:bidi w:val="0"/>
                    <w:rPr>
                      <w:rFonts w:hint="default"/>
                      <w:lang w:val="en-US" w:eastAsia="zh-CN"/>
                    </w:rPr>
                  </w:pPr>
                  <w:r>
                    <w:rPr>
                      <w:rFonts w:hint="default"/>
                      <w:lang w:val="en-US" w:eastAsia="zh-CN"/>
                    </w:rPr>
                    <w:t>生化需氧量</w:t>
                  </w:r>
                </w:p>
              </w:tc>
              <w:tc>
                <w:tcPr>
                  <w:tcW w:w="1387" w:type="dxa"/>
                  <w:tcBorders>
                    <w:tl2br w:val="nil"/>
                    <w:tr2bl w:val="nil"/>
                  </w:tcBorders>
                  <w:noWrap w:val="0"/>
                  <w:vAlign w:val="center"/>
                </w:tcPr>
                <w:p>
                  <w:pPr>
                    <w:pStyle w:val="30"/>
                    <w:bidi w:val="0"/>
                    <w:rPr>
                      <w:rFonts w:hint="default"/>
                    </w:rPr>
                  </w:pPr>
                  <w:r>
                    <w:rPr>
                      <w:rFonts w:hint="default"/>
                      <w:lang w:val="en-US" w:eastAsia="zh-CN"/>
                    </w:rPr>
                    <w:t>mg/L</w:t>
                  </w:r>
                </w:p>
              </w:tc>
              <w:tc>
                <w:tcPr>
                  <w:tcW w:w="2080" w:type="dxa"/>
                  <w:tcBorders>
                    <w:tl2br w:val="nil"/>
                    <w:tr2bl w:val="nil"/>
                  </w:tcBorders>
                  <w:noWrap w:val="0"/>
                  <w:vAlign w:val="center"/>
                </w:tcPr>
                <w:p>
                  <w:pPr>
                    <w:pStyle w:val="30"/>
                    <w:bidi w:val="0"/>
                    <w:rPr>
                      <w:rFonts w:hint="default"/>
                      <w:lang w:val="en-US" w:eastAsia="zh-CN"/>
                    </w:rPr>
                  </w:pPr>
                  <w:r>
                    <w:rPr>
                      <w:rFonts w:hint="default"/>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1" w:type="dxa"/>
                  <w:tcBorders>
                    <w:tl2br w:val="nil"/>
                    <w:tr2bl w:val="nil"/>
                  </w:tcBorders>
                  <w:noWrap w:val="0"/>
                  <w:vAlign w:val="center"/>
                </w:tcPr>
                <w:p>
                  <w:pPr>
                    <w:pStyle w:val="30"/>
                    <w:bidi w:val="0"/>
                    <w:rPr>
                      <w:rFonts w:hint="default"/>
                      <w:lang w:val="en-US" w:eastAsia="zh-CN"/>
                    </w:rPr>
                  </w:pPr>
                  <w:r>
                    <w:rPr>
                      <w:rFonts w:hint="default"/>
                      <w:lang w:val="en-US" w:eastAsia="zh-CN"/>
                    </w:rPr>
                    <w:t>5</w:t>
                  </w:r>
                </w:p>
              </w:tc>
              <w:tc>
                <w:tcPr>
                  <w:tcW w:w="3116" w:type="dxa"/>
                  <w:tcBorders>
                    <w:tl2br w:val="nil"/>
                    <w:tr2bl w:val="nil"/>
                  </w:tcBorders>
                  <w:noWrap w:val="0"/>
                  <w:vAlign w:val="center"/>
                </w:tcPr>
                <w:p>
                  <w:pPr>
                    <w:pStyle w:val="30"/>
                    <w:bidi w:val="0"/>
                    <w:rPr>
                      <w:rFonts w:hint="default"/>
                      <w:lang w:val="en-US" w:eastAsia="zh-CN"/>
                    </w:rPr>
                  </w:pPr>
                  <w:r>
                    <w:rPr>
                      <w:rFonts w:hint="default"/>
                      <w:lang w:val="en-US" w:eastAsia="zh-CN"/>
                    </w:rPr>
                    <w:t>悬浮物</w:t>
                  </w:r>
                </w:p>
              </w:tc>
              <w:tc>
                <w:tcPr>
                  <w:tcW w:w="1387" w:type="dxa"/>
                  <w:tcBorders>
                    <w:tl2br w:val="nil"/>
                    <w:tr2bl w:val="nil"/>
                  </w:tcBorders>
                  <w:noWrap w:val="0"/>
                  <w:vAlign w:val="center"/>
                </w:tcPr>
                <w:p>
                  <w:pPr>
                    <w:pStyle w:val="30"/>
                    <w:bidi w:val="0"/>
                    <w:rPr>
                      <w:rFonts w:hint="default"/>
                    </w:rPr>
                  </w:pPr>
                  <w:r>
                    <w:rPr>
                      <w:rFonts w:hint="default"/>
                      <w:lang w:val="en-US" w:eastAsia="zh-CN"/>
                    </w:rPr>
                    <w:t>mg/L</w:t>
                  </w:r>
                </w:p>
              </w:tc>
              <w:tc>
                <w:tcPr>
                  <w:tcW w:w="2080" w:type="dxa"/>
                  <w:tcBorders>
                    <w:tl2br w:val="nil"/>
                    <w:tr2bl w:val="nil"/>
                  </w:tcBorders>
                  <w:noWrap w:val="0"/>
                  <w:vAlign w:val="center"/>
                </w:tcPr>
                <w:p>
                  <w:pPr>
                    <w:pStyle w:val="30"/>
                    <w:bidi w:val="0"/>
                    <w:rPr>
                      <w:rFonts w:hint="default"/>
                      <w:lang w:val="en-US" w:eastAsia="zh-CN"/>
                    </w:rPr>
                  </w:pPr>
                  <w:r>
                    <w:rPr>
                      <w:rFonts w:hint="default"/>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1" w:type="dxa"/>
                  <w:tcBorders>
                    <w:tl2br w:val="nil"/>
                    <w:tr2bl w:val="nil"/>
                  </w:tcBorders>
                  <w:noWrap w:val="0"/>
                  <w:vAlign w:val="center"/>
                </w:tcPr>
                <w:p>
                  <w:pPr>
                    <w:pStyle w:val="30"/>
                    <w:bidi w:val="0"/>
                    <w:rPr>
                      <w:rFonts w:hint="default"/>
                      <w:lang w:val="en-US" w:eastAsia="zh-CN"/>
                    </w:rPr>
                  </w:pPr>
                  <w:r>
                    <w:rPr>
                      <w:rFonts w:hint="default"/>
                      <w:lang w:val="en-US" w:eastAsia="zh-CN"/>
                    </w:rPr>
                    <w:t>6</w:t>
                  </w:r>
                </w:p>
              </w:tc>
              <w:tc>
                <w:tcPr>
                  <w:tcW w:w="3116" w:type="dxa"/>
                  <w:tcBorders>
                    <w:tl2br w:val="nil"/>
                    <w:tr2bl w:val="nil"/>
                  </w:tcBorders>
                  <w:noWrap w:val="0"/>
                  <w:vAlign w:val="center"/>
                </w:tcPr>
                <w:p>
                  <w:pPr>
                    <w:pStyle w:val="30"/>
                    <w:bidi w:val="0"/>
                    <w:rPr>
                      <w:rFonts w:hint="default"/>
                      <w:lang w:val="en-US" w:eastAsia="zh-CN"/>
                    </w:rPr>
                  </w:pPr>
                  <w:r>
                    <w:rPr>
                      <w:rFonts w:hint="default"/>
                      <w:lang w:val="en-US" w:eastAsia="zh-CN"/>
                    </w:rPr>
                    <w:t>氨氮</w:t>
                  </w:r>
                </w:p>
              </w:tc>
              <w:tc>
                <w:tcPr>
                  <w:tcW w:w="1387" w:type="dxa"/>
                  <w:tcBorders>
                    <w:tl2br w:val="nil"/>
                    <w:tr2bl w:val="nil"/>
                  </w:tcBorders>
                  <w:noWrap w:val="0"/>
                  <w:vAlign w:val="center"/>
                </w:tcPr>
                <w:p>
                  <w:pPr>
                    <w:pStyle w:val="30"/>
                    <w:bidi w:val="0"/>
                    <w:rPr>
                      <w:rFonts w:hint="default"/>
                      <w:lang w:val="en-US" w:eastAsia="zh-CN"/>
                    </w:rPr>
                  </w:pPr>
                  <w:r>
                    <w:rPr>
                      <w:rFonts w:hint="default"/>
                      <w:lang w:val="en-US" w:eastAsia="zh-CN"/>
                    </w:rPr>
                    <w:t>mg/L</w:t>
                  </w:r>
                </w:p>
              </w:tc>
              <w:tc>
                <w:tcPr>
                  <w:tcW w:w="2080" w:type="dxa"/>
                  <w:tcBorders>
                    <w:tl2br w:val="nil"/>
                    <w:tr2bl w:val="nil"/>
                  </w:tcBorders>
                  <w:noWrap w:val="0"/>
                  <w:vAlign w:val="center"/>
                </w:tcPr>
                <w:p>
                  <w:pPr>
                    <w:pStyle w:val="30"/>
                    <w:bidi w:val="0"/>
                    <w:rPr>
                      <w:rFonts w:hint="default"/>
                      <w:lang w:val="en-US" w:eastAsia="zh-CN"/>
                    </w:rPr>
                  </w:pPr>
                  <w:r>
                    <w:rPr>
                      <w:rFonts w:hint="default"/>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1" w:type="dxa"/>
                  <w:tcBorders>
                    <w:tl2br w:val="nil"/>
                    <w:tr2bl w:val="nil"/>
                  </w:tcBorders>
                  <w:noWrap w:val="0"/>
                  <w:vAlign w:val="center"/>
                </w:tcPr>
                <w:p>
                  <w:pPr>
                    <w:pStyle w:val="30"/>
                    <w:bidi w:val="0"/>
                    <w:rPr>
                      <w:rFonts w:hint="default"/>
                      <w:lang w:val="en-US" w:eastAsia="zh-CN"/>
                    </w:rPr>
                  </w:pPr>
                  <w:r>
                    <w:rPr>
                      <w:rFonts w:hint="default"/>
                      <w:lang w:val="en-US" w:eastAsia="zh-CN"/>
                    </w:rPr>
                    <w:t>7</w:t>
                  </w:r>
                </w:p>
              </w:tc>
              <w:tc>
                <w:tcPr>
                  <w:tcW w:w="3116" w:type="dxa"/>
                  <w:tcBorders>
                    <w:tl2br w:val="nil"/>
                    <w:tr2bl w:val="nil"/>
                  </w:tcBorders>
                  <w:noWrap w:val="0"/>
                  <w:vAlign w:val="center"/>
                </w:tcPr>
                <w:p>
                  <w:pPr>
                    <w:pStyle w:val="30"/>
                    <w:bidi w:val="0"/>
                    <w:rPr>
                      <w:rFonts w:hint="default"/>
                      <w:lang w:val="en-US" w:eastAsia="zh-CN"/>
                    </w:rPr>
                  </w:pPr>
                  <w:r>
                    <w:rPr>
                      <w:rFonts w:hint="default"/>
                      <w:lang w:val="en-US" w:eastAsia="zh-CN"/>
                    </w:rPr>
                    <w:t>动植物油</w:t>
                  </w:r>
                </w:p>
              </w:tc>
              <w:tc>
                <w:tcPr>
                  <w:tcW w:w="1387" w:type="dxa"/>
                  <w:tcBorders>
                    <w:tl2br w:val="nil"/>
                    <w:tr2bl w:val="nil"/>
                  </w:tcBorders>
                  <w:noWrap w:val="0"/>
                  <w:vAlign w:val="center"/>
                </w:tcPr>
                <w:p>
                  <w:pPr>
                    <w:pStyle w:val="30"/>
                    <w:bidi w:val="0"/>
                    <w:rPr>
                      <w:rFonts w:hint="default"/>
                      <w:lang w:val="en-US" w:eastAsia="zh-CN"/>
                    </w:rPr>
                  </w:pPr>
                  <w:r>
                    <w:rPr>
                      <w:rFonts w:hint="default"/>
                      <w:lang w:val="en-US" w:eastAsia="zh-CN"/>
                    </w:rPr>
                    <w:t>mg/L</w:t>
                  </w:r>
                </w:p>
              </w:tc>
              <w:tc>
                <w:tcPr>
                  <w:tcW w:w="2080" w:type="dxa"/>
                  <w:tcBorders>
                    <w:tl2br w:val="nil"/>
                    <w:tr2bl w:val="nil"/>
                  </w:tcBorders>
                  <w:noWrap w:val="0"/>
                  <w:vAlign w:val="center"/>
                </w:tcPr>
                <w:p>
                  <w:pPr>
                    <w:pStyle w:val="30"/>
                    <w:bidi w:val="0"/>
                    <w:rPr>
                      <w:rFonts w:hint="default"/>
                      <w:lang w:val="en-US" w:eastAsia="zh-CN"/>
                    </w:rPr>
                  </w:pPr>
                  <w:r>
                    <w:rPr>
                      <w:rFonts w:hint="default"/>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41" w:type="dxa"/>
                  <w:tcBorders>
                    <w:tl2br w:val="nil"/>
                    <w:tr2bl w:val="nil"/>
                  </w:tcBorders>
                  <w:noWrap w:val="0"/>
                  <w:vAlign w:val="center"/>
                </w:tcPr>
                <w:p>
                  <w:pPr>
                    <w:pStyle w:val="30"/>
                    <w:bidi w:val="0"/>
                    <w:rPr>
                      <w:rFonts w:hint="default"/>
                      <w:lang w:val="en-US" w:eastAsia="zh-CN"/>
                    </w:rPr>
                  </w:pPr>
                  <w:r>
                    <w:rPr>
                      <w:rFonts w:hint="default"/>
                      <w:lang w:val="en-US" w:eastAsia="zh-CN"/>
                    </w:rPr>
                    <w:t>8</w:t>
                  </w:r>
                </w:p>
              </w:tc>
              <w:tc>
                <w:tcPr>
                  <w:tcW w:w="3116" w:type="dxa"/>
                  <w:tcBorders>
                    <w:tl2br w:val="nil"/>
                    <w:tr2bl w:val="nil"/>
                  </w:tcBorders>
                  <w:noWrap w:val="0"/>
                  <w:vAlign w:val="center"/>
                </w:tcPr>
                <w:p>
                  <w:pPr>
                    <w:pStyle w:val="30"/>
                    <w:bidi w:val="0"/>
                    <w:rPr>
                      <w:rFonts w:hint="default"/>
                      <w:lang w:val="en-US" w:eastAsia="zh-CN"/>
                    </w:rPr>
                  </w:pPr>
                  <w:r>
                    <w:rPr>
                      <w:rFonts w:hint="default"/>
                      <w:lang w:val="en-US" w:eastAsia="zh-CN"/>
                    </w:rPr>
                    <w:t>阴离子表面活性剂</w:t>
                  </w:r>
                </w:p>
              </w:tc>
              <w:tc>
                <w:tcPr>
                  <w:tcW w:w="1387" w:type="dxa"/>
                  <w:tcBorders>
                    <w:tl2br w:val="nil"/>
                    <w:tr2bl w:val="nil"/>
                  </w:tcBorders>
                  <w:noWrap w:val="0"/>
                  <w:vAlign w:val="center"/>
                </w:tcPr>
                <w:p>
                  <w:pPr>
                    <w:pStyle w:val="30"/>
                    <w:bidi w:val="0"/>
                    <w:rPr>
                      <w:rFonts w:hint="default"/>
                      <w:lang w:val="en-US" w:eastAsia="zh-CN"/>
                    </w:rPr>
                  </w:pPr>
                  <w:r>
                    <w:rPr>
                      <w:rFonts w:hint="default"/>
                      <w:lang w:val="en-US" w:eastAsia="zh-CN"/>
                    </w:rPr>
                    <w:t>mg/L</w:t>
                  </w:r>
                </w:p>
              </w:tc>
              <w:tc>
                <w:tcPr>
                  <w:tcW w:w="2080" w:type="dxa"/>
                  <w:tcBorders>
                    <w:tl2br w:val="nil"/>
                    <w:tr2bl w:val="nil"/>
                  </w:tcBorders>
                  <w:noWrap w:val="0"/>
                  <w:vAlign w:val="center"/>
                </w:tcPr>
                <w:p>
                  <w:pPr>
                    <w:pStyle w:val="30"/>
                    <w:bidi w:val="0"/>
                    <w:rPr>
                      <w:rFonts w:hint="default"/>
                      <w:lang w:val="en-US" w:eastAsia="zh-CN"/>
                    </w:rPr>
                  </w:pPr>
                  <w:r>
                    <w:rPr>
                      <w:rFonts w:hint="default"/>
                      <w:lang w:val="en-US" w:eastAsia="zh-CN"/>
                    </w:rPr>
                    <w:t>0.5</w:t>
                  </w:r>
                </w:p>
              </w:tc>
            </w:tr>
          </w:tbl>
          <w:p>
            <w:pPr>
              <w:pStyle w:val="29"/>
              <w:bidi w:val="0"/>
              <w:rPr>
                <w:rFonts w:hint="default"/>
                <w:lang w:val="en-US" w:eastAsia="zh-CN"/>
              </w:rPr>
            </w:pPr>
            <w:r>
              <w:rPr>
                <w:rFonts w:hint="eastAsia"/>
                <w:lang w:val="en-US" w:eastAsia="zh-CN"/>
              </w:rPr>
              <w:t>表3.3-4  《医疗机构水污染物排放标准》（GB18466-2005）表2（摘录）</w:t>
            </w:r>
          </w:p>
          <w:tbl>
            <w:tblPr>
              <w:tblStyle w:val="28"/>
              <w:tblW w:w="76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340"/>
              <w:gridCol w:w="2028"/>
              <w:gridCol w:w="1564"/>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79" w:type="dxa"/>
                  <w:tcBorders>
                    <w:tl2br w:val="nil"/>
                    <w:tr2bl w:val="nil"/>
                  </w:tcBorders>
                  <w:noWrap w:val="0"/>
                  <w:vAlign w:val="center"/>
                </w:tcPr>
                <w:p>
                  <w:pPr>
                    <w:pStyle w:val="30"/>
                    <w:bidi w:val="0"/>
                    <w:rPr>
                      <w:rFonts w:hint="default"/>
                      <w:lang w:val="en-US" w:eastAsia="zh-CN"/>
                    </w:rPr>
                  </w:pPr>
                  <w:r>
                    <w:rPr>
                      <w:rFonts w:hint="default"/>
                      <w:lang w:val="en-US" w:eastAsia="zh-CN"/>
                    </w:rPr>
                    <w:t>序号</w:t>
                  </w:r>
                </w:p>
              </w:tc>
              <w:tc>
                <w:tcPr>
                  <w:tcW w:w="3368" w:type="dxa"/>
                  <w:gridSpan w:val="2"/>
                  <w:tcBorders>
                    <w:tl2br w:val="nil"/>
                    <w:tr2bl w:val="nil"/>
                  </w:tcBorders>
                  <w:noWrap w:val="0"/>
                  <w:vAlign w:val="center"/>
                </w:tcPr>
                <w:p>
                  <w:pPr>
                    <w:pStyle w:val="30"/>
                    <w:bidi w:val="0"/>
                    <w:rPr>
                      <w:rFonts w:hint="default"/>
                      <w:lang w:val="en-US" w:eastAsia="zh-CN"/>
                    </w:rPr>
                  </w:pPr>
                  <w:r>
                    <w:rPr>
                      <w:rFonts w:hint="default"/>
                      <w:lang w:val="en-US" w:eastAsia="zh-CN"/>
                    </w:rPr>
                    <w:t>控制项目</w:t>
                  </w:r>
                </w:p>
              </w:tc>
              <w:tc>
                <w:tcPr>
                  <w:tcW w:w="1564" w:type="dxa"/>
                  <w:tcBorders>
                    <w:tl2br w:val="nil"/>
                    <w:tr2bl w:val="nil"/>
                  </w:tcBorders>
                  <w:noWrap w:val="0"/>
                  <w:vAlign w:val="center"/>
                </w:tcPr>
                <w:p>
                  <w:pPr>
                    <w:pStyle w:val="30"/>
                    <w:bidi w:val="0"/>
                    <w:rPr>
                      <w:rFonts w:hint="default"/>
                      <w:lang w:val="en-US" w:eastAsia="zh-CN"/>
                    </w:rPr>
                  </w:pPr>
                  <w:r>
                    <w:rPr>
                      <w:rFonts w:hint="default"/>
                      <w:lang w:val="en-US" w:eastAsia="zh-CN"/>
                    </w:rPr>
                    <w:t>单位</w:t>
                  </w:r>
                </w:p>
              </w:tc>
              <w:tc>
                <w:tcPr>
                  <w:tcW w:w="1913" w:type="dxa"/>
                  <w:tcBorders>
                    <w:tl2br w:val="nil"/>
                    <w:tr2bl w:val="nil"/>
                  </w:tcBorders>
                  <w:noWrap w:val="0"/>
                  <w:vAlign w:val="center"/>
                </w:tcPr>
                <w:p>
                  <w:pPr>
                    <w:pStyle w:val="30"/>
                    <w:bidi w:val="0"/>
                    <w:rPr>
                      <w:rFonts w:hint="default"/>
                      <w:lang w:val="en-US" w:eastAsia="zh-CN"/>
                    </w:rPr>
                  </w:pPr>
                  <w:r>
                    <w:rPr>
                      <w:rFonts w:hint="default"/>
                      <w:lang w:val="en-US" w:eastAsia="zh-CN"/>
                    </w:rPr>
                    <w:t>预处理标准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79" w:type="dxa"/>
                  <w:tcBorders>
                    <w:tl2br w:val="nil"/>
                    <w:tr2bl w:val="nil"/>
                  </w:tcBorders>
                  <w:noWrap w:val="0"/>
                  <w:vAlign w:val="center"/>
                </w:tcPr>
                <w:p>
                  <w:pPr>
                    <w:pStyle w:val="30"/>
                    <w:bidi w:val="0"/>
                    <w:rPr>
                      <w:rFonts w:hint="default"/>
                      <w:lang w:val="en-US" w:eastAsia="zh-CN"/>
                    </w:rPr>
                  </w:pPr>
                  <w:r>
                    <w:rPr>
                      <w:rFonts w:hint="default"/>
                      <w:lang w:val="en-US" w:eastAsia="zh-CN"/>
                    </w:rPr>
                    <w:t>1</w:t>
                  </w:r>
                </w:p>
              </w:tc>
              <w:tc>
                <w:tcPr>
                  <w:tcW w:w="3368" w:type="dxa"/>
                  <w:gridSpan w:val="2"/>
                  <w:tcBorders>
                    <w:tl2br w:val="nil"/>
                    <w:tr2bl w:val="nil"/>
                  </w:tcBorders>
                  <w:noWrap w:val="0"/>
                  <w:vAlign w:val="center"/>
                </w:tcPr>
                <w:p>
                  <w:pPr>
                    <w:pStyle w:val="30"/>
                    <w:bidi w:val="0"/>
                    <w:rPr>
                      <w:rFonts w:hint="default"/>
                    </w:rPr>
                  </w:pPr>
                  <w:r>
                    <w:rPr>
                      <w:rFonts w:hint="default"/>
                      <w:lang w:val="en-US" w:eastAsia="zh-CN"/>
                    </w:rPr>
                    <w:t>粪大肠菌群数</w:t>
                  </w:r>
                </w:p>
              </w:tc>
              <w:tc>
                <w:tcPr>
                  <w:tcW w:w="1564" w:type="dxa"/>
                  <w:tcBorders>
                    <w:tl2br w:val="nil"/>
                    <w:tr2bl w:val="nil"/>
                  </w:tcBorders>
                  <w:noWrap w:val="0"/>
                  <w:vAlign w:val="center"/>
                </w:tcPr>
                <w:p>
                  <w:pPr>
                    <w:pStyle w:val="30"/>
                    <w:bidi w:val="0"/>
                    <w:rPr>
                      <w:rFonts w:hint="default"/>
                    </w:rPr>
                  </w:pPr>
                  <w:r>
                    <w:rPr>
                      <w:rFonts w:hint="default"/>
                      <w:lang w:val="en-US" w:eastAsia="zh-CN"/>
                    </w:rPr>
                    <w:t>MPN/L</w:t>
                  </w:r>
                </w:p>
              </w:tc>
              <w:tc>
                <w:tcPr>
                  <w:tcW w:w="1913" w:type="dxa"/>
                  <w:tcBorders>
                    <w:tl2br w:val="nil"/>
                    <w:tr2bl w:val="nil"/>
                  </w:tcBorders>
                  <w:noWrap w:val="0"/>
                  <w:vAlign w:val="center"/>
                </w:tcPr>
                <w:p>
                  <w:pPr>
                    <w:pStyle w:val="30"/>
                    <w:bidi w:val="0"/>
                    <w:rPr>
                      <w:rFonts w:hint="default"/>
                      <w:lang w:val="en-US" w:eastAsia="zh-CN"/>
                    </w:rPr>
                  </w:pPr>
                  <w:r>
                    <w:rPr>
                      <w:rFonts w:hint="default"/>
                      <w:lang w:val="en-US" w:eastAsia="zh-CN"/>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79" w:type="dxa"/>
                  <w:tcBorders>
                    <w:tl2br w:val="nil"/>
                    <w:tr2bl w:val="nil"/>
                  </w:tcBorders>
                  <w:noWrap w:val="0"/>
                  <w:vAlign w:val="center"/>
                </w:tcPr>
                <w:p>
                  <w:pPr>
                    <w:pStyle w:val="30"/>
                    <w:bidi w:val="0"/>
                    <w:rPr>
                      <w:rFonts w:hint="default"/>
                      <w:lang w:val="en-US" w:eastAsia="zh-CN"/>
                    </w:rPr>
                  </w:pPr>
                  <w:r>
                    <w:rPr>
                      <w:rFonts w:hint="default"/>
                      <w:lang w:val="en-US" w:eastAsia="zh-CN"/>
                    </w:rPr>
                    <w:t>2</w:t>
                  </w:r>
                </w:p>
              </w:tc>
              <w:tc>
                <w:tcPr>
                  <w:tcW w:w="3368" w:type="dxa"/>
                  <w:gridSpan w:val="2"/>
                  <w:tcBorders>
                    <w:tl2br w:val="nil"/>
                    <w:tr2bl w:val="nil"/>
                  </w:tcBorders>
                  <w:noWrap w:val="0"/>
                  <w:vAlign w:val="center"/>
                </w:tcPr>
                <w:p>
                  <w:pPr>
                    <w:pStyle w:val="30"/>
                    <w:bidi w:val="0"/>
                    <w:rPr>
                      <w:rFonts w:hint="default"/>
                    </w:rPr>
                  </w:pPr>
                  <w:r>
                    <w:rPr>
                      <w:rFonts w:hint="default"/>
                      <w:lang w:val="en-US" w:eastAsia="zh-CN"/>
                    </w:rPr>
                    <w:t>pH</w:t>
                  </w:r>
                </w:p>
              </w:tc>
              <w:tc>
                <w:tcPr>
                  <w:tcW w:w="1564" w:type="dxa"/>
                  <w:tcBorders>
                    <w:tl2br w:val="nil"/>
                    <w:tr2bl w:val="nil"/>
                  </w:tcBorders>
                  <w:noWrap w:val="0"/>
                  <w:vAlign w:val="center"/>
                </w:tcPr>
                <w:p>
                  <w:pPr>
                    <w:pStyle w:val="30"/>
                    <w:bidi w:val="0"/>
                    <w:rPr>
                      <w:rFonts w:hint="default"/>
                    </w:rPr>
                  </w:pPr>
                  <w:r>
                    <w:rPr>
                      <w:rFonts w:hint="default"/>
                      <w:lang w:val="en-US" w:eastAsia="zh-CN"/>
                    </w:rPr>
                    <w:t>无量纲</w:t>
                  </w:r>
                </w:p>
              </w:tc>
              <w:tc>
                <w:tcPr>
                  <w:tcW w:w="1913" w:type="dxa"/>
                  <w:tcBorders>
                    <w:tl2br w:val="nil"/>
                    <w:tr2bl w:val="nil"/>
                  </w:tcBorders>
                  <w:noWrap w:val="0"/>
                  <w:vAlign w:val="center"/>
                </w:tcPr>
                <w:p>
                  <w:pPr>
                    <w:pStyle w:val="30"/>
                    <w:bidi w:val="0"/>
                    <w:rPr>
                      <w:rFonts w:hint="default"/>
                      <w:lang w:val="en-US" w:eastAsia="zh-CN"/>
                    </w:rPr>
                  </w:pPr>
                  <w:r>
                    <w:rPr>
                      <w:rFonts w:hint="default"/>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79" w:type="dxa"/>
                  <w:vMerge w:val="restart"/>
                  <w:tcBorders>
                    <w:tl2br w:val="nil"/>
                    <w:tr2bl w:val="nil"/>
                  </w:tcBorders>
                  <w:noWrap w:val="0"/>
                  <w:vAlign w:val="center"/>
                </w:tcPr>
                <w:p>
                  <w:pPr>
                    <w:pStyle w:val="30"/>
                    <w:bidi w:val="0"/>
                    <w:rPr>
                      <w:rFonts w:hint="default"/>
                      <w:lang w:val="en-US" w:eastAsia="zh-CN"/>
                    </w:rPr>
                  </w:pPr>
                  <w:r>
                    <w:rPr>
                      <w:rFonts w:hint="default"/>
                      <w:lang w:val="en-US" w:eastAsia="zh-CN"/>
                    </w:rPr>
                    <w:t>3</w:t>
                  </w:r>
                </w:p>
              </w:tc>
              <w:tc>
                <w:tcPr>
                  <w:tcW w:w="1340" w:type="dxa"/>
                  <w:vMerge w:val="restart"/>
                  <w:tcBorders>
                    <w:tl2br w:val="nil"/>
                    <w:tr2bl w:val="nil"/>
                  </w:tcBorders>
                  <w:noWrap w:val="0"/>
                  <w:vAlign w:val="center"/>
                </w:tcPr>
                <w:p>
                  <w:pPr>
                    <w:pStyle w:val="30"/>
                    <w:bidi w:val="0"/>
                    <w:rPr>
                      <w:rFonts w:hint="default"/>
                    </w:rPr>
                  </w:pPr>
                  <w:r>
                    <w:rPr>
                      <w:rFonts w:hint="default"/>
                      <w:lang w:val="en-US" w:eastAsia="zh-CN"/>
                    </w:rPr>
                    <w:t>化学需氧量</w:t>
                  </w:r>
                </w:p>
              </w:tc>
              <w:tc>
                <w:tcPr>
                  <w:tcW w:w="2028" w:type="dxa"/>
                  <w:tcBorders>
                    <w:tl2br w:val="nil"/>
                    <w:tr2bl w:val="nil"/>
                  </w:tcBorders>
                  <w:noWrap w:val="0"/>
                  <w:vAlign w:val="center"/>
                </w:tcPr>
                <w:p>
                  <w:pPr>
                    <w:pStyle w:val="30"/>
                    <w:bidi w:val="0"/>
                    <w:rPr>
                      <w:rFonts w:hint="default"/>
                      <w:lang w:val="en-US" w:eastAsia="zh-CN"/>
                    </w:rPr>
                  </w:pPr>
                  <w:r>
                    <w:rPr>
                      <w:rFonts w:hint="default"/>
                      <w:lang w:val="en-US" w:eastAsia="zh-CN"/>
                    </w:rPr>
                    <w:t>浓度</w:t>
                  </w:r>
                </w:p>
              </w:tc>
              <w:tc>
                <w:tcPr>
                  <w:tcW w:w="1564" w:type="dxa"/>
                  <w:tcBorders>
                    <w:tl2br w:val="nil"/>
                    <w:tr2bl w:val="nil"/>
                  </w:tcBorders>
                  <w:noWrap w:val="0"/>
                  <w:vAlign w:val="center"/>
                </w:tcPr>
                <w:p>
                  <w:pPr>
                    <w:pStyle w:val="30"/>
                    <w:bidi w:val="0"/>
                    <w:rPr>
                      <w:rFonts w:hint="default"/>
                    </w:rPr>
                  </w:pPr>
                  <w:r>
                    <w:rPr>
                      <w:rFonts w:hint="default"/>
                      <w:lang w:val="en-US" w:eastAsia="zh-CN"/>
                    </w:rPr>
                    <w:t>mg/L</w:t>
                  </w:r>
                </w:p>
              </w:tc>
              <w:tc>
                <w:tcPr>
                  <w:tcW w:w="1913" w:type="dxa"/>
                  <w:tcBorders>
                    <w:tl2br w:val="nil"/>
                    <w:tr2bl w:val="nil"/>
                  </w:tcBorders>
                  <w:noWrap w:val="0"/>
                  <w:vAlign w:val="center"/>
                </w:tcPr>
                <w:p>
                  <w:pPr>
                    <w:pStyle w:val="30"/>
                    <w:bidi w:val="0"/>
                    <w:rPr>
                      <w:rFonts w:hint="default"/>
                      <w:lang w:val="en-US" w:eastAsia="zh-CN"/>
                    </w:rPr>
                  </w:pPr>
                  <w:r>
                    <w:rPr>
                      <w:rFonts w:hint="default"/>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79" w:type="dxa"/>
                  <w:vMerge w:val="continue"/>
                  <w:tcBorders>
                    <w:tl2br w:val="nil"/>
                    <w:tr2bl w:val="nil"/>
                  </w:tcBorders>
                  <w:noWrap w:val="0"/>
                  <w:vAlign w:val="center"/>
                </w:tcPr>
                <w:p>
                  <w:pPr>
                    <w:pStyle w:val="30"/>
                    <w:bidi w:val="0"/>
                    <w:rPr>
                      <w:rFonts w:hint="default"/>
                      <w:lang w:val="en-US" w:eastAsia="zh-CN"/>
                    </w:rPr>
                  </w:pPr>
                </w:p>
              </w:tc>
              <w:tc>
                <w:tcPr>
                  <w:tcW w:w="1340" w:type="dxa"/>
                  <w:vMerge w:val="continue"/>
                  <w:tcBorders>
                    <w:tl2br w:val="nil"/>
                    <w:tr2bl w:val="nil"/>
                  </w:tcBorders>
                  <w:noWrap w:val="0"/>
                  <w:vAlign w:val="center"/>
                </w:tcPr>
                <w:p>
                  <w:pPr>
                    <w:pStyle w:val="30"/>
                    <w:bidi w:val="0"/>
                    <w:rPr>
                      <w:rFonts w:hint="default"/>
                    </w:rPr>
                  </w:pPr>
                </w:p>
              </w:tc>
              <w:tc>
                <w:tcPr>
                  <w:tcW w:w="2028" w:type="dxa"/>
                  <w:tcBorders>
                    <w:tl2br w:val="nil"/>
                    <w:tr2bl w:val="nil"/>
                  </w:tcBorders>
                  <w:noWrap w:val="0"/>
                  <w:vAlign w:val="center"/>
                </w:tcPr>
                <w:p>
                  <w:pPr>
                    <w:pStyle w:val="30"/>
                    <w:bidi w:val="0"/>
                    <w:rPr>
                      <w:rFonts w:hint="default"/>
                      <w:lang w:val="en-US" w:eastAsia="zh-CN"/>
                    </w:rPr>
                  </w:pPr>
                  <w:r>
                    <w:rPr>
                      <w:rFonts w:hint="default"/>
                      <w:lang w:val="en-US" w:eastAsia="zh-CN"/>
                    </w:rPr>
                    <w:t>最高允许排放负荷</w:t>
                  </w:r>
                </w:p>
              </w:tc>
              <w:tc>
                <w:tcPr>
                  <w:tcW w:w="1564" w:type="dxa"/>
                  <w:tcBorders>
                    <w:tl2br w:val="nil"/>
                    <w:tr2bl w:val="nil"/>
                  </w:tcBorders>
                  <w:noWrap w:val="0"/>
                  <w:vAlign w:val="center"/>
                </w:tcPr>
                <w:p>
                  <w:pPr>
                    <w:pStyle w:val="30"/>
                    <w:bidi w:val="0"/>
                    <w:rPr>
                      <w:rFonts w:hint="default"/>
                      <w:lang w:val="en-US" w:eastAsia="zh-CN"/>
                    </w:rPr>
                  </w:pPr>
                  <w:r>
                    <w:rPr>
                      <w:rFonts w:hint="default"/>
                      <w:lang w:val="en-US" w:eastAsia="zh-CN"/>
                    </w:rPr>
                    <w:t>g/（床位）d</w:t>
                  </w:r>
                </w:p>
              </w:tc>
              <w:tc>
                <w:tcPr>
                  <w:tcW w:w="1913" w:type="dxa"/>
                  <w:tcBorders>
                    <w:tl2br w:val="nil"/>
                    <w:tr2bl w:val="nil"/>
                  </w:tcBorders>
                  <w:noWrap w:val="0"/>
                  <w:vAlign w:val="center"/>
                </w:tcPr>
                <w:p>
                  <w:pPr>
                    <w:pStyle w:val="30"/>
                    <w:bidi w:val="0"/>
                    <w:rPr>
                      <w:rFonts w:hint="default"/>
                      <w:lang w:val="en-US" w:eastAsia="zh-CN"/>
                    </w:rPr>
                  </w:pPr>
                  <w:r>
                    <w:rPr>
                      <w:rFonts w:hint="default"/>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79" w:type="dxa"/>
                  <w:vMerge w:val="restart"/>
                  <w:tcBorders>
                    <w:tl2br w:val="nil"/>
                    <w:tr2bl w:val="nil"/>
                  </w:tcBorders>
                  <w:noWrap w:val="0"/>
                  <w:vAlign w:val="center"/>
                </w:tcPr>
                <w:p>
                  <w:pPr>
                    <w:pStyle w:val="30"/>
                    <w:bidi w:val="0"/>
                    <w:rPr>
                      <w:rFonts w:hint="default"/>
                      <w:lang w:val="en-US" w:eastAsia="zh-CN"/>
                    </w:rPr>
                  </w:pPr>
                  <w:r>
                    <w:rPr>
                      <w:rFonts w:hint="default"/>
                      <w:lang w:val="en-US" w:eastAsia="zh-CN"/>
                    </w:rPr>
                    <w:t>4</w:t>
                  </w:r>
                </w:p>
              </w:tc>
              <w:tc>
                <w:tcPr>
                  <w:tcW w:w="1340" w:type="dxa"/>
                  <w:vMerge w:val="restart"/>
                  <w:tcBorders>
                    <w:tl2br w:val="nil"/>
                    <w:tr2bl w:val="nil"/>
                  </w:tcBorders>
                  <w:noWrap w:val="0"/>
                  <w:vAlign w:val="center"/>
                </w:tcPr>
                <w:p>
                  <w:pPr>
                    <w:pStyle w:val="30"/>
                    <w:bidi w:val="0"/>
                    <w:rPr>
                      <w:rFonts w:hint="default"/>
                    </w:rPr>
                  </w:pPr>
                  <w:r>
                    <w:rPr>
                      <w:rFonts w:hint="default"/>
                      <w:lang w:val="en-US" w:eastAsia="zh-CN"/>
                    </w:rPr>
                    <w:t>生化需氧量</w:t>
                  </w:r>
                </w:p>
              </w:tc>
              <w:tc>
                <w:tcPr>
                  <w:tcW w:w="2028" w:type="dxa"/>
                  <w:tcBorders>
                    <w:tl2br w:val="nil"/>
                    <w:tr2bl w:val="nil"/>
                  </w:tcBorders>
                  <w:noWrap w:val="0"/>
                  <w:vAlign w:val="center"/>
                </w:tcPr>
                <w:p>
                  <w:pPr>
                    <w:pStyle w:val="30"/>
                    <w:bidi w:val="0"/>
                    <w:rPr>
                      <w:rFonts w:hint="default"/>
                    </w:rPr>
                  </w:pPr>
                  <w:r>
                    <w:rPr>
                      <w:rFonts w:hint="default"/>
                      <w:lang w:val="en-US" w:eastAsia="zh-CN"/>
                    </w:rPr>
                    <w:t>浓度</w:t>
                  </w:r>
                </w:p>
              </w:tc>
              <w:tc>
                <w:tcPr>
                  <w:tcW w:w="1564" w:type="dxa"/>
                  <w:tcBorders>
                    <w:tl2br w:val="nil"/>
                    <w:tr2bl w:val="nil"/>
                  </w:tcBorders>
                  <w:noWrap w:val="0"/>
                  <w:vAlign w:val="center"/>
                </w:tcPr>
                <w:p>
                  <w:pPr>
                    <w:pStyle w:val="30"/>
                    <w:bidi w:val="0"/>
                    <w:rPr>
                      <w:rFonts w:hint="default"/>
                    </w:rPr>
                  </w:pPr>
                  <w:r>
                    <w:rPr>
                      <w:rFonts w:hint="default"/>
                      <w:lang w:val="en-US" w:eastAsia="zh-CN"/>
                    </w:rPr>
                    <w:t>mg/L</w:t>
                  </w:r>
                </w:p>
              </w:tc>
              <w:tc>
                <w:tcPr>
                  <w:tcW w:w="1913" w:type="dxa"/>
                  <w:tcBorders>
                    <w:tl2br w:val="nil"/>
                    <w:tr2bl w:val="nil"/>
                  </w:tcBorders>
                  <w:noWrap w:val="0"/>
                  <w:vAlign w:val="center"/>
                </w:tcPr>
                <w:p>
                  <w:pPr>
                    <w:pStyle w:val="30"/>
                    <w:bidi w:val="0"/>
                    <w:rPr>
                      <w:rFonts w:hint="default"/>
                      <w:lang w:val="en-US" w:eastAsia="zh-CN"/>
                    </w:rPr>
                  </w:pPr>
                  <w:r>
                    <w:rPr>
                      <w:rFonts w:hint="default"/>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79" w:type="dxa"/>
                  <w:vMerge w:val="continue"/>
                  <w:tcBorders>
                    <w:tl2br w:val="nil"/>
                    <w:tr2bl w:val="nil"/>
                  </w:tcBorders>
                  <w:noWrap w:val="0"/>
                  <w:vAlign w:val="center"/>
                </w:tcPr>
                <w:p>
                  <w:pPr>
                    <w:pStyle w:val="30"/>
                    <w:bidi w:val="0"/>
                    <w:rPr>
                      <w:rFonts w:hint="default"/>
                      <w:lang w:val="en-US" w:eastAsia="zh-CN"/>
                    </w:rPr>
                  </w:pPr>
                </w:p>
              </w:tc>
              <w:tc>
                <w:tcPr>
                  <w:tcW w:w="1340" w:type="dxa"/>
                  <w:vMerge w:val="continue"/>
                  <w:tcBorders>
                    <w:tl2br w:val="nil"/>
                    <w:tr2bl w:val="nil"/>
                  </w:tcBorders>
                  <w:noWrap w:val="0"/>
                  <w:vAlign w:val="center"/>
                </w:tcPr>
                <w:p>
                  <w:pPr>
                    <w:pStyle w:val="30"/>
                    <w:bidi w:val="0"/>
                    <w:rPr>
                      <w:rFonts w:hint="default"/>
                    </w:rPr>
                  </w:pPr>
                </w:p>
              </w:tc>
              <w:tc>
                <w:tcPr>
                  <w:tcW w:w="2028" w:type="dxa"/>
                  <w:tcBorders>
                    <w:tl2br w:val="nil"/>
                    <w:tr2bl w:val="nil"/>
                  </w:tcBorders>
                  <w:noWrap w:val="0"/>
                  <w:vAlign w:val="center"/>
                </w:tcPr>
                <w:p>
                  <w:pPr>
                    <w:pStyle w:val="30"/>
                    <w:bidi w:val="0"/>
                    <w:rPr>
                      <w:rFonts w:hint="default"/>
                    </w:rPr>
                  </w:pPr>
                  <w:r>
                    <w:rPr>
                      <w:rFonts w:hint="default"/>
                      <w:lang w:val="en-US" w:eastAsia="zh-CN"/>
                    </w:rPr>
                    <w:t>最高允许排放负荷</w:t>
                  </w:r>
                </w:p>
              </w:tc>
              <w:tc>
                <w:tcPr>
                  <w:tcW w:w="1564" w:type="dxa"/>
                  <w:tcBorders>
                    <w:tl2br w:val="nil"/>
                    <w:tr2bl w:val="nil"/>
                  </w:tcBorders>
                  <w:noWrap w:val="0"/>
                  <w:vAlign w:val="center"/>
                </w:tcPr>
                <w:p>
                  <w:pPr>
                    <w:pStyle w:val="30"/>
                    <w:bidi w:val="0"/>
                    <w:rPr>
                      <w:rFonts w:hint="default"/>
                    </w:rPr>
                  </w:pPr>
                  <w:r>
                    <w:rPr>
                      <w:rFonts w:hint="default"/>
                      <w:lang w:val="en-US" w:eastAsia="zh-CN"/>
                    </w:rPr>
                    <w:t>g/（床位）d</w:t>
                  </w:r>
                </w:p>
              </w:tc>
              <w:tc>
                <w:tcPr>
                  <w:tcW w:w="1913" w:type="dxa"/>
                  <w:tcBorders>
                    <w:tl2br w:val="nil"/>
                    <w:tr2bl w:val="nil"/>
                  </w:tcBorders>
                  <w:noWrap w:val="0"/>
                  <w:vAlign w:val="center"/>
                </w:tcPr>
                <w:p>
                  <w:pPr>
                    <w:pStyle w:val="30"/>
                    <w:bidi w:val="0"/>
                    <w:rPr>
                      <w:rFonts w:hint="default"/>
                      <w:lang w:val="en-US" w:eastAsia="zh-CN"/>
                    </w:rPr>
                  </w:pPr>
                  <w:r>
                    <w:rPr>
                      <w:rFonts w:hint="default"/>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79" w:type="dxa"/>
                  <w:vMerge w:val="restart"/>
                  <w:tcBorders>
                    <w:tl2br w:val="nil"/>
                    <w:tr2bl w:val="nil"/>
                  </w:tcBorders>
                  <w:noWrap w:val="0"/>
                  <w:vAlign w:val="center"/>
                </w:tcPr>
                <w:p>
                  <w:pPr>
                    <w:pStyle w:val="30"/>
                    <w:bidi w:val="0"/>
                    <w:rPr>
                      <w:rFonts w:hint="default"/>
                      <w:lang w:val="en-US" w:eastAsia="zh-CN"/>
                    </w:rPr>
                  </w:pPr>
                  <w:r>
                    <w:rPr>
                      <w:rFonts w:hint="default"/>
                      <w:lang w:val="en-US" w:eastAsia="zh-CN"/>
                    </w:rPr>
                    <w:t>5</w:t>
                  </w:r>
                </w:p>
              </w:tc>
              <w:tc>
                <w:tcPr>
                  <w:tcW w:w="1340" w:type="dxa"/>
                  <w:vMerge w:val="restart"/>
                  <w:tcBorders>
                    <w:tl2br w:val="nil"/>
                    <w:tr2bl w:val="nil"/>
                  </w:tcBorders>
                  <w:noWrap w:val="0"/>
                  <w:vAlign w:val="center"/>
                </w:tcPr>
                <w:p>
                  <w:pPr>
                    <w:pStyle w:val="30"/>
                    <w:bidi w:val="0"/>
                    <w:rPr>
                      <w:rFonts w:hint="default"/>
                    </w:rPr>
                  </w:pPr>
                  <w:r>
                    <w:rPr>
                      <w:rFonts w:hint="default"/>
                      <w:lang w:val="en-US" w:eastAsia="zh-CN"/>
                    </w:rPr>
                    <w:t>悬浮物</w:t>
                  </w:r>
                </w:p>
              </w:tc>
              <w:tc>
                <w:tcPr>
                  <w:tcW w:w="2028" w:type="dxa"/>
                  <w:tcBorders>
                    <w:tl2br w:val="nil"/>
                    <w:tr2bl w:val="nil"/>
                  </w:tcBorders>
                  <w:noWrap w:val="0"/>
                  <w:vAlign w:val="center"/>
                </w:tcPr>
                <w:p>
                  <w:pPr>
                    <w:pStyle w:val="30"/>
                    <w:bidi w:val="0"/>
                    <w:rPr>
                      <w:rFonts w:hint="default"/>
                    </w:rPr>
                  </w:pPr>
                  <w:r>
                    <w:rPr>
                      <w:rFonts w:hint="default"/>
                      <w:lang w:val="en-US" w:eastAsia="zh-CN"/>
                    </w:rPr>
                    <w:t>浓度</w:t>
                  </w:r>
                </w:p>
              </w:tc>
              <w:tc>
                <w:tcPr>
                  <w:tcW w:w="1564" w:type="dxa"/>
                  <w:tcBorders>
                    <w:tl2br w:val="nil"/>
                    <w:tr2bl w:val="nil"/>
                  </w:tcBorders>
                  <w:noWrap w:val="0"/>
                  <w:vAlign w:val="center"/>
                </w:tcPr>
                <w:p>
                  <w:pPr>
                    <w:pStyle w:val="30"/>
                    <w:bidi w:val="0"/>
                    <w:rPr>
                      <w:rFonts w:hint="default"/>
                    </w:rPr>
                  </w:pPr>
                  <w:r>
                    <w:rPr>
                      <w:rFonts w:hint="default"/>
                      <w:lang w:val="en-US" w:eastAsia="zh-CN"/>
                    </w:rPr>
                    <w:t>mg/L</w:t>
                  </w:r>
                </w:p>
              </w:tc>
              <w:tc>
                <w:tcPr>
                  <w:tcW w:w="1913" w:type="dxa"/>
                  <w:tcBorders>
                    <w:tl2br w:val="nil"/>
                    <w:tr2bl w:val="nil"/>
                  </w:tcBorders>
                  <w:noWrap w:val="0"/>
                  <w:vAlign w:val="center"/>
                </w:tcPr>
                <w:p>
                  <w:pPr>
                    <w:pStyle w:val="30"/>
                    <w:bidi w:val="0"/>
                    <w:rPr>
                      <w:rFonts w:hint="default"/>
                      <w:lang w:val="en-US" w:eastAsia="zh-CN"/>
                    </w:rPr>
                  </w:pPr>
                  <w:r>
                    <w:rPr>
                      <w:rFonts w:hint="default"/>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79" w:type="dxa"/>
                  <w:vMerge w:val="continue"/>
                  <w:tcBorders>
                    <w:tl2br w:val="nil"/>
                    <w:tr2bl w:val="nil"/>
                  </w:tcBorders>
                  <w:noWrap w:val="0"/>
                  <w:vAlign w:val="center"/>
                </w:tcPr>
                <w:p>
                  <w:pPr>
                    <w:pStyle w:val="30"/>
                    <w:bidi w:val="0"/>
                    <w:rPr>
                      <w:rFonts w:hint="default"/>
                    </w:rPr>
                  </w:pPr>
                </w:p>
              </w:tc>
              <w:tc>
                <w:tcPr>
                  <w:tcW w:w="1340" w:type="dxa"/>
                  <w:vMerge w:val="continue"/>
                  <w:tcBorders>
                    <w:tl2br w:val="nil"/>
                    <w:tr2bl w:val="nil"/>
                  </w:tcBorders>
                  <w:noWrap w:val="0"/>
                  <w:vAlign w:val="center"/>
                </w:tcPr>
                <w:p>
                  <w:pPr>
                    <w:pStyle w:val="30"/>
                    <w:bidi w:val="0"/>
                    <w:rPr>
                      <w:rFonts w:hint="default"/>
                    </w:rPr>
                  </w:pPr>
                </w:p>
              </w:tc>
              <w:tc>
                <w:tcPr>
                  <w:tcW w:w="2028" w:type="dxa"/>
                  <w:tcBorders>
                    <w:tl2br w:val="nil"/>
                    <w:tr2bl w:val="nil"/>
                  </w:tcBorders>
                  <w:noWrap w:val="0"/>
                  <w:vAlign w:val="center"/>
                </w:tcPr>
                <w:p>
                  <w:pPr>
                    <w:pStyle w:val="30"/>
                    <w:bidi w:val="0"/>
                    <w:rPr>
                      <w:rFonts w:hint="default"/>
                    </w:rPr>
                  </w:pPr>
                  <w:r>
                    <w:rPr>
                      <w:rFonts w:hint="default"/>
                      <w:lang w:val="en-US" w:eastAsia="zh-CN"/>
                    </w:rPr>
                    <w:t>最高允许排放负荷</w:t>
                  </w:r>
                </w:p>
              </w:tc>
              <w:tc>
                <w:tcPr>
                  <w:tcW w:w="1564" w:type="dxa"/>
                  <w:tcBorders>
                    <w:tl2br w:val="nil"/>
                    <w:tr2bl w:val="nil"/>
                  </w:tcBorders>
                  <w:noWrap w:val="0"/>
                  <w:vAlign w:val="center"/>
                </w:tcPr>
                <w:p>
                  <w:pPr>
                    <w:pStyle w:val="30"/>
                    <w:bidi w:val="0"/>
                    <w:rPr>
                      <w:rFonts w:hint="default"/>
                    </w:rPr>
                  </w:pPr>
                  <w:r>
                    <w:rPr>
                      <w:rFonts w:hint="default"/>
                      <w:lang w:val="en-US" w:eastAsia="zh-CN"/>
                    </w:rPr>
                    <w:t>g/（床位）d</w:t>
                  </w:r>
                </w:p>
              </w:tc>
              <w:tc>
                <w:tcPr>
                  <w:tcW w:w="1913" w:type="dxa"/>
                  <w:tcBorders>
                    <w:tl2br w:val="nil"/>
                    <w:tr2bl w:val="nil"/>
                  </w:tcBorders>
                  <w:noWrap w:val="0"/>
                  <w:vAlign w:val="center"/>
                </w:tcPr>
                <w:p>
                  <w:pPr>
                    <w:pStyle w:val="30"/>
                    <w:bidi w:val="0"/>
                    <w:rPr>
                      <w:rFonts w:hint="default"/>
                      <w:lang w:val="en-US" w:eastAsia="zh-CN"/>
                    </w:rPr>
                  </w:pPr>
                  <w:r>
                    <w:rPr>
                      <w:rFonts w:hint="default"/>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79" w:type="dxa"/>
                  <w:tcBorders>
                    <w:tl2br w:val="nil"/>
                    <w:tr2bl w:val="nil"/>
                  </w:tcBorders>
                  <w:noWrap w:val="0"/>
                  <w:vAlign w:val="center"/>
                </w:tcPr>
                <w:p>
                  <w:pPr>
                    <w:pStyle w:val="30"/>
                    <w:bidi w:val="0"/>
                    <w:rPr>
                      <w:rFonts w:hint="default"/>
                      <w:lang w:val="en-US" w:eastAsia="zh-CN"/>
                    </w:rPr>
                  </w:pPr>
                  <w:r>
                    <w:rPr>
                      <w:rFonts w:hint="default"/>
                      <w:lang w:val="en-US" w:eastAsia="zh-CN"/>
                    </w:rPr>
                    <w:t>6</w:t>
                  </w:r>
                </w:p>
              </w:tc>
              <w:tc>
                <w:tcPr>
                  <w:tcW w:w="3368" w:type="dxa"/>
                  <w:gridSpan w:val="2"/>
                  <w:tcBorders>
                    <w:tl2br w:val="nil"/>
                    <w:tr2bl w:val="nil"/>
                  </w:tcBorders>
                  <w:noWrap w:val="0"/>
                  <w:vAlign w:val="center"/>
                </w:tcPr>
                <w:p>
                  <w:pPr>
                    <w:pStyle w:val="30"/>
                    <w:bidi w:val="0"/>
                    <w:rPr>
                      <w:rFonts w:hint="default"/>
                      <w:lang w:val="en-US" w:eastAsia="zh-CN"/>
                    </w:rPr>
                  </w:pPr>
                  <w:r>
                    <w:rPr>
                      <w:rFonts w:hint="default"/>
                      <w:lang w:val="en-US" w:eastAsia="zh-CN"/>
                    </w:rPr>
                    <w:t>氨氮</w:t>
                  </w:r>
                </w:p>
              </w:tc>
              <w:tc>
                <w:tcPr>
                  <w:tcW w:w="1564" w:type="dxa"/>
                  <w:tcBorders>
                    <w:tl2br w:val="nil"/>
                    <w:tr2bl w:val="nil"/>
                  </w:tcBorders>
                  <w:noWrap w:val="0"/>
                  <w:vAlign w:val="center"/>
                </w:tcPr>
                <w:p>
                  <w:pPr>
                    <w:pStyle w:val="30"/>
                    <w:bidi w:val="0"/>
                    <w:rPr>
                      <w:rFonts w:hint="default"/>
                    </w:rPr>
                  </w:pPr>
                  <w:r>
                    <w:rPr>
                      <w:rFonts w:hint="default"/>
                      <w:lang w:val="en-US" w:eastAsia="zh-CN"/>
                    </w:rPr>
                    <w:t>mg/L</w:t>
                  </w:r>
                </w:p>
              </w:tc>
              <w:tc>
                <w:tcPr>
                  <w:tcW w:w="1913" w:type="dxa"/>
                  <w:tcBorders>
                    <w:tl2br w:val="nil"/>
                    <w:tr2bl w:val="nil"/>
                  </w:tcBorders>
                  <w:noWrap w:val="0"/>
                  <w:vAlign w:val="center"/>
                </w:tcPr>
                <w:p>
                  <w:pPr>
                    <w:pStyle w:val="30"/>
                    <w:bidi w:val="0"/>
                    <w:rPr>
                      <w:rFonts w:hint="default"/>
                      <w:lang w:val="en-US" w:eastAsia="zh-CN"/>
                    </w:rPr>
                  </w:pPr>
                  <w:r>
                    <w:rPr>
                      <w:rFonts w:hint="default"/>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79" w:type="dxa"/>
                  <w:tcBorders>
                    <w:tl2br w:val="nil"/>
                    <w:tr2bl w:val="nil"/>
                  </w:tcBorders>
                  <w:noWrap w:val="0"/>
                  <w:vAlign w:val="center"/>
                </w:tcPr>
                <w:p>
                  <w:pPr>
                    <w:pStyle w:val="30"/>
                    <w:bidi w:val="0"/>
                    <w:rPr>
                      <w:rFonts w:hint="default"/>
                      <w:lang w:val="en-US" w:eastAsia="zh-CN"/>
                    </w:rPr>
                  </w:pPr>
                  <w:r>
                    <w:rPr>
                      <w:rFonts w:hint="default"/>
                      <w:lang w:val="en-US" w:eastAsia="zh-CN"/>
                    </w:rPr>
                    <w:t>7</w:t>
                  </w:r>
                </w:p>
              </w:tc>
              <w:tc>
                <w:tcPr>
                  <w:tcW w:w="3368" w:type="dxa"/>
                  <w:gridSpan w:val="2"/>
                  <w:tcBorders>
                    <w:tl2br w:val="nil"/>
                    <w:tr2bl w:val="nil"/>
                  </w:tcBorders>
                  <w:noWrap w:val="0"/>
                  <w:vAlign w:val="center"/>
                </w:tcPr>
                <w:p>
                  <w:pPr>
                    <w:pStyle w:val="30"/>
                    <w:bidi w:val="0"/>
                    <w:rPr>
                      <w:rFonts w:hint="default"/>
                      <w:lang w:val="en-US" w:eastAsia="zh-CN"/>
                    </w:rPr>
                  </w:pPr>
                  <w:r>
                    <w:rPr>
                      <w:rFonts w:hint="default"/>
                      <w:lang w:val="en-US" w:eastAsia="zh-CN"/>
                    </w:rPr>
                    <w:t>动植物油</w:t>
                  </w:r>
                </w:p>
              </w:tc>
              <w:tc>
                <w:tcPr>
                  <w:tcW w:w="1564" w:type="dxa"/>
                  <w:tcBorders>
                    <w:tl2br w:val="nil"/>
                    <w:tr2bl w:val="nil"/>
                  </w:tcBorders>
                  <w:noWrap w:val="0"/>
                  <w:vAlign w:val="center"/>
                </w:tcPr>
                <w:p>
                  <w:pPr>
                    <w:pStyle w:val="30"/>
                    <w:bidi w:val="0"/>
                    <w:rPr>
                      <w:rFonts w:hint="default"/>
                      <w:lang w:val="en-US" w:eastAsia="zh-CN"/>
                    </w:rPr>
                  </w:pPr>
                  <w:r>
                    <w:rPr>
                      <w:rFonts w:hint="default"/>
                      <w:lang w:val="en-US" w:eastAsia="zh-CN"/>
                    </w:rPr>
                    <w:t>mg/L</w:t>
                  </w:r>
                </w:p>
              </w:tc>
              <w:tc>
                <w:tcPr>
                  <w:tcW w:w="1913" w:type="dxa"/>
                  <w:tcBorders>
                    <w:tl2br w:val="nil"/>
                    <w:tr2bl w:val="nil"/>
                  </w:tcBorders>
                  <w:noWrap w:val="0"/>
                  <w:vAlign w:val="center"/>
                </w:tcPr>
                <w:p>
                  <w:pPr>
                    <w:pStyle w:val="30"/>
                    <w:bidi w:val="0"/>
                    <w:rPr>
                      <w:rFonts w:hint="default"/>
                      <w:lang w:val="en-US" w:eastAsia="zh-CN"/>
                    </w:rPr>
                  </w:pPr>
                  <w:r>
                    <w:rPr>
                      <w:rFonts w:hint="default"/>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79" w:type="dxa"/>
                  <w:tcBorders>
                    <w:tl2br w:val="nil"/>
                    <w:tr2bl w:val="nil"/>
                  </w:tcBorders>
                  <w:noWrap w:val="0"/>
                  <w:vAlign w:val="center"/>
                </w:tcPr>
                <w:p>
                  <w:pPr>
                    <w:pStyle w:val="30"/>
                    <w:bidi w:val="0"/>
                    <w:rPr>
                      <w:rFonts w:hint="default"/>
                      <w:lang w:val="en-US" w:eastAsia="zh-CN"/>
                    </w:rPr>
                  </w:pPr>
                  <w:r>
                    <w:rPr>
                      <w:rFonts w:hint="eastAsia"/>
                      <w:lang w:val="en-US" w:eastAsia="zh-CN"/>
                    </w:rPr>
                    <w:t>8</w:t>
                  </w:r>
                </w:p>
              </w:tc>
              <w:tc>
                <w:tcPr>
                  <w:tcW w:w="3368" w:type="dxa"/>
                  <w:gridSpan w:val="2"/>
                  <w:tcBorders>
                    <w:tl2br w:val="nil"/>
                    <w:tr2bl w:val="nil"/>
                  </w:tcBorders>
                  <w:noWrap w:val="0"/>
                  <w:vAlign w:val="center"/>
                </w:tcPr>
                <w:p>
                  <w:pPr>
                    <w:pStyle w:val="30"/>
                    <w:bidi w:val="0"/>
                    <w:rPr>
                      <w:rFonts w:hint="default"/>
                      <w:lang w:val="en-US" w:eastAsia="zh-CN"/>
                    </w:rPr>
                  </w:pPr>
                  <w:r>
                    <w:rPr>
                      <w:rFonts w:hint="default"/>
                      <w:lang w:val="en-US" w:eastAsia="zh-CN"/>
                    </w:rPr>
                    <w:t>阴离子表面活性剂</w:t>
                  </w:r>
                </w:p>
              </w:tc>
              <w:tc>
                <w:tcPr>
                  <w:tcW w:w="1564" w:type="dxa"/>
                  <w:tcBorders>
                    <w:tl2br w:val="nil"/>
                    <w:tr2bl w:val="nil"/>
                  </w:tcBorders>
                  <w:noWrap w:val="0"/>
                  <w:vAlign w:val="center"/>
                </w:tcPr>
                <w:p>
                  <w:pPr>
                    <w:pStyle w:val="30"/>
                    <w:bidi w:val="0"/>
                    <w:rPr>
                      <w:rFonts w:hint="default"/>
                      <w:lang w:val="en-US" w:eastAsia="zh-CN"/>
                    </w:rPr>
                  </w:pPr>
                  <w:r>
                    <w:rPr>
                      <w:rFonts w:hint="default"/>
                      <w:lang w:val="en-US" w:eastAsia="zh-CN"/>
                    </w:rPr>
                    <w:t>mg/L</w:t>
                  </w:r>
                </w:p>
              </w:tc>
              <w:tc>
                <w:tcPr>
                  <w:tcW w:w="1913" w:type="dxa"/>
                  <w:tcBorders>
                    <w:tl2br w:val="nil"/>
                    <w:tr2bl w:val="nil"/>
                  </w:tcBorders>
                  <w:noWrap w:val="0"/>
                  <w:vAlign w:val="center"/>
                </w:tcPr>
                <w:p>
                  <w:pPr>
                    <w:pStyle w:val="30"/>
                    <w:bidi w:val="0"/>
                    <w:rPr>
                      <w:rFonts w:hint="default"/>
                      <w:lang w:val="en-US" w:eastAsia="zh-CN"/>
                    </w:rPr>
                  </w:pPr>
                  <w:r>
                    <w:rPr>
                      <w:rFonts w:hint="default"/>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79" w:type="dxa"/>
                  <w:tcBorders>
                    <w:tl2br w:val="nil"/>
                    <w:tr2bl w:val="nil"/>
                  </w:tcBorders>
                  <w:noWrap w:val="0"/>
                  <w:vAlign w:val="center"/>
                </w:tcPr>
                <w:p>
                  <w:pPr>
                    <w:pStyle w:val="30"/>
                    <w:bidi w:val="0"/>
                    <w:rPr>
                      <w:rFonts w:hint="default"/>
                      <w:lang w:val="en-US" w:eastAsia="zh-CN"/>
                    </w:rPr>
                  </w:pPr>
                  <w:r>
                    <w:rPr>
                      <w:rFonts w:hint="eastAsia"/>
                      <w:lang w:val="en-US" w:eastAsia="zh-CN"/>
                    </w:rPr>
                    <w:t>9</w:t>
                  </w:r>
                </w:p>
              </w:tc>
              <w:tc>
                <w:tcPr>
                  <w:tcW w:w="3368" w:type="dxa"/>
                  <w:gridSpan w:val="2"/>
                  <w:tcBorders>
                    <w:tl2br w:val="nil"/>
                    <w:tr2bl w:val="nil"/>
                  </w:tcBorders>
                  <w:noWrap w:val="0"/>
                  <w:vAlign w:val="center"/>
                </w:tcPr>
                <w:p>
                  <w:pPr>
                    <w:pStyle w:val="30"/>
                    <w:bidi w:val="0"/>
                    <w:rPr>
                      <w:rFonts w:hint="default"/>
                      <w:lang w:val="en-US" w:eastAsia="zh-CN"/>
                    </w:rPr>
                  </w:pPr>
                  <w:r>
                    <w:rPr>
                      <w:rFonts w:hint="default"/>
                      <w:lang w:val="en-US" w:eastAsia="zh-CN"/>
                    </w:rPr>
                    <w:t>总余氯</w:t>
                  </w:r>
                </w:p>
              </w:tc>
              <w:tc>
                <w:tcPr>
                  <w:tcW w:w="3477" w:type="dxa"/>
                  <w:gridSpan w:val="2"/>
                  <w:tcBorders>
                    <w:tl2br w:val="nil"/>
                    <w:tr2bl w:val="nil"/>
                  </w:tcBorders>
                  <w:noWrap w:val="0"/>
                  <w:vAlign w:val="center"/>
                </w:tcPr>
                <w:p>
                  <w:pPr>
                    <w:pStyle w:val="30"/>
                    <w:bidi w:val="0"/>
                    <w:rPr>
                      <w:rFonts w:hint="default"/>
                      <w:lang w:val="en-US" w:eastAsia="zh-CN"/>
                    </w:rPr>
                  </w:pPr>
                  <w:r>
                    <w:rPr>
                      <w:rFonts w:hint="default"/>
                      <w:lang w:val="en-US" w:eastAsia="zh-CN"/>
                    </w:rPr>
                    <w:t>消毒接触池接触时间≥1h，接触池出口总余氯2~8mg/L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24" w:type="dxa"/>
                  <w:gridSpan w:val="5"/>
                  <w:tcBorders>
                    <w:tl2br w:val="nil"/>
                    <w:tr2bl w:val="nil"/>
                  </w:tcBorders>
                  <w:noWrap w:val="0"/>
                  <w:vAlign w:val="center"/>
                </w:tcPr>
                <w:p>
                  <w:pPr>
                    <w:pStyle w:val="30"/>
                    <w:bidi w:val="0"/>
                    <w:rPr>
                      <w:rFonts w:hint="default"/>
                      <w:lang w:val="en-US" w:eastAsia="zh-CN"/>
                    </w:rPr>
                  </w:pPr>
                  <w:r>
                    <w:rPr>
                      <w:rFonts w:hint="eastAsia"/>
                      <w:lang w:val="en-US" w:eastAsia="zh-CN"/>
                    </w:rPr>
                    <w:t>备注：预处理标准中氨氮执行向家亭污水处理厂接管标准。</w:t>
                  </w:r>
                </w:p>
              </w:tc>
            </w:tr>
          </w:tbl>
          <w:p>
            <w:pPr>
              <w:pStyle w:val="29"/>
              <w:bidi w:val="0"/>
              <w:rPr>
                <w:rFonts w:hint="default" w:ascii="Times New Roman" w:hAnsi="Times New Roman" w:eastAsia="宋体" w:cs="Times New Roman"/>
                <w:b w:val="0"/>
                <w:bCs/>
                <w:color w:val="auto"/>
                <w:szCs w:val="24"/>
                <w:highlight w:val="none"/>
                <w:lang w:val="en-US" w:eastAsia="zh-CN"/>
              </w:rPr>
            </w:pPr>
            <w:r>
              <w:rPr>
                <w:rFonts w:hint="default"/>
                <w:lang w:val="en-US" w:eastAsia="zh-CN"/>
              </w:rPr>
              <w:t>表</w:t>
            </w:r>
            <w:r>
              <w:rPr>
                <w:rFonts w:hint="eastAsia"/>
                <w:lang w:val="en-US" w:eastAsia="zh-CN"/>
              </w:rPr>
              <w:t>3.3-5 向家亭污水处理厂</w:t>
            </w:r>
            <w:r>
              <w:rPr>
                <w:rFonts w:hint="default"/>
                <w:lang w:val="en-US" w:eastAsia="zh-CN"/>
              </w:rPr>
              <w:t>设计主要进水水质指标（单位：mg/L）pH：无量纲</w:t>
            </w:r>
          </w:p>
          <w:tbl>
            <w:tblPr>
              <w:tblStyle w:val="27"/>
              <w:tblW w:w="76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268"/>
              <w:gridCol w:w="1013"/>
              <w:gridCol w:w="888"/>
              <w:gridCol w:w="888"/>
              <w:gridCol w:w="888"/>
              <w:gridCol w:w="760"/>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1" w:type="dxa"/>
                  <w:tcBorders>
                    <w:tl2br w:val="nil"/>
                    <w:tr2bl w:val="nil"/>
                  </w:tcBorders>
                  <w:noWrap w:val="0"/>
                  <w:vAlign w:val="center"/>
                </w:tcPr>
                <w:p>
                  <w:pPr>
                    <w:pStyle w:val="30"/>
                    <w:bidi w:val="0"/>
                    <w:rPr>
                      <w:rFonts w:hint="default"/>
                    </w:rPr>
                  </w:pPr>
                  <w:r>
                    <w:rPr>
                      <w:rFonts w:hint="default"/>
                    </w:rPr>
                    <w:t>指标</w:t>
                  </w:r>
                </w:p>
              </w:tc>
              <w:tc>
                <w:tcPr>
                  <w:tcW w:w="1268" w:type="dxa"/>
                  <w:tcBorders>
                    <w:tl2br w:val="nil"/>
                    <w:tr2bl w:val="nil"/>
                  </w:tcBorders>
                  <w:noWrap w:val="0"/>
                  <w:vAlign w:val="center"/>
                </w:tcPr>
                <w:p>
                  <w:pPr>
                    <w:pStyle w:val="30"/>
                    <w:bidi w:val="0"/>
                    <w:rPr>
                      <w:rFonts w:hint="default"/>
                    </w:rPr>
                  </w:pPr>
                  <w:r>
                    <w:rPr>
                      <w:rFonts w:hint="default"/>
                    </w:rPr>
                    <w:t>COD</w:t>
                  </w:r>
                </w:p>
              </w:tc>
              <w:tc>
                <w:tcPr>
                  <w:tcW w:w="1013" w:type="dxa"/>
                  <w:tcBorders>
                    <w:tl2br w:val="nil"/>
                    <w:tr2bl w:val="nil"/>
                  </w:tcBorders>
                  <w:noWrap w:val="0"/>
                  <w:vAlign w:val="center"/>
                </w:tcPr>
                <w:p>
                  <w:pPr>
                    <w:pStyle w:val="30"/>
                    <w:bidi w:val="0"/>
                    <w:rPr>
                      <w:rFonts w:hint="default"/>
                    </w:rPr>
                  </w:pPr>
                  <w:r>
                    <w:rPr>
                      <w:rFonts w:hint="default"/>
                    </w:rPr>
                    <w:t>BOD</w:t>
                  </w:r>
                  <w:r>
                    <w:rPr>
                      <w:rFonts w:hint="default"/>
                      <w:vertAlign w:val="subscript"/>
                    </w:rPr>
                    <w:t>5</w:t>
                  </w:r>
                </w:p>
              </w:tc>
              <w:tc>
                <w:tcPr>
                  <w:tcW w:w="888" w:type="dxa"/>
                  <w:tcBorders>
                    <w:tl2br w:val="nil"/>
                    <w:tr2bl w:val="nil"/>
                  </w:tcBorders>
                  <w:noWrap w:val="0"/>
                  <w:vAlign w:val="center"/>
                </w:tcPr>
                <w:p>
                  <w:pPr>
                    <w:pStyle w:val="30"/>
                    <w:bidi w:val="0"/>
                    <w:rPr>
                      <w:rFonts w:hint="default"/>
                    </w:rPr>
                  </w:pPr>
                  <w:r>
                    <w:rPr>
                      <w:rFonts w:hint="default"/>
                    </w:rPr>
                    <w:t>SS</w:t>
                  </w:r>
                </w:p>
              </w:tc>
              <w:tc>
                <w:tcPr>
                  <w:tcW w:w="888" w:type="dxa"/>
                  <w:tcBorders>
                    <w:tl2br w:val="nil"/>
                    <w:tr2bl w:val="nil"/>
                  </w:tcBorders>
                  <w:noWrap w:val="0"/>
                  <w:vAlign w:val="center"/>
                </w:tcPr>
                <w:p>
                  <w:pPr>
                    <w:pStyle w:val="30"/>
                    <w:bidi w:val="0"/>
                    <w:rPr>
                      <w:rFonts w:hint="default"/>
                    </w:rPr>
                  </w:pPr>
                  <w:r>
                    <w:rPr>
                      <w:rFonts w:hint="default"/>
                    </w:rPr>
                    <w:t>TN</w:t>
                  </w:r>
                </w:p>
              </w:tc>
              <w:tc>
                <w:tcPr>
                  <w:tcW w:w="888" w:type="dxa"/>
                  <w:tcBorders>
                    <w:tl2br w:val="nil"/>
                    <w:tr2bl w:val="nil"/>
                  </w:tcBorders>
                  <w:noWrap w:val="0"/>
                  <w:vAlign w:val="center"/>
                </w:tcPr>
                <w:p>
                  <w:pPr>
                    <w:pStyle w:val="30"/>
                    <w:bidi w:val="0"/>
                    <w:rPr>
                      <w:rFonts w:hint="default"/>
                    </w:rPr>
                  </w:pPr>
                  <w:r>
                    <w:rPr>
                      <w:rFonts w:hint="default"/>
                    </w:rPr>
                    <w:t>NH3-N</w:t>
                  </w:r>
                </w:p>
              </w:tc>
              <w:tc>
                <w:tcPr>
                  <w:tcW w:w="760" w:type="dxa"/>
                  <w:tcBorders>
                    <w:tl2br w:val="nil"/>
                    <w:tr2bl w:val="nil"/>
                  </w:tcBorders>
                  <w:noWrap w:val="0"/>
                  <w:vAlign w:val="center"/>
                </w:tcPr>
                <w:p>
                  <w:pPr>
                    <w:pStyle w:val="30"/>
                    <w:bidi w:val="0"/>
                    <w:rPr>
                      <w:rFonts w:hint="default"/>
                    </w:rPr>
                  </w:pPr>
                  <w:r>
                    <w:rPr>
                      <w:rFonts w:hint="default"/>
                    </w:rPr>
                    <w:t>TP</w:t>
                  </w:r>
                </w:p>
              </w:tc>
              <w:tc>
                <w:tcPr>
                  <w:tcW w:w="806" w:type="dxa"/>
                  <w:tcBorders>
                    <w:tl2br w:val="nil"/>
                    <w:tr2bl w:val="nil"/>
                  </w:tcBorders>
                  <w:noWrap w:val="0"/>
                  <w:vAlign w:val="center"/>
                </w:tcPr>
                <w:p>
                  <w:pPr>
                    <w:pStyle w:val="30"/>
                    <w:bidi w:val="0"/>
                    <w:rPr>
                      <w:rFonts w:hint="default"/>
                    </w:rPr>
                  </w:pPr>
                  <w:r>
                    <w:rPr>
                      <w:rFonts w:hint="default"/>
                    </w:rPr>
                    <w: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1" w:type="dxa"/>
                  <w:tcBorders>
                    <w:tl2br w:val="nil"/>
                    <w:tr2bl w:val="nil"/>
                  </w:tcBorders>
                  <w:noWrap w:val="0"/>
                  <w:vAlign w:val="center"/>
                </w:tcPr>
                <w:p>
                  <w:pPr>
                    <w:pStyle w:val="30"/>
                    <w:bidi w:val="0"/>
                    <w:rPr>
                      <w:rFonts w:hint="default"/>
                    </w:rPr>
                  </w:pPr>
                  <w:r>
                    <w:rPr>
                      <w:rFonts w:hint="default"/>
                    </w:rPr>
                    <w:t>限值</w:t>
                  </w:r>
                </w:p>
              </w:tc>
              <w:tc>
                <w:tcPr>
                  <w:tcW w:w="1268" w:type="dxa"/>
                  <w:tcBorders>
                    <w:tl2br w:val="nil"/>
                    <w:tr2bl w:val="nil"/>
                  </w:tcBorders>
                  <w:noWrap w:val="0"/>
                  <w:vAlign w:val="center"/>
                </w:tcPr>
                <w:p>
                  <w:pPr>
                    <w:pStyle w:val="30"/>
                    <w:bidi w:val="0"/>
                    <w:rPr>
                      <w:rFonts w:hint="default"/>
                      <w:lang w:val="en-US" w:eastAsia="zh-CN"/>
                    </w:rPr>
                  </w:pPr>
                  <w:r>
                    <w:rPr>
                      <w:rFonts w:hint="default"/>
                    </w:rPr>
                    <w:t>≤</w:t>
                  </w:r>
                  <w:r>
                    <w:rPr>
                      <w:rFonts w:hint="eastAsia"/>
                      <w:lang w:val="en-US" w:eastAsia="zh-CN"/>
                    </w:rPr>
                    <w:t>250</w:t>
                  </w:r>
                </w:p>
              </w:tc>
              <w:tc>
                <w:tcPr>
                  <w:tcW w:w="1013" w:type="dxa"/>
                  <w:tcBorders>
                    <w:tl2br w:val="nil"/>
                    <w:tr2bl w:val="nil"/>
                  </w:tcBorders>
                  <w:noWrap w:val="0"/>
                  <w:vAlign w:val="center"/>
                </w:tcPr>
                <w:p>
                  <w:pPr>
                    <w:pStyle w:val="30"/>
                    <w:bidi w:val="0"/>
                    <w:rPr>
                      <w:rFonts w:hint="default"/>
                      <w:lang w:val="en-US" w:eastAsia="zh-CN"/>
                    </w:rPr>
                  </w:pPr>
                  <w:r>
                    <w:rPr>
                      <w:rFonts w:hint="default"/>
                    </w:rPr>
                    <w:t>≤</w:t>
                  </w:r>
                  <w:r>
                    <w:rPr>
                      <w:rFonts w:hint="default"/>
                      <w:lang w:val="en-US" w:eastAsia="zh-CN"/>
                    </w:rPr>
                    <w:t>1</w:t>
                  </w:r>
                  <w:r>
                    <w:rPr>
                      <w:rFonts w:hint="eastAsia"/>
                      <w:lang w:val="en-US" w:eastAsia="zh-CN"/>
                    </w:rPr>
                    <w:t>3</w:t>
                  </w:r>
                  <w:r>
                    <w:rPr>
                      <w:rFonts w:hint="default"/>
                      <w:lang w:val="en-US" w:eastAsia="zh-CN"/>
                    </w:rPr>
                    <w:t>0</w:t>
                  </w:r>
                </w:p>
              </w:tc>
              <w:tc>
                <w:tcPr>
                  <w:tcW w:w="888" w:type="dxa"/>
                  <w:tcBorders>
                    <w:tl2br w:val="nil"/>
                    <w:tr2bl w:val="nil"/>
                  </w:tcBorders>
                  <w:noWrap w:val="0"/>
                  <w:vAlign w:val="center"/>
                </w:tcPr>
                <w:p>
                  <w:pPr>
                    <w:pStyle w:val="30"/>
                    <w:bidi w:val="0"/>
                    <w:rPr>
                      <w:rFonts w:hint="default"/>
                      <w:lang w:val="en-US" w:eastAsia="zh-CN"/>
                    </w:rPr>
                  </w:pPr>
                  <w:r>
                    <w:rPr>
                      <w:rFonts w:hint="default"/>
                    </w:rPr>
                    <w:t>≤</w:t>
                  </w:r>
                  <w:r>
                    <w:rPr>
                      <w:rFonts w:hint="eastAsia"/>
                      <w:lang w:val="en-US" w:eastAsia="zh-CN"/>
                    </w:rPr>
                    <w:t>22</w:t>
                  </w:r>
                  <w:r>
                    <w:rPr>
                      <w:rFonts w:hint="default"/>
                      <w:lang w:val="en-US" w:eastAsia="zh-CN"/>
                    </w:rPr>
                    <w:t>0</w:t>
                  </w:r>
                </w:p>
              </w:tc>
              <w:tc>
                <w:tcPr>
                  <w:tcW w:w="888" w:type="dxa"/>
                  <w:tcBorders>
                    <w:tl2br w:val="nil"/>
                    <w:tr2bl w:val="nil"/>
                  </w:tcBorders>
                  <w:noWrap w:val="0"/>
                  <w:vAlign w:val="center"/>
                </w:tcPr>
                <w:p>
                  <w:pPr>
                    <w:pStyle w:val="30"/>
                    <w:bidi w:val="0"/>
                    <w:rPr>
                      <w:rFonts w:hint="default"/>
                      <w:lang w:val="en-US" w:eastAsia="zh-CN"/>
                    </w:rPr>
                  </w:pPr>
                  <w:r>
                    <w:rPr>
                      <w:rFonts w:hint="default"/>
                    </w:rPr>
                    <w:t>≤</w:t>
                  </w:r>
                  <w:r>
                    <w:rPr>
                      <w:rFonts w:hint="default"/>
                      <w:lang w:val="en-US" w:eastAsia="zh-CN"/>
                    </w:rPr>
                    <w:t>3</w:t>
                  </w:r>
                  <w:r>
                    <w:rPr>
                      <w:rFonts w:hint="eastAsia"/>
                      <w:lang w:val="en-US" w:eastAsia="zh-CN"/>
                    </w:rPr>
                    <w:t>8</w:t>
                  </w:r>
                </w:p>
              </w:tc>
              <w:tc>
                <w:tcPr>
                  <w:tcW w:w="888" w:type="dxa"/>
                  <w:tcBorders>
                    <w:tl2br w:val="nil"/>
                    <w:tr2bl w:val="nil"/>
                  </w:tcBorders>
                  <w:noWrap w:val="0"/>
                  <w:vAlign w:val="center"/>
                </w:tcPr>
                <w:p>
                  <w:pPr>
                    <w:pStyle w:val="30"/>
                    <w:bidi w:val="0"/>
                    <w:rPr>
                      <w:rFonts w:hint="default"/>
                      <w:lang w:val="en-US" w:eastAsia="zh-CN"/>
                    </w:rPr>
                  </w:pPr>
                  <w:r>
                    <w:rPr>
                      <w:rFonts w:hint="default"/>
                    </w:rPr>
                    <w:t>≤</w:t>
                  </w:r>
                  <w:r>
                    <w:rPr>
                      <w:rFonts w:hint="eastAsia"/>
                      <w:lang w:val="en-US" w:eastAsia="zh-CN"/>
                    </w:rPr>
                    <w:t>30</w:t>
                  </w:r>
                </w:p>
              </w:tc>
              <w:tc>
                <w:tcPr>
                  <w:tcW w:w="760" w:type="dxa"/>
                  <w:tcBorders>
                    <w:tl2br w:val="nil"/>
                    <w:tr2bl w:val="nil"/>
                  </w:tcBorders>
                  <w:noWrap w:val="0"/>
                  <w:vAlign w:val="center"/>
                </w:tcPr>
                <w:p>
                  <w:pPr>
                    <w:pStyle w:val="30"/>
                    <w:bidi w:val="0"/>
                    <w:rPr>
                      <w:rFonts w:hint="eastAsia"/>
                      <w:lang w:eastAsia="zh-CN"/>
                    </w:rPr>
                  </w:pPr>
                  <w:r>
                    <w:rPr>
                      <w:rFonts w:hint="default"/>
                    </w:rPr>
                    <w:t>≤3.</w:t>
                  </w:r>
                  <w:r>
                    <w:rPr>
                      <w:rFonts w:hint="eastAsia"/>
                      <w:lang w:val="en-US" w:eastAsia="zh-CN"/>
                    </w:rPr>
                    <w:t>7</w:t>
                  </w:r>
                </w:p>
              </w:tc>
              <w:tc>
                <w:tcPr>
                  <w:tcW w:w="806" w:type="dxa"/>
                  <w:tcBorders>
                    <w:tl2br w:val="nil"/>
                    <w:tr2bl w:val="nil"/>
                  </w:tcBorders>
                  <w:noWrap w:val="0"/>
                  <w:vAlign w:val="center"/>
                </w:tcPr>
                <w:p>
                  <w:pPr>
                    <w:pStyle w:val="30"/>
                    <w:bidi w:val="0"/>
                    <w:rPr>
                      <w:rFonts w:hint="default"/>
                    </w:rPr>
                  </w:pPr>
                  <w:r>
                    <w:rPr>
                      <w:rFonts w:hint="default"/>
                    </w:rPr>
                    <w:t>6-9</w:t>
                  </w:r>
                </w:p>
              </w:tc>
            </w:tr>
          </w:tbl>
          <w:p>
            <w:pPr>
              <w:bidi w:val="0"/>
            </w:pPr>
            <w:r>
              <w:t>3</w:t>
            </w:r>
            <w:r>
              <w:rPr>
                <w:rFonts w:hint="eastAsia"/>
              </w:rPr>
              <w:t>、噪声</w:t>
            </w:r>
          </w:p>
          <w:p>
            <w:pPr>
              <w:pStyle w:val="12"/>
              <w:bidi w:val="0"/>
            </w:pPr>
            <w:r>
              <w:t>本项目运营期</w:t>
            </w:r>
            <w:r>
              <w:rPr>
                <w:rFonts w:hint="default"/>
              </w:rPr>
              <w:t>厂界</w:t>
            </w:r>
            <w:r>
              <w:rPr>
                <w:rFonts w:hint="default"/>
                <w:lang w:eastAsia="zh-CN"/>
              </w:rPr>
              <w:t>东</w:t>
            </w:r>
            <w:r>
              <w:rPr>
                <w:rFonts w:hint="eastAsia"/>
                <w:lang w:eastAsia="zh-CN"/>
              </w:rPr>
              <w:t>、</w:t>
            </w:r>
            <w:r>
              <w:rPr>
                <w:rFonts w:hint="default"/>
                <w:lang w:eastAsia="zh-CN"/>
              </w:rPr>
              <w:t>南</w:t>
            </w:r>
            <w:r>
              <w:rPr>
                <w:rFonts w:hint="eastAsia"/>
                <w:lang w:eastAsia="zh-CN"/>
              </w:rPr>
              <w:t>、</w:t>
            </w:r>
            <w:r>
              <w:rPr>
                <w:rFonts w:hint="default"/>
                <w:lang w:eastAsia="zh-CN"/>
              </w:rPr>
              <w:t>北侧</w:t>
            </w:r>
            <w:r>
              <w:rPr>
                <w:rFonts w:hint="eastAsia"/>
                <w:lang w:val="en-US" w:eastAsia="zh-CN"/>
              </w:rPr>
              <w:t>执行</w:t>
            </w:r>
            <w:r>
              <w:rPr>
                <w:rFonts w:hint="default"/>
              </w:rPr>
              <w:t>《工业企业厂界环境噪声排放标准》</w:t>
            </w:r>
            <w:r>
              <w:rPr>
                <w:rFonts w:hint="default"/>
                <w:lang w:val="en-US" w:eastAsia="en-US"/>
              </w:rPr>
              <w:t xml:space="preserve">(GB12348-2008) </w:t>
            </w:r>
            <w:r>
              <w:rPr>
                <w:rFonts w:hint="default"/>
                <w:lang w:val="en-US" w:eastAsia="zh-CN"/>
              </w:rPr>
              <w:t>2</w:t>
            </w:r>
            <w:r>
              <w:rPr>
                <w:rFonts w:hint="default"/>
              </w:rPr>
              <w:t>类标准要求</w:t>
            </w:r>
            <w:r>
              <w:rPr>
                <w:rFonts w:hint="eastAsia"/>
                <w:lang w:eastAsia="zh-CN"/>
              </w:rPr>
              <w:t>；</w:t>
            </w:r>
            <w:r>
              <w:rPr>
                <w:rFonts w:hint="default"/>
              </w:rPr>
              <w:t>厂界</w:t>
            </w:r>
            <w:r>
              <w:rPr>
                <w:rFonts w:hint="default"/>
                <w:lang w:eastAsia="zh-CN"/>
              </w:rPr>
              <w:t>西侧</w:t>
            </w:r>
            <w:r>
              <w:rPr>
                <w:rFonts w:hint="eastAsia"/>
                <w:lang w:val="en-US" w:eastAsia="zh-CN"/>
              </w:rPr>
              <w:t>执行</w:t>
            </w:r>
            <w:r>
              <w:rPr>
                <w:rFonts w:hint="default"/>
              </w:rPr>
              <w:t>《工业企业厂界环境噪声排放标准》</w:t>
            </w:r>
            <w:r>
              <w:rPr>
                <w:rFonts w:hint="default"/>
                <w:lang w:val="en-US" w:eastAsia="en-US"/>
              </w:rPr>
              <w:t xml:space="preserve">(GB12348-2008) </w:t>
            </w:r>
            <w:r>
              <w:rPr>
                <w:rFonts w:hint="eastAsia"/>
                <w:lang w:val="en-US" w:eastAsia="zh-CN"/>
              </w:rPr>
              <w:t>4</w:t>
            </w:r>
            <w:r>
              <w:rPr>
                <w:rFonts w:hint="default"/>
              </w:rPr>
              <w:t>类标准要求</w:t>
            </w:r>
            <w:r>
              <w:t>。</w:t>
            </w:r>
          </w:p>
          <w:p>
            <w:pPr>
              <w:pStyle w:val="29"/>
              <w:bidi w:val="0"/>
            </w:pPr>
            <w:r>
              <w:t>表</w:t>
            </w:r>
            <w:r>
              <w:rPr>
                <w:rFonts w:hint="eastAsia"/>
                <w:lang w:val="en-US" w:eastAsia="zh-CN"/>
              </w:rPr>
              <w:t xml:space="preserve">3.3-6 </w:t>
            </w:r>
            <w:r>
              <w:t>工业企业厂界环境噪声排放标准  单位：dB(A)</w:t>
            </w:r>
          </w:p>
          <w:tbl>
            <w:tblPr>
              <w:tblStyle w:val="27"/>
              <w:tblW w:w="762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240"/>
              <w:gridCol w:w="2180"/>
              <w:gridCol w:w="22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3240" w:type="dxa"/>
                  <w:noWrap/>
                  <w:vAlign w:val="center"/>
                </w:tcPr>
                <w:p>
                  <w:pPr>
                    <w:pStyle w:val="30"/>
                    <w:bidi w:val="0"/>
                  </w:pPr>
                  <w:r>
                    <w:t>执行标准</w:t>
                  </w:r>
                </w:p>
              </w:tc>
              <w:tc>
                <w:tcPr>
                  <w:tcW w:w="2180" w:type="dxa"/>
                  <w:noWrap/>
                  <w:vAlign w:val="center"/>
                </w:tcPr>
                <w:p>
                  <w:pPr>
                    <w:pStyle w:val="30"/>
                    <w:bidi w:val="0"/>
                  </w:pPr>
                  <w:r>
                    <w:t>昼间</w:t>
                  </w:r>
                </w:p>
              </w:tc>
              <w:tc>
                <w:tcPr>
                  <w:tcW w:w="2200" w:type="dxa"/>
                  <w:noWrap/>
                  <w:vAlign w:val="center"/>
                </w:tcPr>
                <w:p>
                  <w:pPr>
                    <w:pStyle w:val="30"/>
                    <w:bidi w:val="0"/>
                  </w:pPr>
                  <w:r>
                    <w:t>夜间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3240" w:type="dxa"/>
                  <w:noWrap/>
                  <w:vAlign w:val="center"/>
                </w:tcPr>
                <w:p>
                  <w:pPr>
                    <w:pStyle w:val="30"/>
                    <w:bidi w:val="0"/>
                    <w:rPr>
                      <w:rFonts w:hint="eastAsia" w:eastAsia="宋体"/>
                      <w:lang w:eastAsia="zh-CN"/>
                    </w:rPr>
                  </w:pPr>
                  <w:r>
                    <w:t>2</w:t>
                  </w:r>
                  <w:r>
                    <w:rPr>
                      <w:rFonts w:hint="eastAsia"/>
                      <w:lang w:eastAsia="zh-CN"/>
                    </w:rPr>
                    <w:t>类标准</w:t>
                  </w:r>
                </w:p>
              </w:tc>
              <w:tc>
                <w:tcPr>
                  <w:tcW w:w="2180" w:type="dxa"/>
                  <w:noWrap/>
                  <w:vAlign w:val="center"/>
                </w:tcPr>
                <w:p>
                  <w:pPr>
                    <w:pStyle w:val="30"/>
                    <w:bidi w:val="0"/>
                  </w:pPr>
                  <w:r>
                    <w:t>60</w:t>
                  </w:r>
                </w:p>
              </w:tc>
              <w:tc>
                <w:tcPr>
                  <w:tcW w:w="2200" w:type="dxa"/>
                  <w:noWrap/>
                  <w:vAlign w:val="center"/>
                </w:tcPr>
                <w:p>
                  <w:pPr>
                    <w:pStyle w:val="30"/>
                    <w:bidi w:val="0"/>
                  </w:pPr>
                  <w:r>
                    <w:t>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3240" w:type="dxa"/>
                  <w:noWrap/>
                  <w:vAlign w:val="center"/>
                </w:tcPr>
                <w:p>
                  <w:pPr>
                    <w:pStyle w:val="30"/>
                    <w:bidi w:val="0"/>
                    <w:rPr>
                      <w:rFonts w:hint="eastAsia" w:eastAsia="宋体"/>
                      <w:lang w:val="en-US" w:eastAsia="zh-CN"/>
                    </w:rPr>
                  </w:pPr>
                  <w:r>
                    <w:rPr>
                      <w:rFonts w:hint="eastAsia"/>
                      <w:lang w:val="en-US" w:eastAsia="zh-CN"/>
                    </w:rPr>
                    <w:t>4类标准</w:t>
                  </w:r>
                </w:p>
              </w:tc>
              <w:tc>
                <w:tcPr>
                  <w:tcW w:w="2180" w:type="dxa"/>
                  <w:noWrap/>
                  <w:vAlign w:val="center"/>
                </w:tcPr>
                <w:p>
                  <w:pPr>
                    <w:pStyle w:val="30"/>
                    <w:bidi w:val="0"/>
                    <w:rPr>
                      <w:rFonts w:hint="default" w:eastAsia="宋体"/>
                      <w:lang w:val="en-US" w:eastAsia="zh-CN"/>
                    </w:rPr>
                  </w:pPr>
                  <w:r>
                    <w:rPr>
                      <w:rFonts w:hint="eastAsia"/>
                      <w:lang w:val="en-US" w:eastAsia="zh-CN"/>
                    </w:rPr>
                    <w:t>70</w:t>
                  </w:r>
                </w:p>
              </w:tc>
              <w:tc>
                <w:tcPr>
                  <w:tcW w:w="2200" w:type="dxa"/>
                  <w:noWrap/>
                  <w:vAlign w:val="center"/>
                </w:tcPr>
                <w:p>
                  <w:pPr>
                    <w:pStyle w:val="30"/>
                    <w:bidi w:val="0"/>
                    <w:rPr>
                      <w:rFonts w:hint="default" w:eastAsia="宋体"/>
                      <w:lang w:val="en-US" w:eastAsia="zh-CN"/>
                    </w:rPr>
                  </w:pPr>
                  <w:r>
                    <w:rPr>
                      <w:rFonts w:hint="eastAsia"/>
                      <w:lang w:val="en-US" w:eastAsia="zh-CN"/>
                    </w:rPr>
                    <w:t>55</w:t>
                  </w:r>
                </w:p>
              </w:tc>
            </w:tr>
          </w:tbl>
          <w:p>
            <w:pPr>
              <w:bidi w:val="0"/>
            </w:pPr>
            <w:r>
              <w:t>4</w:t>
            </w:r>
            <w:r>
              <w:rPr>
                <w:rFonts w:hint="eastAsia"/>
              </w:rPr>
              <w:t>、固体废物</w:t>
            </w:r>
          </w:p>
          <w:p>
            <w:pPr>
              <w:pStyle w:val="12"/>
              <w:bidi w:val="0"/>
              <w:rPr>
                <w:rFonts w:hint="eastAsia"/>
                <w:lang w:eastAsia="zh-CN"/>
              </w:rPr>
            </w:pPr>
            <w:r>
              <w:t>本项目一般工业固体废弃物执行</w:t>
            </w:r>
            <w:r>
              <w:rPr>
                <w:rFonts w:hint="eastAsia"/>
              </w:rPr>
              <w:t>《一般工业固体废物贮存和填埋污染控制标准》（GB18599-2020）</w:t>
            </w:r>
            <w:r>
              <w:t>；</w:t>
            </w:r>
            <w:r>
              <w:rPr>
                <w:rFonts w:hint="eastAsia"/>
              </w:rPr>
              <w:t>生活垃圾执行《生活垃圾填埋</w:t>
            </w:r>
            <w:r>
              <w:rPr>
                <w:rFonts w:hint="eastAsia"/>
                <w:lang w:val="en-US" w:eastAsia="zh-CN"/>
              </w:rPr>
              <w:t>场</w:t>
            </w:r>
            <w:r>
              <w:rPr>
                <w:rFonts w:hint="eastAsia"/>
              </w:rPr>
              <w:t>污染控制标准》</w:t>
            </w:r>
            <w:r>
              <w:rPr>
                <w:rFonts w:hint="eastAsia"/>
                <w:lang w:eastAsia="zh-CN"/>
              </w:rPr>
              <w:t>（GB16889-2024）</w:t>
            </w:r>
            <w:r>
              <w:rPr>
                <w:rFonts w:hint="eastAsia"/>
              </w:rPr>
              <w:t>；医疗废物、污水处理站污泥属于危险废物，执行</w:t>
            </w:r>
            <w:r>
              <w:rPr>
                <w:rFonts w:hint="default"/>
              </w:rPr>
              <w:t>《危险废物贮存污染控制标准》</w:t>
            </w:r>
            <w:r>
              <w:rPr>
                <w:rFonts w:hint="eastAsia"/>
                <w:lang w:eastAsia="zh-CN"/>
              </w:rPr>
              <w:t>（GB 18597-2023）、《医疗废物管理条例》</w:t>
            </w:r>
            <w:r>
              <w:rPr>
                <w:rFonts w:hint="eastAsia"/>
                <w:lang w:val="en-US" w:eastAsia="zh-CN"/>
              </w:rPr>
              <w:t>及</w:t>
            </w:r>
            <w:r>
              <w:rPr>
                <w:rFonts w:hint="default"/>
              </w:rPr>
              <w:t>《医疗废物处理处置污染控制标准》</w:t>
            </w:r>
            <w:r>
              <w:rPr>
                <w:rFonts w:hint="eastAsia"/>
                <w:lang w:eastAsia="zh-CN"/>
              </w:rPr>
              <w:t>（</w:t>
            </w:r>
            <w:r>
              <w:rPr>
                <w:rFonts w:hint="default"/>
              </w:rPr>
              <w:t>GB39707</w:t>
            </w:r>
            <w:r>
              <w:rPr>
                <w:rFonts w:hint="default"/>
                <w:lang w:eastAsia="zh-CN"/>
              </w:rPr>
              <w:t>-</w:t>
            </w:r>
            <w:r>
              <w:rPr>
                <w:rFonts w:hint="default"/>
              </w:rPr>
              <w:t>2020</w:t>
            </w:r>
            <w:r>
              <w:rPr>
                <w:rFonts w:hint="eastAsia"/>
                <w:lang w:eastAsia="zh-CN"/>
              </w:rPr>
              <w:t>）</w:t>
            </w:r>
            <w:r>
              <w:rPr>
                <w:rFonts w:hint="eastAsia"/>
              </w:rPr>
              <w:t>标准；污水处理站污泥清掏前应进行监测，满足执行《医疗机构水污染物排放标准》（GB18466-2005）表4中的综合医疗和其他医疗机构污泥控制标准</w:t>
            </w:r>
            <w:r>
              <w:rPr>
                <w:rFonts w:hint="eastAsia"/>
                <w:lang w:eastAsia="zh-CN"/>
              </w:rPr>
              <w:t>。</w:t>
            </w:r>
          </w:p>
          <w:p>
            <w:pPr>
              <w:pStyle w:val="29"/>
              <w:bidi w:val="0"/>
              <w:rPr>
                <w:rFonts w:hint="default"/>
                <w:lang w:val="en-US" w:eastAsia="zh-CN"/>
              </w:rPr>
            </w:pPr>
            <w:r>
              <w:t>表</w:t>
            </w:r>
            <w:r>
              <w:rPr>
                <w:rFonts w:hint="eastAsia"/>
                <w:lang w:val="en-US" w:eastAsia="zh-CN"/>
              </w:rPr>
              <w:t>3.3-7</w:t>
            </w:r>
            <w:r>
              <w:rPr>
                <w:rFonts w:hint="eastAsia"/>
              </w:rPr>
              <w:t xml:space="preserve"> </w:t>
            </w:r>
            <w:r>
              <w:rPr>
                <w:rFonts w:hint="eastAsia"/>
                <w:lang w:val="en-US" w:eastAsia="zh-CN"/>
              </w:rPr>
              <w:t>医疗机构污泥控制标准</w:t>
            </w:r>
          </w:p>
          <w:tbl>
            <w:tblPr>
              <w:tblStyle w:val="28"/>
              <w:tblW w:w="7614"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158"/>
              <w:gridCol w:w="2428"/>
              <w:gridCol w:w="202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3158" w:type="dxa"/>
                  <w:tcBorders>
                    <w:tl2br w:val="nil"/>
                    <w:tr2bl w:val="nil"/>
                  </w:tcBorders>
                  <w:noWrap w:val="0"/>
                  <w:vAlign w:val="center"/>
                </w:tcPr>
                <w:p>
                  <w:pPr>
                    <w:pStyle w:val="30"/>
                    <w:bidi w:val="0"/>
                    <w:rPr>
                      <w:rFonts w:hint="default"/>
                      <w:lang w:val="en-US" w:eastAsia="zh-CN"/>
                    </w:rPr>
                  </w:pPr>
                  <w:r>
                    <w:rPr>
                      <w:rFonts w:hint="eastAsia"/>
                      <w:lang w:val="en-US" w:eastAsia="zh-CN"/>
                    </w:rPr>
                    <w:t>医疗机构类别</w:t>
                  </w:r>
                </w:p>
              </w:tc>
              <w:tc>
                <w:tcPr>
                  <w:tcW w:w="2428" w:type="dxa"/>
                  <w:tcBorders>
                    <w:tl2br w:val="nil"/>
                    <w:tr2bl w:val="nil"/>
                  </w:tcBorders>
                  <w:noWrap w:val="0"/>
                  <w:vAlign w:val="center"/>
                </w:tcPr>
                <w:p>
                  <w:pPr>
                    <w:pStyle w:val="30"/>
                    <w:bidi w:val="0"/>
                    <w:rPr>
                      <w:rFonts w:hint="default"/>
                      <w:lang w:val="en-US" w:eastAsia="zh-CN"/>
                    </w:rPr>
                  </w:pPr>
                  <w:r>
                    <w:rPr>
                      <w:rFonts w:hint="eastAsia"/>
                      <w:lang w:val="en-US" w:eastAsia="zh-CN"/>
                    </w:rPr>
                    <w:t>粪大肠菌群数（MPN/g）</w:t>
                  </w:r>
                </w:p>
              </w:tc>
              <w:tc>
                <w:tcPr>
                  <w:tcW w:w="2028" w:type="dxa"/>
                  <w:tcBorders>
                    <w:tl2br w:val="nil"/>
                    <w:tr2bl w:val="nil"/>
                  </w:tcBorders>
                  <w:noWrap w:val="0"/>
                  <w:vAlign w:val="center"/>
                </w:tcPr>
                <w:p>
                  <w:pPr>
                    <w:pStyle w:val="30"/>
                    <w:bidi w:val="0"/>
                    <w:rPr>
                      <w:rFonts w:hint="default"/>
                      <w:lang w:val="en-US" w:eastAsia="zh-CN"/>
                    </w:rPr>
                  </w:pPr>
                  <w:r>
                    <w:rPr>
                      <w:rFonts w:hint="eastAsia"/>
                      <w:lang w:val="en-US" w:eastAsia="zh-CN"/>
                    </w:rPr>
                    <w:t>蛔虫卵死亡率（%）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3158" w:type="dxa"/>
                  <w:tcBorders>
                    <w:tl2br w:val="nil"/>
                    <w:tr2bl w:val="nil"/>
                  </w:tcBorders>
                  <w:noWrap w:val="0"/>
                  <w:vAlign w:val="center"/>
                </w:tcPr>
                <w:p>
                  <w:pPr>
                    <w:pStyle w:val="30"/>
                    <w:bidi w:val="0"/>
                    <w:rPr>
                      <w:rFonts w:hint="default"/>
                      <w:lang w:val="en-US" w:eastAsia="zh-CN"/>
                    </w:rPr>
                  </w:pPr>
                  <w:r>
                    <w:rPr>
                      <w:rFonts w:hint="eastAsia"/>
                      <w:lang w:val="en-US" w:eastAsia="zh-CN"/>
                    </w:rPr>
                    <w:t>综合医疗机构和其他医疗机构</w:t>
                  </w:r>
                </w:p>
              </w:tc>
              <w:tc>
                <w:tcPr>
                  <w:tcW w:w="2428" w:type="dxa"/>
                  <w:tcBorders>
                    <w:tl2br w:val="nil"/>
                    <w:tr2bl w:val="nil"/>
                  </w:tcBorders>
                  <w:noWrap w:val="0"/>
                  <w:vAlign w:val="center"/>
                </w:tcPr>
                <w:p>
                  <w:pPr>
                    <w:pStyle w:val="30"/>
                    <w:bidi w:val="0"/>
                    <w:rPr>
                      <w:rFonts w:hint="default"/>
                      <w:lang w:val="en-US" w:eastAsia="zh-CN"/>
                    </w:rPr>
                  </w:pPr>
                  <w:r>
                    <w:rPr>
                      <w:rFonts w:hint="eastAsia"/>
                    </w:rPr>
                    <w:t>≤</w:t>
                  </w:r>
                  <w:r>
                    <w:rPr>
                      <w:rFonts w:hint="eastAsia"/>
                      <w:lang w:val="en-US" w:eastAsia="zh-CN"/>
                    </w:rPr>
                    <w:t>100</w:t>
                  </w:r>
                </w:p>
              </w:tc>
              <w:tc>
                <w:tcPr>
                  <w:tcW w:w="2028" w:type="dxa"/>
                  <w:tcBorders>
                    <w:tl2br w:val="nil"/>
                    <w:tr2bl w:val="nil"/>
                  </w:tcBorders>
                  <w:noWrap w:val="0"/>
                  <w:vAlign w:val="center"/>
                </w:tcPr>
                <w:p>
                  <w:pPr>
                    <w:pStyle w:val="30"/>
                    <w:bidi w:val="0"/>
                    <w:rPr>
                      <w:rFonts w:hint="default"/>
                      <w:lang w:val="en-US" w:eastAsia="zh-CN"/>
                    </w:rPr>
                  </w:pPr>
                  <w:r>
                    <w:rPr>
                      <w:rFonts w:hint="eastAsia"/>
                    </w:rPr>
                    <w:t>＞</w:t>
                  </w:r>
                  <w:r>
                    <w:rPr>
                      <w:rFonts w:hint="eastAsia"/>
                      <w:lang w:val="en-US" w:eastAsia="zh-CN"/>
                    </w:rPr>
                    <w:t>95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kern w:val="0"/>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8" w:type="dxa"/>
            <w:noWrap w:val="0"/>
            <w:vAlign w:val="center"/>
          </w:tcPr>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总量</w:t>
            </w:r>
          </w:p>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控制</w:t>
            </w:r>
          </w:p>
          <w:p>
            <w:pPr>
              <w:adjustRightInd w:val="0"/>
              <w:snapToGrid w:val="0"/>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指标</w:t>
            </w:r>
          </w:p>
        </w:tc>
        <w:tc>
          <w:tcPr>
            <w:tcW w:w="7853" w:type="dxa"/>
            <w:noWrap w:val="0"/>
            <w:vAlign w:val="center"/>
          </w:tcPr>
          <w:p>
            <w:pPr>
              <w:pStyle w:val="12"/>
              <w:bidi w:val="0"/>
            </w:pPr>
            <w:r>
              <w:rPr>
                <w:rFonts w:hint="default"/>
                <w:lang w:val="en-US" w:eastAsia="zh-CN"/>
              </w:rPr>
              <w:t>本项目为社会服务类项目，</w:t>
            </w:r>
            <w:r>
              <w:rPr>
                <w:rFonts w:hint="eastAsia"/>
                <w:lang w:val="en-US" w:eastAsia="zh-CN"/>
              </w:rPr>
              <w:t>本项目废水中各污染物排放总量已纳入向家亭污水处理厂的排放总量，因此本项目不需申请废水总量控制指标。</w:t>
            </w:r>
          </w:p>
        </w:tc>
      </w:tr>
    </w:tbl>
    <w:p>
      <w:pPr>
        <w:bidi w:val="0"/>
        <w:sectPr>
          <w:pgSz w:w="11906" w:h="16838"/>
          <w:pgMar w:top="1440" w:right="1800" w:bottom="1440" w:left="1800" w:header="851" w:footer="992" w:gutter="0"/>
          <w:pgNumType w:fmt="decimal"/>
          <w:cols w:space="425" w:num="1"/>
          <w:docGrid w:type="lines" w:linePitch="312" w:charSpace="0"/>
        </w:sectPr>
      </w:pPr>
    </w:p>
    <w:p>
      <w:pPr>
        <w:pStyle w:val="2"/>
        <w:bidi w:val="0"/>
        <w:rPr>
          <w:rFonts w:hint="eastAsia"/>
        </w:rPr>
      </w:pPr>
      <w:bookmarkStart w:id="54" w:name="_Toc18312"/>
      <w:bookmarkStart w:id="55" w:name="_Toc13615"/>
      <w:bookmarkStart w:id="56" w:name="_Toc5375"/>
      <w:bookmarkStart w:id="57" w:name="_Toc13691"/>
      <w:bookmarkStart w:id="58" w:name="_Toc17544"/>
      <w:bookmarkStart w:id="59" w:name="_Toc4854"/>
      <w:bookmarkStart w:id="60" w:name="_Toc27602"/>
      <w:bookmarkStart w:id="61" w:name="_Toc3442"/>
      <w:bookmarkStart w:id="62" w:name="_Toc8350"/>
      <w:bookmarkStart w:id="63" w:name="_Toc27471"/>
      <w:bookmarkStart w:id="64" w:name="_Toc28216"/>
      <w:bookmarkStart w:id="65" w:name="_Toc4624"/>
      <w:bookmarkStart w:id="66" w:name="_Toc516"/>
      <w:bookmarkStart w:id="67" w:name="_Toc25390"/>
      <w:bookmarkStart w:id="68" w:name="_Toc20912"/>
      <w:r>
        <w:rPr>
          <w:rFonts w:hint="eastAsia"/>
          <w:lang w:eastAsia="zh-CN"/>
        </w:rPr>
        <w:t>四、</w:t>
      </w:r>
      <w:r>
        <w:rPr>
          <w:rFonts w:hint="eastAsia"/>
        </w:rPr>
        <w:t>主要环境影响和保护措施</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tbl>
      <w:tblPr>
        <w:tblStyle w:val="27"/>
        <w:tblW w:w="949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1"/>
        <w:gridCol w:w="89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81" w:type="dxa"/>
            <w:noWrap w:val="0"/>
            <w:tcMar>
              <w:left w:w="28" w:type="dxa"/>
              <w:right w:w="28" w:type="dxa"/>
            </w:tcMar>
            <w:vAlign w:val="center"/>
          </w:tcPr>
          <w:p>
            <w:pPr>
              <w:pStyle w:val="22"/>
              <w:adjustRightInd w:val="0"/>
              <w:snapToGrid w:val="0"/>
              <w:spacing w:before="0" w:beforeAutospacing="0" w:after="0" w:afterAutospacing="0"/>
              <w:jc w:val="center"/>
              <w:rPr>
                <w:rFonts w:ascii="Times New Roman" w:hAnsi="Times New Roman"/>
                <w:color w:val="auto"/>
                <w:kern w:val="2"/>
                <w:sz w:val="24"/>
                <w:szCs w:val="24"/>
                <w:highlight w:val="none"/>
                <w:lang w:val="en-US" w:eastAsia="zh-CN"/>
              </w:rPr>
            </w:pPr>
            <w:r>
              <w:rPr>
                <w:rFonts w:ascii="Times New Roman" w:hAnsi="Times New Roman"/>
                <w:color w:val="auto"/>
                <w:kern w:val="2"/>
                <w:sz w:val="24"/>
                <w:szCs w:val="24"/>
                <w:highlight w:val="none"/>
                <w:lang w:val="en-US" w:eastAsia="zh-CN"/>
              </w:rPr>
              <w:t>施工</w:t>
            </w:r>
          </w:p>
          <w:p>
            <w:pPr>
              <w:pStyle w:val="22"/>
              <w:adjustRightInd w:val="0"/>
              <w:snapToGrid w:val="0"/>
              <w:spacing w:before="0" w:beforeAutospacing="0" w:after="0" w:afterAutospacing="0"/>
              <w:jc w:val="center"/>
              <w:rPr>
                <w:rFonts w:ascii="Times New Roman" w:hAnsi="Times New Roman"/>
                <w:color w:val="auto"/>
                <w:kern w:val="2"/>
                <w:sz w:val="24"/>
                <w:szCs w:val="24"/>
                <w:highlight w:val="none"/>
                <w:lang w:val="en-US" w:eastAsia="zh-CN"/>
              </w:rPr>
            </w:pPr>
            <w:r>
              <w:rPr>
                <w:rFonts w:ascii="Times New Roman" w:hAnsi="Times New Roman"/>
                <w:color w:val="auto"/>
                <w:kern w:val="2"/>
                <w:sz w:val="24"/>
                <w:szCs w:val="24"/>
                <w:highlight w:val="none"/>
                <w:lang w:val="en-US" w:eastAsia="zh-CN"/>
              </w:rPr>
              <w:t>期环</w:t>
            </w:r>
          </w:p>
          <w:p>
            <w:pPr>
              <w:pStyle w:val="22"/>
              <w:adjustRightInd w:val="0"/>
              <w:snapToGrid w:val="0"/>
              <w:spacing w:before="0" w:beforeAutospacing="0" w:after="0" w:afterAutospacing="0"/>
              <w:jc w:val="center"/>
              <w:rPr>
                <w:rFonts w:ascii="Times New Roman" w:hAnsi="Times New Roman"/>
                <w:color w:val="auto"/>
                <w:kern w:val="2"/>
                <w:sz w:val="24"/>
                <w:szCs w:val="24"/>
                <w:highlight w:val="none"/>
                <w:lang w:val="en-US" w:eastAsia="zh-CN"/>
              </w:rPr>
            </w:pPr>
            <w:r>
              <w:rPr>
                <w:rFonts w:ascii="Times New Roman" w:hAnsi="Times New Roman"/>
                <w:color w:val="auto"/>
                <w:kern w:val="2"/>
                <w:sz w:val="24"/>
                <w:szCs w:val="24"/>
                <w:highlight w:val="none"/>
                <w:lang w:val="en-US" w:eastAsia="zh-CN"/>
              </w:rPr>
              <w:t>境保</w:t>
            </w:r>
          </w:p>
          <w:p>
            <w:pPr>
              <w:pStyle w:val="22"/>
              <w:adjustRightInd w:val="0"/>
              <w:snapToGrid w:val="0"/>
              <w:spacing w:before="0" w:beforeAutospacing="0" w:after="0" w:afterAutospacing="0"/>
              <w:jc w:val="center"/>
              <w:rPr>
                <w:rFonts w:ascii="Times New Roman" w:hAnsi="Times New Roman"/>
                <w:color w:val="auto"/>
                <w:kern w:val="2"/>
                <w:sz w:val="24"/>
                <w:szCs w:val="24"/>
                <w:highlight w:val="none"/>
                <w:lang w:val="en-US" w:eastAsia="zh-CN"/>
              </w:rPr>
            </w:pPr>
            <w:r>
              <w:rPr>
                <w:rFonts w:ascii="Times New Roman" w:hAnsi="Times New Roman"/>
                <w:color w:val="auto"/>
                <w:kern w:val="2"/>
                <w:sz w:val="24"/>
                <w:szCs w:val="24"/>
                <w:highlight w:val="none"/>
                <w:lang w:val="en-US" w:eastAsia="zh-CN"/>
              </w:rPr>
              <w:t>护措</w:t>
            </w:r>
          </w:p>
          <w:p>
            <w:pPr>
              <w:pStyle w:val="22"/>
              <w:adjustRightInd w:val="0"/>
              <w:snapToGrid w:val="0"/>
              <w:spacing w:before="0" w:beforeAutospacing="0" w:after="0" w:afterAutospacing="0"/>
              <w:jc w:val="center"/>
              <w:rPr>
                <w:rFonts w:ascii="Times New Roman" w:hAnsi="Times New Roman"/>
                <w:bCs/>
                <w:color w:val="auto"/>
                <w:kern w:val="2"/>
                <w:sz w:val="24"/>
                <w:szCs w:val="24"/>
                <w:highlight w:val="none"/>
                <w:lang w:val="en-US" w:eastAsia="zh-CN"/>
              </w:rPr>
            </w:pPr>
            <w:r>
              <w:rPr>
                <w:rFonts w:ascii="Times New Roman" w:hAnsi="Times New Roman"/>
                <w:color w:val="auto"/>
                <w:kern w:val="2"/>
                <w:sz w:val="24"/>
                <w:szCs w:val="24"/>
                <w:highlight w:val="none"/>
                <w:lang w:val="en-US" w:eastAsia="zh-CN"/>
              </w:rPr>
              <w:t>施</w:t>
            </w:r>
          </w:p>
        </w:tc>
        <w:tc>
          <w:tcPr>
            <w:tcW w:w="8911" w:type="dxa"/>
            <w:noWrap w:val="0"/>
            <w:vAlign w:val="center"/>
          </w:tcPr>
          <w:p>
            <w:pPr>
              <w:bidi w:val="0"/>
              <w:rPr>
                <w:bCs/>
                <w:color w:val="auto"/>
                <w:spacing w:val="-10"/>
                <w:szCs w:val="24"/>
                <w:highlight w:val="none"/>
              </w:rPr>
            </w:pPr>
            <w:r>
              <w:rPr>
                <w:rFonts w:hint="eastAsia"/>
              </w:rPr>
              <w:t>项目</w:t>
            </w:r>
            <w:r>
              <w:rPr>
                <w:rFonts w:hint="eastAsia"/>
                <w:lang w:eastAsia="zh-CN"/>
              </w:rPr>
              <w:t>主体工程</w:t>
            </w:r>
            <w:r>
              <w:rPr>
                <w:rFonts w:hint="eastAsia"/>
              </w:rPr>
              <w:t>已建设完成，</w:t>
            </w:r>
            <w:r>
              <w:rPr>
                <w:rFonts w:hint="eastAsia"/>
                <w:kern w:val="0"/>
                <w:sz w:val="24"/>
              </w:rPr>
              <w:t>施工期间影响主要为设备安装</w:t>
            </w:r>
            <w:r>
              <w:rPr>
                <w:kern w:val="0"/>
                <w:sz w:val="24"/>
              </w:rPr>
              <w:t>。施工时间约</w:t>
            </w:r>
            <w:r>
              <w:rPr>
                <w:rFonts w:hint="eastAsia"/>
                <w:kern w:val="0"/>
                <w:sz w:val="24"/>
                <w:lang w:val="en-US" w:eastAsia="zh-CN"/>
              </w:rPr>
              <w:t>2</w:t>
            </w:r>
            <w:r>
              <w:rPr>
                <w:kern w:val="0"/>
                <w:sz w:val="24"/>
              </w:rPr>
              <w:t>个月，施工期较短。施工过程中仅有噪声和少量固体废弃物产生</w:t>
            </w:r>
            <w:r>
              <w:rPr>
                <w:rFonts w:hint="eastAsia"/>
                <w:kern w:val="0"/>
                <w:sz w:val="24"/>
              </w:rPr>
              <w:t>，对环境影响较小。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81" w:type="dxa"/>
            <w:noWrap w:val="0"/>
            <w:tcMar>
              <w:left w:w="28" w:type="dxa"/>
              <w:right w:w="28" w:type="dxa"/>
            </w:tcMar>
            <w:vAlign w:val="center"/>
          </w:tcPr>
          <w:p>
            <w:pPr>
              <w:adjustRightInd w:val="0"/>
              <w:snapToGrid w:val="0"/>
              <w:jc w:val="center"/>
              <w:rPr>
                <w:bCs/>
                <w:color w:val="auto"/>
                <w:sz w:val="24"/>
                <w:szCs w:val="24"/>
                <w:highlight w:val="none"/>
              </w:rPr>
            </w:pPr>
            <w:r>
              <w:rPr>
                <w:bCs/>
                <w:color w:val="auto"/>
                <w:sz w:val="24"/>
                <w:szCs w:val="24"/>
                <w:highlight w:val="none"/>
              </w:rPr>
              <w:t>运营</w:t>
            </w:r>
          </w:p>
          <w:p>
            <w:pPr>
              <w:adjustRightInd w:val="0"/>
              <w:snapToGrid w:val="0"/>
              <w:jc w:val="center"/>
              <w:rPr>
                <w:bCs/>
                <w:color w:val="auto"/>
                <w:sz w:val="24"/>
                <w:szCs w:val="24"/>
                <w:highlight w:val="none"/>
              </w:rPr>
            </w:pPr>
            <w:r>
              <w:rPr>
                <w:bCs/>
                <w:color w:val="auto"/>
                <w:sz w:val="24"/>
                <w:szCs w:val="24"/>
                <w:highlight w:val="none"/>
              </w:rPr>
              <w:t>期环</w:t>
            </w:r>
          </w:p>
          <w:p>
            <w:pPr>
              <w:adjustRightInd w:val="0"/>
              <w:snapToGrid w:val="0"/>
              <w:jc w:val="center"/>
              <w:rPr>
                <w:bCs/>
                <w:color w:val="auto"/>
                <w:sz w:val="24"/>
                <w:szCs w:val="24"/>
                <w:highlight w:val="none"/>
              </w:rPr>
            </w:pPr>
            <w:r>
              <w:rPr>
                <w:bCs/>
                <w:color w:val="auto"/>
                <w:sz w:val="24"/>
                <w:szCs w:val="24"/>
                <w:highlight w:val="none"/>
              </w:rPr>
              <w:t>境影</w:t>
            </w:r>
          </w:p>
          <w:p>
            <w:pPr>
              <w:adjustRightInd w:val="0"/>
              <w:snapToGrid w:val="0"/>
              <w:jc w:val="center"/>
              <w:rPr>
                <w:bCs/>
                <w:color w:val="auto"/>
                <w:sz w:val="24"/>
                <w:szCs w:val="24"/>
                <w:highlight w:val="none"/>
              </w:rPr>
            </w:pPr>
            <w:r>
              <w:rPr>
                <w:bCs/>
                <w:color w:val="auto"/>
                <w:sz w:val="24"/>
                <w:szCs w:val="24"/>
                <w:highlight w:val="none"/>
              </w:rPr>
              <w:t>响和</w:t>
            </w:r>
          </w:p>
          <w:p>
            <w:pPr>
              <w:adjustRightInd w:val="0"/>
              <w:snapToGrid w:val="0"/>
              <w:jc w:val="center"/>
              <w:rPr>
                <w:bCs/>
                <w:color w:val="auto"/>
                <w:sz w:val="24"/>
                <w:szCs w:val="24"/>
                <w:highlight w:val="none"/>
              </w:rPr>
            </w:pPr>
            <w:r>
              <w:rPr>
                <w:bCs/>
                <w:color w:val="auto"/>
                <w:sz w:val="24"/>
                <w:szCs w:val="24"/>
                <w:highlight w:val="none"/>
              </w:rPr>
              <w:t>保护</w:t>
            </w:r>
          </w:p>
          <w:p>
            <w:pPr>
              <w:adjustRightInd w:val="0"/>
              <w:snapToGrid w:val="0"/>
              <w:jc w:val="center"/>
              <w:rPr>
                <w:bCs/>
                <w:color w:val="auto"/>
                <w:sz w:val="24"/>
                <w:szCs w:val="24"/>
                <w:highlight w:val="none"/>
              </w:rPr>
            </w:pPr>
            <w:r>
              <w:rPr>
                <w:bCs/>
                <w:color w:val="auto"/>
                <w:sz w:val="24"/>
                <w:szCs w:val="24"/>
                <w:highlight w:val="none"/>
              </w:rPr>
              <w:t>措施</w:t>
            </w:r>
          </w:p>
        </w:tc>
        <w:tc>
          <w:tcPr>
            <w:tcW w:w="8911" w:type="dxa"/>
            <w:noWrap w:val="0"/>
            <w:vAlign w:val="center"/>
          </w:tcPr>
          <w:p>
            <w:pPr>
              <w:bidi w:val="0"/>
            </w:pPr>
            <w:r>
              <w:rPr>
                <w:rFonts w:hint="default"/>
                <w:lang w:val="en-US" w:eastAsia="zh-CN"/>
              </w:rPr>
              <w:t>1.</w:t>
            </w:r>
            <w:r>
              <w:rPr>
                <w:rFonts w:hint="eastAsia"/>
                <w:lang w:val="en-US" w:eastAsia="zh-CN"/>
              </w:rPr>
              <w:t>大气环境影响和保护措施</w:t>
            </w:r>
          </w:p>
          <w:p>
            <w:pPr>
              <w:pStyle w:val="12"/>
              <w:bidi w:val="0"/>
              <w:rPr>
                <w:rFonts w:hint="eastAsia"/>
                <w:lang w:val="en-US" w:eastAsia="zh-CN"/>
              </w:rPr>
            </w:pPr>
            <w:r>
              <w:rPr>
                <w:rFonts w:hint="default"/>
                <w:lang w:val="en-US" w:eastAsia="zh-CN"/>
              </w:rPr>
              <w:t xml:space="preserve">1.1 </w:t>
            </w:r>
            <w:r>
              <w:rPr>
                <w:rFonts w:hint="eastAsia"/>
                <w:lang w:val="en-US" w:eastAsia="zh-CN"/>
              </w:rPr>
              <w:t xml:space="preserve">污染物源强核算 </w:t>
            </w:r>
          </w:p>
          <w:p>
            <w:pPr>
              <w:pStyle w:val="12"/>
              <w:bidi w:val="0"/>
            </w:pPr>
            <w:r>
              <w:rPr>
                <w:rFonts w:hint="eastAsia"/>
                <w:lang w:val="en-US" w:eastAsia="zh-CN"/>
              </w:rPr>
              <w:t>本项目主要排放的废气是</w:t>
            </w:r>
            <w:r>
              <w:rPr>
                <w:lang w:val="en-US" w:eastAsia="zh-CN"/>
              </w:rPr>
              <w:t>备用柴油发电机废气</w:t>
            </w:r>
            <w:r>
              <w:rPr>
                <w:rFonts w:hint="eastAsia"/>
                <w:lang w:val="en-US" w:eastAsia="zh-CN"/>
              </w:rPr>
              <w:t>、</w:t>
            </w:r>
            <w:r>
              <w:rPr>
                <w:lang w:val="en-US" w:eastAsia="zh-CN"/>
              </w:rPr>
              <w:t>汽车尾气</w:t>
            </w:r>
            <w:r>
              <w:rPr>
                <w:rFonts w:hint="eastAsia"/>
                <w:lang w:val="en-US" w:eastAsia="zh-CN"/>
              </w:rPr>
              <w:t>、</w:t>
            </w:r>
            <w:r>
              <w:rPr>
                <w:rFonts w:hint="eastAsia"/>
              </w:rPr>
              <w:t>煎药室异味</w:t>
            </w:r>
            <w:r>
              <w:rPr>
                <w:rFonts w:hint="eastAsia"/>
                <w:lang w:eastAsia="zh-CN"/>
              </w:rPr>
              <w:t>、</w:t>
            </w:r>
            <w:r>
              <w:rPr>
                <w:rFonts w:hint="eastAsia"/>
                <w:lang w:val="en-US" w:eastAsia="zh-CN"/>
              </w:rPr>
              <w:t xml:space="preserve">污水处理站运行臭气及食堂油烟。 </w:t>
            </w:r>
          </w:p>
          <w:p>
            <w:pPr>
              <w:pStyle w:val="12"/>
              <w:bidi w:val="0"/>
              <w:rPr>
                <w:lang w:val="en-US" w:eastAsia="zh-CN"/>
              </w:rPr>
            </w:pPr>
            <w:r>
              <w:rPr>
                <w:lang w:val="en-US" w:eastAsia="zh-CN"/>
              </w:rPr>
              <w:t>（</w:t>
            </w:r>
            <w:r>
              <w:rPr>
                <w:rFonts w:hint="eastAsia"/>
                <w:lang w:val="en-US" w:eastAsia="zh-CN"/>
              </w:rPr>
              <w:t>1</w:t>
            </w:r>
            <w:r>
              <w:rPr>
                <w:lang w:val="en-US" w:eastAsia="zh-CN"/>
              </w:rPr>
              <w:t>）备用柴油发电机废气</w:t>
            </w:r>
          </w:p>
          <w:p>
            <w:pPr>
              <w:pStyle w:val="12"/>
              <w:bidi w:val="0"/>
              <w:rPr>
                <w:lang w:val="en-US" w:eastAsia="zh-CN"/>
              </w:rPr>
            </w:pPr>
            <w:r>
              <w:rPr>
                <w:lang w:val="en-US" w:eastAsia="zh-CN"/>
              </w:rPr>
              <w:t>本项目设1台</w:t>
            </w:r>
            <w:r>
              <w:rPr>
                <w:rFonts w:hint="eastAsia"/>
                <w:lang w:val="en-US" w:eastAsia="zh-CN"/>
              </w:rPr>
              <w:t>30</w:t>
            </w:r>
            <w:r>
              <w:rPr>
                <w:lang w:val="en-US" w:eastAsia="zh-CN"/>
              </w:rPr>
              <w:t>0kw 柴油发电机，置于专用的发电机房内，仅停电时临时使用，采用0#柴油作为燃料，主要污染物为烟尘、HC、SO</w:t>
            </w:r>
            <w:r>
              <w:rPr>
                <w:vertAlign w:val="subscript"/>
                <w:lang w:val="en-US" w:eastAsia="zh-CN"/>
              </w:rPr>
              <w:t>2</w:t>
            </w:r>
            <w:r>
              <w:rPr>
                <w:lang w:val="en-US" w:eastAsia="zh-CN"/>
              </w:rPr>
              <w:t>、NOx等。0#柴油燃烧产生的废气污染物量较少，且发电机使用频率较低</w:t>
            </w:r>
            <w:r>
              <w:rPr>
                <w:rFonts w:hint="eastAsia"/>
                <w:lang w:val="en-US" w:eastAsia="zh-CN"/>
              </w:rPr>
              <w:t>。项目</w:t>
            </w:r>
            <w:r>
              <w:rPr>
                <w:lang w:val="en-US" w:eastAsia="zh-CN"/>
              </w:rPr>
              <w:t>严格按照要求操作，控制好燃烧状况，</w:t>
            </w:r>
            <w:r>
              <w:rPr>
                <w:rFonts w:hint="eastAsia"/>
                <w:lang w:val="en-US" w:eastAsia="zh-CN"/>
              </w:rPr>
              <w:t>选用</w:t>
            </w:r>
            <w:r>
              <w:rPr>
                <w:lang w:val="en-US" w:eastAsia="zh-CN"/>
              </w:rPr>
              <w:t>符合国家环保要求的发电机设备，废气</w:t>
            </w:r>
            <w:r>
              <w:rPr>
                <w:rFonts w:hint="eastAsia"/>
                <w:lang w:val="en-US" w:eastAsia="zh-CN"/>
              </w:rPr>
              <w:t>通过</w:t>
            </w:r>
            <w:r>
              <w:rPr>
                <w:lang w:val="en-US" w:eastAsia="zh-CN"/>
              </w:rPr>
              <w:t>通过专用烟道引排至室外，对大气环境影响较小。</w:t>
            </w:r>
          </w:p>
          <w:p>
            <w:pPr>
              <w:pStyle w:val="12"/>
              <w:bidi w:val="0"/>
              <w:rPr>
                <w:lang w:val="en-US" w:eastAsia="zh-CN"/>
              </w:rPr>
            </w:pPr>
            <w:r>
              <w:rPr>
                <w:rFonts w:hint="eastAsia"/>
                <w:lang w:val="en-US" w:eastAsia="zh-CN"/>
              </w:rPr>
              <w:t>（2）</w:t>
            </w:r>
            <w:r>
              <w:rPr>
                <w:lang w:val="en-US" w:eastAsia="zh-CN"/>
              </w:rPr>
              <w:t>汽车尾气</w:t>
            </w:r>
          </w:p>
          <w:p>
            <w:pPr>
              <w:pStyle w:val="12"/>
              <w:bidi w:val="0"/>
              <w:rPr>
                <w:lang w:val="en-US" w:eastAsia="zh-CN"/>
              </w:rPr>
            </w:pPr>
            <w:r>
              <w:rPr>
                <w:lang w:val="en-US" w:eastAsia="zh-CN"/>
              </w:rPr>
              <w:t>本项目停车场为地面停车场和地下停车场。机动车辆以汽油或柴油为燃料，汽车启、停会排放汽车尾气，主要污染物为CO、NOx、HC。由于同一时间内同时启动的车辆数量不大，因此汽车尾气产生量小，且地面停车场较为分散，可利用车道自然补风，因此汽车尾气能够很快地扩散，浓度积累小。地下停车位排放的汽车尾气，车库设置机械排风系统进行强制通风，每小时换气至少6次，地下车库</w:t>
            </w:r>
            <w:r>
              <w:rPr>
                <w:rFonts w:hint="eastAsia"/>
                <w:lang w:val="en-US" w:eastAsia="zh-CN"/>
              </w:rPr>
              <w:t>设</w:t>
            </w:r>
            <w:r>
              <w:rPr>
                <w:lang w:val="en-US" w:eastAsia="zh-CN"/>
              </w:rPr>
              <w:t>置多个排风出口，地下停车场的汽车尾气通过排风管道排出车库</w:t>
            </w:r>
            <w:r>
              <w:rPr>
                <w:rFonts w:hint="eastAsia"/>
                <w:lang w:val="en-US" w:eastAsia="zh-CN"/>
              </w:rPr>
              <w:t>，排放口应远离并背向敏感点一侧</w:t>
            </w:r>
            <w:r>
              <w:rPr>
                <w:lang w:val="en-US" w:eastAsia="zh-CN"/>
              </w:rPr>
              <w:t>，对外环境影响不大。</w:t>
            </w:r>
          </w:p>
          <w:p>
            <w:pPr>
              <w:pStyle w:val="12"/>
              <w:bidi w:val="0"/>
            </w:pPr>
            <w:r>
              <w:rPr>
                <w:rFonts w:hint="eastAsia"/>
                <w:lang w:val="en-US" w:eastAsia="zh-CN"/>
              </w:rPr>
              <w:t xml:space="preserve">（3）污水处理站恶臭 </w:t>
            </w:r>
          </w:p>
          <w:p>
            <w:pPr>
              <w:pStyle w:val="12"/>
              <w:bidi w:val="0"/>
            </w:pPr>
            <w:r>
              <w:rPr>
                <w:rFonts w:hint="eastAsia"/>
                <w:lang w:val="en-US" w:eastAsia="zh-CN"/>
              </w:rPr>
              <w:t>本项目拟设置处理能力为180m³/d污水处理站，并采用消毒工艺对污水进行处理。污水处理站恶臭气体主要来自各单元区，废水中有机物厌氧分解可产生</w:t>
            </w:r>
            <w:r>
              <w:rPr>
                <w:rFonts w:hint="default"/>
                <w:lang w:val="en-US" w:eastAsia="zh-CN"/>
              </w:rPr>
              <w:t>NH</w:t>
            </w:r>
            <w:r>
              <w:rPr>
                <w:rFonts w:hint="default"/>
                <w:vertAlign w:val="subscript"/>
                <w:lang w:val="en-US" w:eastAsia="zh-CN"/>
              </w:rPr>
              <w:t>3</w:t>
            </w:r>
            <w:r>
              <w:rPr>
                <w:rFonts w:hint="eastAsia"/>
                <w:lang w:val="en-US" w:eastAsia="zh-CN"/>
              </w:rPr>
              <w:t>、</w:t>
            </w:r>
            <w:r>
              <w:rPr>
                <w:rFonts w:hint="default"/>
                <w:lang w:val="en-US" w:eastAsia="zh-CN"/>
              </w:rPr>
              <w:t>H</w:t>
            </w:r>
            <w:r>
              <w:rPr>
                <w:rFonts w:hint="default"/>
                <w:vertAlign w:val="subscript"/>
                <w:lang w:val="en-US" w:eastAsia="zh-CN"/>
              </w:rPr>
              <w:t>2</w:t>
            </w:r>
            <w:r>
              <w:rPr>
                <w:rFonts w:hint="default"/>
                <w:lang w:val="en-US" w:eastAsia="zh-CN"/>
              </w:rPr>
              <w:t>S</w:t>
            </w:r>
            <w:r>
              <w:rPr>
                <w:rFonts w:hint="eastAsia"/>
                <w:lang w:val="en-US" w:eastAsia="zh-CN"/>
              </w:rPr>
              <w:t xml:space="preserve">等恶臭有害气体。污水处理系统产生的臭气主要在调节池、消毒池等部分产生，恶臭影响程度与厌氧、污水停留的时间长短、污水水质等条件有关。 </w:t>
            </w:r>
          </w:p>
          <w:p>
            <w:pPr>
              <w:pStyle w:val="12"/>
              <w:bidi w:val="0"/>
              <w:rPr>
                <w:rFonts w:hint="eastAsia"/>
                <w:lang w:val="en-US" w:eastAsia="zh-CN"/>
              </w:rPr>
            </w:pPr>
            <w:r>
              <w:rPr>
                <w:rFonts w:hint="eastAsia"/>
                <w:lang w:val="en-US" w:eastAsia="zh-CN"/>
              </w:rPr>
              <w:t>参考美国</w:t>
            </w:r>
            <w:r>
              <w:rPr>
                <w:rFonts w:hint="default"/>
                <w:lang w:val="en-US" w:eastAsia="zh-CN"/>
              </w:rPr>
              <w:t>EPA</w:t>
            </w:r>
            <w:r>
              <w:rPr>
                <w:rFonts w:hint="eastAsia"/>
                <w:lang w:val="en-US" w:eastAsia="zh-CN"/>
              </w:rPr>
              <w:t>对城市污水处理厂恶臭污染物产生情况的研究，每处理</w:t>
            </w:r>
            <w:r>
              <w:rPr>
                <w:rFonts w:hint="default"/>
                <w:lang w:val="en-US" w:eastAsia="zh-CN"/>
              </w:rPr>
              <w:t>1g</w:t>
            </w:r>
            <w:r>
              <w:rPr>
                <w:rFonts w:hint="eastAsia"/>
                <w:lang w:val="en-US" w:eastAsia="zh-CN"/>
              </w:rPr>
              <w:t>的</w:t>
            </w:r>
            <w:r>
              <w:rPr>
                <w:rFonts w:hint="default"/>
                <w:lang w:val="en-US" w:eastAsia="zh-CN"/>
              </w:rPr>
              <w:t>BOD</w:t>
            </w:r>
            <w:r>
              <w:rPr>
                <w:rFonts w:hint="default"/>
                <w:vertAlign w:val="subscript"/>
                <w:lang w:val="en-US" w:eastAsia="zh-CN"/>
              </w:rPr>
              <w:t>5</w:t>
            </w:r>
            <w:r>
              <w:rPr>
                <w:rFonts w:hint="eastAsia"/>
                <w:lang w:val="en-US" w:eastAsia="zh-CN"/>
              </w:rPr>
              <w:t>，可产生</w:t>
            </w:r>
            <w:r>
              <w:rPr>
                <w:rFonts w:hint="default"/>
                <w:lang w:val="en-US" w:eastAsia="zh-CN"/>
              </w:rPr>
              <w:t>0.0031g</w:t>
            </w:r>
            <w:r>
              <w:rPr>
                <w:rFonts w:hint="eastAsia"/>
                <w:lang w:val="en-US" w:eastAsia="zh-CN"/>
              </w:rPr>
              <w:t>的</w:t>
            </w:r>
            <w:r>
              <w:rPr>
                <w:rFonts w:hint="default"/>
                <w:lang w:val="en-US" w:eastAsia="zh-CN"/>
              </w:rPr>
              <w:t>NH</w:t>
            </w:r>
            <w:r>
              <w:rPr>
                <w:rFonts w:hint="default"/>
                <w:vertAlign w:val="subscript"/>
                <w:lang w:val="en-US" w:eastAsia="zh-CN"/>
              </w:rPr>
              <w:t>3</w:t>
            </w:r>
            <w:r>
              <w:rPr>
                <w:rFonts w:hint="eastAsia"/>
                <w:lang w:val="en-US" w:eastAsia="zh-CN"/>
              </w:rPr>
              <w:t>和</w:t>
            </w:r>
            <w:r>
              <w:rPr>
                <w:rFonts w:hint="default"/>
                <w:lang w:val="en-US" w:eastAsia="zh-CN"/>
              </w:rPr>
              <w:t>0.00012g</w:t>
            </w:r>
            <w:r>
              <w:rPr>
                <w:rFonts w:hint="eastAsia"/>
                <w:lang w:val="en-US" w:eastAsia="zh-CN"/>
              </w:rPr>
              <w:t>的</w:t>
            </w:r>
            <w:r>
              <w:rPr>
                <w:rFonts w:hint="default"/>
                <w:lang w:val="en-US" w:eastAsia="zh-CN"/>
              </w:rPr>
              <w:t>H</w:t>
            </w:r>
            <w:r>
              <w:rPr>
                <w:rFonts w:hint="default"/>
                <w:vertAlign w:val="subscript"/>
                <w:lang w:val="en-US" w:eastAsia="zh-CN"/>
              </w:rPr>
              <w:t>2</w:t>
            </w:r>
            <w:r>
              <w:rPr>
                <w:rFonts w:hint="default"/>
                <w:lang w:val="en-US" w:eastAsia="zh-CN"/>
              </w:rPr>
              <w:t>S</w:t>
            </w:r>
            <w:r>
              <w:rPr>
                <w:rFonts w:hint="eastAsia"/>
                <w:lang w:val="en-US" w:eastAsia="zh-CN"/>
              </w:rPr>
              <w:t>。本项目废水产生量为140.6</w:t>
            </w:r>
            <w:r>
              <w:rPr>
                <w:rFonts w:hint="default"/>
                <w:lang w:val="en-US" w:eastAsia="zh-CN"/>
              </w:rPr>
              <w:t>m³/d</w:t>
            </w:r>
            <w:r>
              <w:rPr>
                <w:rFonts w:hint="eastAsia"/>
                <w:lang w:val="en-US" w:eastAsia="zh-CN"/>
              </w:rPr>
              <w:t>（51318.27</w:t>
            </w:r>
            <w:r>
              <w:rPr>
                <w:rFonts w:hint="default"/>
                <w:lang w:val="en-US" w:eastAsia="zh-CN"/>
              </w:rPr>
              <w:t>m³/a</w:t>
            </w:r>
            <w:r>
              <w:rPr>
                <w:rFonts w:hint="eastAsia"/>
                <w:lang w:val="en-US" w:eastAsia="zh-CN"/>
              </w:rPr>
              <w:t>），其主要污染因子为：COD、BOD</w:t>
            </w:r>
            <w:r>
              <w:rPr>
                <w:rFonts w:hint="eastAsia"/>
                <w:vertAlign w:val="subscript"/>
                <w:lang w:val="en-US" w:eastAsia="zh-CN"/>
              </w:rPr>
              <w:t>5</w:t>
            </w:r>
            <w:r>
              <w:rPr>
                <w:rFonts w:hint="eastAsia"/>
                <w:lang w:val="en-US" w:eastAsia="zh-CN"/>
              </w:rPr>
              <w:t>、氨氮、SS，参考《医院污水处理技术指南》：BOD</w:t>
            </w:r>
            <w:r>
              <w:rPr>
                <w:rFonts w:hint="eastAsia"/>
                <w:vertAlign w:val="subscript"/>
                <w:lang w:val="en-US" w:eastAsia="zh-CN"/>
              </w:rPr>
              <w:t>5</w:t>
            </w:r>
            <w:r>
              <w:rPr>
                <w:rFonts w:hint="eastAsia"/>
                <w:lang w:val="en-US" w:eastAsia="zh-CN"/>
              </w:rPr>
              <w:t>为80</w:t>
            </w:r>
            <w:r>
              <w:rPr>
                <w:rFonts w:hint="default"/>
                <w:lang w:val="en-US" w:eastAsia="zh-CN"/>
              </w:rPr>
              <w:t>~</w:t>
            </w:r>
            <w:r>
              <w:rPr>
                <w:rFonts w:hint="eastAsia"/>
                <w:lang w:val="en-US" w:eastAsia="zh-CN"/>
              </w:rPr>
              <w:t>150</w:t>
            </w:r>
            <w:r>
              <w:rPr>
                <w:lang w:val="en-US" w:eastAsia="zh-CN"/>
              </w:rPr>
              <w:t>mg/L</w:t>
            </w:r>
            <w:r>
              <w:rPr>
                <w:rFonts w:hint="eastAsia"/>
                <w:lang w:val="en-US" w:eastAsia="zh-CN"/>
              </w:rPr>
              <w:t>。</w:t>
            </w:r>
            <w:r>
              <w:rPr>
                <w:rFonts w:hint="default"/>
                <w:lang w:val="en-US" w:eastAsia="zh-CN"/>
              </w:rPr>
              <w:t>BOD</w:t>
            </w:r>
            <w:r>
              <w:rPr>
                <w:rFonts w:hint="default"/>
                <w:vertAlign w:val="subscript"/>
                <w:lang w:val="en-US" w:eastAsia="zh-CN"/>
              </w:rPr>
              <w:t>5</w:t>
            </w:r>
            <w:r>
              <w:rPr>
                <w:rFonts w:hint="eastAsia"/>
                <w:lang w:val="en-US" w:eastAsia="zh-CN"/>
              </w:rPr>
              <w:t>产生浓度按</w:t>
            </w:r>
            <w:r>
              <w:rPr>
                <w:rFonts w:hint="default"/>
                <w:lang w:val="en-US" w:eastAsia="zh-CN"/>
              </w:rPr>
              <w:t>150mg/L</w:t>
            </w:r>
            <w:r>
              <w:rPr>
                <w:rFonts w:hint="eastAsia"/>
                <w:lang w:val="en-US" w:eastAsia="zh-CN"/>
              </w:rPr>
              <w:t>，产生量为7.69</w:t>
            </w:r>
            <w:r>
              <w:rPr>
                <w:rFonts w:hint="default"/>
                <w:lang w:val="en-US" w:eastAsia="zh-CN"/>
              </w:rPr>
              <w:t>t/a</w:t>
            </w:r>
            <w:r>
              <w:rPr>
                <w:rFonts w:hint="eastAsia"/>
                <w:lang w:val="en-US" w:eastAsia="zh-CN"/>
              </w:rPr>
              <w:t>。本项目医疗污水处理站处理后</w:t>
            </w:r>
            <w:r>
              <w:rPr>
                <w:rFonts w:hint="default"/>
                <w:lang w:val="en-US" w:eastAsia="zh-CN"/>
              </w:rPr>
              <w:t>BOD</w:t>
            </w:r>
            <w:r>
              <w:rPr>
                <w:rFonts w:hint="default"/>
                <w:vertAlign w:val="subscript"/>
                <w:lang w:val="en-US" w:eastAsia="zh-CN"/>
              </w:rPr>
              <w:t>5</w:t>
            </w:r>
            <w:r>
              <w:rPr>
                <w:rFonts w:hint="eastAsia"/>
                <w:lang w:val="en-US" w:eastAsia="zh-CN"/>
              </w:rPr>
              <w:t>排放浓度为2</w:t>
            </w:r>
            <w:r>
              <w:rPr>
                <w:rFonts w:hint="default"/>
                <w:lang w:val="en-US" w:eastAsia="zh-CN"/>
              </w:rPr>
              <w:t>0mg/L</w:t>
            </w:r>
            <w:r>
              <w:rPr>
                <w:rFonts w:hint="eastAsia"/>
                <w:lang w:val="en-US" w:eastAsia="zh-CN"/>
              </w:rPr>
              <w:t>，因此本项目</w:t>
            </w:r>
            <w:r>
              <w:rPr>
                <w:rFonts w:hint="default"/>
                <w:lang w:val="en-US" w:eastAsia="zh-CN"/>
              </w:rPr>
              <w:t>BOD</w:t>
            </w:r>
            <w:r>
              <w:rPr>
                <w:rFonts w:hint="default"/>
                <w:vertAlign w:val="subscript"/>
                <w:lang w:val="en-US" w:eastAsia="zh-CN"/>
              </w:rPr>
              <w:t>5</w:t>
            </w:r>
            <w:r>
              <w:rPr>
                <w:rFonts w:hint="eastAsia"/>
                <w:lang w:val="en-US" w:eastAsia="zh-CN"/>
              </w:rPr>
              <w:t>排放量为1.02</w:t>
            </w:r>
            <w:r>
              <w:rPr>
                <w:rFonts w:hint="default"/>
                <w:lang w:val="en-US" w:eastAsia="zh-CN"/>
              </w:rPr>
              <w:t>t/a</w:t>
            </w:r>
            <w:r>
              <w:rPr>
                <w:rFonts w:hint="eastAsia"/>
                <w:lang w:val="en-US" w:eastAsia="zh-CN"/>
              </w:rPr>
              <w:t>，去除了</w:t>
            </w:r>
            <w:r>
              <w:rPr>
                <w:rFonts w:hint="default"/>
                <w:lang w:val="en-US" w:eastAsia="zh-CN"/>
              </w:rPr>
              <w:t>BOD5</w:t>
            </w:r>
            <w:r>
              <w:rPr>
                <w:rFonts w:hint="eastAsia"/>
                <w:lang w:val="en-US" w:eastAsia="zh-CN"/>
              </w:rPr>
              <w:t>6.67</w:t>
            </w:r>
            <w:r>
              <w:rPr>
                <w:rFonts w:hint="default"/>
                <w:lang w:val="en-US" w:eastAsia="zh-CN"/>
              </w:rPr>
              <w:t>t/a</w:t>
            </w:r>
            <w:r>
              <w:rPr>
                <w:rFonts w:hint="eastAsia"/>
                <w:lang w:val="en-US" w:eastAsia="zh-CN"/>
              </w:rPr>
              <w:t>。则本项目污水处理站运营产生的</w:t>
            </w:r>
            <w:r>
              <w:rPr>
                <w:rFonts w:hint="default"/>
                <w:lang w:val="en-US" w:eastAsia="zh-CN"/>
              </w:rPr>
              <w:t>NH</w:t>
            </w:r>
            <w:r>
              <w:rPr>
                <w:rFonts w:hint="default"/>
                <w:vertAlign w:val="subscript"/>
                <w:lang w:val="en-US" w:eastAsia="zh-CN"/>
              </w:rPr>
              <w:t>3</w:t>
            </w:r>
            <w:r>
              <w:rPr>
                <w:rFonts w:hint="eastAsia"/>
                <w:lang w:val="en-US" w:eastAsia="zh-CN"/>
              </w:rPr>
              <w:t>、</w:t>
            </w:r>
            <w:r>
              <w:rPr>
                <w:rFonts w:hint="default"/>
                <w:lang w:val="en-US" w:eastAsia="zh-CN"/>
              </w:rPr>
              <w:t>H</w:t>
            </w:r>
            <w:r>
              <w:rPr>
                <w:rFonts w:hint="default"/>
                <w:vertAlign w:val="subscript"/>
                <w:lang w:val="en-US" w:eastAsia="zh-CN"/>
              </w:rPr>
              <w:t>2</w:t>
            </w:r>
            <w:r>
              <w:rPr>
                <w:rFonts w:hint="default"/>
                <w:lang w:val="en-US" w:eastAsia="zh-CN"/>
              </w:rPr>
              <w:t>S</w:t>
            </w:r>
            <w:r>
              <w:rPr>
                <w:rFonts w:hint="eastAsia"/>
                <w:lang w:val="en-US" w:eastAsia="zh-CN"/>
              </w:rPr>
              <w:t>分别为0.021</w:t>
            </w:r>
            <w:r>
              <w:rPr>
                <w:rFonts w:hint="default"/>
                <w:lang w:val="en-US" w:eastAsia="zh-CN"/>
              </w:rPr>
              <w:t>t/a</w:t>
            </w:r>
            <w:r>
              <w:rPr>
                <w:rFonts w:hint="eastAsia"/>
                <w:lang w:val="en-US" w:eastAsia="zh-CN"/>
              </w:rPr>
              <w:t>、0.0008</w:t>
            </w:r>
            <w:r>
              <w:rPr>
                <w:rFonts w:hint="default"/>
                <w:lang w:val="en-US" w:eastAsia="zh-CN"/>
              </w:rPr>
              <w:t>t/a</w:t>
            </w:r>
            <w:r>
              <w:rPr>
                <w:rFonts w:hint="eastAsia"/>
                <w:lang w:val="en-US" w:eastAsia="zh-CN"/>
              </w:rPr>
              <w:t>。</w:t>
            </w:r>
          </w:p>
          <w:p>
            <w:pPr>
              <w:pStyle w:val="12"/>
              <w:bidi w:val="0"/>
              <w:rPr>
                <w:rFonts w:hint="eastAsia"/>
                <w:u w:val="single"/>
              </w:rPr>
            </w:pPr>
            <w:r>
              <w:rPr>
                <w:rFonts w:hint="eastAsia"/>
                <w:u w:val="single"/>
                <w:lang w:eastAsia="zh-CN"/>
              </w:rPr>
              <w:t>（</w:t>
            </w:r>
            <w:r>
              <w:rPr>
                <w:rFonts w:hint="eastAsia"/>
                <w:u w:val="single"/>
                <w:lang w:val="en-US" w:eastAsia="zh-CN"/>
              </w:rPr>
              <w:t>4）</w:t>
            </w:r>
            <w:r>
              <w:rPr>
                <w:rFonts w:hint="eastAsia"/>
                <w:u w:val="single"/>
              </w:rPr>
              <w:t>煎药室异味</w:t>
            </w:r>
          </w:p>
          <w:p>
            <w:pPr>
              <w:pStyle w:val="12"/>
              <w:bidi w:val="0"/>
              <w:rPr>
                <w:u w:val="single"/>
              </w:rPr>
            </w:pPr>
            <w:r>
              <w:rPr>
                <w:rFonts w:hint="eastAsia"/>
                <w:u w:val="single"/>
              </w:rPr>
              <w:t xml:space="preserve"> 项目煎药室采用煎药机进行煎药，所使用药物为常见中草药，每日煎药量少， 频次不固定，煎药时产生少量异味的气体。</w:t>
            </w:r>
            <w:r>
              <w:rPr>
                <w:rFonts w:hint="eastAsia"/>
                <w:u w:val="single"/>
                <w:lang w:eastAsia="zh-CN"/>
              </w:rPr>
              <w:t>本项目</w:t>
            </w:r>
            <w:r>
              <w:rPr>
                <w:rFonts w:hint="eastAsia"/>
                <w:u w:val="single"/>
              </w:rPr>
              <w:t>中药熬药室房间内不设置窗户，熬药期间房间门处于关闭状态，拟建抽风系统将异味</w:t>
            </w:r>
            <w:r>
              <w:rPr>
                <w:u w:val="single"/>
                <w:lang w:val="en-US" w:eastAsia="zh-CN"/>
              </w:rPr>
              <w:t>通过专用烟道引排至</w:t>
            </w:r>
            <w:r>
              <w:rPr>
                <w:rFonts w:hint="eastAsia"/>
                <w:u w:val="single"/>
                <w:lang w:val="en-US" w:eastAsia="zh-CN"/>
              </w:rPr>
              <w:t>楼顶</w:t>
            </w:r>
            <w:r>
              <w:rPr>
                <w:rFonts w:hint="eastAsia"/>
                <w:u w:val="single"/>
              </w:rPr>
              <w:t>排放，</w:t>
            </w:r>
            <w:r>
              <w:rPr>
                <w:rFonts w:hint="eastAsia"/>
                <w:u w:val="single"/>
                <w:lang w:eastAsia="zh-CN"/>
              </w:rPr>
              <w:t>对周围环境影响很小</w:t>
            </w:r>
            <w:r>
              <w:rPr>
                <w:rFonts w:hint="eastAsia"/>
                <w:u w:val="single"/>
              </w:rPr>
              <w:t>。</w:t>
            </w:r>
          </w:p>
          <w:p>
            <w:pPr>
              <w:pStyle w:val="12"/>
              <w:bidi w:val="0"/>
              <w:rPr>
                <w:lang w:val="en-US" w:eastAsia="zh-CN"/>
              </w:rPr>
            </w:pPr>
            <w:r>
              <w:rPr>
                <w:lang w:val="en-US" w:eastAsia="zh-CN"/>
              </w:rPr>
              <w:t>（</w:t>
            </w:r>
            <w:r>
              <w:rPr>
                <w:rFonts w:hint="eastAsia"/>
                <w:lang w:val="en-US" w:eastAsia="zh-CN"/>
              </w:rPr>
              <w:t>5</w:t>
            </w:r>
            <w:r>
              <w:rPr>
                <w:lang w:val="en-US" w:eastAsia="zh-CN"/>
              </w:rPr>
              <w:t>）食堂油烟废气</w:t>
            </w:r>
          </w:p>
          <w:p>
            <w:pPr>
              <w:pStyle w:val="12"/>
              <w:bidi w:val="0"/>
              <w:rPr>
                <w:rFonts w:hint="eastAsia"/>
                <w:lang w:val="en-US" w:eastAsia="zh-CN"/>
              </w:rPr>
            </w:pPr>
            <w:r>
              <w:rPr>
                <w:rFonts w:hint="eastAsia"/>
                <w:lang w:val="en-US" w:eastAsia="zh-CN"/>
              </w:rPr>
              <w:t>项目拟单独设置一个食堂，食堂为医患人员提供就餐，食堂厨房使用罐装液化气为燃料，为清洁能源。</w:t>
            </w:r>
            <w:r>
              <w:rPr>
                <w:lang w:val="en-US" w:eastAsia="zh-CN"/>
              </w:rPr>
              <w:t>预计食堂用餐人数约</w:t>
            </w:r>
            <w:r>
              <w:rPr>
                <w:rFonts w:hint="eastAsia"/>
                <w:lang w:val="en-US" w:eastAsia="zh-CN"/>
              </w:rPr>
              <w:t>500</w:t>
            </w:r>
            <w:r>
              <w:rPr>
                <w:lang w:val="en-US" w:eastAsia="zh-CN"/>
              </w:rPr>
              <w:t>人。本项目食堂拟设</w:t>
            </w:r>
            <w:r>
              <w:rPr>
                <w:rFonts w:hint="eastAsia"/>
                <w:lang w:val="en-US" w:eastAsia="zh-CN"/>
              </w:rPr>
              <w:t>10</w:t>
            </w:r>
            <w:r>
              <w:rPr>
                <w:lang w:val="en-US" w:eastAsia="zh-CN"/>
              </w:rPr>
              <w:t>个基准灶头数，规模属于大型。厨房作业时产生的污染主要是油烟</w:t>
            </w:r>
            <w:r>
              <w:rPr>
                <w:rFonts w:hint="eastAsia"/>
                <w:lang w:val="en-US" w:eastAsia="zh-CN"/>
              </w:rPr>
              <w:t>。</w:t>
            </w:r>
          </w:p>
          <w:p>
            <w:pPr>
              <w:pStyle w:val="12"/>
              <w:bidi w:val="0"/>
              <w:rPr>
                <w:lang w:val="en-US" w:eastAsia="zh-CN"/>
              </w:rPr>
            </w:pPr>
            <w:r>
              <w:rPr>
                <w:rFonts w:hint="eastAsia"/>
                <w:lang w:val="en-US" w:eastAsia="zh-CN"/>
              </w:rPr>
              <w:t>平均每人每天耗用食油量按3</w:t>
            </w:r>
            <w:r>
              <w:rPr>
                <w:rFonts w:hint="default"/>
                <w:lang w:val="en-US" w:eastAsia="zh-CN"/>
              </w:rPr>
              <w:t>0g</w:t>
            </w:r>
            <w:r>
              <w:rPr>
                <w:rFonts w:hint="eastAsia"/>
                <w:lang w:val="en-US" w:eastAsia="zh-CN"/>
              </w:rPr>
              <w:t>计，日耗用食油量约为15</w:t>
            </w:r>
            <w:r>
              <w:rPr>
                <w:rFonts w:hint="default"/>
                <w:lang w:val="en-US" w:eastAsia="zh-CN"/>
              </w:rPr>
              <w:t>kg</w:t>
            </w:r>
            <w:r>
              <w:rPr>
                <w:rFonts w:hint="eastAsia"/>
                <w:lang w:val="en-US" w:eastAsia="zh-CN"/>
              </w:rPr>
              <w:t>，年耗食用油约5475</w:t>
            </w:r>
            <w:r>
              <w:rPr>
                <w:rFonts w:hint="default"/>
                <w:lang w:val="en-US" w:eastAsia="zh-CN"/>
              </w:rPr>
              <w:t>kg/a</w:t>
            </w:r>
            <w:r>
              <w:rPr>
                <w:rFonts w:hint="eastAsia"/>
                <w:lang w:val="en-US" w:eastAsia="zh-CN"/>
              </w:rPr>
              <w:t>。不同的烧炸工况，油烟气中烟气浓度及挥发量均有所不同，油的平均挥发量为总耗油量的</w:t>
            </w:r>
            <w:r>
              <w:rPr>
                <w:rFonts w:hint="default"/>
                <w:lang w:val="en-US" w:eastAsia="zh-CN"/>
              </w:rPr>
              <w:t>2.83%</w:t>
            </w:r>
            <w:r>
              <w:rPr>
                <w:rFonts w:hint="eastAsia"/>
                <w:lang w:val="en-US" w:eastAsia="zh-CN"/>
              </w:rPr>
              <w:t>，则油烟的产生量为155</w:t>
            </w:r>
            <w:r>
              <w:rPr>
                <w:rFonts w:hint="default"/>
                <w:lang w:val="en-US" w:eastAsia="zh-CN"/>
              </w:rPr>
              <w:t>kg/a</w:t>
            </w:r>
            <w:r>
              <w:rPr>
                <w:rFonts w:hint="eastAsia"/>
                <w:lang w:val="en-US" w:eastAsia="zh-CN"/>
              </w:rPr>
              <w:t>，</w:t>
            </w:r>
            <w:r>
              <w:rPr>
                <w:lang w:val="en-US" w:eastAsia="zh-CN"/>
              </w:rPr>
              <w:t>每个灶头排风量以2000m³/h计，使用时间以4h/d计，年运营时间为365d，则年烟气排放量</w:t>
            </w:r>
            <w:r>
              <w:rPr>
                <w:rFonts w:hint="eastAsia"/>
                <w:lang w:val="en-US" w:eastAsia="zh-CN"/>
              </w:rPr>
              <w:t>2.92</w:t>
            </w:r>
            <w:r>
              <w:rPr>
                <w:lang w:val="en-US" w:eastAsia="zh-CN"/>
              </w:rPr>
              <w:t>×10</w:t>
            </w:r>
            <w:r>
              <w:rPr>
                <w:rFonts w:hint="eastAsia"/>
                <w:lang w:val="en-US" w:eastAsia="zh-CN"/>
              </w:rPr>
              <w:t>7</w:t>
            </w:r>
            <w:r>
              <w:rPr>
                <w:lang w:val="en-US" w:eastAsia="zh-CN"/>
              </w:rPr>
              <w:t>m³/a，油烟产生浓度为</w:t>
            </w:r>
            <w:r>
              <w:rPr>
                <w:rFonts w:hint="eastAsia"/>
                <w:lang w:val="en-US" w:eastAsia="zh-CN"/>
              </w:rPr>
              <w:t>5.31</w:t>
            </w:r>
            <w:r>
              <w:rPr>
                <w:lang w:val="en-US" w:eastAsia="zh-CN"/>
              </w:rPr>
              <w:t>mg/m³。厨房将安装油烟净化器系统处理油烟废气，该系统油烟处理效率85%以上，处理后的烟气油烟通过内置的专用排烟道在屋顶排放，计算得出油烟废气污染物的排污量及排放浓度见下表。</w:t>
            </w:r>
          </w:p>
          <w:p>
            <w:pPr>
              <w:pStyle w:val="29"/>
              <w:rPr>
                <w:lang w:val="en-US" w:eastAsia="zh-CN"/>
              </w:rPr>
            </w:pPr>
            <w:r>
              <w:rPr>
                <w:lang w:val="en-US" w:eastAsia="zh-CN"/>
              </w:rPr>
              <w:t>表</w:t>
            </w:r>
            <w:r>
              <w:rPr>
                <w:rFonts w:hint="eastAsia"/>
                <w:lang w:val="en-US" w:eastAsia="zh-CN"/>
              </w:rPr>
              <w:t>4.1-1</w:t>
            </w:r>
            <w:r>
              <w:rPr>
                <w:lang w:val="en-US" w:eastAsia="zh-CN"/>
              </w:rPr>
              <w:t xml:space="preserve"> 厨房油烟废气污染物排放量及排放浓度</w:t>
            </w:r>
          </w:p>
          <w:tbl>
            <w:tblPr>
              <w:tblStyle w:val="27"/>
              <w:tblW w:w="8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685"/>
              <w:gridCol w:w="1663"/>
              <w:gridCol w:w="1503"/>
              <w:gridCol w:w="1548"/>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09" w:type="dxa"/>
                  <w:noWrap w:val="0"/>
                  <w:vAlign w:val="center"/>
                </w:tcPr>
                <w:p>
                  <w:pPr>
                    <w:pStyle w:val="30"/>
                    <w:rPr>
                      <w:lang w:val="en-US" w:eastAsia="zh-CN"/>
                    </w:rPr>
                  </w:pPr>
                  <w:r>
                    <w:rPr>
                      <w:lang w:val="en-US" w:eastAsia="zh-CN"/>
                    </w:rPr>
                    <w:t>污染物</w:t>
                  </w:r>
                </w:p>
              </w:tc>
              <w:tc>
                <w:tcPr>
                  <w:tcW w:w="1685" w:type="dxa"/>
                  <w:noWrap w:val="0"/>
                  <w:vAlign w:val="center"/>
                </w:tcPr>
                <w:p>
                  <w:pPr>
                    <w:pStyle w:val="30"/>
                    <w:rPr>
                      <w:lang w:val="en-US" w:eastAsia="zh-CN"/>
                    </w:rPr>
                  </w:pPr>
                  <w:r>
                    <w:rPr>
                      <w:lang w:val="en-US" w:eastAsia="zh-CN"/>
                    </w:rPr>
                    <w:t>污染物产生量</w:t>
                  </w:r>
                </w:p>
              </w:tc>
              <w:tc>
                <w:tcPr>
                  <w:tcW w:w="1663" w:type="dxa"/>
                  <w:noWrap w:val="0"/>
                  <w:vAlign w:val="center"/>
                </w:tcPr>
                <w:p>
                  <w:pPr>
                    <w:pStyle w:val="30"/>
                    <w:rPr>
                      <w:lang w:val="en-US" w:eastAsia="zh-CN"/>
                    </w:rPr>
                  </w:pPr>
                  <w:r>
                    <w:rPr>
                      <w:lang w:val="en-US" w:eastAsia="zh-CN"/>
                    </w:rPr>
                    <w:t>污染物产生浓度</w:t>
                  </w:r>
                </w:p>
              </w:tc>
              <w:tc>
                <w:tcPr>
                  <w:tcW w:w="1503" w:type="dxa"/>
                  <w:noWrap w:val="0"/>
                  <w:vAlign w:val="center"/>
                </w:tcPr>
                <w:p>
                  <w:pPr>
                    <w:pStyle w:val="30"/>
                    <w:rPr>
                      <w:lang w:val="en-US" w:eastAsia="zh-CN"/>
                    </w:rPr>
                  </w:pPr>
                  <w:r>
                    <w:rPr>
                      <w:lang w:val="en-US" w:eastAsia="zh-CN"/>
                    </w:rPr>
                    <w:t>污染物排放量</w:t>
                  </w:r>
                </w:p>
              </w:tc>
              <w:tc>
                <w:tcPr>
                  <w:tcW w:w="1548" w:type="dxa"/>
                  <w:noWrap w:val="0"/>
                  <w:vAlign w:val="center"/>
                </w:tcPr>
                <w:p>
                  <w:pPr>
                    <w:pStyle w:val="30"/>
                    <w:rPr>
                      <w:lang w:val="en-US" w:eastAsia="zh-CN"/>
                    </w:rPr>
                  </w:pPr>
                  <w:r>
                    <w:rPr>
                      <w:lang w:val="en-US" w:eastAsia="zh-CN"/>
                    </w:rPr>
                    <w:t>染物排放浓度</w:t>
                  </w:r>
                </w:p>
              </w:tc>
              <w:tc>
                <w:tcPr>
                  <w:tcW w:w="1077" w:type="dxa"/>
                  <w:noWrap w:val="0"/>
                  <w:vAlign w:val="center"/>
                </w:tcPr>
                <w:p>
                  <w:pPr>
                    <w:pStyle w:val="30"/>
                    <w:rPr>
                      <w:lang w:val="en-US" w:eastAsia="zh-CN"/>
                    </w:rPr>
                  </w:pPr>
                  <w:r>
                    <w:rPr>
                      <w:lang w:val="en-US" w:eastAsia="zh-CN"/>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09" w:type="dxa"/>
                  <w:noWrap w:val="0"/>
                  <w:vAlign w:val="center"/>
                </w:tcPr>
                <w:p>
                  <w:pPr>
                    <w:pStyle w:val="30"/>
                    <w:rPr>
                      <w:lang w:val="en-US" w:eastAsia="zh-CN"/>
                    </w:rPr>
                  </w:pPr>
                  <w:r>
                    <w:rPr>
                      <w:lang w:val="en-US" w:eastAsia="zh-CN"/>
                    </w:rPr>
                    <w:t>油烟</w:t>
                  </w:r>
                </w:p>
              </w:tc>
              <w:tc>
                <w:tcPr>
                  <w:tcW w:w="1685" w:type="dxa"/>
                  <w:noWrap w:val="0"/>
                  <w:vAlign w:val="center"/>
                </w:tcPr>
                <w:p>
                  <w:pPr>
                    <w:pStyle w:val="30"/>
                    <w:rPr>
                      <w:lang w:val="en-US" w:eastAsia="zh-CN"/>
                    </w:rPr>
                  </w:pPr>
                  <w:r>
                    <w:rPr>
                      <w:rFonts w:hint="eastAsia"/>
                      <w:lang w:val="en-US" w:eastAsia="zh-CN"/>
                    </w:rPr>
                    <w:t>0.155</w:t>
                  </w:r>
                  <w:r>
                    <w:rPr>
                      <w:lang w:val="en-US" w:eastAsia="zh-CN"/>
                    </w:rPr>
                    <w:t>t/a</w:t>
                  </w:r>
                </w:p>
              </w:tc>
              <w:tc>
                <w:tcPr>
                  <w:tcW w:w="1663" w:type="dxa"/>
                  <w:noWrap w:val="0"/>
                  <w:vAlign w:val="center"/>
                </w:tcPr>
                <w:p>
                  <w:pPr>
                    <w:pStyle w:val="30"/>
                    <w:rPr>
                      <w:lang w:val="en-US" w:eastAsia="zh-CN"/>
                    </w:rPr>
                  </w:pPr>
                  <w:r>
                    <w:rPr>
                      <w:rFonts w:hint="eastAsia"/>
                      <w:lang w:val="en-US" w:eastAsia="zh-CN"/>
                    </w:rPr>
                    <w:t>5.31</w:t>
                  </w:r>
                  <w:r>
                    <w:rPr>
                      <w:lang w:val="en-US" w:eastAsia="zh-CN"/>
                    </w:rPr>
                    <w:t>mg/m³</w:t>
                  </w:r>
                </w:p>
              </w:tc>
              <w:tc>
                <w:tcPr>
                  <w:tcW w:w="1503" w:type="dxa"/>
                  <w:noWrap w:val="0"/>
                  <w:vAlign w:val="center"/>
                </w:tcPr>
                <w:p>
                  <w:pPr>
                    <w:pStyle w:val="30"/>
                    <w:rPr>
                      <w:lang w:val="en-US" w:eastAsia="zh-CN"/>
                    </w:rPr>
                  </w:pPr>
                  <w:r>
                    <w:rPr>
                      <w:rFonts w:hint="eastAsia"/>
                      <w:lang w:val="en-US" w:eastAsia="zh-CN"/>
                    </w:rPr>
                    <w:t>0.023</w:t>
                  </w:r>
                  <w:r>
                    <w:rPr>
                      <w:lang w:val="en-US" w:eastAsia="zh-CN"/>
                    </w:rPr>
                    <w:t>t/a</w:t>
                  </w:r>
                </w:p>
              </w:tc>
              <w:tc>
                <w:tcPr>
                  <w:tcW w:w="1548" w:type="dxa"/>
                  <w:noWrap w:val="0"/>
                  <w:vAlign w:val="center"/>
                </w:tcPr>
                <w:p>
                  <w:pPr>
                    <w:pStyle w:val="30"/>
                    <w:rPr>
                      <w:lang w:val="en-US" w:eastAsia="zh-CN"/>
                    </w:rPr>
                  </w:pPr>
                  <w:r>
                    <w:rPr>
                      <w:rFonts w:hint="eastAsia"/>
                      <w:lang w:val="en-US" w:eastAsia="zh-CN"/>
                    </w:rPr>
                    <w:t>0.8</w:t>
                  </w:r>
                  <w:r>
                    <w:rPr>
                      <w:lang w:val="en-US" w:eastAsia="zh-CN"/>
                    </w:rPr>
                    <w:t>mg/m³</w:t>
                  </w:r>
                </w:p>
              </w:tc>
              <w:tc>
                <w:tcPr>
                  <w:tcW w:w="1077" w:type="dxa"/>
                  <w:noWrap w:val="0"/>
                  <w:vAlign w:val="center"/>
                </w:tcPr>
                <w:p>
                  <w:pPr>
                    <w:pStyle w:val="30"/>
                    <w:rPr>
                      <w:lang w:val="en-US" w:eastAsia="zh-CN"/>
                    </w:rPr>
                  </w:pPr>
                  <w:r>
                    <w:rPr>
                      <w:lang w:val="en-US" w:eastAsia="zh-CN"/>
                    </w:rPr>
                    <w:t>2mg/m³</w:t>
                  </w:r>
                </w:p>
              </w:tc>
            </w:tr>
          </w:tbl>
          <w:p>
            <w:pPr>
              <w:pStyle w:val="12"/>
              <w:bidi w:val="0"/>
            </w:pPr>
            <w:r>
              <w:t>本项目采用高效油烟净化器对食堂油烟进行处理后由</w:t>
            </w:r>
            <w:r>
              <w:rPr>
                <w:rFonts w:hint="eastAsia"/>
                <w:lang w:val="en-US" w:eastAsia="zh-CN"/>
              </w:rPr>
              <w:t>15m高</w:t>
            </w:r>
            <w:r>
              <w:t>专用排烟管引至屋顶排放，净化效率为</w:t>
            </w:r>
            <w:r>
              <w:rPr>
                <w:rFonts w:hint="eastAsia"/>
              </w:rPr>
              <w:t>85</w:t>
            </w:r>
            <w:r>
              <w:t>%，排放量为</w:t>
            </w:r>
            <w:r>
              <w:rPr>
                <w:rFonts w:hint="eastAsia"/>
              </w:rPr>
              <w:t>0.0</w:t>
            </w:r>
            <w:r>
              <w:rPr>
                <w:rFonts w:hint="eastAsia"/>
                <w:lang w:val="en-US" w:eastAsia="zh-CN"/>
              </w:rPr>
              <w:t>23</w:t>
            </w:r>
            <w:r>
              <w:t>t</w:t>
            </w:r>
            <w:r>
              <w:rPr>
                <w:rFonts w:hint="eastAsia"/>
              </w:rPr>
              <w:t>/</w:t>
            </w:r>
            <w:r>
              <w:t>a，</w:t>
            </w:r>
            <w:r>
              <w:rPr>
                <w:rFonts w:hint="eastAsia"/>
              </w:rPr>
              <w:t>排放</w:t>
            </w:r>
            <w:r>
              <w:t>浓度为</w:t>
            </w:r>
            <w:r>
              <w:rPr>
                <w:rFonts w:hint="eastAsia"/>
              </w:rPr>
              <w:t>0.</w:t>
            </w:r>
            <w:r>
              <w:rPr>
                <w:rFonts w:hint="eastAsia"/>
                <w:lang w:val="en-US" w:eastAsia="zh-CN"/>
              </w:rPr>
              <w:t>8</w:t>
            </w:r>
            <w:r>
              <w:t>mg/m³</w:t>
            </w:r>
            <w:r>
              <w:rPr>
                <w:rFonts w:hint="eastAsia"/>
              </w:rPr>
              <w:t>，</w:t>
            </w:r>
            <w:r>
              <w:t>排放浓度小于2.0mg/m³，能够满足《饮食业油烟排放标准（试行）》（GB18483-2001）的相关标准（最高允许排放浓度≤2.0mg/m³；净化设施去除效率≥</w:t>
            </w:r>
            <w:r>
              <w:rPr>
                <w:rFonts w:hint="eastAsia"/>
                <w:lang w:val="en-US" w:eastAsia="zh-CN"/>
              </w:rPr>
              <w:t>85</w:t>
            </w:r>
            <w:r>
              <w:t>%）。对环境空气影响有限。</w:t>
            </w:r>
          </w:p>
          <w:p>
            <w:pPr>
              <w:pStyle w:val="12"/>
              <w:bidi w:val="0"/>
            </w:pPr>
            <w:r>
              <w:rPr>
                <w:rFonts w:hint="eastAsia"/>
              </w:rPr>
              <w:t>1.2废气产排情况</w:t>
            </w:r>
          </w:p>
          <w:p>
            <w:pPr>
              <w:pStyle w:val="29"/>
              <w:bidi w:val="0"/>
            </w:pPr>
            <w:r>
              <w:rPr>
                <w:rFonts w:hint="eastAsia"/>
                <w:lang w:val="en-US" w:eastAsia="zh-CN"/>
              </w:rPr>
              <w:t xml:space="preserve">表 </w:t>
            </w:r>
            <w:r>
              <w:rPr>
                <w:rFonts w:hint="default"/>
                <w:lang w:val="en-US" w:eastAsia="zh-CN"/>
              </w:rPr>
              <w:t>4</w:t>
            </w:r>
            <w:r>
              <w:rPr>
                <w:rFonts w:hint="eastAsia"/>
                <w:lang w:val="en-US" w:eastAsia="zh-CN"/>
              </w:rPr>
              <w:t>.1</w:t>
            </w:r>
            <w:r>
              <w:rPr>
                <w:rFonts w:hint="default"/>
                <w:lang w:val="en-US" w:eastAsia="zh-CN"/>
              </w:rPr>
              <w:t>-</w:t>
            </w:r>
            <w:r>
              <w:rPr>
                <w:rFonts w:hint="eastAsia"/>
                <w:lang w:val="en-US" w:eastAsia="zh-CN"/>
              </w:rPr>
              <w:t>2</w:t>
            </w:r>
            <w:r>
              <w:rPr>
                <w:rFonts w:hint="default"/>
                <w:lang w:val="en-US" w:eastAsia="zh-CN"/>
              </w:rPr>
              <w:t xml:space="preserve"> </w:t>
            </w:r>
            <w:r>
              <w:rPr>
                <w:rFonts w:hint="eastAsia"/>
                <w:lang w:val="en-US" w:eastAsia="zh-CN"/>
              </w:rPr>
              <w:t>项目大气污染物排放量</w:t>
            </w:r>
          </w:p>
          <w:tbl>
            <w:tblPr>
              <w:tblStyle w:val="27"/>
              <w:tblW w:w="86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92"/>
              <w:gridCol w:w="805"/>
              <w:gridCol w:w="643"/>
              <w:gridCol w:w="629"/>
              <w:gridCol w:w="624"/>
              <w:gridCol w:w="1069"/>
              <w:gridCol w:w="629"/>
              <w:gridCol w:w="662"/>
              <w:gridCol w:w="700"/>
              <w:gridCol w:w="1904"/>
              <w:gridCol w:w="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92" w:type="dxa"/>
                  <w:noWrap w:val="0"/>
                  <w:vAlign w:val="center"/>
                </w:tcPr>
                <w:p>
                  <w:pPr>
                    <w:pStyle w:val="30"/>
                    <w:bidi w:val="0"/>
                    <w:rPr>
                      <w:rFonts w:hint="eastAsia"/>
                      <w:lang w:eastAsia="zh-CN"/>
                    </w:rPr>
                  </w:pPr>
                  <w:r>
                    <w:rPr>
                      <w:rFonts w:hint="eastAsia"/>
                      <w:lang w:eastAsia="zh-CN"/>
                    </w:rPr>
                    <w:t>项目</w:t>
                  </w:r>
                </w:p>
              </w:tc>
              <w:tc>
                <w:tcPr>
                  <w:tcW w:w="8183" w:type="dxa"/>
                  <w:gridSpan w:val="10"/>
                  <w:noWrap w:val="0"/>
                  <w:vAlign w:val="center"/>
                </w:tcPr>
                <w:p>
                  <w:pPr>
                    <w:pStyle w:val="30"/>
                    <w:bidi w:val="0"/>
                    <w:rPr>
                      <w:rFonts w:hint="eastAsia"/>
                    </w:rPr>
                  </w:pPr>
                  <w:r>
                    <w:rPr>
                      <w:rFonts w:hint="eastAsia"/>
                    </w:rPr>
                    <w:t>有组织排放情况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92" w:type="dxa"/>
                  <w:vMerge w:val="restart"/>
                  <w:noWrap w:val="0"/>
                  <w:vAlign w:val="center"/>
                </w:tcPr>
                <w:p>
                  <w:pPr>
                    <w:pStyle w:val="30"/>
                    <w:bidi w:val="0"/>
                    <w:rPr>
                      <w:rFonts w:hint="eastAsia"/>
                      <w:lang w:eastAsia="zh-CN"/>
                    </w:rPr>
                  </w:pPr>
                  <w:r>
                    <w:rPr>
                      <w:rFonts w:hint="eastAsia"/>
                      <w:lang w:eastAsia="zh-CN"/>
                    </w:rPr>
                    <w:t>废气</w:t>
                  </w:r>
                </w:p>
              </w:tc>
              <w:tc>
                <w:tcPr>
                  <w:tcW w:w="805" w:type="dxa"/>
                  <w:vMerge w:val="restart"/>
                  <w:noWrap w:val="0"/>
                  <w:vAlign w:val="center"/>
                </w:tcPr>
                <w:p>
                  <w:pPr>
                    <w:pStyle w:val="30"/>
                    <w:bidi w:val="0"/>
                  </w:pPr>
                </w:p>
                <w:p>
                  <w:pPr>
                    <w:pStyle w:val="30"/>
                    <w:bidi w:val="0"/>
                    <w:rPr>
                      <w:rFonts w:hint="eastAsia"/>
                    </w:rPr>
                  </w:pPr>
                  <w:r>
                    <w:rPr>
                      <w:rFonts w:hint="eastAsia"/>
                    </w:rPr>
                    <w:t>污染物名称</w:t>
                  </w:r>
                </w:p>
              </w:tc>
              <w:tc>
                <w:tcPr>
                  <w:tcW w:w="1896" w:type="dxa"/>
                  <w:gridSpan w:val="3"/>
                  <w:noWrap w:val="0"/>
                  <w:vAlign w:val="center"/>
                </w:tcPr>
                <w:p>
                  <w:pPr>
                    <w:pStyle w:val="30"/>
                    <w:bidi w:val="0"/>
                    <w:rPr>
                      <w:rFonts w:hint="eastAsia"/>
                    </w:rPr>
                  </w:pPr>
                  <w:r>
                    <w:rPr>
                      <w:rFonts w:hint="eastAsia"/>
                    </w:rPr>
                    <w:t>产生情况</w:t>
                  </w:r>
                </w:p>
              </w:tc>
              <w:tc>
                <w:tcPr>
                  <w:tcW w:w="1069" w:type="dxa"/>
                  <w:vMerge w:val="restart"/>
                  <w:noWrap w:val="0"/>
                  <w:vAlign w:val="center"/>
                </w:tcPr>
                <w:p>
                  <w:pPr>
                    <w:pStyle w:val="30"/>
                    <w:bidi w:val="0"/>
                  </w:pPr>
                </w:p>
                <w:p>
                  <w:pPr>
                    <w:pStyle w:val="30"/>
                    <w:bidi w:val="0"/>
                    <w:rPr>
                      <w:rFonts w:hint="eastAsia"/>
                    </w:rPr>
                  </w:pPr>
                  <w:r>
                    <w:rPr>
                      <w:rFonts w:hint="eastAsia"/>
                      <w:lang w:val="en-US" w:eastAsia="zh-CN"/>
                    </w:rPr>
                    <w:t>治理措施</w:t>
                  </w:r>
                </w:p>
              </w:tc>
              <w:tc>
                <w:tcPr>
                  <w:tcW w:w="1991" w:type="dxa"/>
                  <w:gridSpan w:val="3"/>
                  <w:noWrap w:val="0"/>
                  <w:vAlign w:val="center"/>
                </w:tcPr>
                <w:p>
                  <w:pPr>
                    <w:pStyle w:val="30"/>
                    <w:bidi w:val="0"/>
                    <w:rPr>
                      <w:rFonts w:hint="eastAsia"/>
                    </w:rPr>
                  </w:pPr>
                  <w:r>
                    <w:rPr>
                      <w:rFonts w:hint="eastAsia"/>
                    </w:rPr>
                    <w:t>排放情况</w:t>
                  </w:r>
                </w:p>
              </w:tc>
              <w:tc>
                <w:tcPr>
                  <w:tcW w:w="1904" w:type="dxa"/>
                  <w:vMerge w:val="restart"/>
                  <w:noWrap w:val="0"/>
                  <w:vAlign w:val="center"/>
                </w:tcPr>
                <w:p>
                  <w:pPr>
                    <w:pStyle w:val="30"/>
                    <w:bidi w:val="0"/>
                    <w:rPr>
                      <w:rFonts w:hint="eastAsia"/>
                    </w:rPr>
                  </w:pPr>
                  <w:r>
                    <w:rPr>
                      <w:rFonts w:hint="eastAsia"/>
                      <w:lang w:val="en-US" w:eastAsia="zh-CN"/>
                    </w:rPr>
                    <w:t>排放执行标准</w:t>
                  </w:r>
                </w:p>
              </w:tc>
              <w:tc>
                <w:tcPr>
                  <w:tcW w:w="518" w:type="dxa"/>
                  <w:vMerge w:val="restart"/>
                  <w:noWrap w:val="0"/>
                  <w:vAlign w:val="center"/>
                </w:tcPr>
                <w:p>
                  <w:pPr>
                    <w:pStyle w:val="30"/>
                    <w:bidi w:val="0"/>
                    <w:rPr>
                      <w:rFonts w:hint="eastAsia"/>
                    </w:rPr>
                  </w:pPr>
                  <w:r>
                    <w:rPr>
                      <w:rFonts w:hint="eastAsia"/>
                      <w:lang w:val="en-US" w:eastAsia="zh-CN"/>
                    </w:rPr>
                    <w:t>是否为可行技术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92" w:type="dxa"/>
                  <w:vMerge w:val="continue"/>
                  <w:noWrap w:val="0"/>
                  <w:vAlign w:val="center"/>
                </w:tcPr>
                <w:p>
                  <w:pPr>
                    <w:pStyle w:val="30"/>
                    <w:bidi w:val="0"/>
                  </w:pPr>
                </w:p>
              </w:tc>
              <w:tc>
                <w:tcPr>
                  <w:tcW w:w="805" w:type="dxa"/>
                  <w:vMerge w:val="continue"/>
                  <w:noWrap w:val="0"/>
                  <w:vAlign w:val="center"/>
                </w:tcPr>
                <w:p>
                  <w:pPr>
                    <w:pStyle w:val="30"/>
                    <w:bidi w:val="0"/>
                  </w:pPr>
                </w:p>
              </w:tc>
              <w:tc>
                <w:tcPr>
                  <w:tcW w:w="643" w:type="dxa"/>
                  <w:noWrap w:val="0"/>
                  <w:vAlign w:val="center"/>
                </w:tcPr>
                <w:p>
                  <w:pPr>
                    <w:pStyle w:val="30"/>
                    <w:bidi w:val="0"/>
                    <w:rPr>
                      <w:rFonts w:hint="eastAsia"/>
                    </w:rPr>
                  </w:pPr>
                  <w:r>
                    <w:rPr>
                      <w:rFonts w:hint="eastAsia"/>
                    </w:rPr>
                    <w:t>产生浓度</w:t>
                  </w:r>
                </w:p>
                <w:p>
                  <w:pPr>
                    <w:pStyle w:val="30"/>
                    <w:bidi w:val="0"/>
                  </w:pPr>
                  <w:r>
                    <w:t>mg/m</w:t>
                  </w:r>
                  <w:r>
                    <w:rPr>
                      <w:rFonts w:hint="default"/>
                    </w:rPr>
                    <w:t>³</w:t>
                  </w:r>
                </w:p>
              </w:tc>
              <w:tc>
                <w:tcPr>
                  <w:tcW w:w="629" w:type="dxa"/>
                  <w:noWrap w:val="0"/>
                  <w:vAlign w:val="center"/>
                </w:tcPr>
                <w:p>
                  <w:pPr>
                    <w:pStyle w:val="30"/>
                    <w:bidi w:val="0"/>
                  </w:pPr>
                  <w:r>
                    <w:rPr>
                      <w:rFonts w:hint="eastAsia"/>
                    </w:rPr>
                    <w:t>产生速率</w:t>
                  </w:r>
                  <w:r>
                    <w:t>kg/h</w:t>
                  </w:r>
                </w:p>
              </w:tc>
              <w:tc>
                <w:tcPr>
                  <w:tcW w:w="624" w:type="dxa"/>
                  <w:noWrap w:val="0"/>
                  <w:vAlign w:val="center"/>
                </w:tcPr>
                <w:p>
                  <w:pPr>
                    <w:pStyle w:val="30"/>
                    <w:bidi w:val="0"/>
                    <w:rPr>
                      <w:rFonts w:hint="eastAsia"/>
                    </w:rPr>
                  </w:pPr>
                  <w:r>
                    <w:rPr>
                      <w:rFonts w:hint="eastAsia"/>
                    </w:rPr>
                    <w:t>产生量</w:t>
                  </w:r>
                </w:p>
                <w:p>
                  <w:pPr>
                    <w:pStyle w:val="30"/>
                    <w:bidi w:val="0"/>
                  </w:pPr>
                  <w:r>
                    <w:t>t/a</w:t>
                  </w:r>
                </w:p>
              </w:tc>
              <w:tc>
                <w:tcPr>
                  <w:tcW w:w="1069" w:type="dxa"/>
                  <w:vMerge w:val="continue"/>
                  <w:noWrap w:val="0"/>
                  <w:vAlign w:val="center"/>
                </w:tcPr>
                <w:p>
                  <w:pPr>
                    <w:pStyle w:val="30"/>
                    <w:bidi w:val="0"/>
                  </w:pPr>
                </w:p>
              </w:tc>
              <w:tc>
                <w:tcPr>
                  <w:tcW w:w="629" w:type="dxa"/>
                  <w:noWrap w:val="0"/>
                  <w:vAlign w:val="center"/>
                </w:tcPr>
                <w:p>
                  <w:pPr>
                    <w:pStyle w:val="30"/>
                    <w:bidi w:val="0"/>
                    <w:rPr>
                      <w:rFonts w:hint="eastAsia"/>
                    </w:rPr>
                  </w:pPr>
                  <w:r>
                    <w:rPr>
                      <w:rFonts w:hint="eastAsia"/>
                    </w:rPr>
                    <w:t>排放浓度</w:t>
                  </w:r>
                </w:p>
                <w:p>
                  <w:pPr>
                    <w:pStyle w:val="30"/>
                    <w:bidi w:val="0"/>
                  </w:pPr>
                  <w:r>
                    <w:t>mg/m</w:t>
                  </w:r>
                  <w:r>
                    <w:rPr>
                      <w:rFonts w:hint="default"/>
                    </w:rPr>
                    <w:t>³</w:t>
                  </w:r>
                </w:p>
              </w:tc>
              <w:tc>
                <w:tcPr>
                  <w:tcW w:w="662" w:type="dxa"/>
                  <w:noWrap w:val="0"/>
                  <w:vAlign w:val="center"/>
                </w:tcPr>
                <w:p>
                  <w:pPr>
                    <w:pStyle w:val="30"/>
                    <w:bidi w:val="0"/>
                  </w:pPr>
                  <w:r>
                    <w:rPr>
                      <w:rFonts w:hint="eastAsia"/>
                    </w:rPr>
                    <w:t xml:space="preserve">排放速率 </w:t>
                  </w:r>
                  <w:r>
                    <w:t>kg/h</w:t>
                  </w:r>
                </w:p>
              </w:tc>
              <w:tc>
                <w:tcPr>
                  <w:tcW w:w="700" w:type="dxa"/>
                  <w:noWrap w:val="0"/>
                  <w:vAlign w:val="center"/>
                </w:tcPr>
                <w:p>
                  <w:pPr>
                    <w:pStyle w:val="30"/>
                    <w:bidi w:val="0"/>
                    <w:rPr>
                      <w:rFonts w:hint="eastAsia"/>
                    </w:rPr>
                  </w:pPr>
                  <w:r>
                    <w:rPr>
                      <w:rFonts w:hint="eastAsia"/>
                    </w:rPr>
                    <w:t>排放量</w:t>
                  </w:r>
                </w:p>
                <w:p>
                  <w:pPr>
                    <w:pStyle w:val="30"/>
                    <w:bidi w:val="0"/>
                  </w:pPr>
                  <w:r>
                    <w:t>t/a</w:t>
                  </w:r>
                </w:p>
              </w:tc>
              <w:tc>
                <w:tcPr>
                  <w:tcW w:w="1904" w:type="dxa"/>
                  <w:vMerge w:val="continue"/>
                  <w:noWrap w:val="0"/>
                  <w:vAlign w:val="center"/>
                </w:tcPr>
                <w:p>
                  <w:pPr>
                    <w:pStyle w:val="30"/>
                    <w:bidi w:val="0"/>
                  </w:pPr>
                </w:p>
              </w:tc>
              <w:tc>
                <w:tcPr>
                  <w:tcW w:w="518" w:type="dxa"/>
                  <w:vMerge w:val="continue"/>
                  <w:noWrap w:val="0"/>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5" w:hRule="atLeast"/>
                <w:jc w:val="center"/>
              </w:trPr>
              <w:tc>
                <w:tcPr>
                  <w:tcW w:w="492" w:type="dxa"/>
                  <w:vMerge w:val="continue"/>
                  <w:noWrap w:val="0"/>
                  <w:vAlign w:val="center"/>
                </w:tcPr>
                <w:p>
                  <w:pPr>
                    <w:pStyle w:val="30"/>
                    <w:bidi w:val="0"/>
                  </w:pPr>
                </w:p>
              </w:tc>
              <w:tc>
                <w:tcPr>
                  <w:tcW w:w="805" w:type="dxa"/>
                  <w:tcBorders>
                    <w:bottom w:val="single" w:color="000000" w:sz="6" w:space="0"/>
                  </w:tcBorders>
                  <w:noWrap w:val="0"/>
                  <w:vAlign w:val="center"/>
                </w:tcPr>
                <w:p>
                  <w:pPr>
                    <w:pStyle w:val="30"/>
                    <w:bidi w:val="0"/>
                    <w:rPr>
                      <w:rFonts w:hint="eastAsia"/>
                      <w:lang w:val="en-US" w:eastAsia="zh-CN"/>
                    </w:rPr>
                  </w:pPr>
                  <w:r>
                    <w:t>油烟</w:t>
                  </w:r>
                </w:p>
              </w:tc>
              <w:tc>
                <w:tcPr>
                  <w:tcW w:w="643" w:type="dxa"/>
                  <w:tcBorders>
                    <w:bottom w:val="single" w:color="000000" w:sz="6" w:space="0"/>
                  </w:tcBorders>
                  <w:noWrap w:val="0"/>
                  <w:vAlign w:val="center"/>
                </w:tcPr>
                <w:p>
                  <w:pPr>
                    <w:pStyle w:val="30"/>
                    <w:bidi w:val="0"/>
                    <w:rPr>
                      <w:rFonts w:hint="default"/>
                      <w:lang w:val="en-US" w:eastAsia="zh-CN"/>
                    </w:rPr>
                  </w:pPr>
                  <w:r>
                    <w:rPr>
                      <w:rFonts w:hint="eastAsia"/>
                      <w:lang w:val="en-US" w:eastAsia="zh-CN"/>
                    </w:rPr>
                    <w:t>5.31</w:t>
                  </w:r>
                </w:p>
              </w:tc>
              <w:tc>
                <w:tcPr>
                  <w:tcW w:w="629" w:type="dxa"/>
                  <w:tcBorders>
                    <w:bottom w:val="single" w:color="000000" w:sz="6" w:space="0"/>
                  </w:tcBorders>
                  <w:noWrap w:val="0"/>
                  <w:vAlign w:val="center"/>
                </w:tcPr>
                <w:p>
                  <w:pPr>
                    <w:pStyle w:val="30"/>
                    <w:bidi w:val="0"/>
                    <w:rPr>
                      <w:rFonts w:hint="default"/>
                      <w:lang w:val="en-US" w:eastAsia="zh-CN"/>
                    </w:rPr>
                  </w:pPr>
                  <w:r>
                    <w:rPr>
                      <w:rFonts w:hint="eastAsia"/>
                      <w:lang w:val="en-US" w:eastAsia="zh-CN"/>
                    </w:rPr>
                    <w:t>/</w:t>
                  </w:r>
                </w:p>
              </w:tc>
              <w:tc>
                <w:tcPr>
                  <w:tcW w:w="624" w:type="dxa"/>
                  <w:tcBorders>
                    <w:bottom w:val="single" w:color="000000" w:sz="6" w:space="0"/>
                  </w:tcBorders>
                  <w:noWrap w:val="0"/>
                  <w:vAlign w:val="center"/>
                </w:tcPr>
                <w:p>
                  <w:pPr>
                    <w:pStyle w:val="30"/>
                    <w:bidi w:val="0"/>
                    <w:rPr>
                      <w:rFonts w:hint="default"/>
                      <w:lang w:val="en-US" w:eastAsia="zh-CN"/>
                    </w:rPr>
                  </w:pPr>
                  <w:r>
                    <w:rPr>
                      <w:rFonts w:hint="eastAsia"/>
                      <w:lang w:val="en-US" w:eastAsia="zh-CN"/>
                    </w:rPr>
                    <w:t>0.155</w:t>
                  </w:r>
                </w:p>
              </w:tc>
              <w:tc>
                <w:tcPr>
                  <w:tcW w:w="1069" w:type="dxa"/>
                  <w:noWrap w:val="0"/>
                  <w:vAlign w:val="center"/>
                </w:tcPr>
                <w:p>
                  <w:pPr>
                    <w:pStyle w:val="30"/>
                    <w:bidi w:val="0"/>
                    <w:rPr>
                      <w:rFonts w:hint="default"/>
                      <w:lang w:val="en-US" w:eastAsia="zh-CN"/>
                    </w:rPr>
                  </w:pPr>
                  <w:r>
                    <w:t>油烟净化器</w:t>
                  </w:r>
                  <w:r>
                    <w:rPr>
                      <w:rFonts w:hint="eastAsia"/>
                      <w:lang w:val="en-US" w:eastAsia="zh-CN"/>
                    </w:rPr>
                    <w:t xml:space="preserve"> </w:t>
                  </w:r>
                </w:p>
              </w:tc>
              <w:tc>
                <w:tcPr>
                  <w:tcW w:w="629" w:type="dxa"/>
                  <w:tcBorders>
                    <w:bottom w:val="single" w:color="000000" w:sz="6" w:space="0"/>
                  </w:tcBorders>
                  <w:noWrap w:val="0"/>
                  <w:vAlign w:val="center"/>
                </w:tcPr>
                <w:p>
                  <w:pPr>
                    <w:pStyle w:val="30"/>
                    <w:bidi w:val="0"/>
                    <w:rPr>
                      <w:rFonts w:hint="default"/>
                      <w:lang w:val="en-US" w:eastAsia="zh-CN"/>
                    </w:rPr>
                  </w:pPr>
                  <w:r>
                    <w:rPr>
                      <w:rFonts w:hint="eastAsia"/>
                      <w:lang w:val="en-US" w:eastAsia="zh-CN"/>
                    </w:rPr>
                    <w:t>0.8</w:t>
                  </w:r>
                </w:p>
              </w:tc>
              <w:tc>
                <w:tcPr>
                  <w:tcW w:w="662" w:type="dxa"/>
                  <w:tcBorders>
                    <w:bottom w:val="single" w:color="000000" w:sz="6" w:space="0"/>
                  </w:tcBorders>
                  <w:noWrap w:val="0"/>
                  <w:vAlign w:val="center"/>
                </w:tcPr>
                <w:p>
                  <w:pPr>
                    <w:pStyle w:val="30"/>
                    <w:bidi w:val="0"/>
                    <w:rPr>
                      <w:rFonts w:hint="default"/>
                      <w:lang w:val="en-US" w:eastAsia="zh-CN"/>
                    </w:rPr>
                  </w:pPr>
                  <w:r>
                    <w:rPr>
                      <w:rFonts w:hint="eastAsia"/>
                      <w:lang w:val="en-US" w:eastAsia="zh-CN"/>
                    </w:rPr>
                    <w:t>/</w:t>
                  </w:r>
                </w:p>
              </w:tc>
              <w:tc>
                <w:tcPr>
                  <w:tcW w:w="700" w:type="dxa"/>
                  <w:tcBorders>
                    <w:bottom w:val="single" w:color="000000" w:sz="6" w:space="0"/>
                  </w:tcBorders>
                  <w:noWrap w:val="0"/>
                  <w:vAlign w:val="center"/>
                </w:tcPr>
                <w:p>
                  <w:pPr>
                    <w:pStyle w:val="30"/>
                    <w:bidi w:val="0"/>
                    <w:rPr>
                      <w:rFonts w:hint="default"/>
                      <w:lang w:val="en-US" w:eastAsia="zh-CN"/>
                    </w:rPr>
                  </w:pPr>
                  <w:r>
                    <w:rPr>
                      <w:rFonts w:hint="eastAsia"/>
                      <w:lang w:val="en-US" w:eastAsia="zh-CN"/>
                    </w:rPr>
                    <w:t>0.023</w:t>
                  </w:r>
                </w:p>
              </w:tc>
              <w:tc>
                <w:tcPr>
                  <w:tcW w:w="1904" w:type="dxa"/>
                  <w:noWrap w:val="0"/>
                  <w:vAlign w:val="center"/>
                </w:tcPr>
                <w:p>
                  <w:pPr>
                    <w:pStyle w:val="30"/>
                    <w:bidi w:val="0"/>
                  </w:pPr>
                  <w:r>
                    <w:t>《饮食业油烟排放标准（试行）》（GB18483-2001）</w:t>
                  </w:r>
                </w:p>
              </w:tc>
              <w:tc>
                <w:tcPr>
                  <w:tcW w:w="518" w:type="dxa"/>
                  <w:noWrap w:val="0"/>
                  <w:vAlign w:val="center"/>
                </w:tcPr>
                <w:p>
                  <w:pPr>
                    <w:pStyle w:val="30"/>
                    <w:bidi w:val="0"/>
                    <w:rPr>
                      <w:rFonts w:hint="eastAsia"/>
                      <w:lang w:eastAsia="zh-CN"/>
                    </w:rPr>
                  </w:pPr>
                  <w:r>
                    <w:rPr>
                      <w:rFonts w:hint="eastAsia"/>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92" w:type="dxa"/>
                  <w:vMerge w:val="continue"/>
                  <w:noWrap w:val="0"/>
                  <w:vAlign w:val="center"/>
                </w:tcPr>
                <w:p>
                  <w:pPr>
                    <w:pStyle w:val="30"/>
                    <w:bidi w:val="0"/>
                  </w:pPr>
                </w:p>
              </w:tc>
              <w:tc>
                <w:tcPr>
                  <w:tcW w:w="8183" w:type="dxa"/>
                  <w:gridSpan w:val="10"/>
                  <w:noWrap w:val="0"/>
                  <w:vAlign w:val="center"/>
                </w:tcPr>
                <w:p>
                  <w:pPr>
                    <w:pStyle w:val="30"/>
                    <w:bidi w:val="0"/>
                    <w:rPr>
                      <w:rFonts w:hint="eastAsia"/>
                    </w:rPr>
                  </w:pPr>
                  <w:r>
                    <w:rPr>
                      <w:rFonts w:hint="eastAsia"/>
                    </w:rPr>
                    <w:t>无组织排放情况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92" w:type="dxa"/>
                  <w:vMerge w:val="continue"/>
                  <w:noWrap w:val="0"/>
                  <w:vAlign w:val="center"/>
                </w:tcPr>
                <w:p>
                  <w:pPr>
                    <w:pStyle w:val="30"/>
                    <w:bidi w:val="0"/>
                  </w:pPr>
                </w:p>
              </w:tc>
              <w:tc>
                <w:tcPr>
                  <w:tcW w:w="805" w:type="dxa"/>
                  <w:vMerge w:val="restart"/>
                  <w:noWrap w:val="0"/>
                  <w:vAlign w:val="center"/>
                </w:tcPr>
                <w:p>
                  <w:pPr>
                    <w:pStyle w:val="30"/>
                    <w:bidi w:val="0"/>
                  </w:pPr>
                </w:p>
                <w:p>
                  <w:pPr>
                    <w:pStyle w:val="30"/>
                    <w:bidi w:val="0"/>
                    <w:rPr>
                      <w:rFonts w:hint="eastAsia"/>
                    </w:rPr>
                  </w:pPr>
                </w:p>
                <w:p>
                  <w:pPr>
                    <w:pStyle w:val="30"/>
                    <w:bidi w:val="0"/>
                    <w:rPr>
                      <w:rFonts w:hint="eastAsia"/>
                    </w:rPr>
                  </w:pPr>
                  <w:r>
                    <w:rPr>
                      <w:rFonts w:hint="eastAsia"/>
                    </w:rPr>
                    <w:t>污染物名称</w:t>
                  </w:r>
                </w:p>
              </w:tc>
              <w:tc>
                <w:tcPr>
                  <w:tcW w:w="1896" w:type="dxa"/>
                  <w:gridSpan w:val="3"/>
                  <w:noWrap w:val="0"/>
                  <w:vAlign w:val="center"/>
                </w:tcPr>
                <w:p>
                  <w:pPr>
                    <w:pStyle w:val="30"/>
                    <w:bidi w:val="0"/>
                    <w:rPr>
                      <w:rFonts w:hint="eastAsia"/>
                    </w:rPr>
                  </w:pPr>
                  <w:r>
                    <w:rPr>
                      <w:rFonts w:hint="eastAsia"/>
                    </w:rPr>
                    <w:t>产生情况</w:t>
                  </w:r>
                </w:p>
              </w:tc>
              <w:tc>
                <w:tcPr>
                  <w:tcW w:w="1069" w:type="dxa"/>
                  <w:vMerge w:val="restart"/>
                  <w:noWrap w:val="0"/>
                  <w:vAlign w:val="center"/>
                </w:tcPr>
                <w:p>
                  <w:pPr>
                    <w:pStyle w:val="30"/>
                    <w:bidi w:val="0"/>
                  </w:pPr>
                </w:p>
                <w:p>
                  <w:pPr>
                    <w:pStyle w:val="30"/>
                    <w:bidi w:val="0"/>
                    <w:rPr>
                      <w:rFonts w:hint="eastAsia"/>
                    </w:rPr>
                  </w:pPr>
                  <w:r>
                    <w:rPr>
                      <w:rFonts w:hint="eastAsia"/>
                      <w:lang w:val="en-US" w:eastAsia="zh-CN"/>
                    </w:rPr>
                    <w:t>治理措施</w:t>
                  </w:r>
                </w:p>
              </w:tc>
              <w:tc>
                <w:tcPr>
                  <w:tcW w:w="1991" w:type="dxa"/>
                  <w:gridSpan w:val="3"/>
                  <w:noWrap w:val="0"/>
                  <w:vAlign w:val="center"/>
                </w:tcPr>
                <w:p>
                  <w:pPr>
                    <w:pStyle w:val="30"/>
                    <w:bidi w:val="0"/>
                    <w:rPr>
                      <w:rFonts w:hint="eastAsia"/>
                    </w:rPr>
                  </w:pPr>
                  <w:r>
                    <w:rPr>
                      <w:rFonts w:hint="eastAsia"/>
                    </w:rPr>
                    <w:t>排放情况</w:t>
                  </w:r>
                </w:p>
              </w:tc>
              <w:tc>
                <w:tcPr>
                  <w:tcW w:w="1904" w:type="dxa"/>
                  <w:vMerge w:val="restart"/>
                  <w:noWrap w:val="0"/>
                  <w:vAlign w:val="center"/>
                </w:tcPr>
                <w:p>
                  <w:pPr>
                    <w:pStyle w:val="30"/>
                    <w:bidi w:val="0"/>
                    <w:rPr>
                      <w:rFonts w:hint="eastAsia"/>
                      <w:lang w:val="en-US" w:eastAsia="zh-CN"/>
                    </w:rPr>
                  </w:pPr>
                  <w:r>
                    <w:rPr>
                      <w:rFonts w:hint="eastAsia"/>
                      <w:lang w:val="en-US" w:eastAsia="zh-CN"/>
                    </w:rPr>
                    <w:t>排放执行标准</w:t>
                  </w:r>
                </w:p>
              </w:tc>
              <w:tc>
                <w:tcPr>
                  <w:tcW w:w="518" w:type="dxa"/>
                  <w:vMerge w:val="restart"/>
                  <w:noWrap w:val="0"/>
                  <w:vAlign w:val="center"/>
                </w:tcPr>
                <w:p>
                  <w:pPr>
                    <w:pStyle w:val="30"/>
                    <w:bidi w:val="0"/>
                    <w:rPr>
                      <w:rFonts w:hint="eastAsia"/>
                      <w:lang w:val="en-US" w:eastAsia="zh-CN"/>
                    </w:rPr>
                  </w:pPr>
                  <w:r>
                    <w:rPr>
                      <w:rFonts w:hint="eastAsia"/>
                      <w:lang w:val="en-US" w:eastAsia="zh-CN"/>
                    </w:rPr>
                    <w:t>是否为可行技术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92" w:type="dxa"/>
                  <w:vMerge w:val="continue"/>
                  <w:noWrap w:val="0"/>
                  <w:vAlign w:val="center"/>
                </w:tcPr>
                <w:p>
                  <w:pPr>
                    <w:pStyle w:val="30"/>
                    <w:bidi w:val="0"/>
                  </w:pPr>
                </w:p>
              </w:tc>
              <w:tc>
                <w:tcPr>
                  <w:tcW w:w="805" w:type="dxa"/>
                  <w:vMerge w:val="continue"/>
                  <w:noWrap w:val="0"/>
                  <w:vAlign w:val="center"/>
                </w:tcPr>
                <w:p>
                  <w:pPr>
                    <w:pStyle w:val="30"/>
                    <w:bidi w:val="0"/>
                  </w:pPr>
                </w:p>
              </w:tc>
              <w:tc>
                <w:tcPr>
                  <w:tcW w:w="643" w:type="dxa"/>
                  <w:noWrap w:val="0"/>
                  <w:vAlign w:val="center"/>
                </w:tcPr>
                <w:p>
                  <w:pPr>
                    <w:pStyle w:val="30"/>
                    <w:bidi w:val="0"/>
                    <w:rPr>
                      <w:rFonts w:hint="eastAsia"/>
                    </w:rPr>
                  </w:pPr>
                  <w:r>
                    <w:rPr>
                      <w:rFonts w:hint="eastAsia"/>
                    </w:rPr>
                    <w:t>产生量</w:t>
                  </w:r>
                </w:p>
                <w:p>
                  <w:pPr>
                    <w:pStyle w:val="30"/>
                    <w:bidi w:val="0"/>
                  </w:pPr>
                  <w:r>
                    <w:t>t/a</w:t>
                  </w:r>
                </w:p>
              </w:tc>
              <w:tc>
                <w:tcPr>
                  <w:tcW w:w="629" w:type="dxa"/>
                  <w:noWrap w:val="0"/>
                  <w:vAlign w:val="center"/>
                </w:tcPr>
                <w:p>
                  <w:pPr>
                    <w:pStyle w:val="30"/>
                    <w:bidi w:val="0"/>
                    <w:rPr>
                      <w:rFonts w:hint="eastAsia"/>
                    </w:rPr>
                  </w:pPr>
                  <w:r>
                    <w:rPr>
                      <w:rFonts w:hint="eastAsia"/>
                    </w:rPr>
                    <w:t>产生浓度</w:t>
                  </w:r>
                </w:p>
                <w:p>
                  <w:pPr>
                    <w:pStyle w:val="30"/>
                    <w:bidi w:val="0"/>
                  </w:pPr>
                  <w:r>
                    <w:t>mg/m</w:t>
                  </w:r>
                  <w:r>
                    <w:rPr>
                      <w:rFonts w:hint="default"/>
                    </w:rPr>
                    <w:t>³</w:t>
                  </w:r>
                </w:p>
              </w:tc>
              <w:tc>
                <w:tcPr>
                  <w:tcW w:w="624" w:type="dxa"/>
                  <w:noWrap w:val="0"/>
                  <w:vAlign w:val="center"/>
                </w:tcPr>
                <w:p>
                  <w:pPr>
                    <w:pStyle w:val="30"/>
                    <w:bidi w:val="0"/>
                  </w:pPr>
                  <w:r>
                    <w:rPr>
                      <w:rFonts w:hint="eastAsia"/>
                    </w:rPr>
                    <w:t>产生速率</w:t>
                  </w:r>
                  <w:r>
                    <w:t>kg/h</w:t>
                  </w:r>
                </w:p>
              </w:tc>
              <w:tc>
                <w:tcPr>
                  <w:tcW w:w="1069" w:type="dxa"/>
                  <w:vMerge w:val="continue"/>
                  <w:noWrap w:val="0"/>
                  <w:vAlign w:val="center"/>
                </w:tcPr>
                <w:p>
                  <w:pPr>
                    <w:pStyle w:val="30"/>
                    <w:bidi w:val="0"/>
                  </w:pPr>
                </w:p>
              </w:tc>
              <w:tc>
                <w:tcPr>
                  <w:tcW w:w="629" w:type="dxa"/>
                  <w:noWrap w:val="0"/>
                  <w:vAlign w:val="center"/>
                </w:tcPr>
                <w:p>
                  <w:pPr>
                    <w:pStyle w:val="30"/>
                    <w:bidi w:val="0"/>
                  </w:pPr>
                  <w:r>
                    <w:rPr>
                      <w:rFonts w:hint="eastAsia"/>
                    </w:rPr>
                    <w:t xml:space="preserve">排放量 </w:t>
                  </w:r>
                  <w:r>
                    <w:t>t/a</w:t>
                  </w:r>
                </w:p>
              </w:tc>
              <w:tc>
                <w:tcPr>
                  <w:tcW w:w="662" w:type="dxa"/>
                  <w:noWrap w:val="0"/>
                  <w:vAlign w:val="center"/>
                </w:tcPr>
                <w:p>
                  <w:pPr>
                    <w:pStyle w:val="30"/>
                    <w:bidi w:val="0"/>
                    <w:rPr>
                      <w:rFonts w:hint="eastAsia"/>
                    </w:rPr>
                  </w:pPr>
                  <w:r>
                    <w:rPr>
                      <w:rFonts w:hint="eastAsia"/>
                    </w:rPr>
                    <w:t>排放浓度</w:t>
                  </w:r>
                </w:p>
                <w:p>
                  <w:pPr>
                    <w:pStyle w:val="30"/>
                    <w:bidi w:val="0"/>
                  </w:pPr>
                  <w:r>
                    <w:t>mg/m</w:t>
                  </w:r>
                  <w:r>
                    <w:rPr>
                      <w:rFonts w:hint="default"/>
                    </w:rPr>
                    <w:t>³</w:t>
                  </w:r>
                </w:p>
              </w:tc>
              <w:tc>
                <w:tcPr>
                  <w:tcW w:w="700" w:type="dxa"/>
                  <w:noWrap w:val="0"/>
                  <w:vAlign w:val="center"/>
                </w:tcPr>
                <w:p>
                  <w:pPr>
                    <w:pStyle w:val="30"/>
                    <w:bidi w:val="0"/>
                    <w:rPr>
                      <w:rFonts w:hint="eastAsia"/>
                    </w:rPr>
                  </w:pPr>
                  <w:r>
                    <w:rPr>
                      <w:rFonts w:hint="eastAsia"/>
                    </w:rPr>
                    <w:t>排放速率</w:t>
                  </w:r>
                </w:p>
                <w:p>
                  <w:pPr>
                    <w:pStyle w:val="30"/>
                    <w:bidi w:val="0"/>
                  </w:pPr>
                  <w:r>
                    <w:t>kg/h</w:t>
                  </w:r>
                </w:p>
              </w:tc>
              <w:tc>
                <w:tcPr>
                  <w:tcW w:w="1904" w:type="dxa"/>
                  <w:vMerge w:val="continue"/>
                  <w:noWrap w:val="0"/>
                  <w:vAlign w:val="center"/>
                </w:tcPr>
                <w:p>
                  <w:pPr>
                    <w:pStyle w:val="30"/>
                    <w:bidi w:val="0"/>
                  </w:pPr>
                </w:p>
              </w:tc>
              <w:tc>
                <w:tcPr>
                  <w:tcW w:w="518" w:type="dxa"/>
                  <w:vMerge w:val="continue"/>
                  <w:noWrap w:val="0"/>
                  <w:vAlign w:val="center"/>
                </w:tcPr>
                <w:p>
                  <w:pPr>
                    <w:pStyle w:val="30"/>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92" w:type="dxa"/>
                  <w:vMerge w:val="continue"/>
                  <w:noWrap w:val="0"/>
                  <w:vAlign w:val="center"/>
                </w:tcPr>
                <w:p>
                  <w:pPr>
                    <w:pStyle w:val="30"/>
                    <w:bidi w:val="0"/>
                  </w:pPr>
                </w:p>
              </w:tc>
              <w:tc>
                <w:tcPr>
                  <w:tcW w:w="805" w:type="dxa"/>
                  <w:noWrap w:val="0"/>
                  <w:vAlign w:val="center"/>
                </w:tcPr>
                <w:p>
                  <w:pPr>
                    <w:pStyle w:val="30"/>
                    <w:bidi w:val="0"/>
                    <w:rPr>
                      <w:rFonts w:hint="eastAsia"/>
                      <w:lang w:val="en-US" w:eastAsia="zh-CN"/>
                    </w:rPr>
                  </w:pPr>
                  <w:r>
                    <w:rPr>
                      <w:rFonts w:hint="eastAsia"/>
                      <w:lang w:val="en-US" w:eastAsia="zh-CN"/>
                    </w:rPr>
                    <w:t>NH</w:t>
                  </w:r>
                  <w:r>
                    <w:rPr>
                      <w:rFonts w:hint="eastAsia"/>
                      <w:vertAlign w:val="subscript"/>
                      <w:lang w:val="en-US" w:eastAsia="zh-CN"/>
                    </w:rPr>
                    <w:t>3</w:t>
                  </w:r>
                </w:p>
              </w:tc>
              <w:tc>
                <w:tcPr>
                  <w:tcW w:w="643" w:type="dxa"/>
                  <w:noWrap w:val="0"/>
                  <w:vAlign w:val="center"/>
                </w:tcPr>
                <w:p>
                  <w:pPr>
                    <w:pStyle w:val="30"/>
                    <w:bidi w:val="0"/>
                    <w:rPr>
                      <w:rFonts w:hint="default"/>
                      <w:lang w:val="en-US" w:eastAsia="zh-CN"/>
                    </w:rPr>
                  </w:pPr>
                  <w:r>
                    <w:rPr>
                      <w:rFonts w:hint="eastAsia"/>
                      <w:lang w:val="en-US" w:eastAsia="zh-CN"/>
                    </w:rPr>
                    <w:t>0.021</w:t>
                  </w:r>
                </w:p>
              </w:tc>
              <w:tc>
                <w:tcPr>
                  <w:tcW w:w="629" w:type="dxa"/>
                  <w:noWrap w:val="0"/>
                  <w:vAlign w:val="center"/>
                </w:tcPr>
                <w:p>
                  <w:pPr>
                    <w:pStyle w:val="30"/>
                    <w:bidi w:val="0"/>
                  </w:pPr>
                  <w:r>
                    <w:t>/</w:t>
                  </w:r>
                </w:p>
              </w:tc>
              <w:tc>
                <w:tcPr>
                  <w:tcW w:w="624" w:type="dxa"/>
                  <w:noWrap w:val="0"/>
                  <w:vAlign w:val="center"/>
                </w:tcPr>
                <w:p>
                  <w:pPr>
                    <w:pStyle w:val="30"/>
                    <w:bidi w:val="0"/>
                    <w:rPr>
                      <w:rFonts w:hint="default"/>
                      <w:lang w:val="en-US" w:eastAsia="zh-CN"/>
                    </w:rPr>
                  </w:pPr>
                  <w:r>
                    <w:rPr>
                      <w:rFonts w:hint="eastAsia"/>
                      <w:lang w:val="en-US" w:eastAsia="zh-CN"/>
                    </w:rPr>
                    <w:t>0.009</w:t>
                  </w:r>
                </w:p>
              </w:tc>
              <w:tc>
                <w:tcPr>
                  <w:tcW w:w="1069" w:type="dxa"/>
                  <w:vMerge w:val="restart"/>
                  <w:noWrap w:val="0"/>
                  <w:vAlign w:val="center"/>
                </w:tcPr>
                <w:p>
                  <w:pPr>
                    <w:pStyle w:val="30"/>
                    <w:bidi w:val="0"/>
                    <w:rPr>
                      <w:rFonts w:hint="eastAsia"/>
                      <w:lang w:val="en-US" w:eastAsia="zh-CN"/>
                    </w:rPr>
                  </w:pPr>
                  <w:r>
                    <w:rPr>
                      <w:rFonts w:hint="eastAsia"/>
                      <w:lang w:val="en-US" w:eastAsia="zh-CN"/>
                    </w:rPr>
                    <w:t>污水处理站密闭</w:t>
                  </w:r>
                  <w:r>
                    <w:rPr>
                      <w:rFonts w:hint="default"/>
                      <w:lang w:val="en-US" w:eastAsia="zh-CN"/>
                    </w:rPr>
                    <w:t>+</w:t>
                  </w:r>
                  <w:r>
                    <w:rPr>
                      <w:rFonts w:hint="eastAsia"/>
                      <w:lang w:val="en-US" w:eastAsia="zh-CN"/>
                    </w:rPr>
                    <w:t>除臭等</w:t>
                  </w:r>
                </w:p>
              </w:tc>
              <w:tc>
                <w:tcPr>
                  <w:tcW w:w="629" w:type="dxa"/>
                  <w:shd w:val="clear" w:color="auto" w:fill="auto"/>
                  <w:noWrap w:val="0"/>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0.021</w:t>
                  </w:r>
                </w:p>
              </w:tc>
              <w:tc>
                <w:tcPr>
                  <w:tcW w:w="662" w:type="dxa"/>
                  <w:shd w:val="clear" w:color="auto" w:fill="auto"/>
                  <w:noWrap w:val="0"/>
                  <w:vAlign w:val="center"/>
                </w:tcPr>
                <w:p>
                  <w:pPr>
                    <w:pStyle w:val="30"/>
                    <w:bidi w:val="0"/>
                    <w:rPr>
                      <w:rFonts w:ascii="Times New Roman" w:hAnsi="Times New Roman" w:eastAsia="宋体" w:cstheme="minorBidi"/>
                      <w:snapToGrid w:val="0"/>
                      <w:spacing w:val="6"/>
                      <w:kern w:val="2"/>
                      <w:sz w:val="21"/>
                      <w:szCs w:val="21"/>
                      <w:lang w:val="en-US" w:eastAsia="zh-CN" w:bidi="ar-SA"/>
                    </w:rPr>
                  </w:pPr>
                  <w:r>
                    <w:t>/</w:t>
                  </w:r>
                </w:p>
              </w:tc>
              <w:tc>
                <w:tcPr>
                  <w:tcW w:w="700" w:type="dxa"/>
                  <w:shd w:val="clear" w:color="auto" w:fill="auto"/>
                  <w:noWrap w:val="0"/>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0.009</w:t>
                  </w:r>
                </w:p>
              </w:tc>
              <w:tc>
                <w:tcPr>
                  <w:tcW w:w="1904" w:type="dxa"/>
                  <w:vMerge w:val="restart"/>
                  <w:noWrap w:val="0"/>
                  <w:vAlign w:val="center"/>
                </w:tcPr>
                <w:p>
                  <w:pPr>
                    <w:pStyle w:val="30"/>
                    <w:bidi w:val="0"/>
                  </w:pPr>
                  <w:r>
                    <w:rPr>
                      <w:rFonts w:hint="eastAsia"/>
                      <w:lang w:val="en-US" w:eastAsia="zh-CN"/>
                    </w:rPr>
                    <w:t>《医疗机构水污染物排放标准》（</w:t>
                  </w:r>
                  <w:r>
                    <w:rPr>
                      <w:rFonts w:hint="default"/>
                      <w:lang w:val="en-US" w:eastAsia="zh-CN"/>
                    </w:rPr>
                    <w:t>GB18466-2005</w:t>
                  </w:r>
                </w:p>
                <w:p>
                  <w:pPr>
                    <w:pStyle w:val="30"/>
                    <w:bidi w:val="0"/>
                    <w:rPr>
                      <w:rFonts w:hint="eastAsia"/>
                      <w:lang w:val="en-US" w:eastAsia="zh-CN"/>
                    </w:rPr>
                  </w:pPr>
                  <w:r>
                    <w:rPr>
                      <w:rFonts w:hint="eastAsia"/>
                      <w:lang w:val="en-US" w:eastAsia="zh-CN"/>
                    </w:rPr>
                    <w:t>）中污水处理站周边大气污染物控制标准</w:t>
                  </w:r>
                </w:p>
              </w:tc>
              <w:tc>
                <w:tcPr>
                  <w:tcW w:w="518" w:type="dxa"/>
                  <w:vMerge w:val="restart"/>
                  <w:noWrap w:val="0"/>
                  <w:vAlign w:val="center"/>
                </w:tcPr>
                <w:p>
                  <w:pPr>
                    <w:pStyle w:val="30"/>
                    <w:bidi w:val="0"/>
                    <w:rPr>
                      <w:rFonts w:hint="eastAsia"/>
                      <w:lang w:eastAsia="zh-CN"/>
                    </w:rPr>
                  </w:pPr>
                  <w:r>
                    <w:rPr>
                      <w:rFonts w:hint="eastAsia"/>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92" w:type="dxa"/>
                  <w:vMerge w:val="continue"/>
                  <w:noWrap w:val="0"/>
                  <w:vAlign w:val="center"/>
                </w:tcPr>
                <w:p>
                  <w:pPr>
                    <w:pStyle w:val="30"/>
                    <w:bidi w:val="0"/>
                  </w:pPr>
                </w:p>
              </w:tc>
              <w:tc>
                <w:tcPr>
                  <w:tcW w:w="805" w:type="dxa"/>
                  <w:noWrap w:val="0"/>
                  <w:vAlign w:val="center"/>
                </w:tcPr>
                <w:p>
                  <w:pPr>
                    <w:pStyle w:val="30"/>
                    <w:bidi w:val="0"/>
                    <w:rPr>
                      <w:rFonts w:hint="eastAsia"/>
                      <w:lang w:val="en-US" w:eastAsia="zh-CN"/>
                    </w:rPr>
                  </w:pPr>
                  <w:r>
                    <w:rPr>
                      <w:rFonts w:hint="eastAsia"/>
                      <w:lang w:val="en-US" w:eastAsia="zh-CN"/>
                    </w:rPr>
                    <w:t>H</w:t>
                  </w:r>
                  <w:r>
                    <w:rPr>
                      <w:rFonts w:hint="eastAsia"/>
                      <w:vertAlign w:val="subscript"/>
                      <w:lang w:val="en-US" w:eastAsia="zh-CN"/>
                    </w:rPr>
                    <w:t>2</w:t>
                  </w:r>
                  <w:r>
                    <w:rPr>
                      <w:rFonts w:hint="eastAsia"/>
                      <w:lang w:val="en-US" w:eastAsia="zh-CN"/>
                    </w:rPr>
                    <w:t>S</w:t>
                  </w:r>
                </w:p>
              </w:tc>
              <w:tc>
                <w:tcPr>
                  <w:tcW w:w="643" w:type="dxa"/>
                  <w:noWrap w:val="0"/>
                  <w:vAlign w:val="center"/>
                </w:tcPr>
                <w:p>
                  <w:pPr>
                    <w:pStyle w:val="30"/>
                    <w:bidi w:val="0"/>
                    <w:rPr>
                      <w:rFonts w:hint="default"/>
                      <w:lang w:val="en-US" w:eastAsia="zh-CN"/>
                    </w:rPr>
                  </w:pPr>
                  <w:r>
                    <w:rPr>
                      <w:rFonts w:hint="eastAsia"/>
                      <w:lang w:val="en-US" w:eastAsia="zh-CN"/>
                    </w:rPr>
                    <w:t>0.0008</w:t>
                  </w:r>
                </w:p>
              </w:tc>
              <w:tc>
                <w:tcPr>
                  <w:tcW w:w="629" w:type="dxa"/>
                  <w:noWrap w:val="0"/>
                  <w:vAlign w:val="center"/>
                </w:tcPr>
                <w:p>
                  <w:pPr>
                    <w:pStyle w:val="30"/>
                    <w:bidi w:val="0"/>
                  </w:pPr>
                  <w:r>
                    <w:t>/</w:t>
                  </w:r>
                </w:p>
              </w:tc>
              <w:tc>
                <w:tcPr>
                  <w:tcW w:w="624" w:type="dxa"/>
                  <w:noWrap w:val="0"/>
                  <w:vAlign w:val="center"/>
                </w:tcPr>
                <w:p>
                  <w:pPr>
                    <w:pStyle w:val="30"/>
                    <w:bidi w:val="0"/>
                    <w:rPr>
                      <w:rFonts w:hint="default"/>
                      <w:lang w:val="en-US" w:eastAsia="zh-CN"/>
                    </w:rPr>
                  </w:pPr>
                  <w:r>
                    <w:rPr>
                      <w:rFonts w:hint="eastAsia"/>
                      <w:lang w:val="en-US" w:eastAsia="zh-CN"/>
                    </w:rPr>
                    <w:t>0.0003</w:t>
                  </w:r>
                </w:p>
              </w:tc>
              <w:tc>
                <w:tcPr>
                  <w:tcW w:w="1069" w:type="dxa"/>
                  <w:vMerge w:val="continue"/>
                  <w:noWrap w:val="0"/>
                  <w:vAlign w:val="center"/>
                </w:tcPr>
                <w:p>
                  <w:pPr>
                    <w:pStyle w:val="30"/>
                    <w:bidi w:val="0"/>
                    <w:rPr>
                      <w:rFonts w:hint="eastAsia"/>
                      <w:lang w:eastAsia="zh-CN"/>
                    </w:rPr>
                  </w:pPr>
                </w:p>
              </w:tc>
              <w:tc>
                <w:tcPr>
                  <w:tcW w:w="629" w:type="dxa"/>
                  <w:shd w:val="clear" w:color="auto" w:fill="auto"/>
                  <w:noWrap w:val="0"/>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0.0008</w:t>
                  </w:r>
                </w:p>
              </w:tc>
              <w:tc>
                <w:tcPr>
                  <w:tcW w:w="662" w:type="dxa"/>
                  <w:shd w:val="clear" w:color="auto" w:fill="auto"/>
                  <w:noWrap w:val="0"/>
                  <w:vAlign w:val="center"/>
                </w:tcPr>
                <w:p>
                  <w:pPr>
                    <w:pStyle w:val="30"/>
                    <w:bidi w:val="0"/>
                    <w:rPr>
                      <w:rFonts w:ascii="Times New Roman" w:hAnsi="Times New Roman" w:eastAsia="宋体" w:cstheme="minorBidi"/>
                      <w:snapToGrid w:val="0"/>
                      <w:spacing w:val="6"/>
                      <w:kern w:val="2"/>
                      <w:sz w:val="21"/>
                      <w:szCs w:val="21"/>
                      <w:lang w:val="en-US" w:eastAsia="zh-CN" w:bidi="ar-SA"/>
                    </w:rPr>
                  </w:pPr>
                  <w:r>
                    <w:t>/</w:t>
                  </w:r>
                </w:p>
              </w:tc>
              <w:tc>
                <w:tcPr>
                  <w:tcW w:w="700" w:type="dxa"/>
                  <w:shd w:val="clear" w:color="auto" w:fill="auto"/>
                  <w:noWrap w:val="0"/>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0.0003</w:t>
                  </w:r>
                </w:p>
              </w:tc>
              <w:tc>
                <w:tcPr>
                  <w:tcW w:w="1904" w:type="dxa"/>
                  <w:vMerge w:val="continue"/>
                  <w:noWrap w:val="0"/>
                  <w:vAlign w:val="center"/>
                </w:tcPr>
                <w:p>
                  <w:pPr>
                    <w:pStyle w:val="30"/>
                    <w:bidi w:val="0"/>
                    <w:rPr>
                      <w:rFonts w:hint="eastAsia"/>
                      <w:lang w:val="en-US" w:eastAsia="zh-CN"/>
                    </w:rPr>
                  </w:pPr>
                </w:p>
              </w:tc>
              <w:tc>
                <w:tcPr>
                  <w:tcW w:w="518" w:type="dxa"/>
                  <w:vMerge w:val="continue"/>
                  <w:noWrap w:val="0"/>
                  <w:vAlign w:val="center"/>
                </w:tcPr>
                <w:p>
                  <w:pPr>
                    <w:pStyle w:val="30"/>
                    <w:bidi w:val="0"/>
                  </w:pPr>
                </w:p>
              </w:tc>
            </w:tr>
          </w:tbl>
          <w:p>
            <w:pPr>
              <w:pStyle w:val="12"/>
              <w:bidi w:val="0"/>
            </w:pPr>
            <w:r>
              <w:rPr>
                <w:rFonts w:hint="eastAsia"/>
                <w:lang w:val="en-US" w:eastAsia="zh-CN"/>
              </w:rPr>
              <w:t>3</w:t>
            </w:r>
            <w:r>
              <w:rPr>
                <w:rFonts w:hint="eastAsia"/>
              </w:rPr>
              <w:t>）污染物排放量核算</w:t>
            </w:r>
          </w:p>
          <w:p>
            <w:pPr>
              <w:pStyle w:val="12"/>
              <w:bidi w:val="0"/>
            </w:pPr>
            <w:r>
              <w:rPr>
                <w:rFonts w:hint="eastAsia"/>
              </w:rPr>
              <w:t>①有组织排放量核算</w:t>
            </w:r>
          </w:p>
          <w:p>
            <w:pPr>
              <w:pStyle w:val="29"/>
              <w:tabs>
                <w:tab w:val="left" w:pos="1021"/>
              </w:tabs>
              <w:rPr>
                <w:rFonts w:hint="eastAsia"/>
              </w:rPr>
            </w:pPr>
            <w:r>
              <w:rPr>
                <w:rFonts w:hint="eastAsia"/>
              </w:rPr>
              <w:t>表</w:t>
            </w:r>
            <w:r>
              <w:rPr>
                <w:rFonts w:hint="eastAsia"/>
                <w:lang w:val="en-US" w:eastAsia="zh-CN"/>
              </w:rPr>
              <w:t>4.2</w:t>
            </w:r>
            <w:r>
              <w:rPr>
                <w:rFonts w:hint="eastAsia"/>
              </w:rPr>
              <w:t>-</w:t>
            </w:r>
            <w:r>
              <w:rPr>
                <w:rFonts w:hint="eastAsia"/>
                <w:lang w:val="en-US" w:eastAsia="zh-CN"/>
              </w:rPr>
              <w:t>3</w:t>
            </w:r>
            <w:r>
              <w:rPr>
                <w:rFonts w:hint="eastAsia"/>
              </w:rPr>
              <w:t>大气污染物有组织排放量核算表</w:t>
            </w:r>
          </w:p>
          <w:tbl>
            <w:tblPr>
              <w:tblStyle w:val="27"/>
              <w:tblW w:w="86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5"/>
              <w:gridCol w:w="2479"/>
              <w:gridCol w:w="852"/>
              <w:gridCol w:w="1608"/>
              <w:gridCol w:w="1610"/>
              <w:gridCol w:w="14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65" w:type="dxa"/>
                  <w:noWrap w:val="0"/>
                  <w:vAlign w:val="center"/>
                </w:tcPr>
                <w:p>
                  <w:pPr>
                    <w:pStyle w:val="30"/>
                    <w:rPr>
                      <w:rFonts w:hint="eastAsia"/>
                    </w:rPr>
                  </w:pPr>
                  <w:r>
                    <w:rPr>
                      <w:rFonts w:hint="eastAsia"/>
                    </w:rPr>
                    <w:t>序号</w:t>
                  </w:r>
                </w:p>
              </w:tc>
              <w:tc>
                <w:tcPr>
                  <w:tcW w:w="2479" w:type="dxa"/>
                  <w:noWrap w:val="0"/>
                  <w:vAlign w:val="center"/>
                </w:tcPr>
                <w:p>
                  <w:pPr>
                    <w:pStyle w:val="30"/>
                    <w:rPr>
                      <w:rFonts w:hint="eastAsia"/>
                    </w:rPr>
                  </w:pPr>
                  <w:r>
                    <w:rPr>
                      <w:rFonts w:hint="eastAsia"/>
                    </w:rPr>
                    <w:t>排放口编号</w:t>
                  </w:r>
                </w:p>
              </w:tc>
              <w:tc>
                <w:tcPr>
                  <w:tcW w:w="852" w:type="dxa"/>
                  <w:noWrap w:val="0"/>
                  <w:vAlign w:val="center"/>
                </w:tcPr>
                <w:p>
                  <w:pPr>
                    <w:pStyle w:val="30"/>
                    <w:rPr>
                      <w:rFonts w:hint="eastAsia"/>
                    </w:rPr>
                  </w:pPr>
                  <w:r>
                    <w:rPr>
                      <w:rFonts w:hint="eastAsia"/>
                    </w:rPr>
                    <w:t>污染物</w:t>
                  </w:r>
                </w:p>
              </w:tc>
              <w:tc>
                <w:tcPr>
                  <w:tcW w:w="1608" w:type="dxa"/>
                  <w:noWrap w:val="0"/>
                  <w:vAlign w:val="center"/>
                </w:tcPr>
                <w:p>
                  <w:pPr>
                    <w:pStyle w:val="30"/>
                    <w:rPr>
                      <w:rFonts w:hint="eastAsia"/>
                    </w:rPr>
                  </w:pPr>
                  <w:r>
                    <w:rPr>
                      <w:rFonts w:hint="eastAsia"/>
                    </w:rPr>
                    <w:t>核算排放浓度</w:t>
                  </w:r>
                </w:p>
                <w:p>
                  <w:pPr>
                    <w:pStyle w:val="30"/>
                  </w:pPr>
                  <w:r>
                    <w:t>(mg/m³)</w:t>
                  </w:r>
                </w:p>
              </w:tc>
              <w:tc>
                <w:tcPr>
                  <w:tcW w:w="1610" w:type="dxa"/>
                  <w:noWrap w:val="0"/>
                  <w:vAlign w:val="center"/>
                </w:tcPr>
                <w:p>
                  <w:pPr>
                    <w:pStyle w:val="30"/>
                    <w:rPr>
                      <w:rFonts w:hint="eastAsia"/>
                    </w:rPr>
                  </w:pPr>
                  <w:r>
                    <w:rPr>
                      <w:rFonts w:hint="eastAsia"/>
                    </w:rPr>
                    <w:t>核算排放速率</w:t>
                  </w:r>
                </w:p>
                <w:p>
                  <w:pPr>
                    <w:pStyle w:val="30"/>
                  </w:pPr>
                  <w:r>
                    <w:t>(kg/h)</w:t>
                  </w:r>
                </w:p>
              </w:tc>
              <w:tc>
                <w:tcPr>
                  <w:tcW w:w="1461" w:type="dxa"/>
                  <w:noWrap w:val="0"/>
                  <w:vAlign w:val="center"/>
                </w:tcPr>
                <w:p>
                  <w:pPr>
                    <w:pStyle w:val="30"/>
                    <w:rPr>
                      <w:rFonts w:hint="eastAsia"/>
                    </w:rPr>
                  </w:pPr>
                  <w:r>
                    <w:rPr>
                      <w:rFonts w:hint="eastAsia"/>
                    </w:rPr>
                    <w:t>核算排放量</w:t>
                  </w:r>
                </w:p>
                <w:p>
                  <w:pPr>
                    <w:pStyle w:val="30"/>
                  </w:pPr>
                  <w: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8675" w:type="dxa"/>
                  <w:gridSpan w:val="6"/>
                  <w:noWrap w:val="0"/>
                  <w:vAlign w:val="center"/>
                </w:tcPr>
                <w:p>
                  <w:pPr>
                    <w:pStyle w:val="30"/>
                  </w:pPr>
                  <w:r>
                    <w:t>一般排放口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65" w:type="dxa"/>
                  <w:noWrap w:val="0"/>
                  <w:vAlign w:val="center"/>
                </w:tcPr>
                <w:p>
                  <w:pPr>
                    <w:pStyle w:val="30"/>
                  </w:pPr>
                  <w:r>
                    <w:t>1</w:t>
                  </w:r>
                </w:p>
              </w:tc>
              <w:tc>
                <w:tcPr>
                  <w:tcW w:w="2479" w:type="dxa"/>
                  <w:noWrap w:val="0"/>
                  <w:vAlign w:val="center"/>
                </w:tcPr>
                <w:p>
                  <w:pPr>
                    <w:pStyle w:val="30"/>
                  </w:pPr>
                  <w:r>
                    <w:rPr>
                      <w:rFonts w:hint="eastAsia"/>
                      <w:lang w:eastAsia="zh-CN"/>
                    </w:rPr>
                    <w:t xml:space="preserve">DA001 </w:t>
                  </w:r>
                </w:p>
              </w:tc>
              <w:tc>
                <w:tcPr>
                  <w:tcW w:w="852" w:type="dxa"/>
                  <w:tcBorders>
                    <w:bottom w:val="single" w:color="000000" w:sz="6" w:space="0"/>
                  </w:tcBorders>
                  <w:noWrap w:val="0"/>
                  <w:vAlign w:val="center"/>
                </w:tcPr>
                <w:p>
                  <w:pPr>
                    <w:pStyle w:val="30"/>
                    <w:bidi w:val="0"/>
                    <w:jc w:val="center"/>
                    <w:rPr>
                      <w:rFonts w:hint="eastAsia" w:ascii="Times New Roman" w:hAnsi="Times New Roman" w:eastAsia="宋体" w:cs="Times New Roman"/>
                      <w:kern w:val="0"/>
                      <w:sz w:val="21"/>
                      <w:szCs w:val="21"/>
                      <w:lang w:val="en-US" w:eastAsia="zh-CN" w:bidi="ar-SA"/>
                    </w:rPr>
                  </w:pPr>
                  <w:r>
                    <w:t>油烟</w:t>
                  </w:r>
                </w:p>
              </w:tc>
              <w:tc>
                <w:tcPr>
                  <w:tcW w:w="1608" w:type="dxa"/>
                  <w:tcBorders>
                    <w:bottom w:val="single" w:color="000000" w:sz="6" w:space="0"/>
                  </w:tcBorders>
                  <w:noWrap w:val="0"/>
                  <w:vAlign w:val="center"/>
                </w:tcPr>
                <w:p>
                  <w:pPr>
                    <w:pStyle w:val="30"/>
                    <w:bidi w:val="0"/>
                    <w:jc w:val="center"/>
                    <w:rPr>
                      <w:rFonts w:hint="default" w:ascii="Times New Roman" w:hAnsi="Times New Roman" w:eastAsia="宋体" w:cs="Times New Roman"/>
                      <w:kern w:val="0"/>
                      <w:sz w:val="21"/>
                      <w:szCs w:val="21"/>
                      <w:lang w:val="en-US" w:eastAsia="zh-CN" w:bidi="ar-SA"/>
                    </w:rPr>
                  </w:pPr>
                  <w:r>
                    <w:rPr>
                      <w:rFonts w:hint="eastAsia"/>
                      <w:lang w:val="en-US" w:eastAsia="zh-CN"/>
                    </w:rPr>
                    <w:t>0.8</w:t>
                  </w:r>
                </w:p>
              </w:tc>
              <w:tc>
                <w:tcPr>
                  <w:tcW w:w="1610" w:type="dxa"/>
                  <w:tcBorders>
                    <w:bottom w:val="single" w:color="000000" w:sz="6" w:space="0"/>
                  </w:tcBorders>
                  <w:noWrap w:val="0"/>
                  <w:vAlign w:val="center"/>
                </w:tcPr>
                <w:p>
                  <w:pPr>
                    <w:pStyle w:val="30"/>
                    <w:bidi w:val="0"/>
                    <w:jc w:val="center"/>
                    <w:rPr>
                      <w:rFonts w:hint="default" w:ascii="Times New Roman" w:hAnsi="Times New Roman" w:eastAsia="宋体" w:cs="Times New Roman"/>
                      <w:kern w:val="0"/>
                      <w:sz w:val="21"/>
                      <w:szCs w:val="21"/>
                      <w:lang w:val="en-US" w:eastAsia="zh-CN" w:bidi="ar-SA"/>
                    </w:rPr>
                  </w:pPr>
                  <w:r>
                    <w:rPr>
                      <w:rFonts w:hint="eastAsia"/>
                      <w:lang w:val="en-US" w:eastAsia="zh-CN"/>
                    </w:rPr>
                    <w:t>/</w:t>
                  </w:r>
                </w:p>
              </w:tc>
              <w:tc>
                <w:tcPr>
                  <w:tcW w:w="1461" w:type="dxa"/>
                  <w:tcBorders>
                    <w:bottom w:val="single" w:color="000000" w:sz="6" w:space="0"/>
                  </w:tcBorders>
                  <w:noWrap w:val="0"/>
                  <w:vAlign w:val="center"/>
                </w:tcPr>
                <w:p>
                  <w:pPr>
                    <w:pStyle w:val="30"/>
                    <w:bidi w:val="0"/>
                    <w:jc w:val="center"/>
                    <w:rPr>
                      <w:rFonts w:hint="default" w:ascii="Times New Roman" w:hAnsi="Times New Roman" w:eastAsia="宋体" w:cs="Times New Roman"/>
                      <w:kern w:val="0"/>
                      <w:sz w:val="21"/>
                      <w:szCs w:val="21"/>
                      <w:lang w:val="en-US" w:eastAsia="zh-CN" w:bidi="ar-SA"/>
                    </w:rPr>
                  </w:pPr>
                  <w:r>
                    <w:rPr>
                      <w:rFonts w:hint="eastAsia"/>
                      <w:lang w:val="en-US" w:eastAsia="zh-CN"/>
                    </w:rPr>
                    <w:t>0.023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3144" w:type="dxa"/>
                  <w:gridSpan w:val="2"/>
                  <w:noWrap w:val="0"/>
                  <w:vAlign w:val="center"/>
                </w:tcPr>
                <w:p>
                  <w:pPr>
                    <w:pStyle w:val="30"/>
                  </w:pPr>
                  <w:r>
                    <w:t>有组织排放总计</w:t>
                  </w:r>
                </w:p>
              </w:tc>
              <w:tc>
                <w:tcPr>
                  <w:tcW w:w="4070" w:type="dxa"/>
                  <w:gridSpan w:val="3"/>
                  <w:tcBorders>
                    <w:bottom w:val="single" w:color="000000" w:sz="6" w:space="0"/>
                  </w:tcBorders>
                  <w:noWrap w:val="0"/>
                  <w:vAlign w:val="center"/>
                </w:tcPr>
                <w:p>
                  <w:pPr>
                    <w:pStyle w:val="30"/>
                    <w:bidi w:val="0"/>
                    <w:jc w:val="center"/>
                    <w:rPr>
                      <w:rFonts w:hint="eastAsia" w:ascii="Times New Roman" w:hAnsi="Times New Roman" w:eastAsia="宋体" w:cs="Times New Roman"/>
                      <w:kern w:val="0"/>
                      <w:sz w:val="21"/>
                      <w:szCs w:val="21"/>
                      <w:lang w:val="en-US" w:eastAsia="zh-CN" w:bidi="ar-SA"/>
                    </w:rPr>
                  </w:pPr>
                  <w:r>
                    <w:t>油烟</w:t>
                  </w:r>
                </w:p>
              </w:tc>
              <w:tc>
                <w:tcPr>
                  <w:tcW w:w="1461" w:type="dxa"/>
                  <w:tcBorders>
                    <w:bottom w:val="single" w:color="000000" w:sz="6" w:space="0"/>
                  </w:tcBorders>
                  <w:noWrap w:val="0"/>
                  <w:vAlign w:val="center"/>
                </w:tcPr>
                <w:p>
                  <w:pPr>
                    <w:pStyle w:val="30"/>
                    <w:bidi w:val="0"/>
                    <w:jc w:val="center"/>
                    <w:rPr>
                      <w:rFonts w:hint="default" w:ascii="Times New Roman" w:hAnsi="Times New Roman" w:eastAsia="宋体" w:cs="Times New Roman"/>
                      <w:kern w:val="0"/>
                      <w:sz w:val="21"/>
                      <w:szCs w:val="21"/>
                      <w:lang w:val="en-US" w:eastAsia="zh-CN" w:bidi="ar-SA"/>
                    </w:rPr>
                  </w:pPr>
                  <w:r>
                    <w:rPr>
                      <w:rFonts w:hint="eastAsia"/>
                      <w:lang w:val="en-US" w:eastAsia="zh-CN"/>
                    </w:rPr>
                    <w:t>0.023</w:t>
                  </w:r>
                </w:p>
              </w:tc>
            </w:tr>
          </w:tbl>
          <w:p>
            <w:pPr>
              <w:pStyle w:val="12"/>
              <w:bidi w:val="0"/>
            </w:pPr>
            <w:r>
              <w:rPr>
                <w:rFonts w:hint="eastAsia"/>
              </w:rPr>
              <w:t>②无组织排放量核算</w:t>
            </w:r>
          </w:p>
          <w:p>
            <w:pPr>
              <w:pStyle w:val="29"/>
              <w:tabs>
                <w:tab w:val="left" w:pos="1021"/>
              </w:tabs>
              <w:rPr>
                <w:rFonts w:hint="eastAsia"/>
              </w:rPr>
            </w:pPr>
            <w:r>
              <w:rPr>
                <w:rFonts w:hint="eastAsia"/>
              </w:rPr>
              <w:t>表</w:t>
            </w:r>
            <w:r>
              <w:rPr>
                <w:rFonts w:hint="eastAsia"/>
                <w:lang w:val="en-US" w:eastAsia="zh-CN"/>
              </w:rPr>
              <w:t>4.2</w:t>
            </w:r>
            <w:r>
              <w:rPr>
                <w:rFonts w:hint="eastAsia"/>
              </w:rPr>
              <w:t>-</w:t>
            </w:r>
            <w:r>
              <w:rPr>
                <w:rFonts w:hint="eastAsia"/>
                <w:lang w:val="en-US" w:eastAsia="zh-CN"/>
              </w:rPr>
              <w:t>4</w:t>
            </w:r>
            <w:r>
              <w:rPr>
                <w:rFonts w:hint="eastAsia"/>
              </w:rPr>
              <w:t>大气污染物无组织排放量核算表</w:t>
            </w:r>
          </w:p>
          <w:tbl>
            <w:tblPr>
              <w:tblStyle w:val="27"/>
              <w:tblW w:w="867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670"/>
              <w:gridCol w:w="1198"/>
              <w:gridCol w:w="687"/>
              <w:gridCol w:w="1616"/>
              <w:gridCol w:w="1876"/>
              <w:gridCol w:w="1178"/>
              <w:gridCol w:w="9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542" w:type="dxa"/>
                  <w:vMerge w:val="restart"/>
                  <w:noWrap w:val="0"/>
                  <w:vAlign w:val="center"/>
                </w:tcPr>
                <w:p>
                  <w:pPr>
                    <w:pStyle w:val="30"/>
                    <w:bidi w:val="0"/>
                  </w:pPr>
                </w:p>
                <w:p>
                  <w:pPr>
                    <w:pStyle w:val="30"/>
                    <w:bidi w:val="0"/>
                    <w:rPr>
                      <w:rFonts w:hint="eastAsia"/>
                    </w:rPr>
                  </w:pPr>
                  <w:r>
                    <w:rPr>
                      <w:rFonts w:hint="eastAsia"/>
                    </w:rPr>
                    <w:t>序号</w:t>
                  </w:r>
                </w:p>
              </w:tc>
              <w:tc>
                <w:tcPr>
                  <w:tcW w:w="670" w:type="dxa"/>
                  <w:vMerge w:val="restart"/>
                  <w:noWrap w:val="0"/>
                  <w:vAlign w:val="center"/>
                </w:tcPr>
                <w:p>
                  <w:pPr>
                    <w:pStyle w:val="30"/>
                    <w:bidi w:val="0"/>
                    <w:rPr>
                      <w:rFonts w:hint="eastAsia"/>
                    </w:rPr>
                  </w:pPr>
                  <w:r>
                    <w:rPr>
                      <w:rFonts w:hint="eastAsia"/>
                    </w:rPr>
                    <w:t>排放口编号</w:t>
                  </w:r>
                </w:p>
              </w:tc>
              <w:tc>
                <w:tcPr>
                  <w:tcW w:w="1198" w:type="dxa"/>
                  <w:vMerge w:val="restart"/>
                  <w:noWrap w:val="0"/>
                  <w:vAlign w:val="center"/>
                </w:tcPr>
                <w:p>
                  <w:pPr>
                    <w:pStyle w:val="30"/>
                    <w:bidi w:val="0"/>
                  </w:pPr>
                </w:p>
                <w:p>
                  <w:pPr>
                    <w:pStyle w:val="30"/>
                    <w:bidi w:val="0"/>
                    <w:rPr>
                      <w:rFonts w:hint="eastAsia"/>
                    </w:rPr>
                  </w:pPr>
                  <w:r>
                    <w:rPr>
                      <w:rFonts w:hint="eastAsia"/>
                    </w:rPr>
                    <w:t>产污环节</w:t>
                  </w:r>
                </w:p>
              </w:tc>
              <w:tc>
                <w:tcPr>
                  <w:tcW w:w="687" w:type="dxa"/>
                  <w:vMerge w:val="restart"/>
                  <w:noWrap w:val="0"/>
                  <w:vAlign w:val="center"/>
                </w:tcPr>
                <w:p>
                  <w:pPr>
                    <w:pStyle w:val="30"/>
                    <w:bidi w:val="0"/>
                  </w:pPr>
                </w:p>
                <w:p>
                  <w:pPr>
                    <w:pStyle w:val="30"/>
                    <w:bidi w:val="0"/>
                    <w:rPr>
                      <w:rFonts w:hint="eastAsia"/>
                    </w:rPr>
                  </w:pPr>
                  <w:r>
                    <w:rPr>
                      <w:rFonts w:hint="eastAsia"/>
                    </w:rPr>
                    <w:t>污染物</w:t>
                  </w:r>
                </w:p>
              </w:tc>
              <w:tc>
                <w:tcPr>
                  <w:tcW w:w="1616" w:type="dxa"/>
                  <w:vMerge w:val="restart"/>
                  <w:noWrap w:val="0"/>
                  <w:vAlign w:val="center"/>
                </w:tcPr>
                <w:p>
                  <w:pPr>
                    <w:pStyle w:val="30"/>
                    <w:bidi w:val="0"/>
                  </w:pPr>
                </w:p>
                <w:p>
                  <w:pPr>
                    <w:pStyle w:val="30"/>
                    <w:bidi w:val="0"/>
                    <w:rPr>
                      <w:rFonts w:hint="eastAsia"/>
                    </w:rPr>
                  </w:pPr>
                  <w:r>
                    <w:rPr>
                      <w:rFonts w:hint="eastAsia"/>
                    </w:rPr>
                    <w:t>主要污染防治措施</w:t>
                  </w:r>
                </w:p>
              </w:tc>
              <w:tc>
                <w:tcPr>
                  <w:tcW w:w="3054" w:type="dxa"/>
                  <w:gridSpan w:val="2"/>
                  <w:noWrap w:val="0"/>
                  <w:vAlign w:val="center"/>
                </w:tcPr>
                <w:p>
                  <w:pPr>
                    <w:pStyle w:val="30"/>
                    <w:bidi w:val="0"/>
                    <w:rPr>
                      <w:rFonts w:hint="eastAsia"/>
                    </w:rPr>
                  </w:pPr>
                  <w:r>
                    <w:rPr>
                      <w:rFonts w:hint="eastAsia"/>
                    </w:rPr>
                    <w:t>国家或地方污染物排放标准</w:t>
                  </w:r>
                </w:p>
              </w:tc>
              <w:tc>
                <w:tcPr>
                  <w:tcW w:w="911" w:type="dxa"/>
                  <w:vMerge w:val="restart"/>
                  <w:noWrap w:val="0"/>
                  <w:vAlign w:val="center"/>
                </w:tcPr>
                <w:p>
                  <w:pPr>
                    <w:pStyle w:val="30"/>
                    <w:bidi w:val="0"/>
                  </w:pPr>
                </w:p>
                <w:p>
                  <w:pPr>
                    <w:pStyle w:val="30"/>
                    <w:bidi w:val="0"/>
                    <w:rPr>
                      <w:rFonts w:hint="eastAsia"/>
                    </w:rPr>
                  </w:pPr>
                  <w:r>
                    <w:rPr>
                      <w:rFonts w:hint="eastAsia"/>
                    </w:rPr>
                    <w:t>年排放量（</w:t>
                  </w:r>
                  <w:r>
                    <w:t>t/a</w:t>
                  </w: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542" w:type="dxa"/>
                  <w:vMerge w:val="continue"/>
                  <w:tcBorders>
                    <w:top w:val="nil"/>
                  </w:tcBorders>
                  <w:noWrap w:val="0"/>
                  <w:vAlign w:val="center"/>
                </w:tcPr>
                <w:p>
                  <w:pPr>
                    <w:pStyle w:val="30"/>
                    <w:bidi w:val="0"/>
                  </w:pPr>
                </w:p>
              </w:tc>
              <w:tc>
                <w:tcPr>
                  <w:tcW w:w="670" w:type="dxa"/>
                  <w:vMerge w:val="continue"/>
                  <w:tcBorders>
                    <w:top w:val="nil"/>
                  </w:tcBorders>
                  <w:noWrap w:val="0"/>
                  <w:vAlign w:val="center"/>
                </w:tcPr>
                <w:p>
                  <w:pPr>
                    <w:pStyle w:val="30"/>
                    <w:bidi w:val="0"/>
                  </w:pPr>
                </w:p>
              </w:tc>
              <w:tc>
                <w:tcPr>
                  <w:tcW w:w="1198" w:type="dxa"/>
                  <w:vMerge w:val="continue"/>
                  <w:tcBorders>
                    <w:top w:val="nil"/>
                  </w:tcBorders>
                  <w:noWrap w:val="0"/>
                  <w:vAlign w:val="center"/>
                </w:tcPr>
                <w:p>
                  <w:pPr>
                    <w:pStyle w:val="30"/>
                    <w:bidi w:val="0"/>
                  </w:pPr>
                </w:p>
              </w:tc>
              <w:tc>
                <w:tcPr>
                  <w:tcW w:w="687" w:type="dxa"/>
                  <w:vMerge w:val="continue"/>
                  <w:tcBorders>
                    <w:top w:val="nil"/>
                  </w:tcBorders>
                  <w:noWrap w:val="0"/>
                  <w:vAlign w:val="center"/>
                </w:tcPr>
                <w:p>
                  <w:pPr>
                    <w:pStyle w:val="30"/>
                    <w:bidi w:val="0"/>
                  </w:pPr>
                </w:p>
              </w:tc>
              <w:tc>
                <w:tcPr>
                  <w:tcW w:w="1616" w:type="dxa"/>
                  <w:vMerge w:val="continue"/>
                  <w:tcBorders>
                    <w:top w:val="nil"/>
                  </w:tcBorders>
                  <w:noWrap w:val="0"/>
                  <w:vAlign w:val="center"/>
                </w:tcPr>
                <w:p>
                  <w:pPr>
                    <w:pStyle w:val="30"/>
                    <w:bidi w:val="0"/>
                  </w:pPr>
                </w:p>
              </w:tc>
              <w:tc>
                <w:tcPr>
                  <w:tcW w:w="1876" w:type="dxa"/>
                  <w:noWrap w:val="0"/>
                  <w:vAlign w:val="center"/>
                </w:tcPr>
                <w:p>
                  <w:pPr>
                    <w:pStyle w:val="30"/>
                    <w:bidi w:val="0"/>
                    <w:rPr>
                      <w:rFonts w:hint="eastAsia"/>
                    </w:rPr>
                  </w:pPr>
                  <w:r>
                    <w:rPr>
                      <w:rFonts w:hint="eastAsia"/>
                    </w:rPr>
                    <w:t>标准名称</w:t>
                  </w:r>
                </w:p>
              </w:tc>
              <w:tc>
                <w:tcPr>
                  <w:tcW w:w="1178" w:type="dxa"/>
                  <w:noWrap w:val="0"/>
                  <w:vAlign w:val="center"/>
                </w:tcPr>
                <w:p>
                  <w:pPr>
                    <w:pStyle w:val="30"/>
                    <w:bidi w:val="0"/>
                    <w:rPr>
                      <w:rFonts w:hint="eastAsia"/>
                    </w:rPr>
                  </w:pPr>
                  <w:r>
                    <w:rPr>
                      <w:rFonts w:hint="eastAsia"/>
                    </w:rPr>
                    <w:t>浓度限值</w:t>
                  </w:r>
                </w:p>
                <w:p>
                  <w:pPr>
                    <w:pStyle w:val="30"/>
                    <w:bidi w:val="0"/>
                    <w:rPr>
                      <w:rFonts w:hint="eastAsia"/>
                    </w:rPr>
                  </w:pPr>
                  <w:r>
                    <w:rPr>
                      <w:rFonts w:hint="eastAsia"/>
                    </w:rPr>
                    <w:t>（</w:t>
                  </w:r>
                  <w:r>
                    <w:t>mg/m³</w:t>
                  </w:r>
                  <w:r>
                    <w:rPr>
                      <w:rFonts w:hint="eastAsia"/>
                    </w:rPr>
                    <w:t>）</w:t>
                  </w:r>
                </w:p>
              </w:tc>
              <w:tc>
                <w:tcPr>
                  <w:tcW w:w="911" w:type="dxa"/>
                  <w:vMerge w:val="continue"/>
                  <w:tcBorders>
                    <w:top w:val="nil"/>
                  </w:tcBorders>
                  <w:noWrap w:val="0"/>
                  <w:vAlign w:val="center"/>
                </w:tcPr>
                <w:p>
                  <w:pPr>
                    <w:pStyle w:val="30"/>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2" w:hRule="atLeast"/>
              </w:trPr>
              <w:tc>
                <w:tcPr>
                  <w:tcW w:w="542" w:type="dxa"/>
                  <w:vMerge w:val="restart"/>
                  <w:noWrap w:val="0"/>
                  <w:vAlign w:val="center"/>
                </w:tcPr>
                <w:p>
                  <w:pPr>
                    <w:pStyle w:val="30"/>
                    <w:bidi w:val="0"/>
                  </w:pPr>
                  <w:r>
                    <w:t>1</w:t>
                  </w:r>
                </w:p>
              </w:tc>
              <w:tc>
                <w:tcPr>
                  <w:tcW w:w="670" w:type="dxa"/>
                  <w:vMerge w:val="restart"/>
                  <w:noWrap w:val="0"/>
                  <w:vAlign w:val="center"/>
                </w:tcPr>
                <w:p>
                  <w:pPr>
                    <w:pStyle w:val="30"/>
                    <w:bidi w:val="0"/>
                    <w:rPr>
                      <w:rFonts w:hint="eastAsia"/>
                      <w:lang w:eastAsia="zh-CN"/>
                    </w:rPr>
                  </w:pPr>
                  <w:r>
                    <w:rPr>
                      <w:rFonts w:hint="eastAsia"/>
                      <w:lang w:val="en-US" w:eastAsia="zh-CN"/>
                    </w:rPr>
                    <w:t>/</w:t>
                  </w:r>
                </w:p>
              </w:tc>
              <w:tc>
                <w:tcPr>
                  <w:tcW w:w="1198" w:type="dxa"/>
                  <w:vMerge w:val="restart"/>
                  <w:noWrap w:val="0"/>
                  <w:vAlign w:val="center"/>
                </w:tcPr>
                <w:p>
                  <w:pPr>
                    <w:pStyle w:val="30"/>
                    <w:bidi w:val="0"/>
                  </w:pPr>
                  <w:r>
                    <w:rPr>
                      <w:rFonts w:hint="eastAsia"/>
                      <w:lang w:val="en-US" w:eastAsia="zh-CN"/>
                    </w:rPr>
                    <w:t>污水处理站</w:t>
                  </w:r>
                </w:p>
              </w:tc>
              <w:tc>
                <w:tcPr>
                  <w:tcW w:w="687" w:type="dxa"/>
                  <w:tcBorders>
                    <w:bottom w:val="single" w:color="000000" w:sz="6" w:space="0"/>
                  </w:tcBorders>
                  <w:noWrap w:val="0"/>
                  <w:vAlign w:val="center"/>
                </w:tcPr>
                <w:p>
                  <w:pPr>
                    <w:pStyle w:val="30"/>
                    <w:bidi w:val="0"/>
                    <w:rPr>
                      <w:rFonts w:hint="eastAsia"/>
                      <w:lang w:val="en-US" w:eastAsia="zh-CN"/>
                    </w:rPr>
                  </w:pPr>
                  <w:r>
                    <w:rPr>
                      <w:rFonts w:hint="eastAsia"/>
                      <w:lang w:val="en-US" w:eastAsia="zh-CN"/>
                    </w:rPr>
                    <w:t>H</w:t>
                  </w:r>
                  <w:r>
                    <w:rPr>
                      <w:rFonts w:hint="eastAsia"/>
                      <w:vertAlign w:val="subscript"/>
                      <w:lang w:val="en-US" w:eastAsia="zh-CN"/>
                    </w:rPr>
                    <w:t>2</w:t>
                  </w:r>
                  <w:r>
                    <w:rPr>
                      <w:rFonts w:hint="eastAsia"/>
                      <w:lang w:val="en-US" w:eastAsia="zh-CN"/>
                    </w:rPr>
                    <w:t>S</w:t>
                  </w:r>
                </w:p>
              </w:tc>
              <w:tc>
                <w:tcPr>
                  <w:tcW w:w="1616" w:type="dxa"/>
                  <w:vMerge w:val="restart"/>
                  <w:noWrap w:val="0"/>
                  <w:vAlign w:val="center"/>
                </w:tcPr>
                <w:p>
                  <w:pPr>
                    <w:pStyle w:val="30"/>
                    <w:bidi w:val="0"/>
                    <w:rPr>
                      <w:rFonts w:hint="eastAsia" w:eastAsia="宋体"/>
                      <w:lang w:eastAsia="zh-CN"/>
                    </w:rPr>
                  </w:pPr>
                  <w:r>
                    <w:rPr>
                      <w:rFonts w:hint="eastAsia"/>
                      <w:lang w:val="en-US" w:eastAsia="zh-CN"/>
                    </w:rPr>
                    <w:t>污水处理站加盖密闭</w:t>
                  </w:r>
                  <w:r>
                    <w:rPr>
                      <w:rFonts w:hint="default"/>
                      <w:lang w:val="en-US" w:eastAsia="zh-CN"/>
                    </w:rPr>
                    <w:t>+</w:t>
                  </w:r>
                  <w:r>
                    <w:rPr>
                      <w:rFonts w:hint="eastAsia"/>
                      <w:lang w:val="en-US" w:eastAsia="zh-CN"/>
                    </w:rPr>
                    <w:t>除臭等</w:t>
                  </w:r>
                </w:p>
              </w:tc>
              <w:tc>
                <w:tcPr>
                  <w:tcW w:w="1876" w:type="dxa"/>
                  <w:vMerge w:val="restart"/>
                  <w:noWrap w:val="0"/>
                  <w:vAlign w:val="center"/>
                </w:tcPr>
                <w:p>
                  <w:pPr>
                    <w:pStyle w:val="30"/>
                    <w:bidi w:val="0"/>
                  </w:pPr>
                  <w:r>
                    <w:rPr>
                      <w:rFonts w:hint="eastAsia"/>
                      <w:lang w:val="en-US" w:eastAsia="zh-CN"/>
                    </w:rPr>
                    <w:t>《医疗机构水污染物排放标准》（</w:t>
                  </w:r>
                  <w:r>
                    <w:rPr>
                      <w:rFonts w:hint="default"/>
                      <w:lang w:val="en-US" w:eastAsia="zh-CN"/>
                    </w:rPr>
                    <w:t>GB18466-2005</w:t>
                  </w:r>
                </w:p>
                <w:p>
                  <w:pPr>
                    <w:pStyle w:val="30"/>
                    <w:bidi w:val="0"/>
                    <w:rPr>
                      <w:rFonts w:hint="eastAsia"/>
                      <w:lang w:eastAsia="zh-CN"/>
                    </w:rPr>
                  </w:pPr>
                  <w:r>
                    <w:rPr>
                      <w:rFonts w:hint="eastAsia"/>
                      <w:lang w:val="en-US" w:eastAsia="zh-CN"/>
                    </w:rPr>
                    <w:t>）中污水处理站周边大气污染物控制标准</w:t>
                  </w:r>
                </w:p>
              </w:tc>
              <w:tc>
                <w:tcPr>
                  <w:tcW w:w="1178" w:type="dxa"/>
                  <w:tcBorders>
                    <w:bottom w:val="single" w:color="000000" w:sz="6" w:space="0"/>
                  </w:tcBorders>
                  <w:noWrap w:val="0"/>
                  <w:vAlign w:val="center"/>
                </w:tcPr>
                <w:p>
                  <w:pPr>
                    <w:pStyle w:val="30"/>
                    <w:bidi w:val="0"/>
                    <w:rPr>
                      <w:rFonts w:hint="default"/>
                      <w:lang w:val="en-US" w:eastAsia="zh-CN"/>
                    </w:rPr>
                  </w:pPr>
                  <w:r>
                    <w:rPr>
                      <w:rFonts w:hint="eastAsia"/>
                      <w:lang w:val="en-US" w:eastAsia="zh-CN"/>
                    </w:rPr>
                    <w:t>0.03</w:t>
                  </w:r>
                </w:p>
              </w:tc>
              <w:tc>
                <w:tcPr>
                  <w:tcW w:w="911" w:type="dxa"/>
                  <w:tcBorders>
                    <w:bottom w:val="single" w:color="000000" w:sz="6" w:space="0"/>
                  </w:tcBorders>
                  <w:noWrap w:val="0"/>
                  <w:vAlign w:val="center"/>
                </w:tcPr>
                <w:p>
                  <w:pPr>
                    <w:pStyle w:val="30"/>
                    <w:bidi w:val="0"/>
                    <w:rPr>
                      <w:rFonts w:hint="default"/>
                      <w:lang w:val="en-US" w:eastAsia="zh-CN"/>
                    </w:rPr>
                  </w:pPr>
                  <w:r>
                    <w:rPr>
                      <w:rFonts w:hint="eastAsia"/>
                      <w:lang w:val="en-US" w:eastAsia="zh-CN"/>
                    </w:rPr>
                    <w:t>0.0008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5" w:hRule="atLeast"/>
              </w:trPr>
              <w:tc>
                <w:tcPr>
                  <w:tcW w:w="542" w:type="dxa"/>
                  <w:vMerge w:val="continue"/>
                  <w:noWrap w:val="0"/>
                  <w:vAlign w:val="center"/>
                </w:tcPr>
                <w:p>
                  <w:pPr>
                    <w:pStyle w:val="30"/>
                    <w:bidi w:val="0"/>
                  </w:pPr>
                </w:p>
              </w:tc>
              <w:tc>
                <w:tcPr>
                  <w:tcW w:w="670" w:type="dxa"/>
                  <w:vMerge w:val="continue"/>
                  <w:noWrap w:val="0"/>
                  <w:vAlign w:val="center"/>
                </w:tcPr>
                <w:p>
                  <w:pPr>
                    <w:pStyle w:val="30"/>
                    <w:bidi w:val="0"/>
                  </w:pPr>
                </w:p>
              </w:tc>
              <w:tc>
                <w:tcPr>
                  <w:tcW w:w="1198" w:type="dxa"/>
                  <w:vMerge w:val="continue"/>
                  <w:noWrap w:val="0"/>
                  <w:vAlign w:val="center"/>
                </w:tcPr>
                <w:p>
                  <w:pPr>
                    <w:pStyle w:val="30"/>
                    <w:bidi w:val="0"/>
                  </w:pPr>
                </w:p>
              </w:tc>
              <w:tc>
                <w:tcPr>
                  <w:tcW w:w="687" w:type="dxa"/>
                  <w:tcBorders>
                    <w:top w:val="single" w:color="000000" w:sz="6" w:space="0"/>
                  </w:tcBorders>
                  <w:noWrap w:val="0"/>
                  <w:vAlign w:val="center"/>
                </w:tcPr>
                <w:p>
                  <w:pPr>
                    <w:pStyle w:val="30"/>
                    <w:bidi w:val="0"/>
                    <w:rPr>
                      <w:rFonts w:hint="eastAsia"/>
                      <w:lang w:val="en-US" w:eastAsia="zh-CN"/>
                    </w:rPr>
                  </w:pPr>
                  <w:r>
                    <w:rPr>
                      <w:rFonts w:hint="eastAsia"/>
                      <w:lang w:val="en-US" w:eastAsia="zh-CN"/>
                    </w:rPr>
                    <w:t>NH</w:t>
                  </w:r>
                  <w:r>
                    <w:rPr>
                      <w:rFonts w:hint="eastAsia"/>
                      <w:vertAlign w:val="subscript"/>
                      <w:lang w:val="en-US" w:eastAsia="zh-CN"/>
                    </w:rPr>
                    <w:t>3</w:t>
                  </w:r>
                </w:p>
              </w:tc>
              <w:tc>
                <w:tcPr>
                  <w:tcW w:w="1616" w:type="dxa"/>
                  <w:vMerge w:val="continue"/>
                  <w:noWrap w:val="0"/>
                  <w:vAlign w:val="center"/>
                </w:tcPr>
                <w:p>
                  <w:pPr>
                    <w:pStyle w:val="30"/>
                    <w:bidi w:val="0"/>
                  </w:pPr>
                </w:p>
              </w:tc>
              <w:tc>
                <w:tcPr>
                  <w:tcW w:w="1876" w:type="dxa"/>
                  <w:vMerge w:val="continue"/>
                  <w:noWrap w:val="0"/>
                  <w:vAlign w:val="center"/>
                </w:tcPr>
                <w:p>
                  <w:pPr>
                    <w:pStyle w:val="30"/>
                    <w:bidi w:val="0"/>
                    <w:rPr>
                      <w:rFonts w:hint="eastAsia"/>
                      <w:lang w:eastAsia="zh-CN"/>
                    </w:rPr>
                  </w:pPr>
                </w:p>
              </w:tc>
              <w:tc>
                <w:tcPr>
                  <w:tcW w:w="1178" w:type="dxa"/>
                  <w:tcBorders>
                    <w:top w:val="single" w:color="000000" w:sz="6" w:space="0"/>
                  </w:tcBorders>
                  <w:noWrap w:val="0"/>
                  <w:vAlign w:val="center"/>
                </w:tcPr>
                <w:p>
                  <w:pPr>
                    <w:pStyle w:val="30"/>
                    <w:bidi w:val="0"/>
                    <w:rPr>
                      <w:rFonts w:hint="default"/>
                      <w:lang w:val="en-US" w:eastAsia="zh-CN"/>
                    </w:rPr>
                  </w:pPr>
                  <w:r>
                    <w:rPr>
                      <w:rFonts w:hint="eastAsia"/>
                      <w:lang w:val="en-US" w:eastAsia="zh-CN"/>
                    </w:rPr>
                    <w:t>1.0</w:t>
                  </w:r>
                </w:p>
              </w:tc>
              <w:tc>
                <w:tcPr>
                  <w:tcW w:w="911" w:type="dxa"/>
                  <w:tcBorders>
                    <w:top w:val="single" w:color="000000" w:sz="6" w:space="0"/>
                  </w:tcBorders>
                  <w:noWrap w:val="0"/>
                  <w:vAlign w:val="center"/>
                </w:tcPr>
                <w:p>
                  <w:pPr>
                    <w:pStyle w:val="30"/>
                    <w:bidi w:val="0"/>
                    <w:rPr>
                      <w:rFonts w:hint="default"/>
                      <w:lang w:val="en-US" w:eastAsia="zh-CN"/>
                    </w:rPr>
                  </w:pPr>
                  <w:r>
                    <w:rPr>
                      <w:rFonts w:hint="eastAsia"/>
                      <w:lang w:val="en-US" w:eastAsia="zh-CN"/>
                    </w:rPr>
                    <w:t>0.021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8678" w:type="dxa"/>
                  <w:gridSpan w:val="8"/>
                  <w:noWrap w:val="0"/>
                  <w:vAlign w:val="center"/>
                </w:tcPr>
                <w:p>
                  <w:pPr>
                    <w:pStyle w:val="30"/>
                    <w:bidi w:val="0"/>
                  </w:pPr>
                  <w:r>
                    <w:t>无组织排放总计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5" w:hRule="atLeast"/>
              </w:trPr>
              <w:tc>
                <w:tcPr>
                  <w:tcW w:w="1212" w:type="dxa"/>
                  <w:gridSpan w:val="2"/>
                  <w:vMerge w:val="restart"/>
                  <w:noWrap w:val="0"/>
                  <w:vAlign w:val="center"/>
                </w:tcPr>
                <w:p>
                  <w:pPr>
                    <w:pStyle w:val="30"/>
                    <w:bidi w:val="0"/>
                  </w:pPr>
                  <w:r>
                    <w:t>无组织排放总计</w:t>
                  </w:r>
                </w:p>
              </w:tc>
              <w:tc>
                <w:tcPr>
                  <w:tcW w:w="5377" w:type="dxa"/>
                  <w:gridSpan w:val="4"/>
                  <w:tcBorders>
                    <w:bottom w:val="single" w:color="000000" w:sz="6" w:space="0"/>
                  </w:tcBorders>
                  <w:noWrap w:val="0"/>
                  <w:vAlign w:val="center"/>
                </w:tcPr>
                <w:p>
                  <w:pPr>
                    <w:pStyle w:val="30"/>
                    <w:bidi w:val="0"/>
                    <w:rPr>
                      <w:rFonts w:hint="eastAsia"/>
                      <w:lang w:val="en-US" w:eastAsia="zh-CN"/>
                    </w:rPr>
                  </w:pPr>
                  <w:r>
                    <w:rPr>
                      <w:rFonts w:hint="eastAsia"/>
                      <w:lang w:val="en-US" w:eastAsia="zh-CN"/>
                    </w:rPr>
                    <w:t>H</w:t>
                  </w:r>
                  <w:r>
                    <w:rPr>
                      <w:rFonts w:hint="eastAsia"/>
                      <w:vertAlign w:val="subscript"/>
                      <w:lang w:val="en-US" w:eastAsia="zh-CN"/>
                    </w:rPr>
                    <w:t>2</w:t>
                  </w:r>
                  <w:r>
                    <w:rPr>
                      <w:rFonts w:hint="eastAsia"/>
                      <w:lang w:val="en-US" w:eastAsia="zh-CN"/>
                    </w:rPr>
                    <w:t>S</w:t>
                  </w:r>
                </w:p>
              </w:tc>
              <w:tc>
                <w:tcPr>
                  <w:tcW w:w="2089" w:type="dxa"/>
                  <w:gridSpan w:val="2"/>
                  <w:tcBorders>
                    <w:bottom w:val="single" w:color="000000" w:sz="6" w:space="0"/>
                  </w:tcBorders>
                  <w:noWrap w:val="0"/>
                  <w:vAlign w:val="center"/>
                </w:tcPr>
                <w:p>
                  <w:pPr>
                    <w:pStyle w:val="30"/>
                    <w:bidi w:val="0"/>
                    <w:rPr>
                      <w:rFonts w:hint="default"/>
                      <w:lang w:val="en-US" w:eastAsia="zh-CN"/>
                    </w:rPr>
                  </w:pPr>
                  <w:r>
                    <w:rPr>
                      <w:rFonts w:hint="eastAsia"/>
                      <w:lang w:val="en-US" w:eastAsia="zh-CN"/>
                    </w:rPr>
                    <w:t>0.0008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9" w:hRule="atLeast"/>
              </w:trPr>
              <w:tc>
                <w:tcPr>
                  <w:tcW w:w="1212" w:type="dxa"/>
                  <w:gridSpan w:val="2"/>
                  <w:vMerge w:val="continue"/>
                  <w:noWrap w:val="0"/>
                  <w:vAlign w:val="center"/>
                </w:tcPr>
                <w:p>
                  <w:pPr>
                    <w:pStyle w:val="30"/>
                    <w:bidi w:val="0"/>
                  </w:pPr>
                </w:p>
              </w:tc>
              <w:tc>
                <w:tcPr>
                  <w:tcW w:w="5377" w:type="dxa"/>
                  <w:gridSpan w:val="4"/>
                  <w:tcBorders>
                    <w:top w:val="single" w:color="000000" w:sz="6" w:space="0"/>
                  </w:tcBorders>
                  <w:noWrap w:val="0"/>
                  <w:vAlign w:val="center"/>
                </w:tcPr>
                <w:p>
                  <w:pPr>
                    <w:pStyle w:val="30"/>
                    <w:bidi w:val="0"/>
                    <w:rPr>
                      <w:rFonts w:hint="eastAsia"/>
                      <w:lang w:val="en-US" w:eastAsia="zh-CN"/>
                    </w:rPr>
                  </w:pPr>
                  <w:r>
                    <w:rPr>
                      <w:rFonts w:hint="eastAsia"/>
                      <w:lang w:val="en-US" w:eastAsia="zh-CN"/>
                    </w:rPr>
                    <w:t>NH</w:t>
                  </w:r>
                  <w:r>
                    <w:rPr>
                      <w:rFonts w:hint="eastAsia"/>
                      <w:vertAlign w:val="subscript"/>
                      <w:lang w:val="en-US" w:eastAsia="zh-CN"/>
                    </w:rPr>
                    <w:t>3</w:t>
                  </w:r>
                </w:p>
              </w:tc>
              <w:tc>
                <w:tcPr>
                  <w:tcW w:w="2089" w:type="dxa"/>
                  <w:gridSpan w:val="2"/>
                  <w:tcBorders>
                    <w:top w:val="single" w:color="000000" w:sz="6" w:space="0"/>
                  </w:tcBorders>
                  <w:noWrap w:val="0"/>
                  <w:vAlign w:val="center"/>
                </w:tcPr>
                <w:p>
                  <w:pPr>
                    <w:pStyle w:val="30"/>
                    <w:bidi w:val="0"/>
                    <w:rPr>
                      <w:rFonts w:hint="default"/>
                      <w:lang w:val="en-US" w:eastAsia="zh-CN"/>
                    </w:rPr>
                  </w:pPr>
                  <w:r>
                    <w:rPr>
                      <w:rFonts w:hint="eastAsia"/>
                      <w:lang w:val="en-US" w:eastAsia="zh-CN"/>
                    </w:rPr>
                    <w:t>0.021</w:t>
                  </w:r>
                </w:p>
              </w:tc>
            </w:tr>
          </w:tbl>
          <w:p>
            <w:pPr>
              <w:ind w:firstLine="480"/>
            </w:pPr>
            <w:r>
              <w:rPr>
                <w:rFonts w:hint="eastAsia"/>
              </w:rPr>
              <w:t>③项目大气污染物年排放总量核算</w:t>
            </w:r>
          </w:p>
          <w:p>
            <w:pPr>
              <w:pStyle w:val="29"/>
              <w:tabs>
                <w:tab w:val="left" w:pos="1021"/>
              </w:tabs>
              <w:rPr>
                <w:rFonts w:hint="eastAsia"/>
              </w:rPr>
            </w:pPr>
            <w:r>
              <w:rPr>
                <w:rFonts w:hint="eastAsia"/>
              </w:rPr>
              <w:t>表</w:t>
            </w:r>
            <w:r>
              <w:rPr>
                <w:rFonts w:hint="eastAsia"/>
                <w:lang w:val="en-US" w:eastAsia="zh-CN"/>
              </w:rPr>
              <w:t>4.2</w:t>
            </w:r>
            <w:r>
              <w:rPr>
                <w:rFonts w:hint="eastAsia"/>
              </w:rPr>
              <w:t>-</w:t>
            </w:r>
            <w:r>
              <w:rPr>
                <w:rFonts w:hint="eastAsia"/>
                <w:lang w:val="en-US" w:eastAsia="zh-CN"/>
              </w:rPr>
              <w:t>5</w:t>
            </w:r>
            <w:r>
              <w:rPr>
                <w:rFonts w:hint="eastAsia"/>
              </w:rPr>
              <w:t>项目大气污染物年排放量核算表</w:t>
            </w:r>
          </w:p>
          <w:tbl>
            <w:tblPr>
              <w:tblStyle w:val="27"/>
              <w:tblW w:w="868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7"/>
              <w:gridCol w:w="2451"/>
              <w:gridCol w:w="4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727" w:type="dxa"/>
                  <w:tcBorders>
                    <w:bottom w:val="single" w:color="000000" w:sz="6" w:space="0"/>
                    <w:right w:val="single" w:color="000000" w:sz="6" w:space="0"/>
                  </w:tcBorders>
                  <w:noWrap w:val="0"/>
                  <w:vAlign w:val="center"/>
                </w:tcPr>
                <w:p>
                  <w:pPr>
                    <w:pStyle w:val="30"/>
                    <w:jc w:val="center"/>
                    <w:rPr>
                      <w:rFonts w:hint="eastAsia"/>
                    </w:rPr>
                  </w:pPr>
                  <w:r>
                    <w:rPr>
                      <w:rFonts w:hint="eastAsia"/>
                    </w:rPr>
                    <w:t>序号</w:t>
                  </w:r>
                </w:p>
              </w:tc>
              <w:tc>
                <w:tcPr>
                  <w:tcW w:w="2451" w:type="dxa"/>
                  <w:tcBorders>
                    <w:left w:val="single" w:color="000000" w:sz="6" w:space="0"/>
                    <w:bottom w:val="single" w:color="000000" w:sz="6" w:space="0"/>
                    <w:right w:val="single" w:color="000000" w:sz="6" w:space="0"/>
                  </w:tcBorders>
                  <w:noWrap w:val="0"/>
                  <w:vAlign w:val="center"/>
                </w:tcPr>
                <w:p>
                  <w:pPr>
                    <w:pStyle w:val="30"/>
                    <w:jc w:val="center"/>
                    <w:rPr>
                      <w:rFonts w:hint="eastAsia"/>
                    </w:rPr>
                  </w:pPr>
                  <w:r>
                    <w:rPr>
                      <w:rFonts w:hint="eastAsia"/>
                    </w:rPr>
                    <w:t>污染物</w:t>
                  </w:r>
                </w:p>
              </w:tc>
              <w:tc>
                <w:tcPr>
                  <w:tcW w:w="4504" w:type="dxa"/>
                  <w:tcBorders>
                    <w:left w:val="single" w:color="000000" w:sz="6" w:space="0"/>
                    <w:bottom w:val="single" w:color="000000" w:sz="6" w:space="0"/>
                  </w:tcBorders>
                  <w:noWrap w:val="0"/>
                  <w:vAlign w:val="center"/>
                </w:tcPr>
                <w:p>
                  <w:pPr>
                    <w:pStyle w:val="30"/>
                    <w:jc w:val="center"/>
                    <w:rPr>
                      <w:rFonts w:hint="eastAsia"/>
                    </w:rPr>
                  </w:pPr>
                  <w:r>
                    <w:rPr>
                      <w:rFonts w:hint="eastAsia"/>
                    </w:rPr>
                    <w:t>年排放量（</w:t>
                  </w:r>
                  <w:r>
                    <w:t>t/a</w:t>
                  </w: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727" w:type="dxa"/>
                  <w:vMerge w:val="restart"/>
                  <w:tcBorders>
                    <w:top w:val="single" w:color="000000" w:sz="6" w:space="0"/>
                    <w:right w:val="single" w:color="000000" w:sz="6" w:space="0"/>
                  </w:tcBorders>
                  <w:noWrap w:val="0"/>
                  <w:vAlign w:val="center"/>
                </w:tcPr>
                <w:p>
                  <w:pPr>
                    <w:pStyle w:val="30"/>
                    <w:jc w:val="center"/>
                  </w:pPr>
                  <w:r>
                    <w:t>1</w:t>
                  </w:r>
                </w:p>
              </w:tc>
              <w:tc>
                <w:tcPr>
                  <w:tcW w:w="2451"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jc w:val="center"/>
                    <w:rPr>
                      <w:rFonts w:hint="eastAsia" w:ascii="Times New Roman" w:hAnsi="Times New Roman" w:eastAsia="宋体" w:cs="Times New Roman"/>
                      <w:kern w:val="0"/>
                      <w:sz w:val="21"/>
                      <w:szCs w:val="21"/>
                      <w:lang w:val="en-US" w:eastAsia="zh-CN" w:bidi="ar-SA"/>
                    </w:rPr>
                  </w:pPr>
                  <w:r>
                    <w:rPr>
                      <w:rFonts w:hint="eastAsia"/>
                      <w:lang w:val="en-US" w:eastAsia="zh-CN"/>
                    </w:rPr>
                    <w:t>H</w:t>
                  </w:r>
                  <w:r>
                    <w:rPr>
                      <w:rFonts w:hint="eastAsia"/>
                      <w:vertAlign w:val="subscript"/>
                      <w:lang w:val="en-US" w:eastAsia="zh-CN"/>
                    </w:rPr>
                    <w:t>2</w:t>
                  </w:r>
                  <w:r>
                    <w:rPr>
                      <w:rFonts w:hint="eastAsia"/>
                      <w:lang w:val="en-US" w:eastAsia="zh-CN"/>
                    </w:rPr>
                    <w:t>S</w:t>
                  </w:r>
                </w:p>
              </w:tc>
              <w:tc>
                <w:tcPr>
                  <w:tcW w:w="4504" w:type="dxa"/>
                  <w:tcBorders>
                    <w:top w:val="single" w:color="000000" w:sz="6" w:space="0"/>
                    <w:left w:val="single" w:color="000000" w:sz="6" w:space="0"/>
                    <w:bottom w:val="single" w:color="000000" w:sz="6" w:space="0"/>
                  </w:tcBorders>
                  <w:noWrap w:val="0"/>
                  <w:vAlign w:val="center"/>
                </w:tcPr>
                <w:p>
                  <w:pPr>
                    <w:pStyle w:val="30"/>
                    <w:jc w:val="center"/>
                    <w:rPr>
                      <w:rFonts w:hint="default" w:eastAsia="宋体"/>
                      <w:lang w:val="en-US" w:eastAsia="zh-CN"/>
                    </w:rPr>
                  </w:pPr>
                  <w:r>
                    <w:rPr>
                      <w:rFonts w:hint="eastAsia"/>
                      <w:lang w:val="en-US" w:eastAsia="zh-CN"/>
                    </w:rPr>
                    <w:t>0.0008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727" w:type="dxa"/>
                  <w:vMerge w:val="continue"/>
                  <w:tcBorders>
                    <w:right w:val="single" w:color="000000" w:sz="6" w:space="0"/>
                  </w:tcBorders>
                  <w:noWrap w:val="0"/>
                  <w:vAlign w:val="center"/>
                </w:tcPr>
                <w:p>
                  <w:pPr>
                    <w:pStyle w:val="30"/>
                    <w:jc w:val="center"/>
                  </w:pPr>
                </w:p>
              </w:tc>
              <w:tc>
                <w:tcPr>
                  <w:tcW w:w="2451"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jc w:val="center"/>
                    <w:rPr>
                      <w:rFonts w:hint="eastAsia" w:ascii="Times New Roman" w:hAnsi="Times New Roman" w:eastAsia="宋体" w:cs="Times New Roman"/>
                      <w:kern w:val="0"/>
                      <w:sz w:val="21"/>
                      <w:szCs w:val="21"/>
                      <w:lang w:val="en-US" w:eastAsia="zh-CN" w:bidi="ar-SA"/>
                    </w:rPr>
                  </w:pPr>
                  <w:r>
                    <w:rPr>
                      <w:rFonts w:hint="eastAsia"/>
                      <w:lang w:val="en-US" w:eastAsia="zh-CN"/>
                    </w:rPr>
                    <w:t>NH</w:t>
                  </w:r>
                  <w:r>
                    <w:rPr>
                      <w:rFonts w:hint="eastAsia"/>
                      <w:vertAlign w:val="subscript"/>
                      <w:lang w:val="en-US" w:eastAsia="zh-CN"/>
                    </w:rPr>
                    <w:t>3</w:t>
                  </w:r>
                </w:p>
              </w:tc>
              <w:tc>
                <w:tcPr>
                  <w:tcW w:w="4504" w:type="dxa"/>
                  <w:tcBorders>
                    <w:top w:val="single" w:color="000000" w:sz="6" w:space="0"/>
                    <w:left w:val="single" w:color="000000" w:sz="6" w:space="0"/>
                    <w:bottom w:val="single" w:color="000000" w:sz="6" w:space="0"/>
                  </w:tcBorders>
                  <w:noWrap w:val="0"/>
                  <w:vAlign w:val="center"/>
                </w:tcPr>
                <w:p>
                  <w:pPr>
                    <w:pStyle w:val="30"/>
                    <w:jc w:val="center"/>
                    <w:rPr>
                      <w:rFonts w:hint="default" w:eastAsia="宋体"/>
                      <w:lang w:val="en-US" w:eastAsia="zh-CN"/>
                    </w:rPr>
                  </w:pPr>
                  <w:r>
                    <w:rPr>
                      <w:rFonts w:hint="eastAsia"/>
                      <w:lang w:val="en-US" w:eastAsia="zh-CN"/>
                    </w:rPr>
                    <w:t>0.021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727" w:type="dxa"/>
                  <w:tcBorders>
                    <w:bottom w:val="single" w:color="000000" w:sz="6" w:space="0"/>
                    <w:right w:val="single" w:color="000000" w:sz="6" w:space="0"/>
                  </w:tcBorders>
                  <w:noWrap w:val="0"/>
                  <w:vAlign w:val="center"/>
                </w:tcPr>
                <w:p>
                  <w:pPr>
                    <w:pStyle w:val="30"/>
                    <w:jc w:val="center"/>
                    <w:rPr>
                      <w:rFonts w:hint="eastAsia" w:eastAsia="宋体"/>
                      <w:lang w:val="en-US" w:eastAsia="zh-CN"/>
                    </w:rPr>
                  </w:pPr>
                  <w:r>
                    <w:rPr>
                      <w:rFonts w:hint="eastAsia"/>
                      <w:lang w:val="en-US" w:eastAsia="zh-CN"/>
                    </w:rPr>
                    <w:t>2</w:t>
                  </w:r>
                </w:p>
              </w:tc>
              <w:tc>
                <w:tcPr>
                  <w:tcW w:w="2451"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jc w:val="center"/>
                    <w:rPr>
                      <w:rFonts w:hint="eastAsia"/>
                      <w:lang w:val="en-US" w:eastAsia="zh-CN"/>
                    </w:rPr>
                  </w:pPr>
                  <w:r>
                    <w:t>油烟</w:t>
                  </w:r>
                </w:p>
              </w:tc>
              <w:tc>
                <w:tcPr>
                  <w:tcW w:w="4504" w:type="dxa"/>
                  <w:tcBorders>
                    <w:top w:val="single" w:color="000000" w:sz="6" w:space="0"/>
                    <w:left w:val="single" w:color="000000" w:sz="6" w:space="0"/>
                    <w:bottom w:val="single" w:color="000000" w:sz="6" w:space="0"/>
                  </w:tcBorders>
                  <w:noWrap w:val="0"/>
                  <w:vAlign w:val="center"/>
                </w:tcPr>
                <w:p>
                  <w:pPr>
                    <w:pStyle w:val="30"/>
                    <w:jc w:val="center"/>
                    <w:rPr>
                      <w:rFonts w:hint="default"/>
                      <w:lang w:val="en-US" w:eastAsia="zh-CN"/>
                    </w:rPr>
                  </w:pPr>
                  <w:r>
                    <w:rPr>
                      <w:rFonts w:hint="eastAsia"/>
                      <w:lang w:val="en-US" w:eastAsia="zh-CN"/>
                    </w:rPr>
                    <w:t>0.023</w:t>
                  </w:r>
                </w:p>
              </w:tc>
            </w:tr>
          </w:tbl>
          <w:p>
            <w:pPr>
              <w:pStyle w:val="12"/>
              <w:bidi w:val="0"/>
            </w:pPr>
            <w:r>
              <w:rPr>
                <w:rFonts w:hint="eastAsia"/>
                <w:lang w:val="en-US" w:eastAsia="zh-CN"/>
              </w:rPr>
              <w:t xml:space="preserve">1.3环保措施及达标排放分析 </w:t>
            </w:r>
          </w:p>
          <w:p>
            <w:pPr>
              <w:pStyle w:val="12"/>
              <w:bidi w:val="0"/>
            </w:pPr>
            <w:r>
              <w:rPr>
                <w:rFonts w:hint="eastAsia"/>
                <w:lang w:val="en-US" w:eastAsia="zh-CN"/>
              </w:rPr>
              <w:t>（</w:t>
            </w:r>
            <w:r>
              <w:rPr>
                <w:rFonts w:hint="default"/>
                <w:lang w:val="en-US" w:eastAsia="zh-CN"/>
              </w:rPr>
              <w:t>1</w:t>
            </w:r>
            <w:r>
              <w:rPr>
                <w:rFonts w:hint="eastAsia"/>
                <w:lang w:val="en-US" w:eastAsia="zh-CN"/>
              </w:rPr>
              <w:t xml:space="preserve">）柴油发电机废气 </w:t>
            </w:r>
          </w:p>
          <w:p>
            <w:pPr>
              <w:pStyle w:val="12"/>
              <w:bidi w:val="0"/>
              <w:rPr>
                <w:lang w:val="en-US" w:eastAsia="zh-CN"/>
              </w:rPr>
            </w:pPr>
            <w:r>
              <w:rPr>
                <w:lang w:val="en-US" w:eastAsia="zh-CN"/>
              </w:rPr>
              <w:t>本项目设1台</w:t>
            </w:r>
            <w:r>
              <w:rPr>
                <w:rFonts w:hint="eastAsia"/>
                <w:lang w:val="en-US" w:eastAsia="zh-CN"/>
              </w:rPr>
              <w:t>30</w:t>
            </w:r>
            <w:r>
              <w:rPr>
                <w:lang w:val="en-US" w:eastAsia="zh-CN"/>
              </w:rPr>
              <w:t>0kw 柴油发电机，置于专用的发电机房内，仅停电时临时使用，采用0#柴油作为燃料，主要污染物为烟尘、HC、SO</w:t>
            </w:r>
            <w:r>
              <w:rPr>
                <w:vertAlign w:val="subscript"/>
                <w:lang w:val="en-US" w:eastAsia="zh-CN"/>
              </w:rPr>
              <w:t>2</w:t>
            </w:r>
            <w:r>
              <w:rPr>
                <w:lang w:val="en-US" w:eastAsia="zh-CN"/>
              </w:rPr>
              <w:t>、NOx等。0#柴油燃烧产生的废气污染物量较少，且发电机使用频率较低</w:t>
            </w:r>
            <w:r>
              <w:rPr>
                <w:rFonts w:hint="eastAsia"/>
                <w:lang w:val="en-US" w:eastAsia="zh-CN"/>
              </w:rPr>
              <w:t>。项目</w:t>
            </w:r>
            <w:r>
              <w:rPr>
                <w:lang w:val="en-US" w:eastAsia="zh-CN"/>
              </w:rPr>
              <w:t>严格按照要求操作，控制好燃烧状况，</w:t>
            </w:r>
            <w:r>
              <w:rPr>
                <w:rFonts w:hint="eastAsia"/>
                <w:lang w:val="en-US" w:eastAsia="zh-CN"/>
              </w:rPr>
              <w:t>选用</w:t>
            </w:r>
            <w:r>
              <w:rPr>
                <w:lang w:val="en-US" w:eastAsia="zh-CN"/>
              </w:rPr>
              <w:t>符合国家环保要求的发电机设备，废气通过专用烟道引排至室外，对大气环境影响较小。</w:t>
            </w:r>
          </w:p>
          <w:p>
            <w:pPr>
              <w:pStyle w:val="12"/>
              <w:bidi w:val="0"/>
              <w:rPr>
                <w:lang w:val="en-US" w:eastAsia="zh-CN"/>
              </w:rPr>
            </w:pPr>
            <w:r>
              <w:rPr>
                <w:rFonts w:hint="eastAsia"/>
                <w:lang w:val="en-US" w:eastAsia="zh-CN"/>
              </w:rPr>
              <w:t>（2）</w:t>
            </w:r>
            <w:r>
              <w:rPr>
                <w:lang w:val="en-US" w:eastAsia="zh-CN"/>
              </w:rPr>
              <w:t>汽车尾气</w:t>
            </w:r>
          </w:p>
          <w:p>
            <w:pPr>
              <w:pStyle w:val="12"/>
              <w:bidi w:val="0"/>
              <w:rPr>
                <w:lang w:val="en-US" w:eastAsia="zh-CN"/>
              </w:rPr>
            </w:pPr>
            <w:r>
              <w:rPr>
                <w:lang w:val="en-US" w:eastAsia="zh-CN"/>
              </w:rPr>
              <w:t>机动车进出时将排放一定量的CO、NOx、HC。地面停车场的汽车尾气主要通过无组织排放到大气中，地下停车场的汽车尾气则通过通风换气系统排出车库外。为保证地下车库的空气质量，需在车库内安装换气风机，负责排除污浊空气及送入新鲜空气，并在地面上设置有通风口。项目地下停车场的换气系统按每小时换气不低于6次设计，采用大功率的换气风机，地下停车场的排风引至地面排放，排放口应尽可能设于下风向，排风口四围做好绿化措施，排风口不应朝向邻近建筑物和人行通道，排风口离室外地坪高度为1m，并应作消声处理。</w:t>
            </w:r>
          </w:p>
          <w:p>
            <w:pPr>
              <w:pStyle w:val="12"/>
              <w:bidi w:val="0"/>
              <w:rPr>
                <w:lang w:val="en-US" w:eastAsia="zh-CN"/>
              </w:rPr>
            </w:pPr>
            <w:r>
              <w:rPr>
                <w:lang w:val="en-US" w:eastAsia="zh-CN"/>
              </w:rPr>
              <w:t>除此之外，项目还应采取以下的机动车尾气防治措施：</w:t>
            </w:r>
          </w:p>
          <w:p>
            <w:pPr>
              <w:pStyle w:val="12"/>
              <w:bidi w:val="0"/>
              <w:rPr>
                <w:lang w:val="en-US" w:eastAsia="zh-CN"/>
              </w:rPr>
            </w:pPr>
            <w:r>
              <w:rPr>
                <w:rFonts w:hint="eastAsia"/>
                <w:lang w:val="en-US" w:eastAsia="zh-CN"/>
              </w:rPr>
              <w:t>a、</w:t>
            </w:r>
            <w:r>
              <w:rPr>
                <w:lang w:val="en-US" w:eastAsia="ja-JP"/>
              </w:rPr>
              <w:t>采取合理的措施疏导进校机动车，尽量减少尾气排放</w:t>
            </w:r>
            <w:r>
              <w:rPr>
                <w:lang w:val="en-US" w:eastAsia="zh-CN"/>
              </w:rPr>
              <w:t>。</w:t>
            </w:r>
          </w:p>
          <w:p>
            <w:pPr>
              <w:pStyle w:val="12"/>
              <w:bidi w:val="0"/>
              <w:rPr>
                <w:lang w:val="en-US" w:eastAsia="zh-CN"/>
              </w:rPr>
            </w:pPr>
            <w:r>
              <w:rPr>
                <w:rFonts w:hint="eastAsia"/>
                <w:lang w:val="en-US" w:eastAsia="zh-CN"/>
              </w:rPr>
              <w:t>b、</w:t>
            </w:r>
            <w:r>
              <w:rPr>
                <w:lang w:val="en-US" w:eastAsia="zh-CN"/>
              </w:rPr>
              <w:t>合理规划车场内机动车车流方向和建筑物布局，使之有利于机动车尾气的扩散。</w:t>
            </w:r>
          </w:p>
          <w:p>
            <w:pPr>
              <w:pStyle w:val="12"/>
              <w:bidi w:val="0"/>
              <w:rPr>
                <w:lang w:val="en-US" w:eastAsia="zh-CN"/>
              </w:rPr>
            </w:pPr>
            <w:r>
              <w:rPr>
                <w:rFonts w:hint="eastAsia"/>
                <w:lang w:val="en-US" w:eastAsia="zh-CN"/>
              </w:rPr>
              <w:t>c、</w:t>
            </w:r>
            <w:r>
              <w:rPr>
                <w:lang w:val="en-US" w:eastAsia="zh-CN"/>
              </w:rPr>
              <w:t>在建项目周围加强绿化，充分利用植被有既美化环境和净化机动车尾气等废气的作用，选种吸收废气效果较好的树种，以达到净化环境的作用。</w:t>
            </w:r>
          </w:p>
          <w:p>
            <w:pPr>
              <w:pStyle w:val="12"/>
              <w:bidi w:val="0"/>
              <w:rPr>
                <w:lang w:val="en-US" w:eastAsia="zh-CN"/>
              </w:rPr>
            </w:pPr>
            <w:r>
              <w:rPr>
                <w:lang w:val="en-US" w:eastAsia="zh-CN"/>
              </w:rPr>
              <w:t>通过落实上述措施，本项目可降低汽车尾气对周边环境的影响，使其环境影响可以接受。</w:t>
            </w:r>
          </w:p>
          <w:p>
            <w:pPr>
              <w:pStyle w:val="12"/>
              <w:bidi w:val="0"/>
              <w:rPr>
                <w:rFonts w:hint="eastAsia"/>
                <w:lang w:val="en-US" w:eastAsia="zh-CN"/>
              </w:rPr>
            </w:pPr>
            <w:r>
              <w:rPr>
                <w:rFonts w:hint="eastAsia"/>
                <w:lang w:val="en-US" w:eastAsia="zh-CN"/>
              </w:rPr>
              <w:t xml:space="preserve">（3）污水处理站运行恶臭 </w:t>
            </w:r>
          </w:p>
          <w:p>
            <w:pPr>
              <w:pStyle w:val="12"/>
              <w:bidi w:val="0"/>
              <w:rPr>
                <w:lang w:val="en-US"/>
              </w:rPr>
            </w:pPr>
            <w:r>
              <w:rPr>
                <w:rFonts w:hint="eastAsia"/>
                <w:lang w:eastAsia="zh-CN"/>
              </w:rPr>
              <w:t>依</w:t>
            </w:r>
            <w:r>
              <w:t>据</w:t>
            </w:r>
            <w:r>
              <w:rPr>
                <w:lang w:val="en-US"/>
              </w:rPr>
              <w:t>《医院污水处理工程技术规范》中废气处理工艺有关要求及</w:t>
            </w:r>
            <w:r>
              <w:rPr>
                <w:rFonts w:hint="eastAsia"/>
                <w:lang w:val="en-US" w:eastAsia="zh-CN"/>
              </w:rPr>
              <w:t>建设方提供的资料</w:t>
            </w:r>
            <w:r>
              <w:rPr>
                <w:lang w:val="en-US"/>
              </w:rPr>
              <w:t>，为了防止病毒从医院水处理构筑物表面挥发到大气中而造成病毒的二次传播污染，项目采用医疗</w:t>
            </w:r>
            <w:r>
              <w:rPr>
                <w:rFonts w:hint="eastAsia"/>
                <w:lang w:val="en-US" w:eastAsia="zh-CN"/>
              </w:rPr>
              <w:t>污</w:t>
            </w:r>
            <w:r>
              <w:rPr>
                <w:lang w:val="en-US"/>
              </w:rPr>
              <w:t>水处理器对项目污水进行处理，该处理器在运行过程中为全封闭式运行。在</w:t>
            </w:r>
            <w:r>
              <w:rPr>
                <w:rFonts w:hint="eastAsia"/>
                <w:lang w:val="en-US" w:eastAsia="zh-CN"/>
              </w:rPr>
              <w:t>污水处理站</w:t>
            </w:r>
            <w:r>
              <w:rPr>
                <w:lang w:val="en-US"/>
              </w:rPr>
              <w:t>在做好封闭、通风设施（</w:t>
            </w:r>
            <w:r>
              <w:rPr>
                <w:rFonts w:hint="eastAsia"/>
                <w:lang w:val="en-US" w:eastAsia="zh-CN"/>
              </w:rPr>
              <w:t>污水处理站</w:t>
            </w:r>
            <w:r>
              <w:rPr>
                <w:lang w:val="en-US"/>
              </w:rPr>
              <w:t>预留有废气出气口），并加强管理的基础上，</w:t>
            </w:r>
            <w:r>
              <w:rPr>
                <w:rFonts w:hint="eastAsia"/>
                <w:lang w:val="en-US" w:eastAsia="zh-CN"/>
              </w:rPr>
              <w:t>污</w:t>
            </w:r>
            <w:r>
              <w:rPr>
                <w:lang w:val="en-US"/>
              </w:rPr>
              <w:t>水处理站恶臭不会对周围产生明显影响，</w:t>
            </w:r>
            <w:r>
              <w:rPr>
                <w:rFonts w:hint="eastAsia"/>
                <w:lang w:val="en-US" w:eastAsia="zh-CN"/>
              </w:rPr>
              <w:t>污水处理站</w:t>
            </w:r>
            <w:r>
              <w:rPr>
                <w:lang w:val="en-US"/>
              </w:rPr>
              <w:t>恶臭污染物排放可以满足《医疗机构水污染物排放标准》（GB18466-2005）表3—污水处理站周边大气污最高允许浓度标准要求（氨≤1.0mg/m³，硫化氢≤0.03mg/m³）。</w:t>
            </w:r>
          </w:p>
          <w:p>
            <w:pPr>
              <w:pStyle w:val="12"/>
              <w:bidi w:val="0"/>
            </w:pPr>
            <w:r>
              <w:rPr>
                <w:lang w:val="zh-CN"/>
              </w:rPr>
              <w:t>根据《排污许可证申请与核</w:t>
            </w:r>
            <w:r>
              <w:t>发技术规范 医疗机构》</w:t>
            </w:r>
            <w:r>
              <w:rPr>
                <w:rFonts w:hint="eastAsia"/>
                <w:lang w:eastAsia="zh-CN"/>
              </w:rPr>
              <w:t>（</w:t>
            </w:r>
            <w:r>
              <w:t>HJ 1105</w:t>
            </w:r>
            <w:r>
              <w:rPr>
                <w:rFonts w:hint="eastAsia"/>
              </w:rPr>
              <w:t>-</w:t>
            </w:r>
            <w:r>
              <w:t>2020</w:t>
            </w:r>
            <w:r>
              <w:rPr>
                <w:rFonts w:hint="eastAsia"/>
                <w:lang w:eastAsia="zh-CN"/>
              </w:rPr>
              <w:t>）</w:t>
            </w:r>
            <w:r>
              <w:t>附录A表 A.1 医疗机构排污单位废气治理可行技术参照表中污水处理站无组织排放，产生恶臭区域加罩或加盖，投放除臭剂为可行技术</w:t>
            </w:r>
            <w:r>
              <w:rPr>
                <w:rFonts w:hint="eastAsia"/>
              </w:rPr>
              <w:t>。</w:t>
            </w:r>
            <w:r>
              <w:t>因此项目</w:t>
            </w:r>
            <w:r>
              <w:rPr>
                <w:rFonts w:hint="eastAsia"/>
              </w:rPr>
              <w:t>污水处理站</w:t>
            </w:r>
            <w:r>
              <w:t>采用</w:t>
            </w:r>
            <w:r>
              <w:rPr>
                <w:rFonts w:hint="eastAsia"/>
              </w:rPr>
              <w:t>密闭构筑物+</w:t>
            </w:r>
            <w:r>
              <w:t>投放除臭剂除臭为可行技术。</w:t>
            </w:r>
          </w:p>
          <w:p>
            <w:pPr>
              <w:pStyle w:val="12"/>
              <w:bidi w:val="0"/>
              <w:rPr>
                <w:rFonts w:hint="eastAsia"/>
              </w:rPr>
            </w:pPr>
            <w:r>
              <w:rPr>
                <w:rFonts w:hint="eastAsia"/>
                <w:lang w:eastAsia="zh-CN"/>
              </w:rPr>
              <w:t>（</w:t>
            </w:r>
            <w:r>
              <w:rPr>
                <w:rFonts w:hint="eastAsia"/>
                <w:lang w:val="en-US" w:eastAsia="zh-CN"/>
              </w:rPr>
              <w:t>4）</w:t>
            </w:r>
            <w:r>
              <w:rPr>
                <w:rFonts w:hint="eastAsia"/>
              </w:rPr>
              <w:t>煎药室异味</w:t>
            </w:r>
          </w:p>
          <w:p>
            <w:pPr>
              <w:pStyle w:val="12"/>
              <w:bidi w:val="0"/>
            </w:pPr>
            <w:r>
              <w:rPr>
                <w:rFonts w:hint="eastAsia"/>
              </w:rPr>
              <w:t xml:space="preserve"> 项目煎药时产生少量异味的气体</w:t>
            </w:r>
            <w:r>
              <w:rPr>
                <w:rFonts w:hint="eastAsia"/>
                <w:lang w:eastAsia="zh-CN"/>
              </w:rPr>
              <w:t>，本项目</w:t>
            </w:r>
            <w:r>
              <w:rPr>
                <w:rFonts w:hint="eastAsia"/>
              </w:rPr>
              <w:t>中药熬药室房间内不设置窗户，熬药期间房间门处于关闭状态，拟建抽风系统将异味</w:t>
            </w:r>
            <w:r>
              <w:rPr>
                <w:rFonts w:hint="eastAsia"/>
                <w:lang w:val="en-US" w:eastAsia="zh-CN"/>
              </w:rPr>
              <w:t>通过</w:t>
            </w:r>
            <w:r>
              <w:rPr>
                <w:lang w:val="en-US" w:eastAsia="zh-CN"/>
              </w:rPr>
              <w:t>通过专用烟道引排至</w:t>
            </w:r>
            <w:r>
              <w:rPr>
                <w:rFonts w:hint="eastAsia"/>
                <w:lang w:val="en-US" w:eastAsia="zh-CN"/>
              </w:rPr>
              <w:t>楼顶</w:t>
            </w:r>
            <w:r>
              <w:rPr>
                <w:rFonts w:hint="eastAsia"/>
              </w:rPr>
              <w:t>排放，</w:t>
            </w:r>
            <w:r>
              <w:rPr>
                <w:rFonts w:hint="eastAsia"/>
                <w:lang w:eastAsia="zh-CN"/>
              </w:rPr>
              <w:t>对周围环境影响很小</w:t>
            </w:r>
            <w:r>
              <w:rPr>
                <w:rFonts w:hint="eastAsia"/>
              </w:rPr>
              <w:t>。</w:t>
            </w:r>
          </w:p>
          <w:p>
            <w:pPr>
              <w:pStyle w:val="12"/>
              <w:bidi w:val="0"/>
            </w:pPr>
            <w:r>
              <w:rPr>
                <w:rFonts w:hint="eastAsia"/>
                <w:lang w:val="en-US" w:eastAsia="zh-CN"/>
              </w:rPr>
              <w:t>（5）食堂油烟</w:t>
            </w:r>
          </w:p>
          <w:p>
            <w:pPr>
              <w:pStyle w:val="12"/>
              <w:bidi w:val="0"/>
            </w:pPr>
            <w:r>
              <w:rPr>
                <w:rFonts w:hint="eastAsia"/>
                <w:lang w:val="en-US" w:eastAsia="zh-CN"/>
              </w:rPr>
              <w:t>项目在食堂内设置吸油烟罩将油烟进行收集，并采用油烟净化设备进行油烟处理，净化效率大于</w:t>
            </w:r>
            <w:r>
              <w:rPr>
                <w:rFonts w:hint="default"/>
                <w:lang w:val="en-US" w:eastAsia="zh-CN"/>
              </w:rPr>
              <w:t>8</w:t>
            </w:r>
            <w:r>
              <w:rPr>
                <w:rFonts w:hint="eastAsia"/>
                <w:lang w:val="en-US" w:eastAsia="zh-CN"/>
              </w:rPr>
              <w:t>5</w:t>
            </w:r>
            <w:r>
              <w:rPr>
                <w:rFonts w:hint="default"/>
                <w:lang w:val="en-US" w:eastAsia="zh-CN"/>
              </w:rPr>
              <w:t>%</w:t>
            </w:r>
            <w:r>
              <w:rPr>
                <w:rFonts w:hint="eastAsia"/>
                <w:lang w:val="en-US" w:eastAsia="zh-CN"/>
              </w:rPr>
              <w:t>，可保证油烟排放浓度降至</w:t>
            </w:r>
            <w:r>
              <w:rPr>
                <w:rFonts w:hint="default"/>
                <w:lang w:val="en-US" w:eastAsia="zh-CN"/>
              </w:rPr>
              <w:t>2mg/m³</w:t>
            </w:r>
            <w:r>
              <w:rPr>
                <w:rFonts w:hint="eastAsia"/>
                <w:lang w:val="en-US" w:eastAsia="zh-CN"/>
              </w:rPr>
              <w:t>以下而达标排放。食堂油烟废气通过设置抽排风设施、油烟净化器，从食堂所在楼栋顶部排放，确保烟气排放达到《饮食业油烟排放标准》 （</w:t>
            </w:r>
            <w:r>
              <w:rPr>
                <w:rFonts w:hint="default"/>
                <w:lang w:val="en-US" w:eastAsia="zh-CN"/>
              </w:rPr>
              <w:t>GB18483-2001</w:t>
            </w:r>
            <w:r>
              <w:rPr>
                <w:rFonts w:hint="eastAsia"/>
                <w:lang w:val="en-US" w:eastAsia="zh-CN"/>
              </w:rPr>
              <w:t>）的要求。</w:t>
            </w:r>
          </w:p>
          <w:p>
            <w:pPr>
              <w:pStyle w:val="12"/>
              <w:bidi w:val="0"/>
            </w:pPr>
            <w:r>
              <w:t>综上所述，本项目产生的大气污染物通过本环评中的治理措施处理后能达到排放标准，对环境影响较小。</w:t>
            </w:r>
          </w:p>
          <w:p>
            <w:pPr>
              <w:pStyle w:val="12"/>
              <w:bidi w:val="0"/>
            </w:pPr>
            <w:r>
              <w:rPr>
                <w:rFonts w:hint="eastAsia"/>
              </w:rPr>
              <w:t>1.4监测要求</w:t>
            </w:r>
          </w:p>
          <w:p>
            <w:pPr>
              <w:pStyle w:val="12"/>
              <w:bidi w:val="0"/>
            </w:pPr>
            <w:r>
              <w:rPr>
                <w:rFonts w:hint="eastAsia"/>
                <w:lang w:val="en-GB"/>
              </w:rPr>
              <w:t>建设单位废气污染源应依据《排污单位自行监测技术指南总则》</w:t>
            </w:r>
            <w:r>
              <w:rPr>
                <w:rFonts w:hint="eastAsia"/>
                <w:lang w:val="en-GB" w:eastAsia="zh-CN"/>
              </w:rPr>
              <w:t>（</w:t>
            </w:r>
            <w:r>
              <w:rPr>
                <w:rFonts w:hint="eastAsia"/>
                <w:lang w:val="en-GB"/>
              </w:rPr>
              <w:t>HJ819-2017</w:t>
            </w:r>
            <w:r>
              <w:rPr>
                <w:rFonts w:hint="eastAsia"/>
                <w:lang w:val="en-GB" w:eastAsia="zh-CN"/>
              </w:rPr>
              <w:t>）</w:t>
            </w:r>
            <w:r>
              <w:rPr>
                <w:rFonts w:hint="eastAsia"/>
                <w:lang w:val="en-GB"/>
              </w:rPr>
              <w:t>、《排污许可证申请与核发技术规范 医疗机构》</w:t>
            </w:r>
            <w:r>
              <w:rPr>
                <w:rFonts w:hint="eastAsia"/>
                <w:lang w:val="en-GB" w:eastAsia="zh-CN"/>
              </w:rPr>
              <w:t>（</w:t>
            </w:r>
            <w:r>
              <w:rPr>
                <w:rFonts w:hint="eastAsia"/>
                <w:lang w:val="en-GB"/>
              </w:rPr>
              <w:t>HJ 1105-2020</w:t>
            </w:r>
            <w:r>
              <w:rPr>
                <w:rFonts w:hint="eastAsia"/>
                <w:lang w:val="en-GB" w:eastAsia="zh-CN"/>
              </w:rPr>
              <w:t>）</w:t>
            </w:r>
            <w:r>
              <w:rPr>
                <w:rFonts w:hint="eastAsia"/>
                <w:lang w:val="en-GB"/>
              </w:rPr>
              <w:t>等要求开展自行监测</w:t>
            </w:r>
            <w:r>
              <w:rPr>
                <w:rFonts w:hint="eastAsia"/>
                <w:lang w:val="en-US" w:eastAsia="zh-CN"/>
              </w:rPr>
              <w:t>，监测计划如下表</w:t>
            </w:r>
            <w:r>
              <w:rPr>
                <w:rFonts w:hint="eastAsia"/>
              </w:rPr>
              <w:t>：</w:t>
            </w:r>
          </w:p>
          <w:p>
            <w:pPr>
              <w:pStyle w:val="29"/>
              <w:rPr>
                <w:rFonts w:hint="eastAsia"/>
              </w:rPr>
            </w:pPr>
            <w:r>
              <w:rPr>
                <w:rFonts w:hint="eastAsia"/>
              </w:rPr>
              <w:t>表4.2-</w:t>
            </w:r>
            <w:r>
              <w:rPr>
                <w:rFonts w:hint="eastAsia"/>
                <w:lang w:val="en-US" w:eastAsia="zh-CN"/>
              </w:rPr>
              <w:t>6</w:t>
            </w:r>
            <w:r>
              <w:rPr>
                <w:rFonts w:hint="eastAsia"/>
              </w:rPr>
              <w:t xml:space="preserve"> 建设项目废气监测要求</w:t>
            </w:r>
          </w:p>
          <w:tbl>
            <w:tblPr>
              <w:tblStyle w:val="27"/>
              <w:tblW w:w="86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2"/>
              <w:gridCol w:w="1163"/>
              <w:gridCol w:w="2095"/>
              <w:gridCol w:w="1356"/>
              <w:gridCol w:w="3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22" w:type="dxa"/>
                  <w:noWrap w:val="0"/>
                  <w:vAlign w:val="center"/>
                </w:tcPr>
                <w:p>
                  <w:pPr>
                    <w:pStyle w:val="30"/>
                    <w:bidi w:val="0"/>
                    <w:jc w:val="center"/>
                    <w:rPr>
                      <w:rFonts w:hint="eastAsia"/>
                      <w:lang w:eastAsia="zh-CN"/>
                    </w:rPr>
                  </w:pPr>
                  <w:r>
                    <w:rPr>
                      <w:rFonts w:hint="eastAsia"/>
                      <w:lang w:eastAsia="zh-CN"/>
                    </w:rPr>
                    <w:t>排放等式</w:t>
                  </w:r>
                </w:p>
              </w:tc>
              <w:tc>
                <w:tcPr>
                  <w:tcW w:w="1163" w:type="dxa"/>
                  <w:noWrap w:val="0"/>
                  <w:vAlign w:val="center"/>
                </w:tcPr>
                <w:p>
                  <w:pPr>
                    <w:pStyle w:val="30"/>
                    <w:bidi w:val="0"/>
                    <w:jc w:val="center"/>
                    <w:rPr>
                      <w:rFonts w:hint="eastAsia"/>
                    </w:rPr>
                  </w:pPr>
                  <w:r>
                    <w:rPr>
                      <w:rFonts w:hint="eastAsia"/>
                    </w:rPr>
                    <w:t>监测点位</w:t>
                  </w:r>
                </w:p>
              </w:tc>
              <w:tc>
                <w:tcPr>
                  <w:tcW w:w="2095" w:type="dxa"/>
                  <w:noWrap w:val="0"/>
                  <w:vAlign w:val="center"/>
                </w:tcPr>
                <w:p>
                  <w:pPr>
                    <w:pStyle w:val="30"/>
                    <w:bidi w:val="0"/>
                    <w:jc w:val="center"/>
                    <w:rPr>
                      <w:rFonts w:hint="eastAsia"/>
                    </w:rPr>
                  </w:pPr>
                  <w:r>
                    <w:rPr>
                      <w:rFonts w:hint="eastAsia"/>
                    </w:rPr>
                    <w:t>监测项目</w:t>
                  </w:r>
                </w:p>
              </w:tc>
              <w:tc>
                <w:tcPr>
                  <w:tcW w:w="1356" w:type="dxa"/>
                  <w:noWrap w:val="0"/>
                  <w:vAlign w:val="center"/>
                </w:tcPr>
                <w:p>
                  <w:pPr>
                    <w:pStyle w:val="30"/>
                    <w:bidi w:val="0"/>
                    <w:jc w:val="center"/>
                    <w:rPr>
                      <w:rFonts w:hint="eastAsia"/>
                    </w:rPr>
                  </w:pPr>
                  <w:r>
                    <w:rPr>
                      <w:rFonts w:hint="eastAsia"/>
                    </w:rPr>
                    <w:t>监测频率</w:t>
                  </w:r>
                </w:p>
              </w:tc>
              <w:tc>
                <w:tcPr>
                  <w:tcW w:w="3340" w:type="dxa"/>
                  <w:noWrap w:val="0"/>
                  <w:vAlign w:val="center"/>
                </w:tcPr>
                <w:p>
                  <w:pPr>
                    <w:pStyle w:val="30"/>
                    <w:bidi w:val="0"/>
                    <w:jc w:val="center"/>
                    <w:rPr>
                      <w:rFonts w:hint="eastAsia"/>
                    </w:rPr>
                  </w:pPr>
                  <w: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22" w:type="dxa"/>
                  <w:noWrap w:val="0"/>
                  <w:vAlign w:val="center"/>
                </w:tcPr>
                <w:p>
                  <w:pPr>
                    <w:pStyle w:val="30"/>
                    <w:bidi w:val="0"/>
                    <w:jc w:val="center"/>
                    <w:rPr>
                      <w:rFonts w:hint="eastAsia"/>
                      <w:lang w:eastAsia="zh-CN"/>
                    </w:rPr>
                  </w:pPr>
                  <w:r>
                    <w:rPr>
                      <w:rFonts w:hint="eastAsia"/>
                      <w:lang w:eastAsia="zh-CN"/>
                    </w:rPr>
                    <w:t>无组织</w:t>
                  </w:r>
                </w:p>
              </w:tc>
              <w:tc>
                <w:tcPr>
                  <w:tcW w:w="1163" w:type="dxa"/>
                  <w:noWrap w:val="0"/>
                  <w:vAlign w:val="center"/>
                </w:tcPr>
                <w:p>
                  <w:pPr>
                    <w:pStyle w:val="30"/>
                    <w:bidi w:val="0"/>
                    <w:jc w:val="center"/>
                    <w:rPr>
                      <w:rFonts w:hint="eastAsia"/>
                    </w:rPr>
                  </w:pPr>
                  <w:r>
                    <w:rPr>
                      <w:rFonts w:hint="eastAsia"/>
                      <w:lang w:val="en-US" w:eastAsia="zh-CN"/>
                    </w:rPr>
                    <w:t>污水处理站周界</w:t>
                  </w:r>
                </w:p>
              </w:tc>
              <w:tc>
                <w:tcPr>
                  <w:tcW w:w="2095" w:type="dxa"/>
                  <w:noWrap w:val="0"/>
                  <w:vAlign w:val="center"/>
                </w:tcPr>
                <w:p>
                  <w:pPr>
                    <w:pStyle w:val="30"/>
                    <w:bidi w:val="0"/>
                    <w:jc w:val="center"/>
                    <w:rPr>
                      <w:rFonts w:hint="eastAsia"/>
                      <w:lang w:eastAsia="zh-CN"/>
                    </w:rPr>
                  </w:pPr>
                  <w:r>
                    <w:rPr>
                      <w:rFonts w:hint="eastAsia"/>
                      <w:lang w:val="en-US" w:eastAsia="zh-CN"/>
                    </w:rPr>
                    <w:t>氨、硫化氢、臭气浓度、甲烷</w:t>
                  </w:r>
                </w:p>
              </w:tc>
              <w:tc>
                <w:tcPr>
                  <w:tcW w:w="1356" w:type="dxa"/>
                  <w:noWrap w:val="0"/>
                  <w:vAlign w:val="center"/>
                </w:tcPr>
                <w:p>
                  <w:pPr>
                    <w:pStyle w:val="30"/>
                    <w:bidi w:val="0"/>
                    <w:jc w:val="center"/>
                    <w:rPr>
                      <w:rFonts w:hint="eastAsia"/>
                      <w:lang w:eastAsia="zh-CN"/>
                    </w:rPr>
                  </w:pPr>
                  <w:r>
                    <w:rPr>
                      <w:rFonts w:hint="eastAsia"/>
                      <w:lang w:eastAsia="zh-CN"/>
                    </w:rPr>
                    <w:t>季度</w:t>
                  </w:r>
                </w:p>
              </w:tc>
              <w:tc>
                <w:tcPr>
                  <w:tcW w:w="3340" w:type="dxa"/>
                  <w:noWrap w:val="0"/>
                  <w:vAlign w:val="center"/>
                </w:tcPr>
                <w:p>
                  <w:pPr>
                    <w:pStyle w:val="30"/>
                    <w:bidi w:val="0"/>
                    <w:jc w:val="center"/>
                    <w:rPr>
                      <w:rFonts w:hint="eastAsia"/>
                      <w:lang w:eastAsia="zh-CN"/>
                    </w:rPr>
                  </w:pPr>
                  <w:r>
                    <w:rPr>
                      <w:rFonts w:hint="eastAsia"/>
                      <w:lang w:eastAsia="zh-CN"/>
                    </w:rPr>
                    <w:t>《医疗机构水污染物排放标准》（GB18466-2005）中污水处理站周边大气污染物控制标准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22" w:type="dxa"/>
                  <w:noWrap w:val="0"/>
                  <w:vAlign w:val="center"/>
                </w:tcPr>
                <w:p>
                  <w:pPr>
                    <w:pStyle w:val="30"/>
                    <w:bidi w:val="0"/>
                    <w:jc w:val="center"/>
                    <w:rPr>
                      <w:rFonts w:hint="eastAsia"/>
                      <w:lang w:eastAsia="zh-CN"/>
                    </w:rPr>
                  </w:pPr>
                  <w:r>
                    <w:rPr>
                      <w:rFonts w:hint="eastAsia"/>
                      <w:lang w:eastAsia="zh-CN"/>
                    </w:rPr>
                    <w:t>有组织</w:t>
                  </w:r>
                </w:p>
              </w:tc>
              <w:tc>
                <w:tcPr>
                  <w:tcW w:w="1163" w:type="dxa"/>
                  <w:shd w:val="clear" w:color="auto" w:fill="auto"/>
                  <w:noWrap w:val="0"/>
                  <w:vAlign w:val="center"/>
                </w:tcPr>
                <w:p>
                  <w:pPr>
                    <w:pStyle w:val="30"/>
                    <w:bidi w:val="0"/>
                    <w:jc w:val="center"/>
                    <w:rPr>
                      <w:rFonts w:hint="eastAsia" w:ascii="Times New Roman" w:hAnsi="Times New Roman" w:eastAsia="宋体" w:cstheme="minorBidi"/>
                      <w:snapToGrid w:val="0"/>
                      <w:spacing w:val="6"/>
                      <w:kern w:val="2"/>
                      <w:sz w:val="21"/>
                      <w:szCs w:val="21"/>
                      <w:lang w:val="en-US" w:eastAsia="zh-CN" w:bidi="ar-SA"/>
                    </w:rPr>
                  </w:pPr>
                  <w:r>
                    <w:t>食堂油烟</w:t>
                  </w:r>
                  <w:r>
                    <w:rPr>
                      <w:rFonts w:hint="eastAsia"/>
                      <w:lang w:val="en-US" w:eastAsia="zh-CN"/>
                    </w:rPr>
                    <w:t>DA001</w:t>
                  </w:r>
                  <w:r>
                    <w:rPr>
                      <w:rFonts w:hint="eastAsia"/>
                    </w:rPr>
                    <w:t>排气筒</w:t>
                  </w:r>
                </w:p>
              </w:tc>
              <w:tc>
                <w:tcPr>
                  <w:tcW w:w="2095" w:type="dxa"/>
                  <w:shd w:val="clear" w:color="auto" w:fill="auto"/>
                  <w:noWrap w:val="0"/>
                  <w:vAlign w:val="center"/>
                </w:tcPr>
                <w:p>
                  <w:pPr>
                    <w:pStyle w:val="30"/>
                    <w:bidi w:val="0"/>
                    <w:jc w:val="center"/>
                    <w:rPr>
                      <w:rFonts w:hint="eastAsia" w:ascii="Times New Roman" w:hAnsi="Times New Roman" w:eastAsia="宋体" w:cstheme="minorBidi"/>
                      <w:snapToGrid w:val="0"/>
                      <w:spacing w:val="6"/>
                      <w:kern w:val="2"/>
                      <w:sz w:val="21"/>
                      <w:szCs w:val="21"/>
                      <w:lang w:val="en-US" w:eastAsia="zh-CN" w:bidi="ar-SA"/>
                    </w:rPr>
                  </w:pPr>
                  <w:r>
                    <w:t>油烟</w:t>
                  </w:r>
                </w:p>
              </w:tc>
              <w:tc>
                <w:tcPr>
                  <w:tcW w:w="1356" w:type="dxa"/>
                  <w:shd w:val="clear" w:color="auto" w:fill="auto"/>
                  <w:noWrap w:val="0"/>
                  <w:vAlign w:val="center"/>
                </w:tcPr>
                <w:p>
                  <w:pPr>
                    <w:pStyle w:val="30"/>
                    <w:bidi w:val="0"/>
                    <w:jc w:val="center"/>
                    <w:rPr>
                      <w:rFonts w:hint="eastAsia" w:ascii="Times New Roman" w:hAnsi="Times New Roman" w:eastAsia="宋体" w:cs="Times New Roman"/>
                      <w:snapToGrid w:val="0"/>
                      <w:spacing w:val="6"/>
                      <w:kern w:val="0"/>
                      <w:sz w:val="21"/>
                      <w:szCs w:val="21"/>
                      <w:lang w:val="en-US" w:eastAsia="zh-CN" w:bidi="ar-SA"/>
                    </w:rPr>
                  </w:pPr>
                  <w:r>
                    <w:t>每年一次</w:t>
                  </w:r>
                </w:p>
              </w:tc>
              <w:tc>
                <w:tcPr>
                  <w:tcW w:w="3340" w:type="dxa"/>
                  <w:shd w:val="clear" w:color="auto" w:fill="auto"/>
                  <w:noWrap w:val="0"/>
                  <w:vAlign w:val="center"/>
                </w:tcPr>
                <w:p>
                  <w:pPr>
                    <w:pStyle w:val="30"/>
                    <w:bidi w:val="0"/>
                  </w:pPr>
                  <w:r>
                    <w:t>《饮食业油烟排放标准（试行）》</w:t>
                  </w:r>
                </w:p>
                <w:p>
                  <w:pPr>
                    <w:pStyle w:val="30"/>
                    <w:bidi w:val="0"/>
                    <w:jc w:val="center"/>
                    <w:rPr>
                      <w:rFonts w:hint="eastAsia" w:ascii="Times New Roman" w:hAnsi="Times New Roman" w:eastAsia="宋体" w:cs="Times New Roman"/>
                      <w:snapToGrid w:val="0"/>
                      <w:spacing w:val="6"/>
                      <w:kern w:val="0"/>
                      <w:sz w:val="21"/>
                      <w:szCs w:val="21"/>
                      <w:lang w:val="en-US" w:eastAsia="zh-CN" w:bidi="ar-SA"/>
                    </w:rPr>
                  </w:pPr>
                  <w:r>
                    <w:t>（GB18483－2001）</w:t>
                  </w:r>
                </w:p>
              </w:tc>
            </w:tr>
          </w:tbl>
          <w:p>
            <w:pPr>
              <w:pStyle w:val="12"/>
              <w:bidi w:val="0"/>
            </w:pPr>
            <w:r>
              <w:t>2</w:t>
            </w:r>
            <w:r>
              <w:rPr>
                <w:rFonts w:hint="eastAsia"/>
                <w:lang w:val="en-US" w:eastAsia="zh-CN"/>
              </w:rPr>
              <w:t>.</w:t>
            </w:r>
            <w:r>
              <w:t>废水</w:t>
            </w:r>
          </w:p>
          <w:p>
            <w:pPr>
              <w:pStyle w:val="12"/>
              <w:bidi w:val="0"/>
              <w:rPr>
                <w:rFonts w:hint="eastAsia"/>
                <w:lang w:val="en-US" w:eastAsia="zh-CN"/>
              </w:rPr>
            </w:pPr>
            <w:r>
              <w:rPr>
                <w:rFonts w:hint="default"/>
              </w:rPr>
              <w:t>2</w:t>
            </w:r>
            <w:r>
              <w:rPr>
                <w:rFonts w:hint="eastAsia"/>
                <w:lang w:eastAsia="zh-CN"/>
              </w:rPr>
              <w:t>.</w:t>
            </w:r>
            <w:r>
              <w:rPr>
                <w:rFonts w:hint="eastAsia"/>
                <w:lang w:val="en-US" w:eastAsia="zh-CN"/>
              </w:rPr>
              <w:t>1</w:t>
            </w:r>
            <w:r>
              <w:rPr>
                <w:rFonts w:hint="default"/>
              </w:rPr>
              <w:t>废水污染源强分析</w:t>
            </w:r>
          </w:p>
          <w:p>
            <w:pPr>
              <w:pStyle w:val="12"/>
              <w:bidi w:val="0"/>
              <w:rPr>
                <w:u w:val="single"/>
              </w:rPr>
            </w:pPr>
            <w:r>
              <w:rPr>
                <w:rFonts w:hint="eastAsia"/>
                <w:u w:val="single"/>
              </w:rPr>
              <w:t>由于项目不开展同位素诊疗诊断的医疗项目，故不产生同位素诊疗和诊断放射性废水。项目不设传染病房及传染病门诊科室，若发现传热病毒携带者，立即进行隔离，由专用救护车送至市属专科医院诊治；放射科采用数码成像；医院采用一次电脑成像技术，无洗印废液产生，检验试剂作为医疗废物委托处理。因此，项目不产生含传染病菌废水、不产生含汞</w:t>
            </w:r>
            <w:r>
              <w:rPr>
                <w:rFonts w:hint="eastAsia"/>
                <w:u w:val="single"/>
                <w:lang w:eastAsia="zh-CN"/>
              </w:rPr>
              <w:t>、含铬、含氰</w:t>
            </w:r>
            <w:r>
              <w:rPr>
                <w:rFonts w:hint="eastAsia"/>
                <w:u w:val="single"/>
              </w:rPr>
              <w:t>等重金属废水、不产生废显影液。项目营运期废水主要为医疗废水和生活污水</w:t>
            </w:r>
            <w:r>
              <w:rPr>
                <w:rFonts w:hint="eastAsia"/>
                <w:u w:val="single"/>
                <w:lang w:eastAsia="zh-CN"/>
              </w:rPr>
              <w:t>，检验产生的酸性污水经中和处理</w:t>
            </w:r>
            <w:r>
              <w:rPr>
                <w:rFonts w:hint="eastAsia"/>
                <w:u w:val="single"/>
                <w:lang w:val="en-US" w:eastAsia="zh-CN"/>
              </w:rPr>
              <w:t>PH值达到7-8后排入院区污水处理系统。</w:t>
            </w:r>
          </w:p>
          <w:p>
            <w:pPr>
              <w:pStyle w:val="12"/>
              <w:bidi w:val="0"/>
              <w:rPr>
                <w:rFonts w:hint="eastAsia"/>
                <w:lang w:eastAsia="zh-CN"/>
              </w:rPr>
            </w:pPr>
            <w:r>
              <w:rPr>
                <w:lang w:val="zh-CN"/>
              </w:rPr>
              <w:t>项目</w:t>
            </w:r>
            <w:r>
              <w:t>废水主要为</w:t>
            </w:r>
            <w:r>
              <w:rPr>
                <w:lang w:val="zh-CN"/>
              </w:rPr>
              <w:t>医务人员、</w:t>
            </w:r>
            <w:r>
              <w:t>住院病人</w:t>
            </w:r>
            <w:r>
              <w:rPr>
                <w:rFonts w:hint="eastAsia"/>
                <w:lang w:val="zh-CN"/>
              </w:rPr>
              <w:t>生活污水</w:t>
            </w:r>
            <w:r>
              <w:t>、食堂</w:t>
            </w:r>
            <w:r>
              <w:rPr>
                <w:rFonts w:hint="eastAsia"/>
                <w:lang w:eastAsia="zh-CN"/>
              </w:rPr>
              <w:t>等</w:t>
            </w:r>
            <w:r>
              <w:t>废水</w:t>
            </w:r>
            <w:r>
              <w:rPr>
                <w:lang w:val="zh-CN"/>
              </w:rPr>
              <w:t>，</w:t>
            </w:r>
            <w:r>
              <w:t>项目设</w:t>
            </w:r>
            <w:r>
              <w:rPr>
                <w:rFonts w:hint="eastAsia"/>
                <w:lang w:val="en-US" w:eastAsia="zh-CN"/>
              </w:rPr>
              <w:t>30</w:t>
            </w:r>
            <w:r>
              <w:rPr>
                <w:rFonts w:hint="eastAsia"/>
              </w:rPr>
              <w:t>0张</w:t>
            </w:r>
            <w:r>
              <w:t>床位，门诊</w:t>
            </w:r>
            <w:r>
              <w:rPr>
                <w:rFonts w:hint="eastAsia"/>
              </w:rPr>
              <w:t>就诊人数</w:t>
            </w:r>
            <w:r>
              <w:rPr>
                <w:rFonts w:hint="eastAsia"/>
                <w:lang w:val="en-US" w:eastAsia="zh-CN"/>
              </w:rPr>
              <w:t>500</w:t>
            </w:r>
            <w:r>
              <w:rPr>
                <w:rFonts w:hint="eastAsia"/>
              </w:rPr>
              <w:t>人次/d</w:t>
            </w:r>
            <w:r>
              <w:t>，医护人员为</w:t>
            </w:r>
            <w:r>
              <w:rPr>
                <w:rFonts w:hint="eastAsia"/>
                <w:lang w:val="en-US" w:eastAsia="zh-CN"/>
              </w:rPr>
              <w:t>360</w:t>
            </w:r>
            <w:r>
              <w:t>人</w:t>
            </w:r>
            <w:r>
              <w:rPr>
                <w:rFonts w:hint="eastAsia"/>
                <w:lang w:eastAsia="zh-CN"/>
              </w:rPr>
              <w:t>，医院后勤职工</w:t>
            </w:r>
            <w:r>
              <w:t>为</w:t>
            </w:r>
            <w:r>
              <w:rPr>
                <w:rFonts w:hint="eastAsia"/>
                <w:lang w:val="en-US" w:eastAsia="zh-CN"/>
              </w:rPr>
              <w:t>90</w:t>
            </w:r>
            <w:r>
              <w:t>人，食堂每天接待</w:t>
            </w:r>
            <w:r>
              <w:rPr>
                <w:rFonts w:hint="eastAsia"/>
                <w:lang w:val="en-US" w:eastAsia="zh-CN"/>
              </w:rPr>
              <w:t>500</w:t>
            </w:r>
            <w:r>
              <w:t>人就餐，营运期用水量参照《建筑给水排水设计标准》</w:t>
            </w:r>
            <w:r>
              <w:rPr>
                <w:rFonts w:hint="eastAsia"/>
              </w:rPr>
              <w:t>(</w:t>
            </w:r>
            <w:r>
              <w:t>GB50015-2019</w:t>
            </w:r>
            <w:r>
              <w:rPr>
                <w:rFonts w:hint="eastAsia"/>
              </w:rPr>
              <w:t>)</w:t>
            </w:r>
            <w:r>
              <w:t>、《综合医院建筑设计规范》</w:t>
            </w:r>
            <w:r>
              <w:rPr>
                <w:rFonts w:hint="eastAsia"/>
              </w:rPr>
              <w:t>(</w:t>
            </w:r>
            <w:r>
              <w:t>GB51039-2014</w:t>
            </w:r>
            <w:r>
              <w:rPr>
                <w:rFonts w:hint="eastAsia"/>
              </w:rPr>
              <w:t>)</w:t>
            </w:r>
            <w:r>
              <w:t>、《湖南省用水定额》</w:t>
            </w:r>
            <w:r>
              <w:rPr>
                <w:rFonts w:hint="eastAsia"/>
              </w:rPr>
              <w:t>(</w:t>
            </w:r>
            <w:r>
              <w:t>DB43/T388-2020</w:t>
            </w:r>
            <w:r>
              <w:rPr>
                <w:rFonts w:hint="eastAsia"/>
              </w:rPr>
              <w:t>)</w:t>
            </w:r>
            <w:r>
              <w:t>等标准和技术规范推荐的系数或用水定额进行核算，项目营运期具体用水情况见</w:t>
            </w:r>
            <w:r>
              <w:rPr>
                <w:rFonts w:hint="eastAsia"/>
                <w:lang w:eastAsia="zh-CN"/>
              </w:rPr>
              <w:t>下</w:t>
            </w:r>
            <w:r>
              <w:t>表</w:t>
            </w:r>
            <w:r>
              <w:rPr>
                <w:rFonts w:hint="eastAsia"/>
                <w:lang w:eastAsia="zh-CN"/>
              </w:rPr>
              <w:t>。</w:t>
            </w:r>
          </w:p>
          <w:p>
            <w:pPr>
              <w:pStyle w:val="29"/>
              <w:bidi w:val="0"/>
            </w:pPr>
            <w:r>
              <w:t>表</w:t>
            </w:r>
            <w:r>
              <w:rPr>
                <w:rFonts w:hint="eastAsia"/>
                <w:lang w:val="en-US" w:eastAsia="zh-CN"/>
              </w:rPr>
              <w:t>4.2-7</w:t>
            </w:r>
            <w:r>
              <w:t xml:space="preserve"> 本工程用排水量一览表</w:t>
            </w:r>
          </w:p>
          <w:tbl>
            <w:tblPr>
              <w:tblStyle w:val="27"/>
              <w:tblW w:w="86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1232"/>
              <w:gridCol w:w="1010"/>
              <w:gridCol w:w="889"/>
              <w:gridCol w:w="941"/>
              <w:gridCol w:w="1211"/>
              <w:gridCol w:w="18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90" w:type="dxa"/>
                  <w:vMerge w:val="restart"/>
                  <w:tcBorders>
                    <w:top w:val="single" w:color="auto" w:sz="6" w:space="0"/>
                    <w:left w:val="single" w:color="auto" w:sz="6" w:space="0"/>
                    <w:bottom w:val="single" w:color="auto" w:sz="6" w:space="0"/>
                    <w:right w:val="single" w:color="auto" w:sz="6" w:space="0"/>
                  </w:tcBorders>
                  <w:noWrap w:val="0"/>
                  <w:vAlign w:val="center"/>
                </w:tcPr>
                <w:p>
                  <w:pPr>
                    <w:pStyle w:val="30"/>
                    <w:bidi w:val="0"/>
                  </w:pPr>
                  <w:r>
                    <w:t>用水单位</w:t>
                  </w:r>
                </w:p>
              </w:tc>
              <w:tc>
                <w:tcPr>
                  <w:tcW w:w="1232" w:type="dxa"/>
                  <w:vMerge w:val="restart"/>
                  <w:tcBorders>
                    <w:top w:val="single" w:color="auto" w:sz="6" w:space="0"/>
                    <w:left w:val="single" w:color="auto" w:sz="6" w:space="0"/>
                    <w:bottom w:val="single" w:color="auto" w:sz="6" w:space="0"/>
                    <w:right w:val="single" w:color="auto" w:sz="6" w:space="0"/>
                  </w:tcBorders>
                  <w:noWrap w:val="0"/>
                  <w:vAlign w:val="center"/>
                </w:tcPr>
                <w:p>
                  <w:pPr>
                    <w:pStyle w:val="30"/>
                    <w:bidi w:val="0"/>
                  </w:pPr>
                  <w:r>
                    <w:t>用水定额</w:t>
                  </w:r>
                </w:p>
              </w:tc>
              <w:tc>
                <w:tcPr>
                  <w:tcW w:w="1010" w:type="dxa"/>
                  <w:vMerge w:val="restart"/>
                  <w:tcBorders>
                    <w:top w:val="single" w:color="auto" w:sz="6" w:space="0"/>
                    <w:left w:val="single" w:color="auto" w:sz="6" w:space="0"/>
                    <w:bottom w:val="single" w:color="auto" w:sz="6" w:space="0"/>
                    <w:right w:val="single" w:color="auto" w:sz="6" w:space="0"/>
                  </w:tcBorders>
                  <w:noWrap w:val="0"/>
                  <w:vAlign w:val="center"/>
                </w:tcPr>
                <w:p>
                  <w:pPr>
                    <w:pStyle w:val="30"/>
                    <w:bidi w:val="0"/>
                  </w:pPr>
                  <w:r>
                    <w:t>用水单位数</w:t>
                  </w:r>
                </w:p>
              </w:tc>
              <w:tc>
                <w:tcPr>
                  <w:tcW w:w="889" w:type="dxa"/>
                  <w:vMerge w:val="restart"/>
                  <w:tcBorders>
                    <w:top w:val="single" w:color="auto" w:sz="6" w:space="0"/>
                    <w:left w:val="single" w:color="auto" w:sz="6" w:space="0"/>
                    <w:bottom w:val="single" w:color="auto" w:sz="6" w:space="0"/>
                    <w:right w:val="single" w:color="auto" w:sz="6" w:space="0"/>
                  </w:tcBorders>
                  <w:noWrap w:val="0"/>
                  <w:vAlign w:val="center"/>
                </w:tcPr>
                <w:p>
                  <w:pPr>
                    <w:pStyle w:val="30"/>
                    <w:bidi w:val="0"/>
                  </w:pPr>
                  <w:r>
                    <w:t>使用时间(天)</w:t>
                  </w:r>
                </w:p>
              </w:tc>
              <w:tc>
                <w:tcPr>
                  <w:tcW w:w="2152" w:type="dxa"/>
                  <w:gridSpan w:val="2"/>
                  <w:tcBorders>
                    <w:top w:val="single" w:color="auto" w:sz="6" w:space="0"/>
                    <w:left w:val="single" w:color="auto" w:sz="6" w:space="0"/>
                    <w:bottom w:val="single" w:color="auto" w:sz="6" w:space="0"/>
                    <w:right w:val="single" w:color="auto" w:sz="6" w:space="0"/>
                  </w:tcBorders>
                  <w:noWrap w:val="0"/>
                  <w:vAlign w:val="center"/>
                </w:tcPr>
                <w:p>
                  <w:pPr>
                    <w:pStyle w:val="30"/>
                    <w:bidi w:val="0"/>
                  </w:pPr>
                  <w:r>
                    <w:t>用水量(m³/d)</w:t>
                  </w:r>
                </w:p>
              </w:tc>
              <w:tc>
                <w:tcPr>
                  <w:tcW w:w="1887"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排水量(m³/a)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90" w:type="dxa"/>
                  <w:vMerge w:val="continue"/>
                  <w:tcBorders>
                    <w:top w:val="single" w:color="auto" w:sz="6" w:space="0"/>
                    <w:left w:val="single" w:color="auto" w:sz="6" w:space="0"/>
                    <w:bottom w:val="single" w:color="auto" w:sz="6" w:space="0"/>
                    <w:right w:val="single" w:color="auto" w:sz="6" w:space="0"/>
                  </w:tcBorders>
                  <w:noWrap w:val="0"/>
                  <w:vAlign w:val="center"/>
                </w:tcPr>
                <w:p>
                  <w:pPr>
                    <w:pStyle w:val="30"/>
                    <w:bidi w:val="0"/>
                  </w:pPr>
                </w:p>
              </w:tc>
              <w:tc>
                <w:tcPr>
                  <w:tcW w:w="1232" w:type="dxa"/>
                  <w:vMerge w:val="continue"/>
                  <w:tcBorders>
                    <w:top w:val="single" w:color="auto" w:sz="6" w:space="0"/>
                    <w:left w:val="single" w:color="auto" w:sz="6" w:space="0"/>
                    <w:bottom w:val="single" w:color="auto" w:sz="6" w:space="0"/>
                    <w:right w:val="single" w:color="auto" w:sz="6" w:space="0"/>
                  </w:tcBorders>
                  <w:noWrap w:val="0"/>
                  <w:vAlign w:val="center"/>
                </w:tcPr>
                <w:p>
                  <w:pPr>
                    <w:pStyle w:val="30"/>
                    <w:bidi w:val="0"/>
                  </w:pPr>
                </w:p>
              </w:tc>
              <w:tc>
                <w:tcPr>
                  <w:tcW w:w="1010" w:type="dxa"/>
                  <w:vMerge w:val="continue"/>
                  <w:tcBorders>
                    <w:top w:val="single" w:color="auto" w:sz="6" w:space="0"/>
                    <w:left w:val="single" w:color="auto" w:sz="6" w:space="0"/>
                    <w:bottom w:val="single" w:color="auto" w:sz="6" w:space="0"/>
                    <w:right w:val="single" w:color="auto" w:sz="6" w:space="0"/>
                  </w:tcBorders>
                  <w:noWrap w:val="0"/>
                  <w:vAlign w:val="center"/>
                </w:tcPr>
                <w:p>
                  <w:pPr>
                    <w:pStyle w:val="30"/>
                    <w:bidi w:val="0"/>
                  </w:pPr>
                </w:p>
              </w:tc>
              <w:tc>
                <w:tcPr>
                  <w:tcW w:w="889" w:type="dxa"/>
                  <w:vMerge w:val="continue"/>
                  <w:tcBorders>
                    <w:top w:val="single" w:color="auto" w:sz="6" w:space="0"/>
                    <w:left w:val="single" w:color="auto" w:sz="6" w:space="0"/>
                    <w:bottom w:val="single" w:color="auto" w:sz="6" w:space="0"/>
                    <w:right w:val="single" w:color="auto" w:sz="6" w:space="0"/>
                  </w:tcBorders>
                  <w:noWrap w:val="0"/>
                  <w:vAlign w:val="center"/>
                </w:tcPr>
                <w:p>
                  <w:pPr>
                    <w:pStyle w:val="30"/>
                    <w:bidi w:val="0"/>
                  </w:pPr>
                </w:p>
              </w:tc>
              <w:tc>
                <w:tcPr>
                  <w:tcW w:w="941"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日用水量</w:t>
                  </w:r>
                </w:p>
              </w:tc>
              <w:tc>
                <w:tcPr>
                  <w:tcW w:w="1211"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年用水量</w:t>
                  </w:r>
                </w:p>
              </w:tc>
              <w:tc>
                <w:tcPr>
                  <w:tcW w:w="1887"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年排水量</w:t>
                  </w:r>
                  <w:r>
                    <w:rPr>
                      <w:rFonts w:hint="eastAsia"/>
                    </w:rPr>
                    <w:t>（以用水量</w:t>
                  </w:r>
                  <w:r>
                    <w:rPr>
                      <w:rFonts w:hint="eastAsia"/>
                      <w:lang w:val="en-US" w:eastAsia="zh-CN"/>
                    </w:rPr>
                    <w:t>90</w:t>
                  </w:r>
                  <w:r>
                    <w:rPr>
                      <w:rFonts w:hint="eastAsia"/>
                    </w:rPr>
                    <w:t>%计）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90"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病房用水</w:t>
                  </w:r>
                </w:p>
              </w:tc>
              <w:tc>
                <w:tcPr>
                  <w:tcW w:w="1232"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rPr>
                      <w:rFonts w:hint="eastAsia"/>
                    </w:rPr>
                    <w:t>25</w:t>
                  </w:r>
                  <w:r>
                    <w:t>0L/床·d</w:t>
                  </w:r>
                </w:p>
              </w:tc>
              <w:tc>
                <w:tcPr>
                  <w:tcW w:w="1010"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eastAsia"/>
                    </w:rPr>
                  </w:pPr>
                  <w:r>
                    <w:rPr>
                      <w:rFonts w:hint="eastAsia"/>
                      <w:lang w:val="en-US" w:eastAsia="zh-CN"/>
                    </w:rPr>
                    <w:t>300</w:t>
                  </w:r>
                  <w:r>
                    <w:rPr>
                      <w:rFonts w:hint="eastAsia"/>
                    </w:rPr>
                    <w:t>床</w:t>
                  </w:r>
                </w:p>
              </w:tc>
              <w:tc>
                <w:tcPr>
                  <w:tcW w:w="889"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365</w:t>
                  </w:r>
                </w:p>
              </w:tc>
              <w:tc>
                <w:tcPr>
                  <w:tcW w:w="941"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75</w:t>
                  </w:r>
                </w:p>
              </w:tc>
              <w:tc>
                <w:tcPr>
                  <w:tcW w:w="1211"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rPr>
                      <w:rFonts w:hint="eastAsia"/>
                      <w:lang w:val="en-US" w:eastAsia="zh-CN"/>
                    </w:rPr>
                    <w:t>27375</w:t>
                  </w:r>
                </w:p>
              </w:tc>
              <w:tc>
                <w:tcPr>
                  <w:tcW w:w="1887"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rPr>
                      <w:rFonts w:hint="eastAsia"/>
                      <w:lang w:val="en-US" w:eastAsia="zh-CN"/>
                    </w:rPr>
                    <w:t>24637.5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90"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门诊用水</w:t>
                  </w:r>
                </w:p>
              </w:tc>
              <w:tc>
                <w:tcPr>
                  <w:tcW w:w="1232"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15L/d·人</w:t>
                  </w:r>
                </w:p>
              </w:tc>
              <w:tc>
                <w:tcPr>
                  <w:tcW w:w="1010"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rPr>
                      <w:rFonts w:hint="eastAsia"/>
                      <w:lang w:val="en-US" w:eastAsia="zh-CN"/>
                    </w:rPr>
                    <w:t>500</w:t>
                  </w:r>
                  <w:r>
                    <w:t>人</w:t>
                  </w:r>
                </w:p>
              </w:tc>
              <w:tc>
                <w:tcPr>
                  <w:tcW w:w="889"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365</w:t>
                  </w:r>
                </w:p>
              </w:tc>
              <w:tc>
                <w:tcPr>
                  <w:tcW w:w="941"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7.5</w:t>
                  </w:r>
                </w:p>
              </w:tc>
              <w:tc>
                <w:tcPr>
                  <w:tcW w:w="1211"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rPr>
                      <w:rFonts w:hint="eastAsia"/>
                      <w:lang w:val="en-US" w:eastAsia="zh-CN"/>
                    </w:rPr>
                    <w:t>2737.5</w:t>
                  </w:r>
                </w:p>
              </w:tc>
              <w:tc>
                <w:tcPr>
                  <w:tcW w:w="1887"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rPr>
                      <w:rFonts w:hint="eastAsia"/>
                      <w:lang w:val="en-US" w:eastAsia="zh-CN"/>
                    </w:rPr>
                    <w:t>2463.75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1490"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eastAsia" w:eastAsia="宋体"/>
                      <w:lang w:eastAsia="zh-CN"/>
                    </w:rPr>
                  </w:pPr>
                  <w:r>
                    <w:rPr>
                      <w:rFonts w:hint="eastAsia"/>
                      <w:lang w:eastAsia="zh-CN"/>
                    </w:rPr>
                    <w:t>医务人员用水</w:t>
                  </w:r>
                </w:p>
              </w:tc>
              <w:tc>
                <w:tcPr>
                  <w:tcW w:w="1232"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rPr>
                      <w:rFonts w:hint="eastAsia"/>
                      <w:lang w:val="en-US" w:eastAsia="zh-CN"/>
                    </w:rPr>
                    <w:t>150</w:t>
                  </w:r>
                  <w:r>
                    <w:t>L/d·人</w:t>
                  </w:r>
                </w:p>
              </w:tc>
              <w:tc>
                <w:tcPr>
                  <w:tcW w:w="1010"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rPr>
                      <w:rFonts w:hint="eastAsia"/>
                      <w:lang w:val="en-US" w:eastAsia="zh-CN"/>
                    </w:rPr>
                    <w:t>360</w:t>
                  </w:r>
                  <w:r>
                    <w:t>人</w:t>
                  </w:r>
                </w:p>
              </w:tc>
              <w:tc>
                <w:tcPr>
                  <w:tcW w:w="889"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365</w:t>
                  </w:r>
                </w:p>
              </w:tc>
              <w:tc>
                <w:tcPr>
                  <w:tcW w:w="941"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54</w:t>
                  </w:r>
                </w:p>
              </w:tc>
              <w:tc>
                <w:tcPr>
                  <w:tcW w:w="1211"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eastAsia"/>
                    </w:rPr>
                  </w:pPr>
                  <w:r>
                    <w:rPr>
                      <w:rFonts w:hint="eastAsia"/>
                      <w:lang w:val="en-US" w:eastAsia="zh-CN"/>
                    </w:rPr>
                    <w:t>19710</w:t>
                  </w:r>
                </w:p>
              </w:tc>
              <w:tc>
                <w:tcPr>
                  <w:tcW w:w="1887"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eastAsia"/>
                    </w:rPr>
                  </w:pPr>
                  <w:r>
                    <w:rPr>
                      <w:rFonts w:hint="eastAsia"/>
                      <w:lang w:val="en-US" w:eastAsia="zh-CN"/>
                    </w:rPr>
                    <w:t>17739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90"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eastAsia"/>
                      <w:lang w:eastAsia="zh-CN"/>
                    </w:rPr>
                  </w:pPr>
                  <w:r>
                    <w:rPr>
                      <w:rFonts w:hint="eastAsia"/>
                      <w:lang w:eastAsia="zh-CN"/>
                    </w:rPr>
                    <w:t>医院后勤职工用水</w:t>
                  </w:r>
                </w:p>
              </w:tc>
              <w:tc>
                <w:tcPr>
                  <w:tcW w:w="1232"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rPr>
                      <w:rFonts w:hint="eastAsia"/>
                      <w:lang w:val="en-US" w:eastAsia="zh-CN"/>
                    </w:rPr>
                    <w:t>80</w:t>
                  </w:r>
                  <w:r>
                    <w:t>L/d·人</w:t>
                  </w:r>
                </w:p>
              </w:tc>
              <w:tc>
                <w:tcPr>
                  <w:tcW w:w="1010"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rPr>
                      <w:rFonts w:hint="eastAsia"/>
                      <w:lang w:val="en-US" w:eastAsia="zh-CN"/>
                    </w:rPr>
                    <w:t>90</w:t>
                  </w:r>
                  <w:r>
                    <w:t>人</w:t>
                  </w:r>
                </w:p>
              </w:tc>
              <w:tc>
                <w:tcPr>
                  <w:tcW w:w="889"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365</w:t>
                  </w:r>
                </w:p>
              </w:tc>
              <w:tc>
                <w:tcPr>
                  <w:tcW w:w="941"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7.2</w:t>
                  </w:r>
                </w:p>
              </w:tc>
              <w:tc>
                <w:tcPr>
                  <w:tcW w:w="1211"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eastAsia"/>
                    </w:rPr>
                  </w:pPr>
                  <w:r>
                    <w:rPr>
                      <w:rFonts w:hint="eastAsia"/>
                      <w:lang w:val="en-US" w:eastAsia="zh-CN"/>
                    </w:rPr>
                    <w:t>2628</w:t>
                  </w:r>
                </w:p>
              </w:tc>
              <w:tc>
                <w:tcPr>
                  <w:tcW w:w="1887"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eastAsia"/>
                    </w:rPr>
                  </w:pPr>
                  <w:r>
                    <w:rPr>
                      <w:rFonts w:hint="eastAsia"/>
                      <w:lang w:val="en-US" w:eastAsia="zh-CN"/>
                    </w:rPr>
                    <w:t>2365.2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90"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食堂用水</w:t>
                  </w:r>
                </w:p>
              </w:tc>
              <w:tc>
                <w:tcPr>
                  <w:tcW w:w="1232"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20L/d·人</w:t>
                  </w:r>
                </w:p>
              </w:tc>
              <w:tc>
                <w:tcPr>
                  <w:tcW w:w="1010"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rPr>
                      <w:rFonts w:hint="eastAsia"/>
                      <w:lang w:val="en-US" w:eastAsia="zh-CN"/>
                    </w:rPr>
                    <w:t>500</w:t>
                  </w:r>
                  <w:r>
                    <w:t>人</w:t>
                  </w:r>
                </w:p>
              </w:tc>
              <w:tc>
                <w:tcPr>
                  <w:tcW w:w="889"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365</w:t>
                  </w:r>
                </w:p>
              </w:tc>
              <w:tc>
                <w:tcPr>
                  <w:tcW w:w="941"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eastAsia"/>
                      <w:lang w:val="en-US" w:eastAsia="zh-CN"/>
                    </w:rPr>
                  </w:pPr>
                  <w:r>
                    <w:rPr>
                      <w:rFonts w:hint="eastAsia"/>
                      <w:lang w:val="en-US" w:eastAsia="zh-CN"/>
                    </w:rPr>
                    <w:t>1</w:t>
                  </w:r>
                </w:p>
              </w:tc>
              <w:tc>
                <w:tcPr>
                  <w:tcW w:w="1211"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365</w:t>
                  </w:r>
                </w:p>
              </w:tc>
              <w:tc>
                <w:tcPr>
                  <w:tcW w:w="1887"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328.5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90"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30"/>
                    <w:bidi w:val="0"/>
                    <w:rPr>
                      <w:rFonts w:hint="eastAsia"/>
                      <w:lang w:val="en-US" w:eastAsia="zh-CN"/>
                    </w:rPr>
                  </w:pPr>
                  <w:r>
                    <w:t>地面保洁用</w:t>
                  </w:r>
                  <w:r>
                    <w:rPr>
                      <w:rFonts w:hint="eastAsia"/>
                      <w:lang w:eastAsia="zh-CN"/>
                    </w:rPr>
                    <w:t>水</w:t>
                  </w:r>
                </w:p>
              </w:tc>
              <w:tc>
                <w:tcPr>
                  <w:tcW w:w="1232"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30"/>
                    <w:bidi w:val="0"/>
                    <w:rPr>
                      <w:lang w:val="en-US" w:eastAsia="zh-CN"/>
                    </w:rPr>
                  </w:pPr>
                  <w:r>
                    <w:t>0.25L/m</w:t>
                  </w:r>
                  <w:r>
                    <w:rPr>
                      <w:rFonts w:hint="default"/>
                    </w:rPr>
                    <w:t>²</w:t>
                  </w:r>
                  <w:r>
                    <w:t>·d</w:t>
                  </w:r>
                </w:p>
              </w:tc>
              <w:tc>
                <w:tcPr>
                  <w:tcW w:w="1010"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30"/>
                    <w:bidi w:val="0"/>
                    <w:rPr>
                      <w:rFonts w:hint="eastAsia"/>
                      <w:lang w:val="en-US" w:eastAsia="zh-CN"/>
                    </w:rPr>
                  </w:pPr>
                  <w:r>
                    <w:rPr>
                      <w:rFonts w:hint="default"/>
                      <w:lang w:val="en-US" w:eastAsia="zh-CN"/>
                    </w:rPr>
                    <w:t>44300</w:t>
                  </w:r>
                  <w:r>
                    <w:t>m</w:t>
                  </w:r>
                  <w:r>
                    <w:rPr>
                      <w:rFonts w:hint="default"/>
                    </w:rPr>
                    <w:t>²</w:t>
                  </w:r>
                </w:p>
              </w:tc>
              <w:tc>
                <w:tcPr>
                  <w:tcW w:w="889"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eastAsia"/>
                      <w:lang w:val="en-US" w:eastAsia="zh-CN"/>
                    </w:rPr>
                  </w:pPr>
                  <w:r>
                    <w:rPr>
                      <w:rFonts w:hint="eastAsia"/>
                      <w:lang w:val="en-US" w:eastAsia="zh-CN"/>
                    </w:rPr>
                    <w:t>/</w:t>
                  </w:r>
                </w:p>
              </w:tc>
              <w:tc>
                <w:tcPr>
                  <w:tcW w:w="941"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11</w:t>
                  </w:r>
                </w:p>
              </w:tc>
              <w:tc>
                <w:tcPr>
                  <w:tcW w:w="1211"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4015</w:t>
                  </w:r>
                </w:p>
              </w:tc>
              <w:tc>
                <w:tcPr>
                  <w:tcW w:w="1887"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3613.5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90"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30"/>
                    <w:bidi w:val="0"/>
                  </w:pPr>
                  <w:r>
                    <w:t>检验用</w:t>
                  </w:r>
                  <w:r>
                    <w:rPr>
                      <w:rFonts w:hint="eastAsia"/>
                      <w:lang w:eastAsia="zh-CN"/>
                    </w:rPr>
                    <w:t>水</w:t>
                  </w:r>
                </w:p>
              </w:tc>
              <w:tc>
                <w:tcPr>
                  <w:tcW w:w="1232"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30"/>
                    <w:bidi w:val="0"/>
                  </w:pPr>
                  <w:r>
                    <w:t>1L/人·次</w:t>
                  </w:r>
                </w:p>
              </w:tc>
              <w:tc>
                <w:tcPr>
                  <w:tcW w:w="1010"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30"/>
                    <w:bidi w:val="0"/>
                    <w:rPr>
                      <w:rFonts w:hint="default"/>
                      <w:lang w:val="en-US" w:eastAsia="zh-CN"/>
                    </w:rPr>
                  </w:pPr>
                  <w:r>
                    <w:rPr>
                      <w:rFonts w:hint="eastAsia"/>
                      <w:lang w:val="en-US" w:eastAsia="zh-CN"/>
                    </w:rPr>
                    <w:t>300</w:t>
                  </w:r>
                </w:p>
              </w:tc>
              <w:tc>
                <w:tcPr>
                  <w:tcW w:w="889"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365</w:t>
                  </w:r>
                </w:p>
              </w:tc>
              <w:tc>
                <w:tcPr>
                  <w:tcW w:w="941"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0.3</w:t>
                  </w:r>
                </w:p>
              </w:tc>
              <w:tc>
                <w:tcPr>
                  <w:tcW w:w="1211"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109.5</w:t>
                  </w:r>
                </w:p>
              </w:tc>
              <w:tc>
                <w:tcPr>
                  <w:tcW w:w="1887"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98.55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90"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30"/>
                    <w:bidi w:val="0"/>
                  </w:pPr>
                  <w:r>
                    <w:rPr>
                      <w:rFonts w:hint="eastAsia"/>
                      <w:u w:val="single"/>
                      <w:lang w:val="en-US" w:eastAsia="zh-CN"/>
                    </w:rPr>
                    <w:t>煎药室用水</w:t>
                  </w:r>
                </w:p>
              </w:tc>
              <w:tc>
                <w:tcPr>
                  <w:tcW w:w="1232"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30"/>
                    <w:bidi w:val="0"/>
                    <w:rPr>
                      <w:rFonts w:hint="default" w:eastAsia="宋体"/>
                      <w:lang w:val="en-US" w:eastAsia="zh-CN"/>
                    </w:rPr>
                  </w:pPr>
                  <w:r>
                    <w:rPr>
                      <w:rFonts w:hint="eastAsia"/>
                      <w:lang w:val="en-US" w:eastAsia="zh-CN"/>
                    </w:rPr>
                    <w:t>/</w:t>
                  </w:r>
                </w:p>
              </w:tc>
              <w:tc>
                <w:tcPr>
                  <w:tcW w:w="1010"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pStyle w:val="30"/>
                    <w:bidi w:val="0"/>
                    <w:rPr>
                      <w:rFonts w:hint="default"/>
                      <w:lang w:val="en-US" w:eastAsia="zh-CN"/>
                    </w:rPr>
                  </w:pPr>
                  <w:r>
                    <w:rPr>
                      <w:rFonts w:hint="eastAsia"/>
                      <w:lang w:val="en-US" w:eastAsia="zh-CN"/>
                    </w:rPr>
                    <w:t>/</w:t>
                  </w:r>
                </w:p>
              </w:tc>
              <w:tc>
                <w:tcPr>
                  <w:tcW w:w="889"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365</w:t>
                  </w:r>
                </w:p>
              </w:tc>
              <w:tc>
                <w:tcPr>
                  <w:tcW w:w="941"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0.302</w:t>
                  </w:r>
                </w:p>
              </w:tc>
              <w:tc>
                <w:tcPr>
                  <w:tcW w:w="1211"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110.3</w:t>
                  </w:r>
                </w:p>
              </w:tc>
              <w:tc>
                <w:tcPr>
                  <w:tcW w:w="1887"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72.27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90"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合计</w:t>
                  </w:r>
                </w:p>
              </w:tc>
              <w:tc>
                <w:tcPr>
                  <w:tcW w:w="1232"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w:t>
                  </w:r>
                </w:p>
              </w:tc>
              <w:tc>
                <w:tcPr>
                  <w:tcW w:w="1010"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w:t>
                  </w:r>
                </w:p>
              </w:tc>
              <w:tc>
                <w:tcPr>
                  <w:tcW w:w="889" w:type="dxa"/>
                  <w:tcBorders>
                    <w:top w:val="single" w:color="auto" w:sz="6" w:space="0"/>
                    <w:left w:val="single" w:color="auto" w:sz="6" w:space="0"/>
                    <w:bottom w:val="single" w:color="auto" w:sz="6" w:space="0"/>
                    <w:right w:val="single" w:color="auto" w:sz="6" w:space="0"/>
                  </w:tcBorders>
                  <w:noWrap w:val="0"/>
                  <w:vAlign w:val="center"/>
                </w:tcPr>
                <w:p>
                  <w:pPr>
                    <w:pStyle w:val="30"/>
                    <w:bidi w:val="0"/>
                  </w:pPr>
                  <w:r>
                    <w:t>/</w:t>
                  </w:r>
                </w:p>
              </w:tc>
              <w:tc>
                <w:tcPr>
                  <w:tcW w:w="941"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156.302</w:t>
                  </w:r>
                </w:p>
              </w:tc>
              <w:tc>
                <w:tcPr>
                  <w:tcW w:w="1211"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57050.3</w:t>
                  </w:r>
                </w:p>
              </w:tc>
              <w:tc>
                <w:tcPr>
                  <w:tcW w:w="1887" w:type="dxa"/>
                  <w:tcBorders>
                    <w:top w:val="single" w:color="auto" w:sz="6" w:space="0"/>
                    <w:left w:val="single" w:color="auto" w:sz="6" w:space="0"/>
                    <w:bottom w:val="single" w:color="auto" w:sz="6" w:space="0"/>
                    <w:right w:val="single" w:color="auto" w:sz="6" w:space="0"/>
                  </w:tcBorders>
                  <w:noWrap w:val="0"/>
                  <w:vAlign w:val="center"/>
                </w:tcPr>
                <w:p>
                  <w:pPr>
                    <w:pStyle w:val="30"/>
                    <w:bidi w:val="0"/>
                    <w:rPr>
                      <w:rFonts w:hint="default"/>
                      <w:lang w:val="en-US" w:eastAsia="zh-CN"/>
                    </w:rPr>
                  </w:pPr>
                  <w:r>
                    <w:rPr>
                      <w:rFonts w:hint="eastAsia"/>
                      <w:lang w:val="en-US" w:eastAsia="zh-CN"/>
                    </w:rPr>
                    <w:t>51318.27</w:t>
                  </w:r>
                </w:p>
              </w:tc>
            </w:tr>
          </w:tbl>
          <w:p>
            <w:pPr>
              <w:pStyle w:val="12"/>
              <w:bidi w:val="0"/>
              <w:rPr>
                <w:rFonts w:hint="eastAsia"/>
                <w:sz w:val="24"/>
                <w:szCs w:val="24"/>
                <w:lang w:val="en-US" w:eastAsia="zh-CN"/>
              </w:rPr>
            </w:pPr>
            <w:r>
              <w:rPr>
                <w:sz w:val="24"/>
                <w:szCs w:val="24"/>
                <w:lang w:val="zh-CN"/>
              </w:rPr>
              <w:t>经计算</w:t>
            </w:r>
            <w:r>
              <w:rPr>
                <w:sz w:val="24"/>
                <w:szCs w:val="24"/>
              </w:rPr>
              <w:t>医院废水排放量</w:t>
            </w:r>
            <w:r>
              <w:rPr>
                <w:rFonts w:hint="eastAsia"/>
                <w:sz w:val="24"/>
                <w:szCs w:val="24"/>
              </w:rPr>
              <w:t>约</w:t>
            </w:r>
            <w:r>
              <w:rPr>
                <w:sz w:val="24"/>
                <w:szCs w:val="24"/>
              </w:rPr>
              <w:t>为</w:t>
            </w:r>
            <w:r>
              <w:rPr>
                <w:rFonts w:hint="eastAsia"/>
                <w:sz w:val="24"/>
                <w:szCs w:val="24"/>
                <w:lang w:val="en-US" w:eastAsia="zh-CN"/>
              </w:rPr>
              <w:t>51318.27</w:t>
            </w:r>
            <w:r>
              <w:rPr>
                <w:sz w:val="24"/>
                <w:szCs w:val="24"/>
                <w:lang w:val="zh-CN"/>
              </w:rPr>
              <w:t>m³/</w:t>
            </w:r>
            <w:r>
              <w:rPr>
                <w:sz w:val="24"/>
                <w:szCs w:val="24"/>
              </w:rPr>
              <w:t>a</w:t>
            </w:r>
            <w:r>
              <w:rPr>
                <w:rFonts w:hint="eastAsia"/>
                <w:sz w:val="24"/>
                <w:szCs w:val="24"/>
                <w:lang w:eastAsia="zh-CN"/>
              </w:rPr>
              <w:t>（</w:t>
            </w:r>
            <w:r>
              <w:rPr>
                <w:rFonts w:hint="eastAsia"/>
                <w:sz w:val="24"/>
                <w:szCs w:val="24"/>
                <w:lang w:val="en-US" w:eastAsia="zh-CN"/>
              </w:rPr>
              <w:t>140.6</w:t>
            </w:r>
            <w:r>
              <w:rPr>
                <w:sz w:val="24"/>
                <w:szCs w:val="24"/>
                <w:lang w:val="zh-CN"/>
              </w:rPr>
              <w:t>m³/d</w:t>
            </w:r>
            <w:r>
              <w:rPr>
                <w:rFonts w:hint="eastAsia"/>
                <w:sz w:val="24"/>
                <w:szCs w:val="24"/>
                <w:lang w:val="zh-CN"/>
              </w:rPr>
              <w:t>）</w:t>
            </w:r>
            <w:r>
              <w:rPr>
                <w:sz w:val="24"/>
                <w:szCs w:val="24"/>
              </w:rPr>
              <w:t>，</w:t>
            </w:r>
            <w:r>
              <w:rPr>
                <w:sz w:val="24"/>
                <w:szCs w:val="24"/>
                <w:lang w:val="zh-CN"/>
              </w:rPr>
              <w:t>废水主要污染因子为SS、COD</w:t>
            </w:r>
            <w:r>
              <w:rPr>
                <w:sz w:val="24"/>
                <w:szCs w:val="24"/>
              </w:rPr>
              <w:t>cr</w:t>
            </w:r>
            <w:r>
              <w:rPr>
                <w:sz w:val="24"/>
                <w:szCs w:val="24"/>
                <w:lang w:val="zh-CN"/>
              </w:rPr>
              <w:t>、BOD</w:t>
            </w:r>
            <w:r>
              <w:rPr>
                <w:sz w:val="24"/>
                <w:szCs w:val="24"/>
                <w:vertAlign w:val="subscript"/>
                <w:lang w:val="zh-CN"/>
              </w:rPr>
              <w:t>5</w:t>
            </w:r>
            <w:r>
              <w:rPr>
                <w:sz w:val="24"/>
                <w:szCs w:val="24"/>
                <w:lang w:val="zh-CN"/>
              </w:rPr>
              <w:t>、氨氮、粪大肠菌群等</w:t>
            </w:r>
            <w:r>
              <w:rPr>
                <w:rFonts w:hint="eastAsia"/>
                <w:sz w:val="24"/>
                <w:szCs w:val="24"/>
                <w:lang w:val="zh-CN"/>
              </w:rPr>
              <w:t>。</w:t>
            </w:r>
            <w:r>
              <w:rPr>
                <w:sz w:val="24"/>
                <w:szCs w:val="24"/>
              </w:rPr>
              <w:t>项目设置一套处理能力为</w:t>
            </w:r>
            <w:r>
              <w:rPr>
                <w:rFonts w:hint="eastAsia"/>
                <w:sz w:val="24"/>
                <w:szCs w:val="24"/>
                <w:lang w:val="en-US" w:eastAsia="zh-CN"/>
              </w:rPr>
              <w:t>180m³/d</w:t>
            </w:r>
            <w:r>
              <w:rPr>
                <w:sz w:val="24"/>
                <w:szCs w:val="24"/>
              </w:rPr>
              <w:t>的污水处理站，并与污水处理站配套</w:t>
            </w:r>
            <w:r>
              <w:rPr>
                <w:rFonts w:hint="eastAsia"/>
                <w:sz w:val="24"/>
                <w:szCs w:val="24"/>
                <w:lang w:val="en-US" w:eastAsia="zh-CN"/>
              </w:rPr>
              <w:t>18</w:t>
            </w:r>
            <w:r>
              <w:rPr>
                <w:sz w:val="24"/>
                <w:szCs w:val="24"/>
              </w:rPr>
              <w:t>0m</w:t>
            </w:r>
            <w:r>
              <w:rPr>
                <w:rFonts w:hint="default"/>
                <w:sz w:val="24"/>
                <w:szCs w:val="24"/>
              </w:rPr>
              <w:t>³</w:t>
            </w:r>
            <w:r>
              <w:rPr>
                <w:sz w:val="24"/>
                <w:szCs w:val="24"/>
              </w:rPr>
              <w:t xml:space="preserve"> 的调节池（地下式），污水处理站采用</w:t>
            </w:r>
            <w:r>
              <w:rPr>
                <w:rFonts w:hint="eastAsia"/>
                <w:sz w:val="24"/>
                <w:szCs w:val="24"/>
                <w:lang w:val="en-US" w:eastAsia="zh-CN"/>
              </w:rPr>
              <w:t>本项目采用“</w:t>
            </w:r>
            <w:r>
              <w:rPr>
                <w:rFonts w:hint="eastAsia" w:ascii="Times New Roman" w:hAnsi="Times New Roman"/>
                <w:sz w:val="24"/>
                <w:szCs w:val="24"/>
                <w:lang w:eastAsia="zh-CN"/>
              </w:rPr>
              <w:t>格栅+调节池+AAO+二沉池</w:t>
            </w:r>
            <w:r>
              <w:rPr>
                <w:rFonts w:hint="eastAsia" w:ascii="Times New Roman" w:hAnsi="Times New Roman"/>
                <w:sz w:val="24"/>
                <w:szCs w:val="24"/>
                <w:lang w:val="en-US" w:eastAsia="zh-CN"/>
              </w:rPr>
              <w:t>+消毒</w:t>
            </w:r>
            <w:r>
              <w:rPr>
                <w:rFonts w:hint="eastAsia"/>
                <w:sz w:val="24"/>
                <w:szCs w:val="24"/>
                <w:lang w:val="en-US" w:eastAsia="zh-CN"/>
              </w:rPr>
              <w:t>”的工艺。</w:t>
            </w:r>
          </w:p>
          <w:p>
            <w:pPr>
              <w:pStyle w:val="8"/>
              <w:ind w:left="0" w:leftChars="0" w:firstLine="0" w:firstLineChars="0"/>
              <w:jc w:val="center"/>
            </w:pPr>
            <w:r>
              <w:drawing>
                <wp:inline distT="0" distB="0" distL="114300" distR="114300">
                  <wp:extent cx="4648200" cy="5353050"/>
                  <wp:effectExtent l="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8"/>
                          <a:stretch>
                            <a:fillRect/>
                          </a:stretch>
                        </pic:blipFill>
                        <pic:spPr>
                          <a:xfrm>
                            <a:off x="0" y="0"/>
                            <a:ext cx="4648200" cy="5353050"/>
                          </a:xfrm>
                          <a:prstGeom prst="rect">
                            <a:avLst/>
                          </a:prstGeom>
                          <a:noFill/>
                          <a:ln>
                            <a:noFill/>
                          </a:ln>
                        </pic:spPr>
                      </pic:pic>
                    </a:graphicData>
                  </a:graphic>
                </wp:inline>
              </w:drawing>
            </w:r>
          </w:p>
          <w:p>
            <w:pPr>
              <w:pStyle w:val="29"/>
              <w:bidi w:val="0"/>
            </w:pPr>
            <w:r>
              <w:t>图</w:t>
            </w:r>
            <w:r>
              <w:rPr>
                <w:rFonts w:hint="eastAsia"/>
                <w:lang w:val="en-US" w:eastAsia="zh-CN"/>
              </w:rPr>
              <w:t>4.2-1</w:t>
            </w:r>
            <w:r>
              <w:t xml:space="preserve"> 本项目污水处理工艺流程图</w:t>
            </w:r>
          </w:p>
          <w:p>
            <w:pPr>
              <w:bidi w:val="0"/>
              <w:rPr>
                <w:rFonts w:hint="eastAsia"/>
                <w:lang w:val="en-US" w:eastAsia="zh-CN"/>
              </w:rPr>
            </w:pPr>
            <w:r>
              <w:rPr>
                <w:rFonts w:hint="eastAsia"/>
                <w:lang w:val="en-US" w:eastAsia="zh-CN"/>
              </w:rPr>
              <w:t>工艺流程说明：</w:t>
            </w:r>
          </w:p>
          <w:p>
            <w:pPr>
              <w:pStyle w:val="12"/>
              <w:bidi w:val="0"/>
            </w:pPr>
            <w:r>
              <w:t>污水由排水系统收集后进入集水池，通过集水池提升泵提升至污水处理站的格栅井，去除颗粒杂物后，进入调节池，进行均质均量，调节池中设置预曝气系统，再经液位控制仪传递信号，由提升泵送至厌氧池，进行酸化水解，把大分子降解为小分子，降低有机物浓度。然后流入缺氧池进一步酸化水解，去除部分氨氮，最后流入生物接触氧化池进行好氧生化反应，在此绝大部分有机污染物通过生物氧化、吸附得以降解，出水自流至二沉池进行固液分离后，沉淀池上清液流入消毒池，经投加消毒粉接触溶解，杀灭水中有害菌种后达标外排。</w:t>
            </w:r>
          </w:p>
          <w:p>
            <w:pPr>
              <w:pStyle w:val="12"/>
              <w:bidi w:val="0"/>
            </w:pPr>
            <w:r>
              <w:t>由格栅截留下的杂物定期装入小车倾倒至垃圾场，二沉池中的污泥部分回流至缺氧处理池，另一部分污泥至污泥池进行污泥消化后定期抽吸外运，污泥池上清液回流至调节池再处理。</w:t>
            </w:r>
          </w:p>
          <w:p>
            <w:pPr>
              <w:pStyle w:val="12"/>
              <w:bidi w:val="0"/>
            </w:pPr>
            <w:r>
              <w:t>运期废水产生量及污染物产生及排放量汇总见下表。</w:t>
            </w:r>
          </w:p>
          <w:p>
            <w:pPr>
              <w:pStyle w:val="29"/>
              <w:bidi w:val="0"/>
            </w:pPr>
            <w:r>
              <w:t xml:space="preserve">表 </w:t>
            </w:r>
            <w:r>
              <w:rPr>
                <w:rFonts w:hint="eastAsia"/>
                <w:lang w:val="en-US" w:eastAsia="zh-CN"/>
              </w:rPr>
              <w:t>4</w:t>
            </w:r>
            <w:r>
              <w:t>.2-</w:t>
            </w:r>
            <w:r>
              <w:rPr>
                <w:rFonts w:hint="eastAsia"/>
                <w:lang w:val="en-US" w:eastAsia="zh-CN"/>
              </w:rPr>
              <w:t>8</w:t>
            </w:r>
            <w:r>
              <w:t>项目营运期废水产生量及污染物产生量一览表</w:t>
            </w:r>
          </w:p>
          <w:tbl>
            <w:tblPr>
              <w:tblStyle w:val="27"/>
              <w:tblW w:w="867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38"/>
              <w:gridCol w:w="595"/>
              <w:gridCol w:w="753"/>
              <w:gridCol w:w="740"/>
              <w:gridCol w:w="719"/>
              <w:gridCol w:w="502"/>
              <w:gridCol w:w="1052"/>
              <w:gridCol w:w="758"/>
              <w:gridCol w:w="707"/>
              <w:gridCol w:w="939"/>
              <w:gridCol w:w="759"/>
              <w:gridCol w:w="71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trHeight w:val="340" w:hRule="atLeast"/>
              </w:trPr>
              <w:tc>
                <w:tcPr>
                  <w:tcW w:w="438" w:type="dxa"/>
                  <w:vMerge w:val="restart"/>
                  <w:tcBorders>
                    <w:tl2br w:val="nil"/>
                    <w:tr2bl w:val="nil"/>
                  </w:tcBorders>
                  <w:noWrap w:val="0"/>
                  <w:vAlign w:val="center"/>
                </w:tcPr>
                <w:p>
                  <w:pPr>
                    <w:pStyle w:val="30"/>
                    <w:bidi w:val="0"/>
                    <w:rPr>
                      <w:rFonts w:hint="eastAsia"/>
                      <w:lang w:val="en-US" w:eastAsia="zh-CN"/>
                    </w:rPr>
                  </w:pPr>
                  <w:r>
                    <w:rPr>
                      <w:rFonts w:hint="eastAsia"/>
                      <w:lang w:val="en-US" w:eastAsia="zh-CN"/>
                    </w:rPr>
                    <w:t>序号</w:t>
                  </w:r>
                </w:p>
              </w:tc>
              <w:tc>
                <w:tcPr>
                  <w:tcW w:w="595" w:type="dxa"/>
                  <w:vMerge w:val="restart"/>
                  <w:tcBorders>
                    <w:right w:val="single" w:color="auto" w:sz="4" w:space="0"/>
                    <w:tl2br w:val="nil"/>
                    <w:tr2bl w:val="nil"/>
                  </w:tcBorders>
                  <w:noWrap w:val="0"/>
                  <w:vAlign w:val="center"/>
                </w:tcPr>
                <w:p>
                  <w:pPr>
                    <w:pStyle w:val="30"/>
                    <w:bidi w:val="0"/>
                    <w:rPr>
                      <w:rFonts w:hint="default"/>
                      <w:lang w:val="en-US" w:eastAsia="zh-CN"/>
                    </w:rPr>
                  </w:pPr>
                  <w:r>
                    <w:rPr>
                      <w:rFonts w:hint="eastAsia"/>
                      <w:lang w:val="en-US" w:eastAsia="zh-CN"/>
                    </w:rPr>
                    <w:t>产排污环节</w:t>
                  </w:r>
                </w:p>
              </w:tc>
              <w:tc>
                <w:tcPr>
                  <w:tcW w:w="753" w:type="dxa"/>
                  <w:vMerge w:val="restart"/>
                  <w:tcBorders>
                    <w:left w:val="single" w:color="auto" w:sz="4" w:space="0"/>
                    <w:tl2br w:val="nil"/>
                    <w:tr2bl w:val="nil"/>
                  </w:tcBorders>
                  <w:noWrap w:val="0"/>
                  <w:vAlign w:val="center"/>
                </w:tcPr>
                <w:p>
                  <w:pPr>
                    <w:pStyle w:val="30"/>
                    <w:bidi w:val="0"/>
                    <w:rPr>
                      <w:rFonts w:hint="default"/>
                      <w:lang w:val="en-US" w:eastAsia="zh-CN"/>
                    </w:rPr>
                  </w:pPr>
                  <w:r>
                    <w:rPr>
                      <w:rFonts w:hint="eastAsia"/>
                      <w:lang w:val="en-US" w:eastAsia="zh-CN"/>
                    </w:rPr>
                    <w:t>污染物种类</w:t>
                  </w:r>
                </w:p>
              </w:tc>
              <w:tc>
                <w:tcPr>
                  <w:tcW w:w="1459" w:type="dxa"/>
                  <w:gridSpan w:val="2"/>
                  <w:tcBorders>
                    <w:tl2br w:val="nil"/>
                    <w:tr2bl w:val="nil"/>
                  </w:tcBorders>
                  <w:noWrap w:val="0"/>
                  <w:vAlign w:val="center"/>
                </w:tcPr>
                <w:p>
                  <w:pPr>
                    <w:pStyle w:val="30"/>
                    <w:bidi w:val="0"/>
                  </w:pPr>
                  <w:r>
                    <w:rPr>
                      <w:rFonts w:hint="eastAsia"/>
                      <w:lang w:val="en-US" w:eastAsia="zh-CN"/>
                    </w:rPr>
                    <w:t>污染物</w:t>
                  </w:r>
                  <w:r>
                    <w:rPr>
                      <w:rFonts w:hint="eastAsia"/>
                    </w:rPr>
                    <w:t>产生情</w:t>
                  </w:r>
                  <w:r>
                    <w:t>况</w:t>
                  </w:r>
                </w:p>
              </w:tc>
              <w:tc>
                <w:tcPr>
                  <w:tcW w:w="502" w:type="dxa"/>
                  <w:vMerge w:val="restart"/>
                  <w:tcBorders>
                    <w:right w:val="single" w:color="auto" w:sz="4" w:space="0"/>
                    <w:tl2br w:val="nil"/>
                    <w:tr2bl w:val="nil"/>
                  </w:tcBorders>
                  <w:noWrap w:val="0"/>
                  <w:vAlign w:val="center"/>
                </w:tcPr>
                <w:p>
                  <w:pPr>
                    <w:pStyle w:val="30"/>
                    <w:bidi w:val="0"/>
                    <w:rPr>
                      <w:rFonts w:hint="default"/>
                      <w:lang w:val="en-US" w:eastAsia="zh-CN"/>
                    </w:rPr>
                  </w:pPr>
                  <w:r>
                    <w:rPr>
                      <w:rFonts w:hint="eastAsia"/>
                      <w:lang w:val="en-US" w:eastAsia="zh-CN"/>
                    </w:rPr>
                    <w:t>排放方式</w:t>
                  </w:r>
                </w:p>
              </w:tc>
              <w:tc>
                <w:tcPr>
                  <w:tcW w:w="2517" w:type="dxa"/>
                  <w:gridSpan w:val="3"/>
                  <w:tcBorders>
                    <w:left w:val="single" w:color="auto" w:sz="4" w:space="0"/>
                    <w:tl2br w:val="nil"/>
                    <w:tr2bl w:val="nil"/>
                  </w:tcBorders>
                  <w:noWrap w:val="0"/>
                  <w:vAlign w:val="center"/>
                </w:tcPr>
                <w:p>
                  <w:pPr>
                    <w:pStyle w:val="30"/>
                    <w:bidi w:val="0"/>
                    <w:rPr>
                      <w:rFonts w:hint="eastAsia"/>
                    </w:rPr>
                  </w:pPr>
                  <w:r>
                    <w:rPr>
                      <w:rFonts w:hint="eastAsia"/>
                      <w:lang w:val="en-US" w:eastAsia="zh-CN"/>
                    </w:rPr>
                    <w:t>污染物</w:t>
                  </w:r>
                  <w:r>
                    <w:rPr>
                      <w:rFonts w:hint="eastAsia"/>
                    </w:rPr>
                    <w:t>排放情况</w:t>
                  </w:r>
                </w:p>
              </w:tc>
              <w:tc>
                <w:tcPr>
                  <w:tcW w:w="2408" w:type="dxa"/>
                  <w:gridSpan w:val="3"/>
                  <w:tcBorders>
                    <w:tl2br w:val="nil"/>
                    <w:tr2bl w:val="nil"/>
                  </w:tcBorders>
                  <w:noWrap w:val="0"/>
                  <w:vAlign w:val="center"/>
                </w:tcPr>
                <w:p>
                  <w:pPr>
                    <w:pStyle w:val="30"/>
                    <w:bidi w:val="0"/>
                    <w:rPr>
                      <w:rFonts w:hint="eastAsia"/>
                      <w:lang w:val="en-US" w:eastAsia="zh-CN"/>
                    </w:rPr>
                  </w:pPr>
                  <w:r>
                    <w:rPr>
                      <w:rFonts w:hint="eastAsia"/>
                      <w:lang w:val="en-US" w:eastAsia="zh-CN"/>
                    </w:rPr>
                    <w:t>治理</w:t>
                  </w:r>
                  <w:r>
                    <w:t>措施</w:t>
                  </w:r>
                  <w:r>
                    <w:rPr>
                      <w:rFonts w:hint="eastAsia"/>
                      <w:lang w:val="en-US" w:eastAsia="zh-CN"/>
                    </w:rPr>
                    <w:t>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438" w:type="dxa"/>
                  <w:vMerge w:val="continue"/>
                  <w:tcBorders>
                    <w:tl2br w:val="nil"/>
                    <w:tr2bl w:val="nil"/>
                  </w:tcBorders>
                  <w:noWrap w:val="0"/>
                  <w:vAlign w:val="center"/>
                </w:tcPr>
                <w:p>
                  <w:pPr>
                    <w:pStyle w:val="30"/>
                    <w:bidi w:val="0"/>
                    <w:rPr>
                      <w:rFonts w:hint="eastAsia"/>
                    </w:rPr>
                  </w:pPr>
                </w:p>
              </w:tc>
              <w:tc>
                <w:tcPr>
                  <w:tcW w:w="595" w:type="dxa"/>
                  <w:vMerge w:val="continue"/>
                  <w:tcBorders>
                    <w:right w:val="single" w:color="auto" w:sz="4" w:space="0"/>
                    <w:tl2br w:val="nil"/>
                    <w:tr2bl w:val="nil"/>
                  </w:tcBorders>
                  <w:noWrap w:val="0"/>
                  <w:vAlign w:val="center"/>
                </w:tcPr>
                <w:p>
                  <w:pPr>
                    <w:pStyle w:val="30"/>
                    <w:bidi w:val="0"/>
                    <w:rPr>
                      <w:rFonts w:hint="eastAsia"/>
                    </w:rPr>
                  </w:pPr>
                </w:p>
              </w:tc>
              <w:tc>
                <w:tcPr>
                  <w:tcW w:w="753" w:type="dxa"/>
                  <w:vMerge w:val="continue"/>
                  <w:tcBorders>
                    <w:left w:val="single" w:color="auto" w:sz="4" w:space="0"/>
                    <w:tl2br w:val="nil"/>
                    <w:tr2bl w:val="nil"/>
                  </w:tcBorders>
                  <w:noWrap w:val="0"/>
                  <w:vAlign w:val="center"/>
                </w:tcPr>
                <w:p>
                  <w:pPr>
                    <w:pStyle w:val="30"/>
                    <w:bidi w:val="0"/>
                    <w:rPr>
                      <w:rFonts w:hint="eastAsia"/>
                    </w:rPr>
                  </w:pPr>
                </w:p>
              </w:tc>
              <w:tc>
                <w:tcPr>
                  <w:tcW w:w="740" w:type="dxa"/>
                  <w:tcBorders>
                    <w:tl2br w:val="nil"/>
                    <w:tr2bl w:val="nil"/>
                  </w:tcBorders>
                  <w:noWrap w:val="0"/>
                  <w:vAlign w:val="center"/>
                </w:tcPr>
                <w:p>
                  <w:pPr>
                    <w:pStyle w:val="30"/>
                    <w:bidi w:val="0"/>
                    <w:rPr>
                      <w:rFonts w:hint="eastAsia"/>
                    </w:rPr>
                  </w:pPr>
                  <w:r>
                    <w:rPr>
                      <w:rFonts w:hint="eastAsia"/>
                      <w:lang w:val="en-US" w:eastAsia="zh-CN"/>
                    </w:rPr>
                    <w:t>产生</w:t>
                  </w:r>
                  <w:r>
                    <w:rPr>
                      <w:rFonts w:hint="eastAsia"/>
                    </w:rPr>
                    <w:t>浓度</w:t>
                  </w:r>
                  <w:r>
                    <w:t>mg/L</w:t>
                  </w:r>
                </w:p>
              </w:tc>
              <w:tc>
                <w:tcPr>
                  <w:tcW w:w="719" w:type="dxa"/>
                  <w:tcBorders>
                    <w:tl2br w:val="nil"/>
                    <w:tr2bl w:val="nil"/>
                  </w:tcBorders>
                  <w:noWrap w:val="0"/>
                  <w:vAlign w:val="center"/>
                </w:tcPr>
                <w:p>
                  <w:pPr>
                    <w:pStyle w:val="30"/>
                    <w:bidi w:val="0"/>
                    <w:rPr>
                      <w:rFonts w:hint="eastAsia"/>
                    </w:rPr>
                  </w:pPr>
                  <w:r>
                    <w:rPr>
                      <w:rFonts w:hint="eastAsia"/>
                      <w:lang w:val="en-US" w:eastAsia="zh-CN"/>
                    </w:rPr>
                    <w:t>产生</w:t>
                  </w:r>
                  <w:r>
                    <w:rPr>
                      <w:rFonts w:hint="eastAsia"/>
                    </w:rPr>
                    <w:t>量t/a</w:t>
                  </w:r>
                </w:p>
              </w:tc>
              <w:tc>
                <w:tcPr>
                  <w:tcW w:w="502" w:type="dxa"/>
                  <w:vMerge w:val="continue"/>
                  <w:tcBorders>
                    <w:right w:val="single" w:color="auto" w:sz="4" w:space="0"/>
                    <w:tl2br w:val="nil"/>
                    <w:tr2bl w:val="nil"/>
                  </w:tcBorders>
                  <w:noWrap w:val="0"/>
                  <w:vAlign w:val="center"/>
                </w:tcPr>
                <w:p>
                  <w:pPr>
                    <w:pStyle w:val="30"/>
                    <w:bidi w:val="0"/>
                    <w:rPr>
                      <w:rFonts w:hint="eastAsia"/>
                    </w:rPr>
                  </w:pPr>
                </w:p>
              </w:tc>
              <w:tc>
                <w:tcPr>
                  <w:tcW w:w="1052" w:type="dxa"/>
                  <w:tcBorders>
                    <w:top w:val="single" w:color="auto" w:sz="4" w:space="0"/>
                    <w:left w:val="single" w:color="auto" w:sz="4" w:space="0"/>
                    <w:right w:val="single" w:color="auto" w:sz="4" w:space="0"/>
                    <w:tl2br w:val="nil"/>
                    <w:tr2bl w:val="nil"/>
                  </w:tcBorders>
                  <w:noWrap w:val="0"/>
                  <w:vAlign w:val="center"/>
                </w:tcPr>
                <w:p>
                  <w:pPr>
                    <w:pStyle w:val="30"/>
                    <w:bidi w:val="0"/>
                    <w:rPr>
                      <w:rFonts w:hint="default"/>
                      <w:lang w:val="en-US" w:eastAsia="zh-CN"/>
                    </w:rPr>
                  </w:pPr>
                  <w:r>
                    <w:rPr>
                      <w:rFonts w:hint="eastAsia"/>
                      <w:lang w:val="en-US" w:eastAsia="zh-CN"/>
                    </w:rPr>
                    <w:t>废水排放量t/a</w:t>
                  </w:r>
                </w:p>
              </w:tc>
              <w:tc>
                <w:tcPr>
                  <w:tcW w:w="758" w:type="dxa"/>
                  <w:tcBorders>
                    <w:top w:val="single" w:color="auto" w:sz="4" w:space="0"/>
                    <w:left w:val="single" w:color="auto" w:sz="4" w:space="0"/>
                    <w:right w:val="single" w:color="auto" w:sz="4" w:space="0"/>
                    <w:tl2br w:val="nil"/>
                    <w:tr2bl w:val="nil"/>
                  </w:tcBorders>
                  <w:noWrap w:val="0"/>
                  <w:vAlign w:val="center"/>
                </w:tcPr>
                <w:p>
                  <w:pPr>
                    <w:pStyle w:val="30"/>
                    <w:bidi w:val="0"/>
                    <w:rPr>
                      <w:rFonts w:hint="default"/>
                      <w:lang w:val="en-US" w:eastAsia="zh-CN"/>
                    </w:rPr>
                  </w:pPr>
                  <w:r>
                    <w:rPr>
                      <w:rFonts w:hint="eastAsia"/>
                      <w:lang w:val="en-US" w:eastAsia="zh-CN"/>
                    </w:rPr>
                    <w:t>污染物排放量t/a</w:t>
                  </w:r>
                </w:p>
              </w:tc>
              <w:tc>
                <w:tcPr>
                  <w:tcW w:w="707" w:type="dxa"/>
                  <w:tcBorders>
                    <w:top w:val="single" w:color="auto" w:sz="4" w:space="0"/>
                    <w:left w:val="single" w:color="auto" w:sz="4" w:space="0"/>
                    <w:tl2br w:val="nil"/>
                    <w:tr2bl w:val="nil"/>
                  </w:tcBorders>
                  <w:noWrap w:val="0"/>
                  <w:vAlign w:val="center"/>
                </w:tcPr>
                <w:p>
                  <w:pPr>
                    <w:pStyle w:val="30"/>
                    <w:bidi w:val="0"/>
                    <w:rPr>
                      <w:rFonts w:hint="eastAsia"/>
                    </w:rPr>
                  </w:pPr>
                  <w:r>
                    <w:rPr>
                      <w:rFonts w:hint="default"/>
                    </w:rPr>
                    <w:t>排放浓度</w:t>
                  </w:r>
                  <w:r>
                    <w:t>mg/L</w:t>
                  </w:r>
                </w:p>
              </w:tc>
              <w:tc>
                <w:tcPr>
                  <w:tcW w:w="939" w:type="dxa"/>
                  <w:tcBorders>
                    <w:top w:val="single" w:color="auto" w:sz="4" w:space="0"/>
                    <w:right w:val="single" w:color="auto" w:sz="4" w:space="0"/>
                    <w:tl2br w:val="nil"/>
                    <w:tr2bl w:val="nil"/>
                  </w:tcBorders>
                  <w:noWrap w:val="0"/>
                  <w:vAlign w:val="center"/>
                </w:tcPr>
                <w:p>
                  <w:pPr>
                    <w:pStyle w:val="30"/>
                    <w:bidi w:val="0"/>
                    <w:rPr>
                      <w:rFonts w:hint="default"/>
                      <w:lang w:val="en-US" w:eastAsia="zh-CN"/>
                    </w:rPr>
                  </w:pPr>
                  <w:r>
                    <w:rPr>
                      <w:rFonts w:hint="eastAsia"/>
                      <w:lang w:val="en-US" w:eastAsia="zh-CN"/>
                    </w:rPr>
                    <w:t>治理设施</w:t>
                  </w:r>
                </w:p>
              </w:tc>
              <w:tc>
                <w:tcPr>
                  <w:tcW w:w="759" w:type="dxa"/>
                  <w:tcBorders>
                    <w:top w:val="single" w:color="auto" w:sz="4" w:space="0"/>
                    <w:left w:val="single" w:color="auto" w:sz="4" w:space="0"/>
                    <w:right w:val="single" w:color="auto" w:sz="4" w:space="0"/>
                    <w:tl2br w:val="nil"/>
                    <w:tr2bl w:val="nil"/>
                  </w:tcBorders>
                  <w:noWrap w:val="0"/>
                  <w:vAlign w:val="center"/>
                </w:tcPr>
                <w:p>
                  <w:pPr>
                    <w:pStyle w:val="30"/>
                    <w:bidi w:val="0"/>
                    <w:rPr>
                      <w:rFonts w:hint="default"/>
                      <w:lang w:val="en-US" w:eastAsia="zh-CN"/>
                    </w:rPr>
                  </w:pPr>
                  <w:r>
                    <w:rPr>
                      <w:rFonts w:hint="eastAsia"/>
                      <w:lang w:val="en-US" w:eastAsia="zh-CN"/>
                    </w:rPr>
                    <w:t>治理工艺去除率%</w:t>
                  </w:r>
                </w:p>
              </w:tc>
              <w:tc>
                <w:tcPr>
                  <w:tcW w:w="710" w:type="dxa"/>
                  <w:tcBorders>
                    <w:left w:val="single" w:color="auto" w:sz="4" w:space="0"/>
                    <w:tl2br w:val="nil"/>
                    <w:tr2bl w:val="nil"/>
                  </w:tcBorders>
                  <w:noWrap w:val="0"/>
                  <w:vAlign w:val="center"/>
                </w:tcPr>
                <w:p>
                  <w:pPr>
                    <w:pStyle w:val="30"/>
                    <w:bidi w:val="0"/>
                    <w:rPr>
                      <w:rFonts w:hint="default"/>
                      <w:lang w:val="en-US" w:eastAsia="zh-CN"/>
                    </w:rPr>
                  </w:pPr>
                  <w:r>
                    <w:rPr>
                      <w:rFonts w:hint="eastAsia"/>
                      <w:lang w:val="en-US" w:eastAsia="zh-CN"/>
                    </w:rPr>
                    <w:t>是否为可行技术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438" w:type="dxa"/>
                  <w:vMerge w:val="restart"/>
                  <w:tcBorders>
                    <w:tl2br w:val="nil"/>
                    <w:tr2bl w:val="nil"/>
                  </w:tcBorders>
                  <w:noWrap w:val="0"/>
                  <w:vAlign w:val="center"/>
                </w:tcPr>
                <w:p>
                  <w:pPr>
                    <w:pStyle w:val="30"/>
                    <w:bidi w:val="0"/>
                    <w:rPr>
                      <w:rFonts w:hint="default"/>
                      <w:lang w:val="en-US" w:eastAsia="zh-CN"/>
                    </w:rPr>
                  </w:pPr>
                  <w:r>
                    <w:rPr>
                      <w:rFonts w:hint="eastAsia"/>
                      <w:lang w:val="en-US" w:eastAsia="zh-CN"/>
                    </w:rPr>
                    <w:t>1</w:t>
                  </w:r>
                </w:p>
              </w:tc>
              <w:tc>
                <w:tcPr>
                  <w:tcW w:w="595" w:type="dxa"/>
                  <w:vMerge w:val="restart"/>
                  <w:tcBorders>
                    <w:right w:val="single" w:color="auto" w:sz="4" w:space="0"/>
                    <w:tl2br w:val="nil"/>
                    <w:tr2bl w:val="nil"/>
                  </w:tcBorders>
                  <w:noWrap w:val="0"/>
                  <w:vAlign w:val="center"/>
                </w:tcPr>
                <w:p>
                  <w:pPr>
                    <w:pStyle w:val="30"/>
                    <w:bidi w:val="0"/>
                    <w:rPr>
                      <w:rFonts w:hint="default"/>
                      <w:lang w:val="en-US" w:eastAsia="zh-CN"/>
                    </w:rPr>
                  </w:pPr>
                  <w:r>
                    <w:rPr>
                      <w:rFonts w:hint="eastAsia"/>
                      <w:lang w:val="en-US" w:eastAsia="zh-CN"/>
                    </w:rPr>
                    <w:t>医疗综合废水</w:t>
                  </w:r>
                </w:p>
              </w:tc>
              <w:tc>
                <w:tcPr>
                  <w:tcW w:w="753" w:type="dxa"/>
                  <w:tcBorders>
                    <w:left w:val="single" w:color="auto" w:sz="4" w:space="0"/>
                    <w:tl2br w:val="nil"/>
                    <w:tr2bl w:val="nil"/>
                  </w:tcBorders>
                  <w:noWrap w:val="0"/>
                  <w:vAlign w:val="center"/>
                </w:tcPr>
                <w:p>
                  <w:pPr>
                    <w:pStyle w:val="30"/>
                    <w:bidi w:val="0"/>
                    <w:rPr>
                      <w:rFonts w:hint="default"/>
                      <w:lang w:val="en-US" w:eastAsia="zh-CN"/>
                    </w:rPr>
                  </w:pPr>
                  <w:r>
                    <w:rPr>
                      <w:rFonts w:hint="eastAsia"/>
                      <w:lang w:val="en-US" w:eastAsia="zh-CN"/>
                    </w:rPr>
                    <w:t>COD</w:t>
                  </w:r>
                </w:p>
              </w:tc>
              <w:tc>
                <w:tcPr>
                  <w:tcW w:w="740" w:type="dxa"/>
                  <w:tcBorders>
                    <w:tl2br w:val="nil"/>
                    <w:tr2bl w:val="nil"/>
                  </w:tcBorders>
                  <w:noWrap w:val="0"/>
                  <w:vAlign w:val="center"/>
                </w:tcPr>
                <w:p>
                  <w:pPr>
                    <w:pStyle w:val="30"/>
                    <w:bidi w:val="0"/>
                    <w:rPr>
                      <w:rFonts w:hint="default"/>
                      <w:lang w:val="en-US" w:eastAsia="zh-CN"/>
                    </w:rPr>
                  </w:pPr>
                  <w:r>
                    <w:rPr>
                      <w:rFonts w:hint="eastAsia"/>
                      <w:lang w:val="en-US" w:eastAsia="zh-CN"/>
                    </w:rPr>
                    <w:t>300</w:t>
                  </w:r>
                </w:p>
              </w:tc>
              <w:tc>
                <w:tcPr>
                  <w:tcW w:w="719" w:type="dxa"/>
                  <w:tcBorders>
                    <w:tl2br w:val="nil"/>
                    <w:tr2bl w:val="nil"/>
                  </w:tcBorders>
                  <w:noWrap w:val="0"/>
                  <w:vAlign w:val="center"/>
                </w:tcPr>
                <w:p>
                  <w:pPr>
                    <w:pStyle w:val="30"/>
                    <w:bidi w:val="0"/>
                    <w:rPr>
                      <w:rFonts w:hint="default"/>
                      <w:lang w:val="en-US" w:eastAsia="zh-CN"/>
                    </w:rPr>
                  </w:pPr>
                  <w:r>
                    <w:rPr>
                      <w:rFonts w:hint="eastAsia"/>
                      <w:lang w:val="en-US" w:eastAsia="zh-CN"/>
                    </w:rPr>
                    <w:t>15.37</w:t>
                  </w:r>
                </w:p>
              </w:tc>
              <w:tc>
                <w:tcPr>
                  <w:tcW w:w="502" w:type="dxa"/>
                  <w:vMerge w:val="restart"/>
                  <w:tcBorders>
                    <w:right w:val="single" w:color="auto" w:sz="4" w:space="0"/>
                    <w:tl2br w:val="nil"/>
                    <w:tr2bl w:val="nil"/>
                  </w:tcBorders>
                  <w:noWrap w:val="0"/>
                  <w:vAlign w:val="center"/>
                </w:tcPr>
                <w:p>
                  <w:pPr>
                    <w:pStyle w:val="30"/>
                    <w:bidi w:val="0"/>
                    <w:rPr>
                      <w:rFonts w:hint="default"/>
                      <w:lang w:val="en-US" w:eastAsia="zh-CN"/>
                    </w:rPr>
                  </w:pPr>
                  <w:r>
                    <w:rPr>
                      <w:rFonts w:hint="eastAsia"/>
                      <w:lang w:val="en-US" w:eastAsia="zh-CN"/>
                    </w:rPr>
                    <w:t>间接排放</w:t>
                  </w:r>
                </w:p>
              </w:tc>
              <w:tc>
                <w:tcPr>
                  <w:tcW w:w="1052" w:type="dxa"/>
                  <w:vMerge w:val="restart"/>
                  <w:tcBorders>
                    <w:left w:val="single" w:color="auto" w:sz="4" w:space="0"/>
                    <w:right w:val="single" w:color="auto" w:sz="4" w:space="0"/>
                    <w:tl2br w:val="nil"/>
                    <w:tr2bl w:val="nil"/>
                  </w:tcBorders>
                  <w:noWrap w:val="0"/>
                  <w:vAlign w:val="center"/>
                </w:tcPr>
                <w:p>
                  <w:pPr>
                    <w:pStyle w:val="30"/>
                    <w:bidi w:val="0"/>
                    <w:rPr>
                      <w:rFonts w:hint="default"/>
                      <w:lang w:val="en-US" w:eastAsia="zh-CN"/>
                    </w:rPr>
                  </w:pPr>
                  <w:r>
                    <w:rPr>
                      <w:rFonts w:hint="eastAsia"/>
                      <w:lang w:val="en-US" w:eastAsia="zh-CN"/>
                    </w:rPr>
                    <w:t>51318.27</w:t>
                  </w:r>
                </w:p>
              </w:tc>
              <w:tc>
                <w:tcPr>
                  <w:tcW w:w="758" w:type="dxa"/>
                  <w:tcBorders>
                    <w:left w:val="single" w:color="auto" w:sz="4" w:space="0"/>
                    <w:bottom w:val="single" w:color="auto" w:sz="4" w:space="0"/>
                    <w:right w:val="single" w:color="auto" w:sz="4" w:space="0"/>
                    <w:tl2br w:val="nil"/>
                    <w:tr2bl w:val="nil"/>
                  </w:tcBorders>
                  <w:noWrap w:val="0"/>
                  <w:vAlign w:val="center"/>
                </w:tcPr>
                <w:p>
                  <w:pPr>
                    <w:pStyle w:val="30"/>
                    <w:bidi w:val="0"/>
                    <w:rPr>
                      <w:rFonts w:hint="default"/>
                      <w:lang w:val="en-US" w:eastAsia="zh-CN"/>
                    </w:rPr>
                  </w:pPr>
                  <w:r>
                    <w:rPr>
                      <w:rFonts w:hint="eastAsia"/>
                      <w:lang w:val="en-US" w:eastAsia="zh-CN"/>
                    </w:rPr>
                    <w:t>12.81</w:t>
                  </w:r>
                </w:p>
              </w:tc>
              <w:tc>
                <w:tcPr>
                  <w:tcW w:w="707" w:type="dxa"/>
                  <w:tcBorders>
                    <w:left w:val="single" w:color="auto" w:sz="4" w:space="0"/>
                    <w:bottom w:val="single" w:color="auto" w:sz="4" w:space="0"/>
                    <w:tl2br w:val="nil"/>
                    <w:tr2bl w:val="nil"/>
                  </w:tcBorders>
                  <w:noWrap w:val="0"/>
                  <w:vAlign w:val="center"/>
                </w:tcPr>
                <w:p>
                  <w:pPr>
                    <w:pStyle w:val="30"/>
                    <w:bidi w:val="0"/>
                    <w:rPr>
                      <w:rFonts w:hint="eastAsia"/>
                      <w:lang w:val="en-US" w:eastAsia="zh-CN"/>
                    </w:rPr>
                  </w:pPr>
                  <w:r>
                    <w:rPr>
                      <w:rFonts w:hint="eastAsia"/>
                      <w:lang w:val="en-US" w:eastAsia="zh-CN"/>
                    </w:rPr>
                    <w:t>250</w:t>
                  </w:r>
                </w:p>
              </w:tc>
              <w:tc>
                <w:tcPr>
                  <w:tcW w:w="939" w:type="dxa"/>
                  <w:vMerge w:val="restart"/>
                  <w:tcBorders>
                    <w:right w:val="single" w:color="auto" w:sz="4" w:space="0"/>
                    <w:tl2br w:val="nil"/>
                    <w:tr2bl w:val="nil"/>
                  </w:tcBorders>
                  <w:noWrap w:val="0"/>
                  <w:vAlign w:val="center"/>
                </w:tcPr>
                <w:p>
                  <w:pPr>
                    <w:pStyle w:val="30"/>
                    <w:bidi w:val="0"/>
                    <w:rPr>
                      <w:rFonts w:hint="eastAsia" w:eastAsia="宋体"/>
                      <w:lang w:val="en-US" w:eastAsia="zh-CN"/>
                    </w:rPr>
                  </w:pPr>
                  <w:r>
                    <w:rPr>
                      <w:rFonts w:hint="eastAsia" w:ascii="Times New Roman" w:hAnsi="Times New Roman"/>
                      <w:sz w:val="21"/>
                      <w:szCs w:val="21"/>
                      <w:lang w:eastAsia="zh-CN"/>
                    </w:rPr>
                    <w:t>格栅+调节池+AAO+二沉池</w:t>
                  </w:r>
                  <w:r>
                    <w:rPr>
                      <w:rFonts w:hint="eastAsia" w:ascii="Times New Roman" w:hAnsi="Times New Roman"/>
                      <w:sz w:val="21"/>
                      <w:szCs w:val="21"/>
                      <w:lang w:val="en-US" w:eastAsia="zh-CN"/>
                    </w:rPr>
                    <w:t>+消毒</w:t>
                  </w:r>
                </w:p>
              </w:tc>
              <w:tc>
                <w:tcPr>
                  <w:tcW w:w="759" w:type="dxa"/>
                  <w:tcBorders>
                    <w:left w:val="single" w:color="auto" w:sz="4" w:space="0"/>
                    <w:bottom w:val="single" w:color="auto" w:sz="4" w:space="0"/>
                    <w:right w:val="single" w:color="auto" w:sz="4" w:space="0"/>
                    <w:tl2br w:val="nil"/>
                    <w:tr2bl w:val="nil"/>
                  </w:tcBorders>
                  <w:noWrap w:val="0"/>
                  <w:vAlign w:val="center"/>
                </w:tcPr>
                <w:p>
                  <w:pPr>
                    <w:pStyle w:val="30"/>
                    <w:bidi w:val="0"/>
                    <w:rPr>
                      <w:rFonts w:hint="default"/>
                      <w:lang w:val="en-US" w:eastAsia="zh-CN"/>
                    </w:rPr>
                  </w:pPr>
                  <w:r>
                    <w:rPr>
                      <w:rFonts w:hint="eastAsia"/>
                      <w:lang w:val="en-US" w:eastAsia="zh-CN"/>
                    </w:rPr>
                    <w:t>＞16</w:t>
                  </w:r>
                </w:p>
              </w:tc>
              <w:tc>
                <w:tcPr>
                  <w:tcW w:w="710" w:type="dxa"/>
                  <w:vMerge w:val="restart"/>
                  <w:tcBorders>
                    <w:left w:val="single" w:color="auto" w:sz="4" w:space="0"/>
                    <w:tl2br w:val="nil"/>
                    <w:tr2bl w:val="nil"/>
                  </w:tcBorders>
                  <w:noWrap w:val="0"/>
                  <w:vAlign w:val="center"/>
                </w:tcPr>
                <w:p>
                  <w:pPr>
                    <w:pStyle w:val="30"/>
                    <w:bidi w:val="0"/>
                    <w:rPr>
                      <w:rFonts w:hint="eastAsia"/>
                      <w:lang w:val="en-US" w:eastAsia="zh-CN"/>
                    </w:rPr>
                  </w:pPr>
                  <w:r>
                    <w:rPr>
                      <w:rFonts w:hint="eastAsia"/>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438" w:type="dxa"/>
                  <w:vMerge w:val="continue"/>
                  <w:tcBorders>
                    <w:tl2br w:val="nil"/>
                    <w:tr2bl w:val="nil"/>
                  </w:tcBorders>
                  <w:noWrap w:val="0"/>
                  <w:vAlign w:val="center"/>
                </w:tcPr>
                <w:p>
                  <w:pPr>
                    <w:pStyle w:val="30"/>
                    <w:bidi w:val="0"/>
                  </w:pPr>
                </w:p>
              </w:tc>
              <w:tc>
                <w:tcPr>
                  <w:tcW w:w="595" w:type="dxa"/>
                  <w:vMerge w:val="continue"/>
                  <w:tcBorders>
                    <w:right w:val="single" w:color="auto" w:sz="4" w:space="0"/>
                    <w:tl2br w:val="nil"/>
                    <w:tr2bl w:val="nil"/>
                  </w:tcBorders>
                  <w:noWrap w:val="0"/>
                  <w:vAlign w:val="center"/>
                </w:tcPr>
                <w:p>
                  <w:pPr>
                    <w:pStyle w:val="30"/>
                    <w:bidi w:val="0"/>
                  </w:pPr>
                </w:p>
              </w:tc>
              <w:tc>
                <w:tcPr>
                  <w:tcW w:w="753" w:type="dxa"/>
                  <w:tcBorders>
                    <w:left w:val="single" w:color="auto" w:sz="4" w:space="0"/>
                    <w:tl2br w:val="nil"/>
                    <w:tr2bl w:val="nil"/>
                  </w:tcBorders>
                  <w:noWrap w:val="0"/>
                  <w:vAlign w:val="center"/>
                </w:tcPr>
                <w:p>
                  <w:pPr>
                    <w:pStyle w:val="30"/>
                    <w:bidi w:val="0"/>
                    <w:rPr>
                      <w:rFonts w:hint="default"/>
                      <w:lang w:val="en-US" w:eastAsia="zh-CN"/>
                    </w:rPr>
                  </w:pPr>
                  <w:r>
                    <w:rPr>
                      <w:rFonts w:hint="eastAsia"/>
                      <w:lang w:val="en-US" w:eastAsia="zh-CN"/>
                    </w:rPr>
                    <w:t>BOD</w:t>
                  </w:r>
                  <w:r>
                    <w:rPr>
                      <w:rFonts w:hint="eastAsia"/>
                      <w:vertAlign w:val="subscript"/>
                      <w:lang w:val="en-US" w:eastAsia="zh-CN"/>
                    </w:rPr>
                    <w:t>5</w:t>
                  </w:r>
                </w:p>
              </w:tc>
              <w:tc>
                <w:tcPr>
                  <w:tcW w:w="740" w:type="dxa"/>
                  <w:tcBorders>
                    <w:tl2br w:val="nil"/>
                    <w:tr2bl w:val="nil"/>
                  </w:tcBorders>
                  <w:noWrap w:val="0"/>
                  <w:vAlign w:val="center"/>
                </w:tcPr>
                <w:p>
                  <w:pPr>
                    <w:pStyle w:val="30"/>
                    <w:bidi w:val="0"/>
                    <w:rPr>
                      <w:rFonts w:hint="default"/>
                      <w:lang w:val="en-US" w:eastAsia="zh-CN"/>
                    </w:rPr>
                  </w:pPr>
                  <w:r>
                    <w:rPr>
                      <w:rFonts w:hint="eastAsia"/>
                      <w:lang w:val="en-US" w:eastAsia="zh-CN"/>
                    </w:rPr>
                    <w:t>150</w:t>
                  </w:r>
                </w:p>
              </w:tc>
              <w:tc>
                <w:tcPr>
                  <w:tcW w:w="719" w:type="dxa"/>
                  <w:tcBorders>
                    <w:tl2br w:val="nil"/>
                    <w:tr2bl w:val="nil"/>
                  </w:tcBorders>
                  <w:noWrap w:val="0"/>
                  <w:vAlign w:val="center"/>
                </w:tcPr>
                <w:p>
                  <w:pPr>
                    <w:pStyle w:val="30"/>
                    <w:bidi w:val="0"/>
                    <w:rPr>
                      <w:rFonts w:hint="default"/>
                      <w:lang w:val="en-US" w:eastAsia="zh-CN"/>
                    </w:rPr>
                  </w:pPr>
                  <w:r>
                    <w:rPr>
                      <w:rFonts w:hint="eastAsia"/>
                      <w:lang w:val="en-US" w:eastAsia="zh-CN"/>
                    </w:rPr>
                    <w:t>7.69</w:t>
                  </w:r>
                </w:p>
              </w:tc>
              <w:tc>
                <w:tcPr>
                  <w:tcW w:w="502" w:type="dxa"/>
                  <w:vMerge w:val="continue"/>
                  <w:tcBorders>
                    <w:right w:val="single" w:color="auto" w:sz="4" w:space="0"/>
                    <w:tl2br w:val="nil"/>
                    <w:tr2bl w:val="nil"/>
                  </w:tcBorders>
                  <w:noWrap w:val="0"/>
                  <w:vAlign w:val="center"/>
                </w:tcPr>
                <w:p>
                  <w:pPr>
                    <w:pStyle w:val="30"/>
                    <w:bidi w:val="0"/>
                  </w:pPr>
                </w:p>
              </w:tc>
              <w:tc>
                <w:tcPr>
                  <w:tcW w:w="1052" w:type="dxa"/>
                  <w:vMerge w:val="continue"/>
                  <w:tcBorders>
                    <w:left w:val="single" w:color="auto" w:sz="4" w:space="0"/>
                    <w:right w:val="single" w:color="auto" w:sz="4" w:space="0"/>
                    <w:tl2br w:val="nil"/>
                    <w:tr2bl w:val="nil"/>
                  </w:tcBorders>
                  <w:noWrap w:val="0"/>
                  <w:vAlign w:val="center"/>
                </w:tcPr>
                <w:p>
                  <w:pPr>
                    <w:pStyle w:val="30"/>
                    <w:bidi w:val="0"/>
                  </w:pPr>
                </w:p>
              </w:tc>
              <w:tc>
                <w:tcPr>
                  <w:tcW w:w="75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0"/>
                    <w:bidi w:val="0"/>
                    <w:rPr>
                      <w:rFonts w:hint="default"/>
                      <w:lang w:val="en-US" w:eastAsia="zh-CN"/>
                    </w:rPr>
                  </w:pPr>
                  <w:r>
                    <w:rPr>
                      <w:rFonts w:hint="eastAsia"/>
                      <w:lang w:val="en-US" w:eastAsia="zh-CN"/>
                    </w:rPr>
                    <w:t>5.12</w:t>
                  </w:r>
                </w:p>
              </w:tc>
              <w:tc>
                <w:tcPr>
                  <w:tcW w:w="707" w:type="dxa"/>
                  <w:tcBorders>
                    <w:top w:val="single" w:color="auto" w:sz="4" w:space="0"/>
                    <w:left w:val="single" w:color="auto" w:sz="4" w:space="0"/>
                    <w:bottom w:val="single" w:color="auto" w:sz="4" w:space="0"/>
                    <w:tl2br w:val="nil"/>
                    <w:tr2bl w:val="nil"/>
                  </w:tcBorders>
                  <w:noWrap w:val="0"/>
                  <w:vAlign w:val="center"/>
                </w:tcPr>
                <w:p>
                  <w:pPr>
                    <w:pStyle w:val="30"/>
                    <w:bidi w:val="0"/>
                    <w:rPr>
                      <w:rFonts w:hint="default"/>
                      <w:lang w:val="en-US" w:eastAsia="zh-CN"/>
                    </w:rPr>
                  </w:pPr>
                  <w:r>
                    <w:rPr>
                      <w:rFonts w:hint="eastAsia"/>
                      <w:lang w:val="en-US" w:eastAsia="zh-CN"/>
                    </w:rPr>
                    <w:t>100</w:t>
                  </w:r>
                </w:p>
              </w:tc>
              <w:tc>
                <w:tcPr>
                  <w:tcW w:w="939" w:type="dxa"/>
                  <w:vMerge w:val="continue"/>
                  <w:tcBorders>
                    <w:right w:val="single" w:color="auto" w:sz="4" w:space="0"/>
                    <w:tl2br w:val="nil"/>
                    <w:tr2bl w:val="nil"/>
                  </w:tcBorders>
                  <w:noWrap w:val="0"/>
                  <w:vAlign w:val="center"/>
                </w:tcPr>
                <w:p>
                  <w:pPr>
                    <w:pStyle w:val="30"/>
                    <w:bidi w:val="0"/>
                    <w:rPr>
                      <w:rFonts w:hint="default"/>
                      <w:lang w:val="en-US" w:eastAsia="zh-CN"/>
                    </w:rPr>
                  </w:pPr>
                </w:p>
              </w:tc>
              <w:tc>
                <w:tcPr>
                  <w:tcW w:w="75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0"/>
                    <w:bidi w:val="0"/>
                    <w:rPr>
                      <w:rFonts w:hint="default"/>
                      <w:lang w:val="en-US" w:eastAsia="zh-CN"/>
                    </w:rPr>
                  </w:pPr>
                  <w:r>
                    <w:rPr>
                      <w:rFonts w:hint="eastAsia"/>
                      <w:lang w:val="en-US" w:eastAsia="zh-CN"/>
                    </w:rPr>
                    <w:t>＞33</w:t>
                  </w:r>
                </w:p>
              </w:tc>
              <w:tc>
                <w:tcPr>
                  <w:tcW w:w="710" w:type="dxa"/>
                  <w:vMerge w:val="continue"/>
                  <w:tcBorders>
                    <w:left w:val="single" w:color="auto" w:sz="4" w:space="0"/>
                    <w:tl2br w:val="nil"/>
                    <w:tr2bl w:val="nil"/>
                  </w:tcBorders>
                  <w:noWrap w:val="0"/>
                  <w:vAlign w:val="center"/>
                </w:tcPr>
                <w:p>
                  <w:pPr>
                    <w:pStyle w:val="30"/>
                    <w:bidi w:val="0"/>
                    <w:rPr>
                      <w:rFonts w:hint="default"/>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438" w:type="dxa"/>
                  <w:vMerge w:val="continue"/>
                  <w:tcBorders>
                    <w:tl2br w:val="nil"/>
                    <w:tr2bl w:val="nil"/>
                  </w:tcBorders>
                  <w:noWrap w:val="0"/>
                  <w:vAlign w:val="center"/>
                </w:tcPr>
                <w:p>
                  <w:pPr>
                    <w:pStyle w:val="30"/>
                    <w:bidi w:val="0"/>
                  </w:pPr>
                </w:p>
              </w:tc>
              <w:tc>
                <w:tcPr>
                  <w:tcW w:w="595" w:type="dxa"/>
                  <w:vMerge w:val="continue"/>
                  <w:tcBorders>
                    <w:right w:val="single" w:color="auto" w:sz="4" w:space="0"/>
                    <w:tl2br w:val="nil"/>
                    <w:tr2bl w:val="nil"/>
                  </w:tcBorders>
                  <w:noWrap w:val="0"/>
                  <w:vAlign w:val="center"/>
                </w:tcPr>
                <w:p>
                  <w:pPr>
                    <w:pStyle w:val="30"/>
                    <w:bidi w:val="0"/>
                  </w:pPr>
                </w:p>
              </w:tc>
              <w:tc>
                <w:tcPr>
                  <w:tcW w:w="753" w:type="dxa"/>
                  <w:tcBorders>
                    <w:left w:val="single" w:color="auto" w:sz="4" w:space="0"/>
                    <w:tl2br w:val="nil"/>
                    <w:tr2bl w:val="nil"/>
                  </w:tcBorders>
                  <w:noWrap w:val="0"/>
                  <w:vAlign w:val="center"/>
                </w:tcPr>
                <w:p>
                  <w:pPr>
                    <w:pStyle w:val="30"/>
                    <w:bidi w:val="0"/>
                    <w:rPr>
                      <w:rFonts w:hint="default"/>
                      <w:lang w:val="en-US" w:eastAsia="zh-CN"/>
                    </w:rPr>
                  </w:pPr>
                  <w:r>
                    <w:rPr>
                      <w:rFonts w:hint="eastAsia"/>
                      <w:lang w:val="en-US" w:eastAsia="zh-CN"/>
                    </w:rPr>
                    <w:t>SS</w:t>
                  </w:r>
                </w:p>
              </w:tc>
              <w:tc>
                <w:tcPr>
                  <w:tcW w:w="740" w:type="dxa"/>
                  <w:tcBorders>
                    <w:tl2br w:val="nil"/>
                    <w:tr2bl w:val="nil"/>
                  </w:tcBorders>
                  <w:noWrap w:val="0"/>
                  <w:vAlign w:val="center"/>
                </w:tcPr>
                <w:p>
                  <w:pPr>
                    <w:pStyle w:val="30"/>
                    <w:bidi w:val="0"/>
                    <w:rPr>
                      <w:rFonts w:hint="default"/>
                      <w:lang w:val="en-US" w:eastAsia="zh-CN"/>
                    </w:rPr>
                  </w:pPr>
                  <w:r>
                    <w:rPr>
                      <w:rFonts w:hint="eastAsia"/>
                    </w:rPr>
                    <w:t>1</w:t>
                  </w:r>
                  <w:r>
                    <w:rPr>
                      <w:rFonts w:hint="eastAsia"/>
                      <w:lang w:val="en-US" w:eastAsia="zh-CN"/>
                    </w:rPr>
                    <w:t>20</w:t>
                  </w:r>
                </w:p>
              </w:tc>
              <w:tc>
                <w:tcPr>
                  <w:tcW w:w="719" w:type="dxa"/>
                  <w:tcBorders>
                    <w:tl2br w:val="nil"/>
                    <w:tr2bl w:val="nil"/>
                  </w:tcBorders>
                  <w:noWrap w:val="0"/>
                  <w:vAlign w:val="center"/>
                </w:tcPr>
                <w:p>
                  <w:pPr>
                    <w:pStyle w:val="30"/>
                    <w:bidi w:val="0"/>
                    <w:rPr>
                      <w:rFonts w:hint="default"/>
                      <w:lang w:val="en-US" w:eastAsia="zh-CN"/>
                    </w:rPr>
                  </w:pPr>
                  <w:r>
                    <w:rPr>
                      <w:rFonts w:hint="eastAsia"/>
                      <w:lang w:val="en-US" w:eastAsia="zh-CN"/>
                    </w:rPr>
                    <w:t>6.15</w:t>
                  </w:r>
                </w:p>
              </w:tc>
              <w:tc>
                <w:tcPr>
                  <w:tcW w:w="502" w:type="dxa"/>
                  <w:vMerge w:val="continue"/>
                  <w:tcBorders>
                    <w:right w:val="single" w:color="auto" w:sz="4" w:space="0"/>
                    <w:tl2br w:val="nil"/>
                    <w:tr2bl w:val="nil"/>
                  </w:tcBorders>
                  <w:noWrap w:val="0"/>
                  <w:vAlign w:val="center"/>
                </w:tcPr>
                <w:p>
                  <w:pPr>
                    <w:pStyle w:val="30"/>
                    <w:bidi w:val="0"/>
                  </w:pPr>
                </w:p>
              </w:tc>
              <w:tc>
                <w:tcPr>
                  <w:tcW w:w="1052" w:type="dxa"/>
                  <w:vMerge w:val="continue"/>
                  <w:tcBorders>
                    <w:left w:val="single" w:color="auto" w:sz="4" w:space="0"/>
                    <w:right w:val="single" w:color="auto" w:sz="4" w:space="0"/>
                    <w:tl2br w:val="nil"/>
                    <w:tr2bl w:val="nil"/>
                  </w:tcBorders>
                  <w:noWrap w:val="0"/>
                  <w:vAlign w:val="center"/>
                </w:tcPr>
                <w:p>
                  <w:pPr>
                    <w:pStyle w:val="30"/>
                    <w:bidi w:val="0"/>
                  </w:pPr>
                </w:p>
              </w:tc>
              <w:tc>
                <w:tcPr>
                  <w:tcW w:w="75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0"/>
                    <w:bidi w:val="0"/>
                    <w:rPr>
                      <w:rFonts w:hint="default"/>
                      <w:lang w:val="en-US" w:eastAsia="zh-CN"/>
                    </w:rPr>
                  </w:pPr>
                  <w:r>
                    <w:rPr>
                      <w:rFonts w:hint="eastAsia"/>
                      <w:lang w:val="en-US" w:eastAsia="zh-CN"/>
                    </w:rPr>
                    <w:t>2.05</w:t>
                  </w:r>
                </w:p>
              </w:tc>
              <w:tc>
                <w:tcPr>
                  <w:tcW w:w="707" w:type="dxa"/>
                  <w:tcBorders>
                    <w:top w:val="single" w:color="auto" w:sz="4" w:space="0"/>
                    <w:left w:val="single" w:color="auto" w:sz="4" w:space="0"/>
                    <w:bottom w:val="single" w:color="auto" w:sz="4" w:space="0"/>
                    <w:tl2br w:val="nil"/>
                    <w:tr2bl w:val="nil"/>
                  </w:tcBorders>
                  <w:noWrap w:val="0"/>
                  <w:vAlign w:val="center"/>
                </w:tcPr>
                <w:p>
                  <w:pPr>
                    <w:pStyle w:val="30"/>
                    <w:bidi w:val="0"/>
                    <w:rPr>
                      <w:rFonts w:hint="default"/>
                      <w:lang w:val="en-US" w:eastAsia="zh-CN"/>
                    </w:rPr>
                  </w:pPr>
                  <w:r>
                    <w:rPr>
                      <w:rFonts w:hint="eastAsia"/>
                      <w:lang w:val="en-US" w:eastAsia="zh-CN"/>
                    </w:rPr>
                    <w:t>60</w:t>
                  </w:r>
                </w:p>
              </w:tc>
              <w:tc>
                <w:tcPr>
                  <w:tcW w:w="939" w:type="dxa"/>
                  <w:vMerge w:val="continue"/>
                  <w:tcBorders>
                    <w:right w:val="single" w:color="auto" w:sz="4" w:space="0"/>
                    <w:tl2br w:val="nil"/>
                    <w:tr2bl w:val="nil"/>
                  </w:tcBorders>
                  <w:noWrap w:val="0"/>
                  <w:vAlign w:val="center"/>
                </w:tcPr>
                <w:p>
                  <w:pPr>
                    <w:pStyle w:val="30"/>
                    <w:bidi w:val="0"/>
                    <w:rPr>
                      <w:rFonts w:hint="default"/>
                      <w:lang w:val="en-US" w:eastAsia="zh-CN"/>
                    </w:rPr>
                  </w:pPr>
                </w:p>
              </w:tc>
              <w:tc>
                <w:tcPr>
                  <w:tcW w:w="75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0"/>
                    <w:bidi w:val="0"/>
                    <w:rPr>
                      <w:rFonts w:hint="default"/>
                      <w:lang w:val="en-US" w:eastAsia="zh-CN"/>
                    </w:rPr>
                  </w:pPr>
                  <w:r>
                    <w:rPr>
                      <w:rFonts w:hint="eastAsia"/>
                      <w:lang w:val="en-US" w:eastAsia="zh-CN"/>
                    </w:rPr>
                    <w:t>＞50</w:t>
                  </w:r>
                </w:p>
              </w:tc>
              <w:tc>
                <w:tcPr>
                  <w:tcW w:w="710" w:type="dxa"/>
                  <w:vMerge w:val="continue"/>
                  <w:tcBorders>
                    <w:left w:val="single" w:color="auto" w:sz="4" w:space="0"/>
                    <w:tl2br w:val="nil"/>
                    <w:tr2bl w:val="nil"/>
                  </w:tcBorders>
                  <w:noWrap w:val="0"/>
                  <w:vAlign w:val="center"/>
                </w:tcPr>
                <w:p>
                  <w:pPr>
                    <w:pStyle w:val="30"/>
                    <w:bidi w:val="0"/>
                    <w:rPr>
                      <w:rFonts w:hint="default"/>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438" w:type="dxa"/>
                  <w:vMerge w:val="continue"/>
                  <w:tcBorders>
                    <w:tl2br w:val="nil"/>
                    <w:tr2bl w:val="nil"/>
                  </w:tcBorders>
                  <w:noWrap w:val="0"/>
                  <w:vAlign w:val="center"/>
                </w:tcPr>
                <w:p>
                  <w:pPr>
                    <w:pStyle w:val="30"/>
                    <w:bidi w:val="0"/>
                  </w:pPr>
                </w:p>
              </w:tc>
              <w:tc>
                <w:tcPr>
                  <w:tcW w:w="595" w:type="dxa"/>
                  <w:vMerge w:val="continue"/>
                  <w:tcBorders>
                    <w:right w:val="single" w:color="auto" w:sz="4" w:space="0"/>
                    <w:tl2br w:val="nil"/>
                    <w:tr2bl w:val="nil"/>
                  </w:tcBorders>
                  <w:noWrap w:val="0"/>
                  <w:vAlign w:val="center"/>
                </w:tcPr>
                <w:p>
                  <w:pPr>
                    <w:pStyle w:val="30"/>
                    <w:bidi w:val="0"/>
                  </w:pPr>
                </w:p>
              </w:tc>
              <w:tc>
                <w:tcPr>
                  <w:tcW w:w="753" w:type="dxa"/>
                  <w:tcBorders>
                    <w:left w:val="single" w:color="auto" w:sz="4" w:space="0"/>
                    <w:tl2br w:val="nil"/>
                    <w:tr2bl w:val="nil"/>
                  </w:tcBorders>
                  <w:noWrap w:val="0"/>
                  <w:vAlign w:val="center"/>
                </w:tcPr>
                <w:p>
                  <w:pPr>
                    <w:pStyle w:val="30"/>
                    <w:bidi w:val="0"/>
                    <w:rPr>
                      <w:rFonts w:hint="eastAsia"/>
                      <w:lang w:val="en-US" w:eastAsia="zh-CN"/>
                    </w:rPr>
                  </w:pPr>
                  <w:r>
                    <w:rPr>
                      <w:rFonts w:hint="eastAsia"/>
                      <w:lang w:val="en-US" w:eastAsia="zh-CN"/>
                    </w:rPr>
                    <w:t>氨氮</w:t>
                  </w:r>
                </w:p>
              </w:tc>
              <w:tc>
                <w:tcPr>
                  <w:tcW w:w="740" w:type="dxa"/>
                  <w:tcBorders>
                    <w:tl2br w:val="nil"/>
                    <w:tr2bl w:val="nil"/>
                  </w:tcBorders>
                  <w:noWrap w:val="0"/>
                  <w:vAlign w:val="center"/>
                </w:tcPr>
                <w:p>
                  <w:pPr>
                    <w:pStyle w:val="30"/>
                    <w:bidi w:val="0"/>
                    <w:rPr>
                      <w:rFonts w:hint="default"/>
                      <w:lang w:val="en-US" w:eastAsia="zh-CN"/>
                    </w:rPr>
                  </w:pPr>
                  <w:r>
                    <w:rPr>
                      <w:rFonts w:hint="eastAsia"/>
                      <w:lang w:val="en-US" w:eastAsia="zh-CN"/>
                    </w:rPr>
                    <w:t>35</w:t>
                  </w:r>
                </w:p>
              </w:tc>
              <w:tc>
                <w:tcPr>
                  <w:tcW w:w="719" w:type="dxa"/>
                  <w:tcBorders>
                    <w:tl2br w:val="nil"/>
                    <w:tr2bl w:val="nil"/>
                  </w:tcBorders>
                  <w:noWrap w:val="0"/>
                  <w:vAlign w:val="center"/>
                </w:tcPr>
                <w:p>
                  <w:pPr>
                    <w:pStyle w:val="30"/>
                    <w:bidi w:val="0"/>
                    <w:rPr>
                      <w:rFonts w:hint="default"/>
                      <w:lang w:val="en-US" w:eastAsia="zh-CN"/>
                    </w:rPr>
                  </w:pPr>
                  <w:r>
                    <w:rPr>
                      <w:rFonts w:hint="eastAsia"/>
                      <w:lang w:val="en-US" w:eastAsia="zh-CN"/>
                    </w:rPr>
                    <w:t>1.79</w:t>
                  </w:r>
                </w:p>
              </w:tc>
              <w:tc>
                <w:tcPr>
                  <w:tcW w:w="502" w:type="dxa"/>
                  <w:vMerge w:val="continue"/>
                  <w:tcBorders>
                    <w:right w:val="single" w:color="auto" w:sz="4" w:space="0"/>
                    <w:tl2br w:val="nil"/>
                    <w:tr2bl w:val="nil"/>
                  </w:tcBorders>
                  <w:noWrap w:val="0"/>
                  <w:vAlign w:val="center"/>
                </w:tcPr>
                <w:p>
                  <w:pPr>
                    <w:pStyle w:val="30"/>
                    <w:bidi w:val="0"/>
                  </w:pPr>
                </w:p>
              </w:tc>
              <w:tc>
                <w:tcPr>
                  <w:tcW w:w="1052" w:type="dxa"/>
                  <w:vMerge w:val="continue"/>
                  <w:tcBorders>
                    <w:left w:val="single" w:color="auto" w:sz="4" w:space="0"/>
                    <w:right w:val="single" w:color="auto" w:sz="4" w:space="0"/>
                    <w:tl2br w:val="nil"/>
                    <w:tr2bl w:val="nil"/>
                  </w:tcBorders>
                  <w:noWrap w:val="0"/>
                  <w:vAlign w:val="center"/>
                </w:tcPr>
                <w:p>
                  <w:pPr>
                    <w:pStyle w:val="30"/>
                    <w:bidi w:val="0"/>
                  </w:pPr>
                </w:p>
              </w:tc>
              <w:tc>
                <w:tcPr>
                  <w:tcW w:w="758" w:type="dxa"/>
                  <w:tcBorders>
                    <w:top w:val="single" w:color="auto" w:sz="4" w:space="0"/>
                    <w:left w:val="single" w:color="auto" w:sz="4" w:space="0"/>
                    <w:right w:val="single" w:color="auto" w:sz="4" w:space="0"/>
                    <w:tl2br w:val="nil"/>
                    <w:tr2bl w:val="nil"/>
                  </w:tcBorders>
                  <w:noWrap w:val="0"/>
                  <w:vAlign w:val="center"/>
                </w:tcPr>
                <w:p>
                  <w:pPr>
                    <w:pStyle w:val="30"/>
                    <w:bidi w:val="0"/>
                    <w:rPr>
                      <w:rFonts w:hint="default"/>
                      <w:lang w:val="en-US" w:eastAsia="zh-CN"/>
                    </w:rPr>
                  </w:pPr>
                  <w:r>
                    <w:rPr>
                      <w:rFonts w:hint="eastAsia"/>
                      <w:lang w:val="en-US" w:eastAsia="zh-CN"/>
                    </w:rPr>
                    <w:t>1.025</w:t>
                  </w:r>
                </w:p>
              </w:tc>
              <w:tc>
                <w:tcPr>
                  <w:tcW w:w="707" w:type="dxa"/>
                  <w:tcBorders>
                    <w:top w:val="single" w:color="auto" w:sz="4" w:space="0"/>
                    <w:left w:val="single" w:color="auto" w:sz="4" w:space="0"/>
                    <w:tl2br w:val="nil"/>
                    <w:tr2bl w:val="nil"/>
                  </w:tcBorders>
                  <w:noWrap w:val="0"/>
                  <w:vAlign w:val="center"/>
                </w:tcPr>
                <w:p>
                  <w:pPr>
                    <w:pStyle w:val="30"/>
                    <w:bidi w:val="0"/>
                    <w:rPr>
                      <w:rFonts w:hint="default"/>
                      <w:lang w:val="en-US" w:eastAsia="zh-CN"/>
                    </w:rPr>
                  </w:pPr>
                  <w:r>
                    <w:rPr>
                      <w:rFonts w:hint="eastAsia"/>
                      <w:lang w:val="en-US" w:eastAsia="zh-CN"/>
                    </w:rPr>
                    <w:t>20</w:t>
                  </w:r>
                </w:p>
              </w:tc>
              <w:tc>
                <w:tcPr>
                  <w:tcW w:w="939" w:type="dxa"/>
                  <w:vMerge w:val="continue"/>
                  <w:tcBorders>
                    <w:right w:val="single" w:color="auto" w:sz="4" w:space="0"/>
                    <w:tl2br w:val="nil"/>
                    <w:tr2bl w:val="nil"/>
                  </w:tcBorders>
                  <w:noWrap w:val="0"/>
                  <w:vAlign w:val="center"/>
                </w:tcPr>
                <w:p>
                  <w:pPr>
                    <w:pStyle w:val="30"/>
                    <w:bidi w:val="0"/>
                    <w:rPr>
                      <w:rFonts w:hint="eastAsia"/>
                      <w:lang w:val="en-US" w:eastAsia="zh-CN"/>
                    </w:rPr>
                  </w:pPr>
                </w:p>
              </w:tc>
              <w:tc>
                <w:tcPr>
                  <w:tcW w:w="759" w:type="dxa"/>
                  <w:tcBorders>
                    <w:top w:val="single" w:color="auto" w:sz="4" w:space="0"/>
                    <w:left w:val="single" w:color="auto" w:sz="4" w:space="0"/>
                    <w:right w:val="single" w:color="auto" w:sz="4" w:space="0"/>
                    <w:tl2br w:val="nil"/>
                    <w:tr2bl w:val="nil"/>
                  </w:tcBorders>
                  <w:noWrap w:val="0"/>
                  <w:vAlign w:val="center"/>
                </w:tcPr>
                <w:p>
                  <w:pPr>
                    <w:pStyle w:val="30"/>
                    <w:bidi w:val="0"/>
                    <w:rPr>
                      <w:rFonts w:hint="default"/>
                      <w:lang w:val="en-US" w:eastAsia="zh-CN"/>
                    </w:rPr>
                  </w:pPr>
                  <w:r>
                    <w:rPr>
                      <w:rFonts w:hint="eastAsia"/>
                      <w:lang w:val="en-US" w:eastAsia="zh-CN"/>
                    </w:rPr>
                    <w:t>＞43</w:t>
                  </w:r>
                </w:p>
              </w:tc>
              <w:tc>
                <w:tcPr>
                  <w:tcW w:w="710" w:type="dxa"/>
                  <w:vMerge w:val="continue"/>
                  <w:tcBorders>
                    <w:left w:val="single" w:color="auto" w:sz="4" w:space="0"/>
                    <w:tl2br w:val="nil"/>
                    <w:tr2bl w:val="nil"/>
                  </w:tcBorders>
                  <w:noWrap w:val="0"/>
                  <w:vAlign w:val="center"/>
                </w:tcPr>
                <w:p>
                  <w:pPr>
                    <w:pStyle w:val="30"/>
                    <w:bidi w:val="0"/>
                    <w:rPr>
                      <w:rFonts w:hint="default"/>
                      <w:lang w:val="en-US" w:eastAsia="zh-CN"/>
                    </w:rPr>
                  </w:pPr>
                </w:p>
              </w:tc>
            </w:tr>
          </w:tbl>
          <w:p>
            <w:pPr>
              <w:pStyle w:val="29"/>
              <w:bidi w:val="0"/>
              <w:rPr>
                <w:rFonts w:hint="default"/>
              </w:rPr>
            </w:pPr>
            <w:r>
              <w:rPr>
                <w:rFonts w:hint="default"/>
              </w:rPr>
              <w:t>表</w:t>
            </w:r>
            <w:r>
              <w:rPr>
                <w:rFonts w:hint="eastAsia"/>
                <w:lang w:val="en-US" w:eastAsia="zh-CN"/>
              </w:rPr>
              <w:t>4.2-9</w:t>
            </w:r>
            <w:r>
              <w:rPr>
                <w:rFonts w:hint="default"/>
              </w:rPr>
              <w:t xml:space="preserve"> 废水间接排放口基本情况表</w:t>
            </w:r>
          </w:p>
          <w:tbl>
            <w:tblPr>
              <w:tblStyle w:val="27"/>
              <w:tblW w:w="8677"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92"/>
              <w:gridCol w:w="880"/>
              <w:gridCol w:w="1641"/>
              <w:gridCol w:w="669"/>
              <w:gridCol w:w="1225"/>
              <w:gridCol w:w="723"/>
              <w:gridCol w:w="638"/>
              <w:gridCol w:w="20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340" w:hRule="atLeast"/>
                <w:jc w:val="center"/>
              </w:trPr>
              <w:tc>
                <w:tcPr>
                  <w:tcW w:w="89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jc w:val="center"/>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排放口编号</w:t>
                  </w:r>
                </w:p>
              </w:tc>
              <w:tc>
                <w:tcPr>
                  <w:tcW w:w="88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jc w:val="center"/>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排放口名称</w:t>
                  </w:r>
                </w:p>
              </w:tc>
              <w:tc>
                <w:tcPr>
                  <w:tcW w:w="164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jc w:val="center"/>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地理坐标</w:t>
                  </w:r>
                </w:p>
              </w:tc>
              <w:tc>
                <w:tcPr>
                  <w:tcW w:w="66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jc w:val="center"/>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排放方式</w:t>
                  </w:r>
                </w:p>
              </w:tc>
              <w:tc>
                <w:tcPr>
                  <w:tcW w:w="12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jc w:val="center"/>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排放规律</w:t>
                  </w:r>
                </w:p>
              </w:tc>
              <w:tc>
                <w:tcPr>
                  <w:tcW w:w="723"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jc w:val="center"/>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排放去向</w:t>
                  </w:r>
                </w:p>
              </w:tc>
              <w:tc>
                <w:tcPr>
                  <w:tcW w:w="638"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jc w:val="center"/>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排放口类型</w:t>
                  </w:r>
                </w:p>
              </w:tc>
              <w:tc>
                <w:tcPr>
                  <w:tcW w:w="200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jc w:val="center"/>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排放标准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9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jc w:val="center"/>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DW001</w:t>
                  </w:r>
                </w:p>
              </w:tc>
              <w:tc>
                <w:tcPr>
                  <w:tcW w:w="88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jc w:val="center"/>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废水总排放口</w:t>
                  </w:r>
                </w:p>
              </w:tc>
              <w:tc>
                <w:tcPr>
                  <w:tcW w:w="164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jc w:val="center"/>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eastAsia" w:cs="Times New Roman"/>
                      <w:color w:val="auto"/>
                      <w:spacing w:val="0"/>
                      <w:w w:val="100"/>
                      <w:position w:val="0"/>
                      <w:sz w:val="21"/>
                      <w:szCs w:val="21"/>
                      <w:highlight w:val="none"/>
                      <w:lang w:val="en-US" w:eastAsia="zh-CN"/>
                    </w:rPr>
                    <w:t>E</w:t>
                  </w:r>
                  <w:r>
                    <w:rPr>
                      <w:rFonts w:hint="default" w:ascii="Times New Roman" w:hAnsi="Times New Roman" w:eastAsia="宋体" w:cs="Times New Roman"/>
                      <w:color w:val="auto"/>
                      <w:spacing w:val="0"/>
                      <w:w w:val="100"/>
                      <w:position w:val="0"/>
                      <w:sz w:val="21"/>
                      <w:szCs w:val="21"/>
                      <w:highlight w:val="none"/>
                    </w:rPr>
                    <w:t>111°38′6.11″</w:t>
                  </w:r>
                  <w:r>
                    <w:rPr>
                      <w:rFonts w:hint="eastAsia" w:cs="Times New Roman"/>
                      <w:color w:val="auto"/>
                      <w:spacing w:val="0"/>
                      <w:w w:val="100"/>
                      <w:position w:val="0"/>
                      <w:sz w:val="21"/>
                      <w:szCs w:val="21"/>
                      <w:highlight w:val="none"/>
                      <w:lang w:eastAsia="zh-CN"/>
                    </w:rPr>
                    <w:t>，</w:t>
                  </w:r>
                  <w:r>
                    <w:rPr>
                      <w:rFonts w:hint="eastAsia" w:cs="Times New Roman"/>
                      <w:color w:val="auto"/>
                      <w:spacing w:val="0"/>
                      <w:w w:val="100"/>
                      <w:position w:val="0"/>
                      <w:sz w:val="21"/>
                      <w:szCs w:val="21"/>
                      <w:highlight w:val="none"/>
                      <w:lang w:val="en-US" w:eastAsia="zh-CN"/>
                    </w:rPr>
                    <w:t>N</w:t>
                  </w:r>
                  <w:r>
                    <w:rPr>
                      <w:rFonts w:hint="default" w:ascii="Times New Roman" w:hAnsi="Times New Roman" w:eastAsia="宋体" w:cs="Times New Roman"/>
                      <w:color w:val="auto"/>
                      <w:spacing w:val="0"/>
                      <w:w w:val="100"/>
                      <w:position w:val="0"/>
                      <w:sz w:val="21"/>
                      <w:szCs w:val="21"/>
                      <w:highlight w:val="none"/>
                    </w:rPr>
                    <w:t>26°14′16.43″</w:t>
                  </w:r>
                </w:p>
              </w:tc>
              <w:tc>
                <w:tcPr>
                  <w:tcW w:w="66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jc w:val="center"/>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间接排放</w:t>
                  </w:r>
                </w:p>
              </w:tc>
              <w:tc>
                <w:tcPr>
                  <w:tcW w:w="12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jc w:val="center"/>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间断排放，排放期间流量不稳定且无规律，但不属于冲击型排放</w:t>
                  </w:r>
                </w:p>
              </w:tc>
              <w:tc>
                <w:tcPr>
                  <w:tcW w:w="723"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jc w:val="center"/>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lang w:eastAsia="zh-CN"/>
                    </w:rPr>
                    <w:t>向家亭污水处理厂</w:t>
                  </w:r>
                </w:p>
              </w:tc>
              <w:tc>
                <w:tcPr>
                  <w:tcW w:w="638"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jc w:val="center"/>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一般排放口</w:t>
                  </w:r>
                </w:p>
              </w:tc>
              <w:tc>
                <w:tcPr>
                  <w:tcW w:w="200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jc w:val="center"/>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《医疗机构水污染物排放标准》GB18466-2005中预处理标准，且需满足污水处理厂的进水水质要求</w:t>
                  </w:r>
                </w:p>
              </w:tc>
            </w:tr>
          </w:tbl>
          <w:p>
            <w:pPr>
              <w:pStyle w:val="29"/>
              <w:tabs>
                <w:tab w:val="left" w:pos="1021"/>
              </w:tabs>
              <w:rPr>
                <w:rFonts w:hint="eastAsia"/>
                <w:lang w:val="en-US" w:eastAsia="zh-CN"/>
              </w:rPr>
            </w:pPr>
            <w:r>
              <w:rPr>
                <w:rFonts w:hint="eastAsia"/>
                <w:lang w:val="en-US" w:eastAsia="zh-CN"/>
              </w:rPr>
              <w:t>表4.2-10废水污染物排放信息表</w:t>
            </w:r>
          </w:p>
          <w:tbl>
            <w:tblPr>
              <w:tblStyle w:val="28"/>
              <w:tblW w:w="8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966"/>
              <w:gridCol w:w="1018"/>
              <w:gridCol w:w="1228"/>
              <w:gridCol w:w="806"/>
              <w:gridCol w:w="1096"/>
              <w:gridCol w:w="997"/>
              <w:gridCol w:w="1056"/>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58" w:type="dxa"/>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eastAsia"/>
                      <w:lang w:val="en-US" w:eastAsia="zh-CN"/>
                    </w:rPr>
                  </w:pPr>
                  <w:r>
                    <w:rPr>
                      <w:rFonts w:hint="eastAsia"/>
                      <w:lang w:val="en-US" w:eastAsia="zh-CN"/>
                    </w:rPr>
                    <w:t>序号</w:t>
                  </w:r>
                </w:p>
              </w:tc>
              <w:tc>
                <w:tcPr>
                  <w:tcW w:w="966" w:type="dxa"/>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eastAsia"/>
                      <w:lang w:val="en-US" w:eastAsia="zh-CN"/>
                    </w:rPr>
                  </w:pPr>
                  <w:r>
                    <w:rPr>
                      <w:rFonts w:hint="eastAsia"/>
                      <w:lang w:val="en-US" w:eastAsia="zh-CN"/>
                    </w:rPr>
                    <w:t>排放口编号</w:t>
                  </w:r>
                </w:p>
              </w:tc>
              <w:tc>
                <w:tcPr>
                  <w:tcW w:w="1018" w:type="dxa"/>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eastAsia"/>
                      <w:lang w:val="en-US" w:eastAsia="zh-CN"/>
                    </w:rPr>
                  </w:pPr>
                  <w:r>
                    <w:rPr>
                      <w:rFonts w:hint="eastAsia"/>
                      <w:lang w:val="en-US" w:eastAsia="zh-CN"/>
                    </w:rPr>
                    <w:t>污染物名称</w:t>
                  </w:r>
                </w:p>
              </w:tc>
              <w:tc>
                <w:tcPr>
                  <w:tcW w:w="2034" w:type="dxa"/>
                  <w:gridSpan w:val="2"/>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eastAsia"/>
                      <w:lang w:val="en-US" w:eastAsia="zh-CN"/>
                    </w:rPr>
                  </w:pPr>
                  <w:r>
                    <w:rPr>
                      <w:rFonts w:hint="eastAsia"/>
                      <w:lang w:val="en-US" w:eastAsia="zh-CN"/>
                    </w:rPr>
                    <w:t>排放浓度/（</w:t>
                  </w:r>
                  <w:r>
                    <w:rPr>
                      <w:rFonts w:hint="default"/>
                      <w:lang w:val="en-US" w:eastAsia="zh-CN"/>
                    </w:rPr>
                    <w:t>mg/L</w:t>
                  </w:r>
                  <w:r>
                    <w:rPr>
                      <w:rFonts w:hint="eastAsia"/>
                      <w:lang w:val="en-US" w:eastAsia="zh-CN"/>
                    </w:rPr>
                    <w:t>）</w:t>
                  </w:r>
                </w:p>
              </w:tc>
              <w:tc>
                <w:tcPr>
                  <w:tcW w:w="1096" w:type="dxa"/>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eastAsia"/>
                      <w:lang w:val="en-US" w:eastAsia="zh-CN"/>
                    </w:rPr>
                  </w:pPr>
                  <w:r>
                    <w:rPr>
                      <w:rFonts w:hint="eastAsia"/>
                      <w:lang w:val="en-US" w:eastAsia="zh-CN"/>
                    </w:rPr>
                    <w:t>新增日排放量/（t</w:t>
                  </w:r>
                  <w:r>
                    <w:rPr>
                      <w:rFonts w:hint="default"/>
                      <w:lang w:val="en-US" w:eastAsia="zh-CN"/>
                    </w:rPr>
                    <w:t>/d</w:t>
                  </w:r>
                  <w:r>
                    <w:rPr>
                      <w:rFonts w:hint="eastAsia"/>
                      <w:lang w:val="en-US" w:eastAsia="zh-CN"/>
                    </w:rPr>
                    <w:t>）</w:t>
                  </w:r>
                </w:p>
              </w:tc>
              <w:tc>
                <w:tcPr>
                  <w:tcW w:w="997" w:type="dxa"/>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eastAsia"/>
                      <w:lang w:val="en-US" w:eastAsia="zh-CN"/>
                    </w:rPr>
                  </w:pPr>
                  <w:r>
                    <w:rPr>
                      <w:rFonts w:hint="eastAsia"/>
                      <w:lang w:val="en-US" w:eastAsia="zh-CN"/>
                    </w:rPr>
                    <w:t>全厂日排放量/（t</w:t>
                  </w:r>
                  <w:r>
                    <w:rPr>
                      <w:rFonts w:hint="default"/>
                      <w:lang w:val="en-US" w:eastAsia="zh-CN"/>
                    </w:rPr>
                    <w:t>/d</w:t>
                  </w:r>
                  <w:r>
                    <w:rPr>
                      <w:rFonts w:hint="eastAsia"/>
                      <w:lang w:val="en-US" w:eastAsia="zh-CN"/>
                    </w:rPr>
                    <w:t>）</w:t>
                  </w:r>
                </w:p>
              </w:tc>
              <w:tc>
                <w:tcPr>
                  <w:tcW w:w="1056" w:type="dxa"/>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eastAsia"/>
                      <w:lang w:val="en-US" w:eastAsia="zh-CN"/>
                    </w:rPr>
                  </w:pPr>
                  <w:r>
                    <w:rPr>
                      <w:rFonts w:hint="eastAsia"/>
                      <w:lang w:val="en-US" w:eastAsia="zh-CN"/>
                    </w:rPr>
                    <w:t>新增年排放量/（t</w:t>
                  </w:r>
                  <w:r>
                    <w:rPr>
                      <w:rFonts w:hint="default"/>
                      <w:lang w:val="en-US" w:eastAsia="zh-CN"/>
                    </w:rPr>
                    <w:t>/a</w:t>
                  </w:r>
                  <w:r>
                    <w:rPr>
                      <w:rFonts w:hint="eastAsia"/>
                      <w:lang w:val="en-US" w:eastAsia="zh-CN"/>
                    </w:rPr>
                    <w:t>）</w:t>
                  </w:r>
                </w:p>
              </w:tc>
              <w:tc>
                <w:tcPr>
                  <w:tcW w:w="955" w:type="dxa"/>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eastAsia"/>
                      <w:lang w:val="en-US" w:eastAsia="zh-CN"/>
                    </w:rPr>
                  </w:pPr>
                  <w:r>
                    <w:rPr>
                      <w:rFonts w:hint="eastAsia"/>
                      <w:lang w:val="en-US" w:eastAsia="zh-CN"/>
                    </w:rPr>
                    <w:t>全厂年排放量/（t</w:t>
                  </w:r>
                  <w:r>
                    <w:rPr>
                      <w:rFonts w:hint="default"/>
                      <w:lang w:val="en-US" w:eastAsia="zh-CN"/>
                    </w:rPr>
                    <w:t>/a</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58" w:type="dxa"/>
                  <w:vMerge w:val="restart"/>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eastAsia"/>
                      <w:lang w:val="en-US" w:eastAsia="zh-CN"/>
                    </w:rPr>
                  </w:pPr>
                  <w:r>
                    <w:rPr>
                      <w:rFonts w:hint="eastAsia"/>
                      <w:lang w:val="en-US" w:eastAsia="zh-CN"/>
                    </w:rPr>
                    <w:t>1</w:t>
                  </w:r>
                </w:p>
              </w:tc>
              <w:tc>
                <w:tcPr>
                  <w:tcW w:w="966" w:type="dxa"/>
                  <w:vMerge w:val="restart"/>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eastAsia"/>
                      <w:lang w:val="en-US" w:eastAsia="zh-CN"/>
                    </w:rPr>
                  </w:pPr>
                  <w:r>
                    <w:rPr>
                      <w:rFonts w:hint="eastAsia"/>
                      <w:lang w:val="en-US" w:eastAsia="zh-CN"/>
                    </w:rPr>
                    <w:t>DW001</w:t>
                  </w:r>
                </w:p>
              </w:tc>
              <w:tc>
                <w:tcPr>
                  <w:tcW w:w="1018" w:type="dxa"/>
                  <w:vMerge w:val="restart"/>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eastAsia"/>
                      <w:lang w:val="en-US" w:eastAsia="zh-CN"/>
                    </w:rPr>
                  </w:pPr>
                  <w:r>
                    <w:rPr>
                      <w:rFonts w:hint="eastAsia"/>
                      <w:lang w:val="en-US" w:eastAsia="zh-CN"/>
                    </w:rPr>
                    <w:t>综合废水</w:t>
                  </w:r>
                </w:p>
              </w:tc>
              <w:tc>
                <w:tcPr>
                  <w:tcW w:w="1228" w:type="dxa"/>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eastAsia"/>
                      <w:lang w:val="en-US" w:eastAsia="zh-CN"/>
                    </w:rPr>
                  </w:pPr>
                  <w:r>
                    <w:t>CODcr</w:t>
                  </w:r>
                </w:p>
              </w:tc>
              <w:tc>
                <w:tcPr>
                  <w:tcW w:w="806" w:type="dxa"/>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lang w:val="en-US" w:eastAsia="zh-CN"/>
                    </w:rPr>
                  </w:pPr>
                  <w:r>
                    <w:rPr>
                      <w:rFonts w:hint="eastAsia"/>
                      <w:lang w:val="en-US" w:eastAsia="zh-CN"/>
                    </w:rPr>
                    <w:t>50</w:t>
                  </w:r>
                </w:p>
              </w:tc>
              <w:tc>
                <w:tcPr>
                  <w:tcW w:w="1096" w:type="dxa"/>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lang w:val="en-US" w:eastAsia="zh-CN" w:bidi="ar-SA"/>
                    </w:rPr>
                  </w:pPr>
                  <w:r>
                    <w:rPr>
                      <w:rFonts w:hint="eastAsia"/>
                      <w:lang w:val="en-US" w:eastAsia="zh-CN"/>
                    </w:rPr>
                    <w:t>/</w:t>
                  </w:r>
                </w:p>
              </w:tc>
              <w:tc>
                <w:tcPr>
                  <w:tcW w:w="997" w:type="dxa"/>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lang w:val="en-US" w:eastAsia="zh-CN"/>
                    </w:rPr>
                  </w:pPr>
                </w:p>
              </w:tc>
              <w:tc>
                <w:tcPr>
                  <w:tcW w:w="1056" w:type="dxa"/>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w:t>
                  </w:r>
                </w:p>
              </w:tc>
              <w:tc>
                <w:tcPr>
                  <w:tcW w:w="955" w:type="dxa"/>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58" w:type="dxa"/>
                  <w:vMerge w:val="continue"/>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eastAsia"/>
                      <w:lang w:val="en-US" w:eastAsia="zh-CN"/>
                    </w:rPr>
                  </w:pPr>
                </w:p>
              </w:tc>
              <w:tc>
                <w:tcPr>
                  <w:tcW w:w="966" w:type="dxa"/>
                  <w:vMerge w:val="continue"/>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eastAsia"/>
                      <w:lang w:val="en-US" w:eastAsia="zh-CN"/>
                    </w:rPr>
                  </w:pPr>
                </w:p>
              </w:tc>
              <w:tc>
                <w:tcPr>
                  <w:tcW w:w="1018" w:type="dxa"/>
                  <w:vMerge w:val="continue"/>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eastAsia"/>
                      <w:lang w:val="en-US" w:eastAsia="zh-CN"/>
                    </w:rPr>
                  </w:pPr>
                </w:p>
              </w:tc>
              <w:tc>
                <w:tcPr>
                  <w:tcW w:w="1228" w:type="dxa"/>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eastAsia"/>
                      <w:lang w:val="en-US" w:eastAsia="zh-CN"/>
                    </w:rPr>
                  </w:pPr>
                  <w:r>
                    <w:t>NH</w:t>
                  </w:r>
                  <w:r>
                    <w:rPr>
                      <w:vertAlign w:val="subscript"/>
                    </w:rPr>
                    <w:t>3</w:t>
                  </w:r>
                  <w:r>
                    <w:t>-N</w:t>
                  </w:r>
                </w:p>
              </w:tc>
              <w:tc>
                <w:tcPr>
                  <w:tcW w:w="806" w:type="dxa"/>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lang w:val="en-US" w:eastAsia="zh-CN"/>
                    </w:rPr>
                  </w:pPr>
                  <w:r>
                    <w:rPr>
                      <w:rFonts w:hint="eastAsia"/>
                      <w:lang w:val="en-US" w:eastAsia="zh-CN"/>
                    </w:rPr>
                    <w:t>5</w:t>
                  </w:r>
                </w:p>
              </w:tc>
              <w:tc>
                <w:tcPr>
                  <w:tcW w:w="1096" w:type="dxa"/>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lang w:val="en-US" w:eastAsia="zh-CN" w:bidi="ar-SA"/>
                    </w:rPr>
                  </w:pPr>
                  <w:r>
                    <w:rPr>
                      <w:rFonts w:hint="eastAsia"/>
                      <w:lang w:val="en-US" w:eastAsia="zh-CN"/>
                    </w:rPr>
                    <w:t>/</w:t>
                  </w:r>
                </w:p>
              </w:tc>
              <w:tc>
                <w:tcPr>
                  <w:tcW w:w="997" w:type="dxa"/>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lang w:val="en-US" w:eastAsia="zh-CN"/>
                    </w:rPr>
                  </w:pPr>
                </w:p>
              </w:tc>
              <w:tc>
                <w:tcPr>
                  <w:tcW w:w="1056" w:type="dxa"/>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w:t>
                  </w:r>
                </w:p>
              </w:tc>
              <w:tc>
                <w:tcPr>
                  <w:tcW w:w="955" w:type="dxa"/>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24" w:type="dxa"/>
                  <w:gridSpan w:val="2"/>
                  <w:vMerge w:val="restart"/>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eastAsia"/>
                      <w:lang w:val="en-US" w:eastAsia="zh-CN"/>
                    </w:rPr>
                  </w:pPr>
                  <w:r>
                    <w:rPr>
                      <w:rFonts w:hint="eastAsia"/>
                      <w:lang w:val="en-US" w:eastAsia="zh-CN"/>
                    </w:rPr>
                    <w:t>全厂排放口合计</w:t>
                  </w:r>
                </w:p>
              </w:tc>
              <w:tc>
                <w:tcPr>
                  <w:tcW w:w="6201" w:type="dxa"/>
                  <w:gridSpan w:val="6"/>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eastAsia"/>
                      <w:lang w:val="en-US" w:eastAsia="zh-CN"/>
                    </w:rPr>
                  </w:pPr>
                  <w:r>
                    <w:t>CODcr</w:t>
                  </w:r>
                </w:p>
              </w:tc>
              <w:tc>
                <w:tcPr>
                  <w:tcW w:w="955" w:type="dxa"/>
                  <w:shd w:val="clear" w:color="auto" w:fill="auto"/>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snapToGrid w:val="0"/>
                      <w:spacing w:val="6"/>
                      <w:kern w:val="0"/>
                      <w:sz w:val="21"/>
                      <w:szCs w:val="21"/>
                      <w:lang w:val="en-US" w:eastAsia="zh-CN" w:bidi="ar-SA"/>
                    </w:rPr>
                  </w:pPr>
                  <w:r>
                    <w:rPr>
                      <w:rFonts w:hint="eastAsia" w:ascii="Times New Roman" w:hAnsi="Times New Roman" w:eastAsia="宋体" w:cs="Times New Roman"/>
                      <w:kern w:val="0"/>
                      <w:sz w:val="21"/>
                      <w:szCs w:val="21"/>
                      <w:lang w:val="en-US" w:eastAsia="zh-CN" w:bidi="ar-SA"/>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24" w:type="dxa"/>
                  <w:gridSpan w:val="2"/>
                  <w:vMerge w:val="continue"/>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eastAsia"/>
                      <w:lang w:val="en-US" w:eastAsia="zh-CN"/>
                    </w:rPr>
                  </w:pPr>
                </w:p>
              </w:tc>
              <w:tc>
                <w:tcPr>
                  <w:tcW w:w="6201" w:type="dxa"/>
                  <w:gridSpan w:val="6"/>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lang w:val="en-US" w:eastAsia="zh-CN"/>
                    </w:rPr>
                  </w:pPr>
                  <w:r>
                    <w:t>NH</w:t>
                  </w:r>
                  <w:r>
                    <w:rPr>
                      <w:vertAlign w:val="subscript"/>
                    </w:rPr>
                    <w:t>3</w:t>
                  </w:r>
                  <w:r>
                    <w:t>-N</w:t>
                  </w:r>
                </w:p>
              </w:tc>
              <w:tc>
                <w:tcPr>
                  <w:tcW w:w="955" w:type="dxa"/>
                  <w:shd w:val="clear" w:color="auto" w:fill="auto"/>
                  <w:vAlign w:val="center"/>
                </w:tcPr>
                <w:p>
                  <w:pPr>
                    <w:pStyle w:val="30"/>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snapToGrid w:val="0"/>
                      <w:spacing w:val="6"/>
                      <w:kern w:val="0"/>
                      <w:sz w:val="21"/>
                      <w:szCs w:val="21"/>
                      <w:lang w:val="en-US" w:eastAsia="zh-CN" w:bidi="ar-SA"/>
                    </w:rPr>
                  </w:pPr>
                  <w:r>
                    <w:rPr>
                      <w:rFonts w:hint="eastAsia" w:ascii="Times New Roman" w:hAnsi="Times New Roman" w:eastAsia="宋体" w:cs="Times New Roman"/>
                      <w:kern w:val="0"/>
                      <w:sz w:val="21"/>
                      <w:szCs w:val="21"/>
                      <w:lang w:val="en-US" w:eastAsia="zh-CN" w:bidi="ar-SA"/>
                    </w:rPr>
                    <w:t>0.256</w:t>
                  </w:r>
                </w:p>
              </w:tc>
            </w:tr>
          </w:tbl>
          <w:p>
            <w:pPr>
              <w:pStyle w:val="12"/>
              <w:bidi w:val="0"/>
            </w:pPr>
            <w:r>
              <w:rPr>
                <w:rFonts w:hint="eastAsia"/>
                <w:lang w:val="en-US" w:eastAsia="zh-CN"/>
              </w:rPr>
              <w:t>2.2</w:t>
            </w:r>
            <w:r>
              <w:t>水污染控制和水环境影响减缓措施有效性评价</w:t>
            </w:r>
          </w:p>
          <w:p>
            <w:pPr>
              <w:pStyle w:val="12"/>
              <w:bidi w:val="0"/>
              <w:rPr>
                <w:u w:val="none"/>
              </w:rPr>
            </w:pPr>
            <w:r>
              <w:rPr>
                <w:rFonts w:hint="eastAsia"/>
                <w:lang w:val="zh-CN"/>
              </w:rPr>
              <w:t>本项目采用《排污许可证申请与核发技术规范医疗机构》（HJ1105—2020）表A.2中的推荐的可行技术处理医院综合废水。</w:t>
            </w:r>
            <w:r>
              <w:t>根据《排污许可证申请与核发技术规范 医疗机构》（HJ 1105—2020）附录A表中A.2医疗机构排污单位污水治理可行技术参照表中</w:t>
            </w:r>
            <w:r>
              <w:rPr>
                <w:rFonts w:hint="eastAsia"/>
              </w:rPr>
              <w:t>医疗污水排入城镇污水处理厂可行技术采用一级处理/一级强化处理+消毒工艺。一级处理包括：</w:t>
            </w:r>
            <w:r>
              <w:t>筛滤法；沉淀法；气浮法；预曝气法</w:t>
            </w:r>
            <w:r>
              <w:rPr>
                <w:rFonts w:hint="eastAsia"/>
              </w:rPr>
              <w:t>；</w:t>
            </w:r>
            <w:r>
              <w:rPr>
                <w:rFonts w:hint="eastAsia"/>
                <w:lang w:val="en-US" w:eastAsia="zh-CN"/>
              </w:rPr>
              <w:t>一</w:t>
            </w:r>
            <w:r>
              <w:t>级强化处理包括：化学混凝处理、机械过滤或不完全生物处理。消毒工艺：加氯消毒，臭氧法消毒，次氯酸钠法、</w:t>
            </w:r>
            <w:r>
              <w:rPr>
                <w:rFonts w:hint="eastAsia"/>
                <w:lang w:eastAsia="zh-CN"/>
              </w:rPr>
              <w:t>云氧消毒粉</w:t>
            </w:r>
            <w:r>
              <w:t>法消毒、紫外线消毒等</w:t>
            </w:r>
            <w:r>
              <w:rPr>
                <w:rFonts w:hint="eastAsia"/>
                <w:lang w:eastAsia="zh-CN"/>
              </w:rPr>
              <w:t>；</w:t>
            </w:r>
            <w:r>
              <w:rPr>
                <w:rFonts w:hint="eastAsia"/>
                <w:u w:val="single"/>
                <w:lang w:eastAsia="zh-CN"/>
              </w:rPr>
              <w:t>对照《医疗机构污水处理工程技术标准》（GB 51459-2024）处理设施及工艺要求“当非传染病医疗机构污水处理出水排入城镇污水管网，且管网终端建有正常运行的二级污水处理厂时，可采用一级强化处理工艺（化粪池</w:t>
            </w:r>
            <w:r>
              <w:rPr>
                <w:rFonts w:hint="eastAsia"/>
                <w:u w:val="single"/>
                <w:lang w:val="en-US" w:eastAsia="zh-CN"/>
              </w:rPr>
              <w:t>+格栅+</w:t>
            </w:r>
            <w:r>
              <w:rPr>
                <w:rFonts w:hint="eastAsia"/>
                <w:u w:val="single"/>
                <w:lang w:eastAsia="zh-CN"/>
              </w:rPr>
              <w:t>调节池</w:t>
            </w:r>
            <w:r>
              <w:rPr>
                <w:rFonts w:hint="eastAsia"/>
                <w:u w:val="single"/>
                <w:lang w:val="en-US" w:eastAsia="zh-CN"/>
              </w:rPr>
              <w:t>+混凝沉淀池+消毒</w:t>
            </w:r>
            <w:r>
              <w:rPr>
                <w:rFonts w:hint="eastAsia"/>
                <w:u w:val="single"/>
                <w:lang w:eastAsia="zh-CN"/>
              </w:rPr>
              <w:t>”</w:t>
            </w:r>
            <w:r>
              <w:rPr>
                <w:u w:val="single"/>
              </w:rPr>
              <w:t>。</w:t>
            </w:r>
            <w:r>
              <w:rPr>
                <w:u w:val="none"/>
              </w:rPr>
              <w:t>因此本项目</w:t>
            </w:r>
            <w:r>
              <w:rPr>
                <w:rFonts w:hint="eastAsia"/>
                <w:u w:val="none"/>
              </w:rPr>
              <w:t>实验室</w:t>
            </w:r>
            <w:r>
              <w:rPr>
                <w:rFonts w:hint="eastAsia"/>
                <w:u w:val="none"/>
                <w:lang w:val="en-US" w:eastAsia="zh-CN"/>
              </w:rPr>
              <w:t>产生酸性检验</w:t>
            </w:r>
            <w:r>
              <w:rPr>
                <w:rFonts w:hint="eastAsia"/>
                <w:u w:val="none"/>
              </w:rPr>
              <w:t>废水采用中和</w:t>
            </w:r>
            <w:r>
              <w:rPr>
                <w:rFonts w:hint="eastAsia"/>
                <w:u w:val="none"/>
                <w:lang w:val="en-US" w:eastAsia="zh-CN"/>
              </w:rPr>
              <w:t>法</w:t>
            </w:r>
            <w:r>
              <w:rPr>
                <w:rFonts w:hint="eastAsia"/>
                <w:u w:val="none"/>
              </w:rPr>
              <w:t>处理，医疗</w:t>
            </w:r>
            <w:r>
              <w:rPr>
                <w:rFonts w:hint="eastAsia"/>
                <w:u w:val="none"/>
                <w:lang w:val="en-US" w:eastAsia="zh-CN"/>
              </w:rPr>
              <w:t>废</w:t>
            </w:r>
            <w:r>
              <w:rPr>
                <w:u w:val="none"/>
              </w:rPr>
              <w:t>水处理采用</w:t>
            </w:r>
            <w:r>
              <w:rPr>
                <w:rFonts w:hint="eastAsia"/>
                <w:u w:val="none"/>
              </w:rPr>
              <w:t>“</w:t>
            </w:r>
            <w:r>
              <w:rPr>
                <w:rFonts w:hint="eastAsia"/>
                <w:u w:val="none"/>
                <w:lang w:eastAsia="zh-CN"/>
              </w:rPr>
              <w:t>格栅+调节池+AAO+二沉池+消毒</w:t>
            </w:r>
            <w:r>
              <w:rPr>
                <w:rFonts w:hint="eastAsia"/>
                <w:u w:val="none"/>
              </w:rPr>
              <w:t>”</w:t>
            </w:r>
            <w:r>
              <w:rPr>
                <w:u w:val="none"/>
              </w:rPr>
              <w:t>处理</w:t>
            </w:r>
            <w:r>
              <w:rPr>
                <w:rFonts w:hint="eastAsia"/>
                <w:u w:val="none"/>
                <w:lang w:eastAsia="zh-CN"/>
              </w:rPr>
              <w:t>。</w:t>
            </w:r>
            <w:r>
              <w:rPr>
                <w:rFonts w:hint="eastAsia"/>
                <w:u w:val="none"/>
                <w:lang w:val="en-US" w:eastAsia="zh-CN"/>
              </w:rPr>
              <w:t>其中</w:t>
            </w:r>
            <w:r>
              <w:rPr>
                <w:rFonts w:hint="eastAsia"/>
                <w:u w:val="none"/>
              </w:rPr>
              <w:t>实验室</w:t>
            </w:r>
            <w:r>
              <w:rPr>
                <w:rFonts w:hint="eastAsia"/>
                <w:u w:val="none"/>
                <w:lang w:val="en-US" w:eastAsia="zh-CN"/>
              </w:rPr>
              <w:t>产生酸性检验</w:t>
            </w:r>
            <w:r>
              <w:rPr>
                <w:rFonts w:hint="eastAsia"/>
                <w:u w:val="none"/>
              </w:rPr>
              <w:t>废水</w:t>
            </w:r>
            <w:r>
              <w:rPr>
                <w:rFonts w:hint="eastAsia"/>
                <w:u w:val="none"/>
                <w:lang w:val="en-US" w:eastAsia="zh-CN"/>
              </w:rPr>
              <w:t>通过加入石灰中和处理，医疗废水通过云氧消毒粉消毒处理。</w:t>
            </w:r>
          </w:p>
          <w:p>
            <w:pPr>
              <w:pStyle w:val="12"/>
              <w:bidi w:val="0"/>
              <w:rPr>
                <w:rFonts w:hint="eastAsia"/>
              </w:rPr>
            </w:pPr>
            <w:r>
              <w:rPr>
                <w:rFonts w:hint="eastAsia"/>
              </w:rPr>
              <w:t>本项目采取</w:t>
            </w:r>
            <w:r>
              <w:rPr>
                <w:rFonts w:hint="eastAsia"/>
                <w:lang w:val="en-US" w:eastAsia="zh-CN"/>
              </w:rPr>
              <w:t>的处理</w:t>
            </w:r>
            <w:r>
              <w:rPr>
                <w:rFonts w:hint="eastAsia"/>
              </w:rPr>
              <w:t>措施有效，可满足废水达标排放，因此本项目采取的</w:t>
            </w:r>
            <w:r>
              <w:rPr>
                <w:rFonts w:hint="eastAsia"/>
                <w:lang w:val="en-US" w:eastAsia="zh-CN"/>
              </w:rPr>
              <w:t>废水处理</w:t>
            </w:r>
            <w:r>
              <w:rPr>
                <w:rFonts w:hint="eastAsia"/>
              </w:rPr>
              <w:t>措施可行。</w:t>
            </w:r>
          </w:p>
          <w:p>
            <w:pPr>
              <w:pStyle w:val="12"/>
              <w:bidi w:val="0"/>
              <w:rPr>
                <w:rFonts w:hint="eastAsia"/>
                <w:lang w:val="en-US" w:eastAsia="zh-CN"/>
              </w:rPr>
            </w:pPr>
            <w:r>
              <w:rPr>
                <w:rFonts w:hint="eastAsia"/>
                <w:lang w:val="en-US" w:eastAsia="zh-CN"/>
              </w:rPr>
              <w:t>根据《医院污水处理工程技术规范》（HJ 2029-2013）相关要求，医院污水处理工程设计水量应在测算的基础上留有设计裕量，设计裕量宜取测算值的10%-25%，本项目运营期总废水量140.6t/d，根据建设单位反馈，本项目污水处理站设计处理规模180t/d，营运期处理水量占设计规模的78.1%，项目废水处理设施能够满足实际产生医疗废水量的要求。</w:t>
            </w:r>
          </w:p>
          <w:p>
            <w:pPr>
              <w:pStyle w:val="12"/>
              <w:bidi w:val="0"/>
              <w:rPr>
                <w:lang w:val="en-US" w:eastAsia="zh-CN"/>
              </w:rPr>
            </w:pPr>
            <w:r>
              <w:rPr>
                <w:rFonts w:hint="eastAsia"/>
                <w:lang w:val="en-US" w:eastAsia="zh-CN"/>
              </w:rPr>
              <w:t>2.3</w:t>
            </w:r>
            <w:r>
              <w:rPr>
                <w:lang w:val="en-US" w:eastAsia="zh-CN"/>
              </w:rPr>
              <w:t>项目废水排入市政污水处理厂的可依托性分析</w:t>
            </w:r>
          </w:p>
          <w:p>
            <w:pPr>
              <w:pStyle w:val="12"/>
              <w:bidi w:val="0"/>
              <w:rPr>
                <w:rFonts w:hint="default"/>
              </w:rPr>
            </w:pPr>
            <w:r>
              <w:rPr>
                <w:rFonts w:hint="default"/>
              </w:rPr>
              <w:t>根据调查，永州市向家亭污水处理厂于2003年建成投产，位于永州市零陵区七里店办事处向家亭社区</w:t>
            </w:r>
            <w:r>
              <w:rPr>
                <w:rFonts w:hint="eastAsia"/>
                <w:lang w:eastAsia="zh-CN"/>
              </w:rPr>
              <w:t>(</w:t>
            </w:r>
            <w:r>
              <w:rPr>
                <w:rFonts w:hint="default"/>
              </w:rPr>
              <w:t>宗元西路88号</w:t>
            </w:r>
            <w:r>
              <w:rPr>
                <w:rFonts w:hint="eastAsia"/>
                <w:lang w:eastAsia="zh-CN"/>
              </w:rPr>
              <w:t>)</w:t>
            </w:r>
            <w:r>
              <w:rPr>
                <w:rFonts w:hint="default"/>
              </w:rPr>
              <w:t>、潇水河畔。向家亭污水处理厂处理后的污水排入潇水，排放口位于潇水娘子岭水厂取水口下游约500米的工业用水区，采用较为先进的污水处理工艺脱氮除磷和高效沉淀池转盘过滤处理，其设计规模为10万立方米/日，先期处理规模达到10万立方米/日，向家亭污水处理厂</w:t>
            </w:r>
            <w:r>
              <w:rPr>
                <w:rFonts w:hint="eastAsia"/>
                <w:lang w:eastAsia="zh-CN"/>
              </w:rPr>
              <w:t>（</w:t>
            </w:r>
            <w:r>
              <w:rPr>
                <w:rFonts w:hint="default"/>
              </w:rPr>
              <w:t>提级</w:t>
            </w:r>
            <w:r>
              <w:rPr>
                <w:rFonts w:hint="eastAsia"/>
                <w:lang w:eastAsia="zh-CN"/>
              </w:rPr>
              <w:t>）</w:t>
            </w:r>
            <w:r>
              <w:rPr>
                <w:rFonts w:hint="default"/>
              </w:rPr>
              <w:t>改造工程建设规模：10万立方米/日。建设内容：升级改造永洲市向家亭10万立方米/日污水处理厂，并完善配套污水管网。处理工艺：污水处理工艺在原有TF/SC工艺基础上，新增脱氮除磷和高效沉淀池转盘过滤处理工艺，出水水质达到《城镇污水处理厂污染物排放标准》</w:t>
            </w:r>
            <w:r>
              <w:rPr>
                <w:rFonts w:hint="eastAsia"/>
              </w:rPr>
              <w:t>(</w:t>
            </w:r>
            <w:r>
              <w:rPr>
                <w:rFonts w:hint="default"/>
              </w:rPr>
              <w:t>GB18918-2002</w:t>
            </w:r>
            <w:r>
              <w:rPr>
                <w:rFonts w:hint="eastAsia"/>
              </w:rPr>
              <w:t>)</w:t>
            </w:r>
            <w:r>
              <w:rPr>
                <w:rFonts w:hint="default"/>
              </w:rPr>
              <w:t>一级A标准，污水处理厂污泥按照《城镇污水处理厂污泥处置混合填埋用泥质》</w:t>
            </w:r>
            <w:r>
              <w:rPr>
                <w:rFonts w:hint="eastAsia"/>
              </w:rPr>
              <w:t>(</w:t>
            </w:r>
            <w:r>
              <w:rPr>
                <w:rFonts w:hint="default"/>
              </w:rPr>
              <w:t>GB/T23485-2009</w:t>
            </w:r>
            <w:r>
              <w:rPr>
                <w:rFonts w:hint="eastAsia"/>
              </w:rPr>
              <w:t>)</w:t>
            </w:r>
            <w:r>
              <w:rPr>
                <w:rFonts w:hint="default"/>
              </w:rPr>
              <w:t>要求处置。目前，向家亭污水处理厂已对纳污范围内的生活污水进行处理。</w:t>
            </w:r>
          </w:p>
          <w:p>
            <w:pPr>
              <w:pStyle w:val="12"/>
              <w:bidi w:val="0"/>
              <w:rPr>
                <w:rFonts w:hint="eastAsia"/>
              </w:rPr>
            </w:pPr>
            <w:r>
              <w:rPr>
                <w:rFonts w:hint="eastAsia"/>
                <w:lang w:val="en-US" w:eastAsia="zh-CN"/>
              </w:rPr>
              <w:t>经调查，向家亭</w:t>
            </w:r>
            <w:r>
              <w:rPr>
                <w:rFonts w:hint="default"/>
              </w:rPr>
              <w:t>污水处理厂</w:t>
            </w:r>
            <w:r>
              <w:rPr>
                <w:rFonts w:hint="eastAsia"/>
                <w:lang w:val="en-US" w:eastAsia="zh-CN"/>
              </w:rPr>
              <w:t>纳污管网已全部铺设完成，污水处理站正常运行，实际建设处理能力为10万m</w:t>
            </w:r>
            <w:r>
              <w:rPr>
                <w:rFonts w:hint="default"/>
                <w:lang w:val="en-US" w:eastAsia="zh-CN"/>
              </w:rPr>
              <w:t>³</w:t>
            </w:r>
            <w:r>
              <w:rPr>
                <w:rFonts w:hint="eastAsia"/>
                <w:lang w:val="en-US" w:eastAsia="zh-CN"/>
              </w:rPr>
              <w:t>/d，现实际处理量约9万m</w:t>
            </w:r>
            <w:r>
              <w:rPr>
                <w:rFonts w:hint="default"/>
                <w:lang w:val="en-US" w:eastAsia="zh-CN"/>
              </w:rPr>
              <w:t>³</w:t>
            </w:r>
            <w:r>
              <w:rPr>
                <w:rFonts w:hint="eastAsia"/>
                <w:lang w:val="en-US" w:eastAsia="zh-CN"/>
              </w:rPr>
              <w:t>/d，剩余处理量基本充足，</w:t>
            </w:r>
            <w:r>
              <w:rPr>
                <w:rFonts w:hint="eastAsia"/>
              </w:rPr>
              <w:t>本项目位于</w:t>
            </w:r>
            <w:r>
              <w:rPr>
                <w:rFonts w:hint="eastAsia"/>
                <w:lang w:val="en-US" w:eastAsia="zh-CN"/>
              </w:rPr>
              <w:t>零陵区阳明大道386号</w:t>
            </w:r>
            <w:r>
              <w:rPr>
                <w:rFonts w:hint="eastAsia"/>
              </w:rPr>
              <w:t>，属于</w:t>
            </w:r>
            <w:r>
              <w:rPr>
                <w:rFonts w:hint="eastAsia"/>
                <w:lang w:val="en-US" w:eastAsia="zh-CN"/>
              </w:rPr>
              <w:t>向家亭</w:t>
            </w:r>
            <w:r>
              <w:rPr>
                <w:rFonts w:hint="default"/>
              </w:rPr>
              <w:t>污水处理厂</w:t>
            </w:r>
            <w:r>
              <w:rPr>
                <w:rFonts w:hint="eastAsia"/>
              </w:rPr>
              <w:t>纳污范围内，项目排放的废水主要为医疗</w:t>
            </w:r>
            <w:r>
              <w:rPr>
                <w:rFonts w:hint="eastAsia"/>
                <w:lang w:val="en-US" w:eastAsia="zh-CN"/>
              </w:rPr>
              <w:t>废水和生活污水</w:t>
            </w:r>
            <w:r>
              <w:rPr>
                <w:rFonts w:hint="eastAsia"/>
              </w:rPr>
              <w:t>，</w:t>
            </w:r>
            <w:r>
              <w:rPr>
                <w:rFonts w:hint="eastAsia"/>
                <w:lang w:val="en-US" w:eastAsia="zh-CN"/>
              </w:rPr>
              <w:t>成分简单，满足向家亭</w:t>
            </w:r>
            <w:r>
              <w:rPr>
                <w:rFonts w:hint="default"/>
              </w:rPr>
              <w:t>污水处理厂</w:t>
            </w:r>
            <w:r>
              <w:rPr>
                <w:rFonts w:hint="eastAsia"/>
                <w:lang w:val="en-US" w:eastAsia="zh-CN"/>
              </w:rPr>
              <w:t>进水水质要求</w:t>
            </w:r>
            <w:r>
              <w:t>，</w:t>
            </w:r>
            <w:r>
              <w:rPr>
                <w:rFonts w:hint="eastAsia"/>
                <w:lang w:val="en-US" w:eastAsia="zh-CN"/>
              </w:rPr>
              <w:t>本项目</w:t>
            </w:r>
            <w:r>
              <w:t>废水量为</w:t>
            </w:r>
            <w:r>
              <w:rPr>
                <w:rFonts w:hint="eastAsia"/>
                <w:lang w:val="en-US" w:eastAsia="zh-CN"/>
              </w:rPr>
              <w:t>51318.27m</w:t>
            </w:r>
            <w:r>
              <w:rPr>
                <w:rFonts w:hint="default"/>
                <w:lang w:val="en-US" w:eastAsia="zh-CN"/>
              </w:rPr>
              <w:t>³/a</w:t>
            </w:r>
            <w:r>
              <w:t>（</w:t>
            </w:r>
            <w:r>
              <w:rPr>
                <w:rFonts w:hint="eastAsia"/>
                <w:lang w:val="en-US" w:eastAsia="zh-CN"/>
              </w:rPr>
              <w:t>140.6</w:t>
            </w:r>
            <w:r>
              <w:rPr>
                <w:lang w:val="zh-CN"/>
              </w:rPr>
              <w:t>m³/d</w:t>
            </w:r>
            <w:r>
              <w:t>），占</w:t>
            </w:r>
            <w:r>
              <w:rPr>
                <w:rFonts w:hint="eastAsia"/>
                <w:lang w:val="en-US" w:eastAsia="zh-CN"/>
              </w:rPr>
              <w:t>向家亭</w:t>
            </w:r>
            <w:r>
              <w:t>污水处理厂目前处理量的</w:t>
            </w:r>
            <w:r>
              <w:rPr>
                <w:rFonts w:hint="eastAsia"/>
                <w:lang w:val="en-US" w:eastAsia="zh-CN"/>
              </w:rPr>
              <w:t>0.16</w:t>
            </w:r>
            <w:r>
              <w:t>%</w:t>
            </w:r>
            <w:r>
              <w:rPr>
                <w:rFonts w:hint="eastAsia"/>
                <w:lang w:eastAsia="zh-CN"/>
              </w:rPr>
              <w:t>，</w:t>
            </w:r>
            <w:r>
              <w:t>所占比例较小，</w:t>
            </w:r>
            <w:r>
              <w:rPr>
                <w:rFonts w:hint="eastAsia"/>
                <w:lang w:val="en-US" w:eastAsia="zh-CN"/>
              </w:rPr>
              <w:t>且</w:t>
            </w:r>
            <w:r>
              <w:rPr>
                <w:rFonts w:hint="eastAsia"/>
              </w:rPr>
              <w:t>项目废水</w:t>
            </w:r>
            <w:r>
              <w:rPr>
                <w:rFonts w:hint="eastAsia"/>
                <w:lang w:val="en-US" w:eastAsia="zh-CN"/>
              </w:rPr>
              <w:t>处理后已排入向家亭</w:t>
            </w:r>
            <w:r>
              <w:t>污水处理厂</w:t>
            </w:r>
            <w:r>
              <w:rPr>
                <w:rFonts w:hint="eastAsia"/>
                <w:lang w:eastAsia="zh-CN"/>
              </w:rPr>
              <w:t>，</w:t>
            </w:r>
            <w:r>
              <w:rPr>
                <w:rFonts w:hint="eastAsia"/>
                <w:lang w:val="en-US" w:eastAsia="zh-CN"/>
              </w:rPr>
              <w:t>不占用向家亭</w:t>
            </w:r>
            <w:r>
              <w:t>污水处理厂</w:t>
            </w:r>
            <w:r>
              <w:rPr>
                <w:rFonts w:hint="eastAsia"/>
                <w:lang w:val="en-US" w:eastAsia="zh-CN"/>
              </w:rPr>
              <w:t>剩余处理量</w:t>
            </w:r>
            <w:r>
              <w:rPr>
                <w:rFonts w:hint="eastAsia"/>
              </w:rPr>
              <w:t>。</w:t>
            </w:r>
            <w:r>
              <w:t>因此本项目外排废水进入</w:t>
            </w:r>
            <w:r>
              <w:rPr>
                <w:rFonts w:hint="eastAsia"/>
                <w:lang w:val="en-US" w:eastAsia="zh-CN"/>
              </w:rPr>
              <w:t>向家亭</w:t>
            </w:r>
            <w:r>
              <w:rPr>
                <w:rFonts w:hint="eastAsia"/>
              </w:rPr>
              <w:t>污水处理厂可行。</w:t>
            </w:r>
          </w:p>
          <w:p>
            <w:pPr>
              <w:pStyle w:val="12"/>
              <w:bidi w:val="0"/>
              <w:rPr>
                <w:rFonts w:hint="eastAsia"/>
                <w:lang w:val="en-US" w:eastAsia="zh-CN"/>
              </w:rPr>
            </w:pPr>
            <w:r>
              <w:rPr>
                <w:rFonts w:hint="eastAsia"/>
                <w:lang w:val="en-US" w:eastAsia="zh-CN"/>
              </w:rPr>
              <w:t>2.4地表水环境影响评价</w:t>
            </w:r>
          </w:p>
          <w:p>
            <w:pPr>
              <w:pStyle w:val="12"/>
              <w:bidi w:val="0"/>
            </w:pPr>
            <w:r>
              <w:t>本项目废水主要为</w:t>
            </w:r>
            <w:r>
              <w:rPr>
                <w:rFonts w:hint="eastAsia"/>
                <w:lang w:val="en-US" w:eastAsia="zh-CN"/>
              </w:rPr>
              <w:t>医疗综合废水</w:t>
            </w:r>
            <w:r>
              <w:t>。</w:t>
            </w:r>
          </w:p>
          <w:p>
            <w:pPr>
              <w:pStyle w:val="12"/>
              <w:bidi w:val="0"/>
              <w:rPr>
                <w:rFonts w:hint="default" w:ascii="Times New Roman" w:hAnsi="Times New Roman" w:cs="Times New Roman"/>
              </w:rPr>
            </w:pPr>
            <w:r>
              <w:rPr>
                <w:rFonts w:hint="default" w:ascii="Times New Roman" w:hAnsi="Times New Roman" w:cs="Times New Roman"/>
                <w:lang w:val="zh-CN"/>
              </w:rPr>
              <w:t>厂区排水系统采用“雨污分流、清污分流”制，雨水通过雨水管网排入</w:t>
            </w:r>
            <w:r>
              <w:rPr>
                <w:rFonts w:hint="default" w:ascii="Times New Roman" w:hAnsi="Times New Roman" w:cs="Times New Roman"/>
                <w:lang w:val="en-US" w:eastAsia="zh-CN"/>
              </w:rPr>
              <w:t>雨水管网</w:t>
            </w:r>
            <w:r>
              <w:rPr>
                <w:rFonts w:hint="default" w:ascii="Times New Roman" w:hAnsi="Times New Roman" w:cs="Times New Roman"/>
                <w:lang w:val="zh-CN"/>
              </w:rPr>
              <w:t>。</w:t>
            </w:r>
            <w:r>
              <w:rPr>
                <w:rFonts w:hint="default" w:ascii="Times New Roman" w:hAnsi="Times New Roman" w:cs="Times New Roman"/>
                <w:lang w:eastAsia="zh-CN"/>
              </w:rPr>
              <w:t>检验产生的酸性污水经中和处理</w:t>
            </w:r>
            <w:r>
              <w:rPr>
                <w:rFonts w:hint="default" w:ascii="Times New Roman" w:hAnsi="Times New Roman" w:cs="Times New Roman"/>
                <w:lang w:val="en-US" w:eastAsia="zh-CN"/>
              </w:rPr>
              <w:t>PH值达到7-8后排入院区污水处理系统。医疗</w:t>
            </w:r>
            <w:r>
              <w:rPr>
                <w:rFonts w:hint="default" w:ascii="Times New Roman" w:hAnsi="Times New Roman" w:cs="Times New Roman"/>
                <w:lang w:val="zh-CN"/>
              </w:rPr>
              <w:t>废水进入院内污水处理设施，采用“</w:t>
            </w:r>
            <w:r>
              <w:rPr>
                <w:rFonts w:hint="default" w:ascii="Times New Roman" w:hAnsi="Times New Roman" w:cs="Times New Roman"/>
                <w:lang w:eastAsia="zh-CN"/>
              </w:rPr>
              <w:t>格栅+调节池+AAO+二沉池</w:t>
            </w:r>
            <w:r>
              <w:rPr>
                <w:rFonts w:hint="default" w:ascii="Times New Roman" w:hAnsi="Times New Roman" w:cs="Times New Roman"/>
                <w:lang w:val="en-US" w:eastAsia="zh-CN"/>
              </w:rPr>
              <w:t>+消毒</w:t>
            </w:r>
            <w:r>
              <w:rPr>
                <w:rFonts w:hint="default" w:ascii="Times New Roman" w:hAnsi="Times New Roman" w:cs="Times New Roman"/>
                <w:lang w:val="zh-CN"/>
              </w:rPr>
              <w:t>”工艺，设计处理能力</w:t>
            </w:r>
            <w:r>
              <w:rPr>
                <w:rFonts w:hint="default" w:ascii="Times New Roman" w:hAnsi="Times New Roman" w:cs="Times New Roman"/>
                <w:lang w:val="en-US" w:eastAsia="zh-CN"/>
              </w:rPr>
              <w:t>180m³/d</w:t>
            </w:r>
            <w:r>
              <w:rPr>
                <w:rFonts w:hint="default" w:ascii="Times New Roman" w:hAnsi="Times New Roman" w:cs="Times New Roman"/>
                <w:lang w:val="zh-CN"/>
              </w:rPr>
              <w:t>，经处理后的废水达到《医疗机构水污染物排放标准》（GB18466-2005）表2预处理标准和</w:t>
            </w:r>
            <w:r>
              <w:rPr>
                <w:rFonts w:hint="default" w:ascii="Times New Roman" w:hAnsi="Times New Roman" w:cs="Times New Roman"/>
                <w:lang w:val="en-US" w:eastAsia="zh-CN"/>
              </w:rPr>
              <w:t>向家亭</w:t>
            </w:r>
            <w:r>
              <w:rPr>
                <w:rFonts w:hint="default" w:ascii="Times New Roman" w:hAnsi="Times New Roman" w:cs="Times New Roman"/>
                <w:lang w:val="zh-CN"/>
              </w:rPr>
              <w:t>污水处理厂接管标准限值要求后，排入市政污水管网后进入</w:t>
            </w:r>
            <w:r>
              <w:rPr>
                <w:rFonts w:hint="default" w:ascii="Times New Roman" w:hAnsi="Times New Roman" w:cs="Times New Roman"/>
                <w:lang w:val="en-US" w:eastAsia="zh-CN"/>
              </w:rPr>
              <w:t>向家亭</w:t>
            </w:r>
            <w:r>
              <w:rPr>
                <w:rFonts w:hint="default" w:ascii="Times New Roman" w:hAnsi="Times New Roman" w:cs="Times New Roman"/>
                <w:lang w:val="zh-CN"/>
              </w:rPr>
              <w:t>污水处理厂处理。</w:t>
            </w:r>
            <w:r>
              <w:rPr>
                <w:rFonts w:hint="default" w:ascii="Times New Roman" w:hAnsi="Times New Roman" w:cs="Times New Roman"/>
              </w:rPr>
              <w:t>因此，项目营运期对地表水环境影响可接受。</w:t>
            </w:r>
          </w:p>
          <w:p>
            <w:pPr>
              <w:pStyle w:val="12"/>
              <w:bidi w:val="0"/>
              <w:rPr>
                <w:lang w:val="en-US" w:eastAsia="zh-CN"/>
              </w:rPr>
            </w:pPr>
            <w:r>
              <w:rPr>
                <w:rFonts w:hint="eastAsia"/>
                <w:lang w:val="en-US" w:eastAsia="zh-CN"/>
              </w:rPr>
              <w:t>2.5</w:t>
            </w:r>
            <w:r>
              <w:rPr>
                <w:lang w:val="en-US" w:eastAsia="zh-CN"/>
              </w:rPr>
              <w:t>监测计划</w:t>
            </w:r>
          </w:p>
          <w:p>
            <w:pPr>
              <w:pStyle w:val="12"/>
              <w:bidi w:val="0"/>
              <w:rPr>
                <w:rFonts w:hint="eastAsia"/>
              </w:rPr>
            </w:pPr>
            <w:r>
              <w:t>根据《排污许可证申请与核发技术规范 医疗机构》</w:t>
            </w:r>
            <w:r>
              <w:rPr>
                <w:rFonts w:hint="eastAsia"/>
                <w:lang w:eastAsia="zh-CN"/>
              </w:rPr>
              <w:t>（</w:t>
            </w:r>
            <w:r>
              <w:t>HJ 1105</w:t>
            </w:r>
            <w:r>
              <w:rPr>
                <w:rFonts w:hint="eastAsia"/>
              </w:rPr>
              <w:t>-</w:t>
            </w:r>
            <w:r>
              <w:t>2020</w:t>
            </w:r>
            <w:r>
              <w:rPr>
                <w:rFonts w:hint="eastAsia"/>
                <w:lang w:eastAsia="zh-CN"/>
              </w:rPr>
              <w:t>）</w:t>
            </w:r>
            <w:r>
              <w:t>中表4医疗机构排污单位污水监测点位、监测指标和最低监测频次</w:t>
            </w:r>
            <w:r>
              <w:rPr>
                <w:rFonts w:hint="eastAsia"/>
              </w:rPr>
              <w:t>确定</w:t>
            </w:r>
            <w:r>
              <w:t>，</w:t>
            </w:r>
            <w:r>
              <w:rPr>
                <w:rFonts w:hint="eastAsia"/>
                <w:lang w:val="zh-CN"/>
              </w:rPr>
              <w:t>医院</w:t>
            </w:r>
            <w:r>
              <w:rPr>
                <w:rFonts w:hint="eastAsia"/>
              </w:rPr>
              <w:t>预处理废水经</w:t>
            </w:r>
            <w:r>
              <w:rPr>
                <w:rFonts w:hint="eastAsia"/>
                <w:lang w:eastAsia="zh-CN"/>
              </w:rPr>
              <w:t>向家亭污水处理厂</w:t>
            </w:r>
            <w:r>
              <w:rPr>
                <w:rFonts w:hint="eastAsia"/>
                <w:lang w:val="zh-CN"/>
              </w:rPr>
              <w:t>处理，属于间接排放，监测指标及监测频次按照间接排放的规定执行，</w:t>
            </w:r>
            <w:r>
              <w:t>营运期医院污水环境监测计划详见下表</w:t>
            </w:r>
            <w:r>
              <w:rPr>
                <w:rFonts w:hint="eastAsia"/>
              </w:rPr>
              <w:t>。</w:t>
            </w:r>
          </w:p>
          <w:p>
            <w:pPr>
              <w:spacing w:line="240" w:lineRule="auto"/>
              <w:ind w:firstLine="422"/>
              <w:jc w:val="center"/>
              <w:rPr>
                <w:b/>
                <w:bCs/>
                <w:sz w:val="21"/>
                <w:szCs w:val="21"/>
              </w:rPr>
            </w:pPr>
            <w:r>
              <w:rPr>
                <w:b/>
                <w:bCs/>
                <w:sz w:val="21"/>
                <w:szCs w:val="21"/>
              </w:rPr>
              <w:t>表</w:t>
            </w:r>
            <w:r>
              <w:rPr>
                <w:rFonts w:hint="eastAsia"/>
                <w:b/>
                <w:bCs/>
                <w:sz w:val="21"/>
                <w:szCs w:val="21"/>
                <w:lang w:val="en-US" w:eastAsia="zh-CN"/>
              </w:rPr>
              <w:t>4.2-11</w:t>
            </w:r>
            <w:r>
              <w:rPr>
                <w:b/>
                <w:bCs/>
                <w:sz w:val="21"/>
                <w:szCs w:val="21"/>
              </w:rPr>
              <w:t xml:space="preserve">   废</w:t>
            </w:r>
            <w:r>
              <w:rPr>
                <w:rFonts w:hint="eastAsia"/>
                <w:b/>
                <w:bCs/>
                <w:sz w:val="21"/>
                <w:szCs w:val="21"/>
              </w:rPr>
              <w:t>水</w:t>
            </w:r>
            <w:r>
              <w:rPr>
                <w:b/>
                <w:bCs/>
                <w:sz w:val="21"/>
                <w:szCs w:val="21"/>
              </w:rPr>
              <w:t>监测要求一览表</w:t>
            </w:r>
          </w:p>
          <w:tbl>
            <w:tblPr>
              <w:tblStyle w:val="27"/>
              <w:tblW w:w="86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1305"/>
              <w:gridCol w:w="2488"/>
              <w:gridCol w:w="1194"/>
              <w:gridCol w:w="2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4" w:type="dxa"/>
                  <w:noWrap w:val="0"/>
                  <w:vAlign w:val="center"/>
                </w:tcPr>
                <w:p>
                  <w:pPr>
                    <w:pStyle w:val="30"/>
                    <w:bidi w:val="0"/>
                  </w:pPr>
                  <w:r>
                    <w:t>监测类别</w:t>
                  </w:r>
                </w:p>
              </w:tc>
              <w:tc>
                <w:tcPr>
                  <w:tcW w:w="1305" w:type="dxa"/>
                  <w:noWrap w:val="0"/>
                  <w:vAlign w:val="center"/>
                </w:tcPr>
                <w:p>
                  <w:pPr>
                    <w:pStyle w:val="30"/>
                    <w:bidi w:val="0"/>
                  </w:pPr>
                  <w:r>
                    <w:t>监测点位</w:t>
                  </w:r>
                </w:p>
              </w:tc>
              <w:tc>
                <w:tcPr>
                  <w:tcW w:w="2488" w:type="dxa"/>
                  <w:noWrap w:val="0"/>
                  <w:vAlign w:val="center"/>
                </w:tcPr>
                <w:p>
                  <w:pPr>
                    <w:pStyle w:val="30"/>
                    <w:bidi w:val="0"/>
                    <w:rPr>
                      <w:rFonts w:hint="eastAsia"/>
                    </w:rPr>
                  </w:pPr>
                  <w:r>
                    <w:t>监测</w:t>
                  </w:r>
                  <w:r>
                    <w:rPr>
                      <w:rFonts w:hint="eastAsia"/>
                    </w:rPr>
                    <w:t>指标</w:t>
                  </w:r>
                </w:p>
              </w:tc>
              <w:tc>
                <w:tcPr>
                  <w:tcW w:w="1194" w:type="dxa"/>
                  <w:noWrap w:val="0"/>
                  <w:vAlign w:val="center"/>
                </w:tcPr>
                <w:p>
                  <w:pPr>
                    <w:pStyle w:val="30"/>
                    <w:bidi w:val="0"/>
                  </w:pPr>
                  <w:r>
                    <w:t>监测频次</w:t>
                  </w:r>
                </w:p>
              </w:tc>
              <w:tc>
                <w:tcPr>
                  <w:tcW w:w="2511" w:type="dxa"/>
                  <w:noWrap w:val="0"/>
                  <w:vAlign w:val="center"/>
                </w:tcPr>
                <w:p>
                  <w:pPr>
                    <w:pStyle w:val="30"/>
                    <w:bidi w:val="0"/>
                  </w:pPr>
                  <w: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4" w:type="dxa"/>
                  <w:vMerge w:val="restart"/>
                  <w:noWrap w:val="0"/>
                  <w:vAlign w:val="center"/>
                </w:tcPr>
                <w:p>
                  <w:pPr>
                    <w:pStyle w:val="30"/>
                    <w:bidi w:val="0"/>
                  </w:pPr>
                  <w:r>
                    <w:t>医疗废水</w:t>
                  </w:r>
                </w:p>
              </w:tc>
              <w:tc>
                <w:tcPr>
                  <w:tcW w:w="1305" w:type="dxa"/>
                  <w:vMerge w:val="restart"/>
                  <w:noWrap w:val="0"/>
                  <w:vAlign w:val="center"/>
                </w:tcPr>
                <w:p>
                  <w:pPr>
                    <w:pStyle w:val="30"/>
                    <w:bidi w:val="0"/>
                  </w:pPr>
                  <w:r>
                    <w:t>废水总排放口</w:t>
                  </w:r>
                </w:p>
              </w:tc>
              <w:tc>
                <w:tcPr>
                  <w:tcW w:w="2488" w:type="dxa"/>
                  <w:noWrap w:val="0"/>
                  <w:vAlign w:val="center"/>
                </w:tcPr>
                <w:p>
                  <w:pPr>
                    <w:pStyle w:val="30"/>
                    <w:bidi w:val="0"/>
                  </w:pPr>
                  <w:r>
                    <w:t>流量</w:t>
                  </w:r>
                </w:p>
              </w:tc>
              <w:tc>
                <w:tcPr>
                  <w:tcW w:w="1194" w:type="dxa"/>
                  <w:noWrap w:val="0"/>
                  <w:vAlign w:val="center"/>
                </w:tcPr>
                <w:p>
                  <w:pPr>
                    <w:pStyle w:val="30"/>
                    <w:bidi w:val="0"/>
                  </w:pPr>
                  <w:r>
                    <w:t>自动监测</w:t>
                  </w:r>
                </w:p>
              </w:tc>
              <w:tc>
                <w:tcPr>
                  <w:tcW w:w="2511" w:type="dxa"/>
                  <w:vMerge w:val="restart"/>
                  <w:noWrap w:val="0"/>
                  <w:vAlign w:val="center"/>
                </w:tcPr>
                <w:p>
                  <w:pPr>
                    <w:pStyle w:val="30"/>
                    <w:bidi w:val="0"/>
                  </w:pPr>
                  <w:r>
                    <w:t>《医疗机构水污染物排放标准》GB18466-2005中预处理标准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4" w:type="dxa"/>
                  <w:vMerge w:val="continue"/>
                  <w:noWrap w:val="0"/>
                  <w:vAlign w:val="center"/>
                </w:tcPr>
                <w:p>
                  <w:pPr>
                    <w:pStyle w:val="30"/>
                    <w:bidi w:val="0"/>
                  </w:pPr>
                </w:p>
              </w:tc>
              <w:tc>
                <w:tcPr>
                  <w:tcW w:w="1305" w:type="dxa"/>
                  <w:vMerge w:val="continue"/>
                  <w:noWrap w:val="0"/>
                  <w:vAlign w:val="center"/>
                </w:tcPr>
                <w:p>
                  <w:pPr>
                    <w:pStyle w:val="30"/>
                    <w:bidi w:val="0"/>
                  </w:pPr>
                </w:p>
              </w:tc>
              <w:tc>
                <w:tcPr>
                  <w:tcW w:w="2488" w:type="dxa"/>
                  <w:noWrap w:val="0"/>
                  <w:vAlign w:val="center"/>
                </w:tcPr>
                <w:p>
                  <w:pPr>
                    <w:pStyle w:val="30"/>
                    <w:bidi w:val="0"/>
                  </w:pPr>
                  <w:r>
                    <w:rPr>
                      <w:rFonts w:hint="eastAsia"/>
                    </w:rPr>
                    <w:t>p</w:t>
                  </w:r>
                  <w:r>
                    <w:t>H</w:t>
                  </w:r>
                </w:p>
              </w:tc>
              <w:tc>
                <w:tcPr>
                  <w:tcW w:w="1194" w:type="dxa"/>
                  <w:noWrap w:val="0"/>
                  <w:vAlign w:val="center"/>
                </w:tcPr>
                <w:p>
                  <w:pPr>
                    <w:pStyle w:val="30"/>
                    <w:bidi w:val="0"/>
                  </w:pPr>
                  <w:r>
                    <w:t>12小时</w:t>
                  </w:r>
                </w:p>
              </w:tc>
              <w:tc>
                <w:tcPr>
                  <w:tcW w:w="2511" w:type="dxa"/>
                  <w:vMerge w:val="continue"/>
                  <w:noWrap w:val="0"/>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4" w:type="dxa"/>
                  <w:vMerge w:val="continue"/>
                  <w:noWrap w:val="0"/>
                  <w:vAlign w:val="center"/>
                </w:tcPr>
                <w:p>
                  <w:pPr>
                    <w:pStyle w:val="30"/>
                    <w:bidi w:val="0"/>
                  </w:pPr>
                </w:p>
              </w:tc>
              <w:tc>
                <w:tcPr>
                  <w:tcW w:w="1305" w:type="dxa"/>
                  <w:vMerge w:val="continue"/>
                  <w:noWrap w:val="0"/>
                  <w:vAlign w:val="center"/>
                </w:tcPr>
                <w:p>
                  <w:pPr>
                    <w:pStyle w:val="30"/>
                    <w:bidi w:val="0"/>
                  </w:pPr>
                </w:p>
              </w:tc>
              <w:tc>
                <w:tcPr>
                  <w:tcW w:w="2488" w:type="dxa"/>
                  <w:noWrap w:val="0"/>
                  <w:vAlign w:val="center"/>
                </w:tcPr>
                <w:p>
                  <w:pPr>
                    <w:pStyle w:val="30"/>
                    <w:bidi w:val="0"/>
                  </w:pPr>
                  <w:r>
                    <w:t>化学需氧量、悬浮物</w:t>
                  </w:r>
                </w:p>
              </w:tc>
              <w:tc>
                <w:tcPr>
                  <w:tcW w:w="1194" w:type="dxa"/>
                  <w:noWrap w:val="0"/>
                  <w:vAlign w:val="center"/>
                </w:tcPr>
                <w:p>
                  <w:pPr>
                    <w:pStyle w:val="30"/>
                    <w:bidi w:val="0"/>
                  </w:pPr>
                  <w:r>
                    <w:t>周</w:t>
                  </w:r>
                </w:p>
              </w:tc>
              <w:tc>
                <w:tcPr>
                  <w:tcW w:w="2511" w:type="dxa"/>
                  <w:vMerge w:val="continue"/>
                  <w:noWrap w:val="0"/>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4" w:type="dxa"/>
                  <w:vMerge w:val="continue"/>
                  <w:noWrap w:val="0"/>
                  <w:vAlign w:val="center"/>
                </w:tcPr>
                <w:p>
                  <w:pPr>
                    <w:pStyle w:val="30"/>
                    <w:bidi w:val="0"/>
                  </w:pPr>
                </w:p>
              </w:tc>
              <w:tc>
                <w:tcPr>
                  <w:tcW w:w="1305" w:type="dxa"/>
                  <w:vMerge w:val="continue"/>
                  <w:noWrap w:val="0"/>
                  <w:vAlign w:val="center"/>
                </w:tcPr>
                <w:p>
                  <w:pPr>
                    <w:pStyle w:val="30"/>
                    <w:bidi w:val="0"/>
                  </w:pPr>
                </w:p>
              </w:tc>
              <w:tc>
                <w:tcPr>
                  <w:tcW w:w="2488" w:type="dxa"/>
                  <w:noWrap w:val="0"/>
                  <w:vAlign w:val="center"/>
                </w:tcPr>
                <w:p>
                  <w:pPr>
                    <w:pStyle w:val="30"/>
                    <w:bidi w:val="0"/>
                  </w:pPr>
                  <w:r>
                    <w:t>粪大肠菌群数</w:t>
                  </w:r>
                </w:p>
              </w:tc>
              <w:tc>
                <w:tcPr>
                  <w:tcW w:w="1194" w:type="dxa"/>
                  <w:noWrap w:val="0"/>
                  <w:vAlign w:val="center"/>
                </w:tcPr>
                <w:p>
                  <w:pPr>
                    <w:pStyle w:val="30"/>
                    <w:bidi w:val="0"/>
                  </w:pPr>
                  <w:r>
                    <w:t>月</w:t>
                  </w:r>
                </w:p>
              </w:tc>
              <w:tc>
                <w:tcPr>
                  <w:tcW w:w="2511" w:type="dxa"/>
                  <w:vMerge w:val="continue"/>
                  <w:noWrap w:val="0"/>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4" w:type="dxa"/>
                  <w:vMerge w:val="continue"/>
                  <w:noWrap w:val="0"/>
                  <w:vAlign w:val="center"/>
                </w:tcPr>
                <w:p>
                  <w:pPr>
                    <w:pStyle w:val="30"/>
                    <w:bidi w:val="0"/>
                  </w:pPr>
                </w:p>
              </w:tc>
              <w:tc>
                <w:tcPr>
                  <w:tcW w:w="1305" w:type="dxa"/>
                  <w:vMerge w:val="continue"/>
                  <w:noWrap w:val="0"/>
                  <w:vAlign w:val="center"/>
                </w:tcPr>
                <w:p>
                  <w:pPr>
                    <w:pStyle w:val="30"/>
                    <w:bidi w:val="0"/>
                  </w:pPr>
                </w:p>
              </w:tc>
              <w:tc>
                <w:tcPr>
                  <w:tcW w:w="2488" w:type="dxa"/>
                  <w:noWrap w:val="0"/>
                  <w:vAlign w:val="center"/>
                </w:tcPr>
                <w:p>
                  <w:pPr>
                    <w:pStyle w:val="30"/>
                    <w:bidi w:val="0"/>
                  </w:pPr>
                  <w:r>
                    <w:rPr>
                      <w:rFonts w:hint="eastAsia"/>
                      <w:lang w:eastAsia="zh-CN"/>
                    </w:rPr>
                    <w:t>色度、</w:t>
                  </w:r>
                  <w:r>
                    <w:t>五日生化需氧量、石油类、挥发酚、动植物油、阴离子表面活性剂、总氰化物</w:t>
                  </w:r>
                </w:p>
              </w:tc>
              <w:tc>
                <w:tcPr>
                  <w:tcW w:w="1194" w:type="dxa"/>
                  <w:noWrap w:val="0"/>
                  <w:vAlign w:val="center"/>
                </w:tcPr>
                <w:p>
                  <w:pPr>
                    <w:pStyle w:val="30"/>
                    <w:bidi w:val="0"/>
                  </w:pPr>
                  <w:r>
                    <w:t>季度</w:t>
                  </w:r>
                </w:p>
              </w:tc>
              <w:tc>
                <w:tcPr>
                  <w:tcW w:w="2511" w:type="dxa"/>
                  <w:vMerge w:val="continue"/>
                  <w:noWrap w:val="0"/>
                  <w:vAlign w:val="center"/>
                </w:tcPr>
                <w:p>
                  <w:pPr>
                    <w:pStyle w:val="30"/>
                    <w:bidi w:val="0"/>
                  </w:pPr>
                </w:p>
              </w:tc>
            </w:tr>
          </w:tbl>
          <w:p>
            <w:pPr>
              <w:pStyle w:val="12"/>
              <w:bidi w:val="0"/>
            </w:pPr>
            <w:r>
              <w:t>3</w:t>
            </w:r>
            <w:r>
              <w:rPr>
                <w:rFonts w:hint="eastAsia"/>
                <w:lang w:eastAsia="zh-CN"/>
              </w:rPr>
              <w:t>.</w:t>
            </w:r>
            <w:r>
              <w:t>噪声</w:t>
            </w:r>
          </w:p>
          <w:p>
            <w:pPr>
              <w:pStyle w:val="12"/>
              <w:bidi w:val="0"/>
            </w:pPr>
            <w:r>
              <w:rPr>
                <w:rFonts w:hint="eastAsia"/>
                <w:lang w:val="en-US" w:eastAsia="zh-CN"/>
              </w:rPr>
              <w:t>3.1</w:t>
            </w:r>
            <w:r>
              <w:rPr>
                <w:rFonts w:hint="eastAsia"/>
              </w:rPr>
              <w:t>噪声源强分析</w:t>
            </w:r>
          </w:p>
          <w:p>
            <w:pPr>
              <w:pStyle w:val="12"/>
              <w:bidi w:val="0"/>
            </w:pPr>
            <w:r>
              <w:t>本项目主要产生的噪声为：</w:t>
            </w:r>
            <w:r>
              <w:rPr>
                <w:rFonts w:hint="eastAsia"/>
                <w:lang w:val="en-US" w:eastAsia="zh-CN"/>
              </w:rPr>
              <w:t>污水处理站风机、污水处理站水泵、空调外机、人群活动</w:t>
            </w:r>
            <w:r>
              <w:t>噪声等。本项目在营运期各类噪声产生源强见表。</w:t>
            </w:r>
          </w:p>
          <w:p>
            <w:pPr>
              <w:pStyle w:val="29"/>
              <w:bidi w:val="0"/>
            </w:pPr>
            <w:r>
              <w:rPr>
                <w:rFonts w:hint="eastAsia"/>
              </w:rPr>
              <w:t>表</w:t>
            </w:r>
            <w:r>
              <w:rPr>
                <w:rFonts w:hint="eastAsia"/>
                <w:lang w:val="en-US" w:eastAsia="zh-CN"/>
              </w:rPr>
              <w:t>4.2-12（1）</w:t>
            </w:r>
            <w:r>
              <w:rPr>
                <w:rFonts w:hint="eastAsia"/>
              </w:rPr>
              <w:t xml:space="preserve"> </w:t>
            </w:r>
            <w:r>
              <w:rPr>
                <w:rFonts w:hint="eastAsia"/>
                <w:lang w:val="en-US" w:eastAsia="zh-CN"/>
              </w:rPr>
              <w:t>本项目噪声源强调查清单（室内声源）</w:t>
            </w:r>
          </w:p>
          <w:tbl>
            <w:tblPr>
              <w:tblStyle w:val="27"/>
              <w:tblW w:w="86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438"/>
              <w:gridCol w:w="1461"/>
              <w:gridCol w:w="528"/>
              <w:gridCol w:w="514"/>
              <w:gridCol w:w="438"/>
              <w:gridCol w:w="351"/>
              <w:gridCol w:w="438"/>
              <w:gridCol w:w="549"/>
              <w:gridCol w:w="847"/>
              <w:gridCol w:w="549"/>
              <w:gridCol w:w="847"/>
              <w:gridCol w:w="848"/>
              <w:gridCol w:w="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8" w:type="dxa"/>
                  <w:vMerge w:val="restart"/>
                  <w:tcBorders>
                    <w:tl2br w:val="nil"/>
                    <w:tr2bl w:val="nil"/>
                  </w:tcBorders>
                  <w:vAlign w:val="center"/>
                </w:tcPr>
                <w:p>
                  <w:pPr>
                    <w:pStyle w:val="30"/>
                    <w:bidi w:val="0"/>
                    <w:rPr>
                      <w:rFonts w:hint="default"/>
                    </w:rPr>
                  </w:pPr>
                  <w:r>
                    <w:rPr>
                      <w:rFonts w:hint="default"/>
                    </w:rPr>
                    <w:t>序号</w:t>
                  </w:r>
                </w:p>
              </w:tc>
              <w:tc>
                <w:tcPr>
                  <w:tcW w:w="438" w:type="dxa"/>
                  <w:vMerge w:val="restart"/>
                  <w:tcBorders>
                    <w:tl2br w:val="nil"/>
                    <w:tr2bl w:val="nil"/>
                  </w:tcBorders>
                  <w:vAlign w:val="center"/>
                </w:tcPr>
                <w:p>
                  <w:pPr>
                    <w:pStyle w:val="30"/>
                    <w:bidi w:val="0"/>
                    <w:rPr>
                      <w:rFonts w:hint="default"/>
                    </w:rPr>
                  </w:pPr>
                  <w:r>
                    <w:rPr>
                      <w:rFonts w:hint="eastAsia"/>
                      <w:lang w:val="en-US" w:eastAsia="zh-CN"/>
                    </w:rPr>
                    <w:t>声源名称</w:t>
                  </w:r>
                </w:p>
              </w:tc>
              <w:tc>
                <w:tcPr>
                  <w:tcW w:w="1461" w:type="dxa"/>
                  <w:vMerge w:val="restart"/>
                  <w:tcBorders>
                    <w:tl2br w:val="nil"/>
                    <w:tr2bl w:val="nil"/>
                  </w:tcBorders>
                  <w:vAlign w:val="center"/>
                </w:tcPr>
                <w:p>
                  <w:pPr>
                    <w:pStyle w:val="30"/>
                    <w:bidi w:val="0"/>
                    <w:rPr>
                      <w:rFonts w:hint="default"/>
                    </w:rPr>
                  </w:pPr>
                  <w:r>
                    <w:rPr>
                      <w:rFonts w:hint="default"/>
                    </w:rPr>
                    <w:t>声压级/距声源距离（dB(A)/m）</w:t>
                  </w:r>
                </w:p>
              </w:tc>
              <w:tc>
                <w:tcPr>
                  <w:tcW w:w="528" w:type="dxa"/>
                  <w:vMerge w:val="restart"/>
                  <w:tcBorders>
                    <w:tl2br w:val="nil"/>
                    <w:tr2bl w:val="nil"/>
                  </w:tcBorders>
                  <w:vAlign w:val="center"/>
                </w:tcPr>
                <w:p>
                  <w:pPr>
                    <w:pStyle w:val="30"/>
                    <w:bidi w:val="0"/>
                    <w:rPr>
                      <w:rFonts w:hint="default"/>
                    </w:rPr>
                  </w:pPr>
                  <w:r>
                    <w:rPr>
                      <w:rFonts w:hint="default"/>
                    </w:rPr>
                    <w:t>声源控制措施</w:t>
                  </w:r>
                </w:p>
              </w:tc>
              <w:tc>
                <w:tcPr>
                  <w:tcW w:w="1303" w:type="dxa"/>
                  <w:gridSpan w:val="3"/>
                  <w:tcBorders>
                    <w:tl2br w:val="nil"/>
                    <w:tr2bl w:val="nil"/>
                  </w:tcBorders>
                  <w:vAlign w:val="center"/>
                </w:tcPr>
                <w:p>
                  <w:pPr>
                    <w:pStyle w:val="30"/>
                    <w:bidi w:val="0"/>
                    <w:rPr>
                      <w:rFonts w:hint="default"/>
                    </w:rPr>
                  </w:pPr>
                  <w:r>
                    <w:rPr>
                      <w:rFonts w:hint="default"/>
                    </w:rPr>
                    <w:t>空间相对位置/m</w:t>
                  </w:r>
                </w:p>
              </w:tc>
              <w:tc>
                <w:tcPr>
                  <w:tcW w:w="987" w:type="dxa"/>
                  <w:gridSpan w:val="2"/>
                  <w:vMerge w:val="restart"/>
                  <w:tcBorders>
                    <w:tl2br w:val="nil"/>
                    <w:tr2bl w:val="nil"/>
                  </w:tcBorders>
                  <w:vAlign w:val="center"/>
                </w:tcPr>
                <w:p>
                  <w:pPr>
                    <w:pStyle w:val="30"/>
                    <w:bidi w:val="0"/>
                    <w:rPr>
                      <w:rFonts w:hint="default"/>
                    </w:rPr>
                  </w:pPr>
                  <w:r>
                    <w:rPr>
                      <w:rFonts w:hint="default"/>
                    </w:rPr>
                    <w:t>距室内边界距离/m</w:t>
                  </w:r>
                </w:p>
              </w:tc>
              <w:tc>
                <w:tcPr>
                  <w:tcW w:w="847" w:type="dxa"/>
                  <w:vMerge w:val="restart"/>
                  <w:tcBorders>
                    <w:tl2br w:val="nil"/>
                    <w:tr2bl w:val="nil"/>
                  </w:tcBorders>
                  <w:vAlign w:val="center"/>
                </w:tcPr>
                <w:p>
                  <w:pPr>
                    <w:pStyle w:val="30"/>
                    <w:bidi w:val="0"/>
                    <w:rPr>
                      <w:rFonts w:hint="default"/>
                    </w:rPr>
                  </w:pPr>
                  <w:r>
                    <w:rPr>
                      <w:rFonts w:hint="default"/>
                    </w:rPr>
                    <w:t>室内边界声级/dB(A)</w:t>
                  </w:r>
                </w:p>
              </w:tc>
              <w:tc>
                <w:tcPr>
                  <w:tcW w:w="549" w:type="dxa"/>
                  <w:vMerge w:val="restart"/>
                  <w:tcBorders>
                    <w:tl2br w:val="nil"/>
                    <w:tr2bl w:val="nil"/>
                  </w:tcBorders>
                  <w:vAlign w:val="center"/>
                </w:tcPr>
                <w:p>
                  <w:pPr>
                    <w:pStyle w:val="30"/>
                    <w:bidi w:val="0"/>
                    <w:rPr>
                      <w:rFonts w:hint="default"/>
                    </w:rPr>
                  </w:pPr>
                  <w:r>
                    <w:rPr>
                      <w:rFonts w:hint="default"/>
                    </w:rPr>
                    <w:t>运行时段</w:t>
                  </w:r>
                </w:p>
              </w:tc>
              <w:tc>
                <w:tcPr>
                  <w:tcW w:w="847" w:type="dxa"/>
                  <w:vMerge w:val="restart"/>
                  <w:tcBorders>
                    <w:tl2br w:val="nil"/>
                    <w:tr2bl w:val="nil"/>
                  </w:tcBorders>
                  <w:vAlign w:val="center"/>
                </w:tcPr>
                <w:p>
                  <w:pPr>
                    <w:pStyle w:val="30"/>
                    <w:bidi w:val="0"/>
                    <w:rPr>
                      <w:rFonts w:hint="default"/>
                    </w:rPr>
                  </w:pPr>
                  <w:r>
                    <w:rPr>
                      <w:rFonts w:hint="default"/>
                    </w:rPr>
                    <w:t>建筑物插入损失/dB(A)</w:t>
                  </w:r>
                </w:p>
              </w:tc>
              <w:tc>
                <w:tcPr>
                  <w:tcW w:w="1287" w:type="dxa"/>
                  <w:gridSpan w:val="2"/>
                  <w:tcBorders>
                    <w:tl2br w:val="nil"/>
                    <w:tr2bl w:val="nil"/>
                  </w:tcBorders>
                  <w:vAlign w:val="center"/>
                </w:tcPr>
                <w:p>
                  <w:pPr>
                    <w:pStyle w:val="30"/>
                    <w:bidi w:val="0"/>
                    <w:rPr>
                      <w:rFonts w:hint="default"/>
                    </w:rPr>
                  </w:pPr>
                  <w:r>
                    <w:rPr>
                      <w:rFonts w:hint="default"/>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8" w:type="dxa"/>
                  <w:vMerge w:val="continue"/>
                  <w:tcBorders>
                    <w:tl2br w:val="nil"/>
                    <w:tr2bl w:val="nil"/>
                  </w:tcBorders>
                  <w:vAlign w:val="center"/>
                </w:tcPr>
                <w:p>
                  <w:pPr>
                    <w:pStyle w:val="30"/>
                    <w:bidi w:val="0"/>
                    <w:rPr>
                      <w:rFonts w:hint="default"/>
                    </w:rPr>
                  </w:pPr>
                </w:p>
              </w:tc>
              <w:tc>
                <w:tcPr>
                  <w:tcW w:w="438" w:type="dxa"/>
                  <w:vMerge w:val="continue"/>
                  <w:tcBorders>
                    <w:tl2br w:val="nil"/>
                    <w:tr2bl w:val="nil"/>
                  </w:tcBorders>
                  <w:vAlign w:val="center"/>
                </w:tcPr>
                <w:p>
                  <w:pPr>
                    <w:pStyle w:val="30"/>
                    <w:bidi w:val="0"/>
                    <w:rPr>
                      <w:rFonts w:hint="default"/>
                    </w:rPr>
                  </w:pPr>
                </w:p>
              </w:tc>
              <w:tc>
                <w:tcPr>
                  <w:tcW w:w="1461" w:type="dxa"/>
                  <w:vMerge w:val="continue"/>
                  <w:tcBorders>
                    <w:tl2br w:val="nil"/>
                    <w:tr2bl w:val="nil"/>
                  </w:tcBorders>
                  <w:vAlign w:val="center"/>
                </w:tcPr>
                <w:p>
                  <w:pPr>
                    <w:pStyle w:val="30"/>
                    <w:bidi w:val="0"/>
                    <w:rPr>
                      <w:rFonts w:hint="default"/>
                    </w:rPr>
                  </w:pPr>
                </w:p>
              </w:tc>
              <w:tc>
                <w:tcPr>
                  <w:tcW w:w="528" w:type="dxa"/>
                  <w:vMerge w:val="continue"/>
                  <w:tcBorders>
                    <w:tl2br w:val="nil"/>
                    <w:tr2bl w:val="nil"/>
                  </w:tcBorders>
                  <w:vAlign w:val="center"/>
                </w:tcPr>
                <w:p>
                  <w:pPr>
                    <w:pStyle w:val="30"/>
                    <w:bidi w:val="0"/>
                    <w:rPr>
                      <w:rFonts w:hint="default"/>
                    </w:rPr>
                  </w:pPr>
                </w:p>
              </w:tc>
              <w:tc>
                <w:tcPr>
                  <w:tcW w:w="514" w:type="dxa"/>
                  <w:tcBorders>
                    <w:tl2br w:val="nil"/>
                    <w:tr2bl w:val="nil"/>
                  </w:tcBorders>
                  <w:vAlign w:val="center"/>
                </w:tcPr>
                <w:p>
                  <w:pPr>
                    <w:pStyle w:val="30"/>
                    <w:bidi w:val="0"/>
                    <w:rPr>
                      <w:rFonts w:hint="default"/>
                    </w:rPr>
                  </w:pPr>
                  <w:r>
                    <w:rPr>
                      <w:rFonts w:hint="default"/>
                    </w:rPr>
                    <w:t>X</w:t>
                  </w:r>
                </w:p>
              </w:tc>
              <w:tc>
                <w:tcPr>
                  <w:tcW w:w="438" w:type="dxa"/>
                  <w:tcBorders>
                    <w:tl2br w:val="nil"/>
                    <w:tr2bl w:val="nil"/>
                  </w:tcBorders>
                  <w:vAlign w:val="center"/>
                </w:tcPr>
                <w:p>
                  <w:pPr>
                    <w:pStyle w:val="30"/>
                    <w:bidi w:val="0"/>
                    <w:rPr>
                      <w:rFonts w:hint="default"/>
                    </w:rPr>
                  </w:pPr>
                  <w:r>
                    <w:rPr>
                      <w:rFonts w:hint="default"/>
                    </w:rPr>
                    <w:t>Y</w:t>
                  </w:r>
                </w:p>
              </w:tc>
              <w:tc>
                <w:tcPr>
                  <w:tcW w:w="351" w:type="dxa"/>
                  <w:tcBorders>
                    <w:tl2br w:val="nil"/>
                    <w:tr2bl w:val="nil"/>
                  </w:tcBorders>
                  <w:vAlign w:val="center"/>
                </w:tcPr>
                <w:p>
                  <w:pPr>
                    <w:pStyle w:val="30"/>
                    <w:bidi w:val="0"/>
                    <w:rPr>
                      <w:rFonts w:hint="default"/>
                    </w:rPr>
                  </w:pPr>
                  <w:r>
                    <w:rPr>
                      <w:rFonts w:hint="default"/>
                    </w:rPr>
                    <w:t>Z</w:t>
                  </w:r>
                </w:p>
              </w:tc>
              <w:tc>
                <w:tcPr>
                  <w:tcW w:w="987" w:type="dxa"/>
                  <w:gridSpan w:val="2"/>
                  <w:vMerge w:val="continue"/>
                  <w:tcBorders>
                    <w:tl2br w:val="nil"/>
                    <w:tr2bl w:val="nil"/>
                  </w:tcBorders>
                  <w:vAlign w:val="center"/>
                </w:tcPr>
                <w:p>
                  <w:pPr>
                    <w:pStyle w:val="30"/>
                    <w:bidi w:val="0"/>
                    <w:rPr>
                      <w:rFonts w:hint="default"/>
                    </w:rPr>
                  </w:pPr>
                </w:p>
              </w:tc>
              <w:tc>
                <w:tcPr>
                  <w:tcW w:w="847" w:type="dxa"/>
                  <w:vMerge w:val="continue"/>
                  <w:tcBorders>
                    <w:tl2br w:val="nil"/>
                    <w:tr2bl w:val="nil"/>
                  </w:tcBorders>
                  <w:vAlign w:val="center"/>
                </w:tcPr>
                <w:p>
                  <w:pPr>
                    <w:pStyle w:val="30"/>
                    <w:bidi w:val="0"/>
                    <w:rPr>
                      <w:rFonts w:hint="default"/>
                    </w:rPr>
                  </w:pPr>
                </w:p>
              </w:tc>
              <w:tc>
                <w:tcPr>
                  <w:tcW w:w="549" w:type="dxa"/>
                  <w:vMerge w:val="continue"/>
                  <w:tcBorders>
                    <w:tl2br w:val="nil"/>
                    <w:tr2bl w:val="nil"/>
                  </w:tcBorders>
                  <w:vAlign w:val="center"/>
                </w:tcPr>
                <w:p>
                  <w:pPr>
                    <w:pStyle w:val="30"/>
                    <w:bidi w:val="0"/>
                    <w:rPr>
                      <w:rFonts w:hint="default"/>
                    </w:rPr>
                  </w:pPr>
                </w:p>
              </w:tc>
              <w:tc>
                <w:tcPr>
                  <w:tcW w:w="847" w:type="dxa"/>
                  <w:vMerge w:val="continue"/>
                  <w:tcBorders>
                    <w:tl2br w:val="nil"/>
                    <w:tr2bl w:val="nil"/>
                  </w:tcBorders>
                  <w:vAlign w:val="center"/>
                </w:tcPr>
                <w:p>
                  <w:pPr>
                    <w:pStyle w:val="30"/>
                    <w:bidi w:val="0"/>
                    <w:rPr>
                      <w:rFonts w:hint="default"/>
                    </w:rPr>
                  </w:pPr>
                </w:p>
              </w:tc>
              <w:tc>
                <w:tcPr>
                  <w:tcW w:w="848" w:type="dxa"/>
                  <w:tcBorders>
                    <w:tl2br w:val="nil"/>
                    <w:tr2bl w:val="nil"/>
                  </w:tcBorders>
                  <w:vAlign w:val="center"/>
                </w:tcPr>
                <w:p>
                  <w:pPr>
                    <w:pStyle w:val="30"/>
                    <w:bidi w:val="0"/>
                    <w:rPr>
                      <w:rFonts w:hint="default"/>
                    </w:rPr>
                  </w:pPr>
                  <w:r>
                    <w:rPr>
                      <w:rFonts w:hint="default"/>
                    </w:rPr>
                    <w:t>声压级/dB(A)</w:t>
                  </w:r>
                </w:p>
              </w:tc>
              <w:tc>
                <w:tcPr>
                  <w:tcW w:w="439" w:type="dxa"/>
                  <w:tcBorders>
                    <w:tl2br w:val="nil"/>
                    <w:tr2bl w:val="nil"/>
                  </w:tcBorders>
                  <w:vAlign w:val="center"/>
                </w:tcPr>
                <w:p>
                  <w:pPr>
                    <w:pStyle w:val="30"/>
                    <w:bidi w:val="0"/>
                    <w:rPr>
                      <w:rFonts w:hint="default"/>
                    </w:rPr>
                  </w:pPr>
                  <w:r>
                    <w:rPr>
                      <w:rFonts w:hint="default"/>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8" w:type="dxa"/>
                  <w:vMerge w:val="restart"/>
                  <w:tcBorders>
                    <w:tl2br w:val="nil"/>
                    <w:tr2bl w:val="nil"/>
                  </w:tcBorders>
                  <w:vAlign w:val="center"/>
                </w:tcPr>
                <w:p>
                  <w:pPr>
                    <w:pStyle w:val="30"/>
                    <w:bidi w:val="0"/>
                    <w:rPr>
                      <w:rFonts w:hint="eastAsia" w:eastAsia="宋体"/>
                      <w:lang w:val="en-US" w:eastAsia="zh-CN"/>
                    </w:rPr>
                  </w:pPr>
                  <w:r>
                    <w:rPr>
                      <w:rFonts w:hint="eastAsia"/>
                      <w:lang w:val="en-US" w:eastAsia="zh-CN"/>
                    </w:rPr>
                    <w:t>1</w:t>
                  </w:r>
                </w:p>
              </w:tc>
              <w:tc>
                <w:tcPr>
                  <w:tcW w:w="438" w:type="dxa"/>
                  <w:vMerge w:val="restart"/>
                  <w:tcBorders>
                    <w:tl2br w:val="nil"/>
                    <w:tr2bl w:val="nil"/>
                  </w:tcBorders>
                  <w:shd w:val="clear" w:color="auto" w:fill="auto"/>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水泵</w:t>
                  </w:r>
                </w:p>
                <w:p>
                  <w:pPr>
                    <w:pStyle w:val="30"/>
                    <w:bidi w:val="0"/>
                    <w:rPr>
                      <w:rFonts w:hint="default"/>
                    </w:rPr>
                  </w:pPr>
                </w:p>
              </w:tc>
              <w:tc>
                <w:tcPr>
                  <w:tcW w:w="1461" w:type="dxa"/>
                  <w:vMerge w:val="restart"/>
                  <w:tcBorders>
                    <w:tl2br w:val="nil"/>
                    <w:tr2bl w:val="nil"/>
                  </w:tcBorders>
                  <w:vAlign w:val="center"/>
                </w:tcPr>
                <w:p>
                  <w:pPr>
                    <w:pStyle w:val="30"/>
                    <w:bidi w:val="0"/>
                    <w:rPr>
                      <w:rFonts w:hint="eastAsia" w:eastAsia="宋体"/>
                      <w:lang w:val="en-US" w:eastAsia="zh-CN"/>
                    </w:rPr>
                  </w:pPr>
                  <w:r>
                    <w:rPr>
                      <w:rFonts w:hint="eastAsia"/>
                      <w:lang w:val="en-US" w:eastAsia="zh-CN"/>
                    </w:rPr>
                    <w:t>75</w:t>
                  </w:r>
                  <w:r>
                    <w:rPr>
                      <w:rFonts w:hint="default"/>
                    </w:rPr>
                    <w:t>/</w:t>
                  </w:r>
                  <w:r>
                    <w:rPr>
                      <w:rFonts w:hint="eastAsia"/>
                      <w:lang w:val="en-US" w:eastAsia="zh-CN"/>
                    </w:rPr>
                    <w:t>1</w:t>
                  </w:r>
                </w:p>
              </w:tc>
              <w:tc>
                <w:tcPr>
                  <w:tcW w:w="528" w:type="dxa"/>
                  <w:vMerge w:val="continue"/>
                  <w:tcBorders>
                    <w:tl2br w:val="nil"/>
                    <w:tr2bl w:val="nil"/>
                  </w:tcBorders>
                  <w:vAlign w:val="center"/>
                </w:tcPr>
                <w:p>
                  <w:pPr>
                    <w:pStyle w:val="30"/>
                    <w:bidi w:val="0"/>
                    <w:rPr>
                      <w:rFonts w:hint="default"/>
                    </w:rPr>
                  </w:pPr>
                </w:p>
              </w:tc>
              <w:tc>
                <w:tcPr>
                  <w:tcW w:w="514" w:type="dxa"/>
                  <w:vMerge w:val="restart"/>
                  <w:tcBorders>
                    <w:tl2br w:val="nil"/>
                    <w:tr2bl w:val="nil"/>
                  </w:tcBorders>
                  <w:shd w:val="clear" w:color="auto" w:fill="auto"/>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-27</w:t>
                  </w:r>
                </w:p>
              </w:tc>
              <w:tc>
                <w:tcPr>
                  <w:tcW w:w="438" w:type="dxa"/>
                  <w:vMerge w:val="restart"/>
                  <w:tcBorders>
                    <w:tl2br w:val="nil"/>
                    <w:tr2bl w:val="nil"/>
                  </w:tcBorders>
                  <w:shd w:val="clear" w:color="auto" w:fill="auto"/>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34</w:t>
                  </w:r>
                </w:p>
              </w:tc>
              <w:tc>
                <w:tcPr>
                  <w:tcW w:w="351" w:type="dxa"/>
                  <w:vMerge w:val="restart"/>
                  <w:tcBorders>
                    <w:tl2br w:val="nil"/>
                    <w:tr2bl w:val="nil"/>
                  </w:tcBorders>
                  <w:vAlign w:val="center"/>
                </w:tcPr>
                <w:p>
                  <w:pPr>
                    <w:pStyle w:val="30"/>
                    <w:bidi w:val="0"/>
                    <w:rPr>
                      <w:rFonts w:hint="eastAsia" w:eastAsia="宋体"/>
                      <w:lang w:eastAsia="zh-CN"/>
                    </w:rPr>
                  </w:pPr>
                  <w:r>
                    <w:rPr>
                      <w:rFonts w:hint="eastAsia"/>
                      <w:lang w:val="en-US" w:eastAsia="zh-CN"/>
                    </w:rPr>
                    <w:t>0</w:t>
                  </w:r>
                </w:p>
              </w:tc>
              <w:tc>
                <w:tcPr>
                  <w:tcW w:w="438" w:type="dxa"/>
                  <w:tcBorders>
                    <w:tl2br w:val="nil"/>
                    <w:tr2bl w:val="nil"/>
                  </w:tcBorders>
                  <w:vAlign w:val="center"/>
                </w:tcPr>
                <w:p>
                  <w:pPr>
                    <w:pStyle w:val="30"/>
                    <w:bidi w:val="0"/>
                    <w:rPr>
                      <w:rFonts w:hint="default"/>
                    </w:rPr>
                  </w:pPr>
                  <w:r>
                    <w:rPr>
                      <w:rFonts w:hint="default"/>
                    </w:rPr>
                    <w:t>东</w:t>
                  </w:r>
                </w:p>
              </w:tc>
              <w:tc>
                <w:tcPr>
                  <w:tcW w:w="549" w:type="dxa"/>
                  <w:tcBorders>
                    <w:tl2br w:val="nil"/>
                    <w:tr2bl w:val="nil"/>
                  </w:tcBorders>
                  <w:vAlign w:val="center"/>
                </w:tcPr>
                <w:p>
                  <w:pPr>
                    <w:pStyle w:val="30"/>
                    <w:bidi w:val="0"/>
                    <w:rPr>
                      <w:rFonts w:hint="default"/>
                      <w:lang w:val="en-US" w:eastAsia="zh-CN"/>
                    </w:rPr>
                  </w:pPr>
                  <w:r>
                    <w:rPr>
                      <w:rFonts w:hint="eastAsia"/>
                      <w:lang w:val="en-US" w:eastAsia="zh-CN"/>
                    </w:rPr>
                    <w:t>145</w:t>
                  </w:r>
                </w:p>
              </w:tc>
              <w:tc>
                <w:tcPr>
                  <w:tcW w:w="847" w:type="dxa"/>
                  <w:tcBorders>
                    <w:tl2br w:val="nil"/>
                    <w:tr2bl w:val="nil"/>
                  </w:tcBorders>
                  <w:vAlign w:val="center"/>
                </w:tcPr>
                <w:p>
                  <w:pPr>
                    <w:pStyle w:val="30"/>
                    <w:bidi w:val="0"/>
                    <w:rPr>
                      <w:rFonts w:hint="default"/>
                      <w:lang w:val="en-US" w:eastAsia="zh-CN"/>
                    </w:rPr>
                  </w:pPr>
                  <w:r>
                    <w:rPr>
                      <w:rFonts w:hint="eastAsia"/>
                      <w:lang w:val="en-US" w:eastAsia="zh-CN"/>
                    </w:rPr>
                    <w:t>32</w:t>
                  </w:r>
                </w:p>
              </w:tc>
              <w:tc>
                <w:tcPr>
                  <w:tcW w:w="549" w:type="dxa"/>
                  <w:vMerge w:val="restart"/>
                  <w:tcBorders>
                    <w:tl2br w:val="nil"/>
                    <w:tr2bl w:val="nil"/>
                  </w:tcBorders>
                  <w:vAlign w:val="center"/>
                </w:tcPr>
                <w:p>
                  <w:pPr>
                    <w:pStyle w:val="30"/>
                    <w:bidi w:val="0"/>
                    <w:rPr>
                      <w:rFonts w:hint="default"/>
                    </w:rPr>
                  </w:pPr>
                  <w:r>
                    <w:rPr>
                      <w:rFonts w:hint="eastAsia"/>
                      <w:lang w:val="en-US" w:eastAsia="zh-CN"/>
                    </w:rPr>
                    <w:t>8</w:t>
                  </w:r>
                  <w:r>
                    <w:rPr>
                      <w:rFonts w:hint="default"/>
                    </w:rPr>
                    <w:t>h</w:t>
                  </w:r>
                </w:p>
              </w:tc>
              <w:tc>
                <w:tcPr>
                  <w:tcW w:w="847" w:type="dxa"/>
                  <w:vMerge w:val="restart"/>
                  <w:tcBorders>
                    <w:tl2br w:val="nil"/>
                    <w:tr2bl w:val="nil"/>
                  </w:tcBorders>
                  <w:vAlign w:val="center"/>
                </w:tcPr>
                <w:p>
                  <w:pPr>
                    <w:pStyle w:val="30"/>
                    <w:bidi w:val="0"/>
                    <w:rPr>
                      <w:rFonts w:hint="default"/>
                      <w:lang w:val="en-US" w:eastAsia="zh-CN"/>
                    </w:rPr>
                  </w:pPr>
                  <w:r>
                    <w:rPr>
                      <w:rFonts w:hint="eastAsia"/>
                      <w:lang w:val="en-US" w:eastAsia="zh-CN"/>
                    </w:rPr>
                    <w:t>20</w:t>
                  </w:r>
                </w:p>
              </w:tc>
              <w:tc>
                <w:tcPr>
                  <w:tcW w:w="848" w:type="dxa"/>
                  <w:tcBorders>
                    <w:tl2br w:val="nil"/>
                    <w:tr2bl w:val="nil"/>
                  </w:tcBorders>
                  <w:vAlign w:val="center"/>
                </w:tcPr>
                <w:p>
                  <w:pPr>
                    <w:pStyle w:val="30"/>
                    <w:bidi w:val="0"/>
                    <w:rPr>
                      <w:rFonts w:hint="default"/>
                      <w:lang w:val="en-US" w:eastAsia="zh-CN"/>
                    </w:rPr>
                  </w:pPr>
                  <w:r>
                    <w:rPr>
                      <w:rFonts w:hint="eastAsia"/>
                      <w:lang w:val="en-US" w:eastAsia="zh-CN"/>
                    </w:rPr>
                    <w:t>12</w:t>
                  </w:r>
                </w:p>
              </w:tc>
              <w:tc>
                <w:tcPr>
                  <w:tcW w:w="439" w:type="dxa"/>
                  <w:tcBorders>
                    <w:tl2br w:val="nil"/>
                    <w:tr2bl w:val="nil"/>
                  </w:tcBorders>
                  <w:vAlign w:val="center"/>
                </w:tcPr>
                <w:p>
                  <w:pPr>
                    <w:pStyle w:val="30"/>
                    <w:bidi w:val="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8" w:type="dxa"/>
                  <w:vMerge w:val="continue"/>
                  <w:tcBorders>
                    <w:tl2br w:val="nil"/>
                    <w:tr2bl w:val="nil"/>
                  </w:tcBorders>
                  <w:vAlign w:val="center"/>
                </w:tcPr>
                <w:p>
                  <w:pPr>
                    <w:pStyle w:val="30"/>
                    <w:bidi w:val="0"/>
                    <w:rPr>
                      <w:rFonts w:hint="default"/>
                    </w:rPr>
                  </w:pPr>
                </w:p>
              </w:tc>
              <w:tc>
                <w:tcPr>
                  <w:tcW w:w="438" w:type="dxa"/>
                  <w:vMerge w:val="continue"/>
                  <w:tcBorders>
                    <w:tl2br w:val="nil"/>
                    <w:tr2bl w:val="nil"/>
                  </w:tcBorders>
                  <w:shd w:val="clear" w:color="auto" w:fill="auto"/>
                  <w:vAlign w:val="center"/>
                </w:tcPr>
                <w:p>
                  <w:pPr>
                    <w:pStyle w:val="30"/>
                    <w:bidi w:val="0"/>
                    <w:rPr>
                      <w:rFonts w:hint="default"/>
                    </w:rPr>
                  </w:pPr>
                </w:p>
              </w:tc>
              <w:tc>
                <w:tcPr>
                  <w:tcW w:w="1461" w:type="dxa"/>
                  <w:vMerge w:val="continue"/>
                  <w:tcBorders>
                    <w:tl2br w:val="nil"/>
                    <w:tr2bl w:val="nil"/>
                  </w:tcBorders>
                  <w:vAlign w:val="center"/>
                </w:tcPr>
                <w:p>
                  <w:pPr>
                    <w:pStyle w:val="30"/>
                    <w:bidi w:val="0"/>
                    <w:rPr>
                      <w:rFonts w:hint="default"/>
                    </w:rPr>
                  </w:pPr>
                </w:p>
              </w:tc>
              <w:tc>
                <w:tcPr>
                  <w:tcW w:w="528" w:type="dxa"/>
                  <w:vMerge w:val="continue"/>
                  <w:tcBorders>
                    <w:tl2br w:val="nil"/>
                    <w:tr2bl w:val="nil"/>
                  </w:tcBorders>
                  <w:vAlign w:val="center"/>
                </w:tcPr>
                <w:p>
                  <w:pPr>
                    <w:pStyle w:val="30"/>
                    <w:bidi w:val="0"/>
                    <w:rPr>
                      <w:rFonts w:hint="default"/>
                    </w:rPr>
                  </w:pPr>
                </w:p>
              </w:tc>
              <w:tc>
                <w:tcPr>
                  <w:tcW w:w="514" w:type="dxa"/>
                  <w:vMerge w:val="continue"/>
                  <w:tcBorders>
                    <w:tl2br w:val="nil"/>
                    <w:tr2bl w:val="nil"/>
                  </w:tcBorders>
                  <w:vAlign w:val="center"/>
                </w:tcPr>
                <w:p>
                  <w:pPr>
                    <w:pStyle w:val="30"/>
                    <w:bidi w:val="0"/>
                    <w:rPr>
                      <w:rFonts w:hint="default"/>
                    </w:rPr>
                  </w:pPr>
                </w:p>
              </w:tc>
              <w:tc>
                <w:tcPr>
                  <w:tcW w:w="438" w:type="dxa"/>
                  <w:vMerge w:val="continue"/>
                  <w:tcBorders>
                    <w:tl2br w:val="nil"/>
                    <w:tr2bl w:val="nil"/>
                  </w:tcBorders>
                  <w:vAlign w:val="center"/>
                </w:tcPr>
                <w:p>
                  <w:pPr>
                    <w:pStyle w:val="30"/>
                    <w:bidi w:val="0"/>
                    <w:rPr>
                      <w:rFonts w:hint="default"/>
                    </w:rPr>
                  </w:pPr>
                </w:p>
              </w:tc>
              <w:tc>
                <w:tcPr>
                  <w:tcW w:w="351" w:type="dxa"/>
                  <w:vMerge w:val="continue"/>
                  <w:tcBorders>
                    <w:tl2br w:val="nil"/>
                    <w:tr2bl w:val="nil"/>
                  </w:tcBorders>
                  <w:vAlign w:val="center"/>
                </w:tcPr>
                <w:p>
                  <w:pPr>
                    <w:pStyle w:val="30"/>
                    <w:bidi w:val="0"/>
                    <w:rPr>
                      <w:rFonts w:hint="default"/>
                    </w:rPr>
                  </w:pPr>
                </w:p>
              </w:tc>
              <w:tc>
                <w:tcPr>
                  <w:tcW w:w="438" w:type="dxa"/>
                  <w:tcBorders>
                    <w:tl2br w:val="nil"/>
                    <w:tr2bl w:val="nil"/>
                  </w:tcBorders>
                  <w:vAlign w:val="center"/>
                </w:tcPr>
                <w:p>
                  <w:pPr>
                    <w:pStyle w:val="30"/>
                    <w:bidi w:val="0"/>
                    <w:rPr>
                      <w:rFonts w:hint="default"/>
                    </w:rPr>
                  </w:pPr>
                  <w:r>
                    <w:rPr>
                      <w:rFonts w:hint="default"/>
                    </w:rPr>
                    <w:t>南</w:t>
                  </w:r>
                </w:p>
              </w:tc>
              <w:tc>
                <w:tcPr>
                  <w:tcW w:w="549" w:type="dxa"/>
                  <w:tcBorders>
                    <w:tl2br w:val="nil"/>
                    <w:tr2bl w:val="nil"/>
                  </w:tcBorders>
                  <w:vAlign w:val="center"/>
                </w:tcPr>
                <w:p>
                  <w:pPr>
                    <w:pStyle w:val="30"/>
                    <w:bidi w:val="0"/>
                    <w:rPr>
                      <w:rFonts w:hint="default"/>
                      <w:lang w:val="en-US" w:eastAsia="zh-CN"/>
                    </w:rPr>
                  </w:pPr>
                  <w:r>
                    <w:rPr>
                      <w:rFonts w:hint="eastAsia"/>
                      <w:lang w:val="en-US" w:eastAsia="zh-CN"/>
                    </w:rPr>
                    <w:t>10</w:t>
                  </w:r>
                </w:p>
              </w:tc>
              <w:tc>
                <w:tcPr>
                  <w:tcW w:w="847" w:type="dxa"/>
                  <w:tcBorders>
                    <w:tl2br w:val="nil"/>
                    <w:tr2bl w:val="nil"/>
                  </w:tcBorders>
                  <w:vAlign w:val="center"/>
                </w:tcPr>
                <w:p>
                  <w:pPr>
                    <w:pStyle w:val="30"/>
                    <w:bidi w:val="0"/>
                    <w:rPr>
                      <w:rFonts w:hint="default"/>
                      <w:lang w:val="en-US" w:eastAsia="zh-CN"/>
                    </w:rPr>
                  </w:pPr>
                  <w:r>
                    <w:rPr>
                      <w:rFonts w:hint="eastAsia"/>
                      <w:lang w:val="en-US" w:eastAsia="zh-CN"/>
                    </w:rPr>
                    <w:t>55</w:t>
                  </w:r>
                </w:p>
              </w:tc>
              <w:tc>
                <w:tcPr>
                  <w:tcW w:w="549" w:type="dxa"/>
                  <w:vMerge w:val="continue"/>
                  <w:tcBorders>
                    <w:tl2br w:val="nil"/>
                    <w:tr2bl w:val="nil"/>
                  </w:tcBorders>
                  <w:vAlign w:val="center"/>
                </w:tcPr>
                <w:p>
                  <w:pPr>
                    <w:pStyle w:val="30"/>
                    <w:bidi w:val="0"/>
                    <w:rPr>
                      <w:rFonts w:hint="default"/>
                    </w:rPr>
                  </w:pPr>
                </w:p>
              </w:tc>
              <w:tc>
                <w:tcPr>
                  <w:tcW w:w="847" w:type="dxa"/>
                  <w:vMerge w:val="continue"/>
                  <w:tcBorders>
                    <w:tl2br w:val="nil"/>
                    <w:tr2bl w:val="nil"/>
                  </w:tcBorders>
                  <w:vAlign w:val="center"/>
                </w:tcPr>
                <w:p>
                  <w:pPr>
                    <w:pStyle w:val="30"/>
                    <w:bidi w:val="0"/>
                    <w:rPr>
                      <w:rFonts w:hint="default"/>
                    </w:rPr>
                  </w:pPr>
                </w:p>
              </w:tc>
              <w:tc>
                <w:tcPr>
                  <w:tcW w:w="848" w:type="dxa"/>
                  <w:tcBorders>
                    <w:tl2br w:val="nil"/>
                    <w:tr2bl w:val="nil"/>
                  </w:tcBorders>
                  <w:vAlign w:val="center"/>
                </w:tcPr>
                <w:p>
                  <w:pPr>
                    <w:pStyle w:val="30"/>
                    <w:bidi w:val="0"/>
                    <w:rPr>
                      <w:rFonts w:hint="default"/>
                      <w:lang w:val="en-US" w:eastAsia="zh-CN"/>
                    </w:rPr>
                  </w:pPr>
                  <w:r>
                    <w:rPr>
                      <w:rFonts w:hint="eastAsia"/>
                      <w:lang w:val="en-US" w:eastAsia="zh-CN"/>
                    </w:rPr>
                    <w:t>35</w:t>
                  </w:r>
                </w:p>
              </w:tc>
              <w:tc>
                <w:tcPr>
                  <w:tcW w:w="439" w:type="dxa"/>
                  <w:tcBorders>
                    <w:tl2br w:val="nil"/>
                    <w:tr2bl w:val="nil"/>
                  </w:tcBorders>
                  <w:vAlign w:val="center"/>
                </w:tcPr>
                <w:p>
                  <w:pPr>
                    <w:pStyle w:val="30"/>
                    <w:bidi w:val="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8" w:type="dxa"/>
                  <w:vMerge w:val="continue"/>
                  <w:tcBorders>
                    <w:tl2br w:val="nil"/>
                    <w:tr2bl w:val="nil"/>
                  </w:tcBorders>
                  <w:vAlign w:val="center"/>
                </w:tcPr>
                <w:p>
                  <w:pPr>
                    <w:pStyle w:val="30"/>
                    <w:bidi w:val="0"/>
                    <w:rPr>
                      <w:rFonts w:hint="default"/>
                    </w:rPr>
                  </w:pPr>
                </w:p>
              </w:tc>
              <w:tc>
                <w:tcPr>
                  <w:tcW w:w="438" w:type="dxa"/>
                  <w:vMerge w:val="continue"/>
                  <w:tcBorders>
                    <w:tl2br w:val="nil"/>
                    <w:tr2bl w:val="nil"/>
                  </w:tcBorders>
                  <w:shd w:val="clear" w:color="auto" w:fill="auto"/>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p>
              </w:tc>
              <w:tc>
                <w:tcPr>
                  <w:tcW w:w="1461" w:type="dxa"/>
                  <w:vMerge w:val="continue"/>
                  <w:tcBorders>
                    <w:tl2br w:val="nil"/>
                    <w:tr2bl w:val="nil"/>
                  </w:tcBorders>
                  <w:vAlign w:val="center"/>
                </w:tcPr>
                <w:p>
                  <w:pPr>
                    <w:pStyle w:val="30"/>
                    <w:bidi w:val="0"/>
                    <w:rPr>
                      <w:rFonts w:hint="default"/>
                    </w:rPr>
                  </w:pPr>
                </w:p>
              </w:tc>
              <w:tc>
                <w:tcPr>
                  <w:tcW w:w="528" w:type="dxa"/>
                  <w:vMerge w:val="continue"/>
                  <w:tcBorders>
                    <w:tl2br w:val="nil"/>
                    <w:tr2bl w:val="nil"/>
                  </w:tcBorders>
                  <w:vAlign w:val="center"/>
                </w:tcPr>
                <w:p>
                  <w:pPr>
                    <w:pStyle w:val="30"/>
                    <w:bidi w:val="0"/>
                    <w:rPr>
                      <w:rFonts w:hint="default"/>
                    </w:rPr>
                  </w:pPr>
                </w:p>
              </w:tc>
              <w:tc>
                <w:tcPr>
                  <w:tcW w:w="514" w:type="dxa"/>
                  <w:vMerge w:val="continue"/>
                  <w:tcBorders>
                    <w:tl2br w:val="nil"/>
                    <w:tr2bl w:val="nil"/>
                  </w:tcBorders>
                  <w:vAlign w:val="center"/>
                </w:tcPr>
                <w:p>
                  <w:pPr>
                    <w:pStyle w:val="30"/>
                    <w:bidi w:val="0"/>
                    <w:rPr>
                      <w:rFonts w:hint="default"/>
                    </w:rPr>
                  </w:pPr>
                </w:p>
              </w:tc>
              <w:tc>
                <w:tcPr>
                  <w:tcW w:w="438" w:type="dxa"/>
                  <w:vMerge w:val="continue"/>
                  <w:tcBorders>
                    <w:tl2br w:val="nil"/>
                    <w:tr2bl w:val="nil"/>
                  </w:tcBorders>
                  <w:vAlign w:val="center"/>
                </w:tcPr>
                <w:p>
                  <w:pPr>
                    <w:pStyle w:val="30"/>
                    <w:bidi w:val="0"/>
                    <w:rPr>
                      <w:rFonts w:hint="default"/>
                    </w:rPr>
                  </w:pPr>
                </w:p>
              </w:tc>
              <w:tc>
                <w:tcPr>
                  <w:tcW w:w="351" w:type="dxa"/>
                  <w:vMerge w:val="continue"/>
                  <w:tcBorders>
                    <w:tl2br w:val="nil"/>
                    <w:tr2bl w:val="nil"/>
                  </w:tcBorders>
                  <w:vAlign w:val="center"/>
                </w:tcPr>
                <w:p>
                  <w:pPr>
                    <w:pStyle w:val="30"/>
                    <w:bidi w:val="0"/>
                    <w:rPr>
                      <w:rFonts w:hint="default"/>
                    </w:rPr>
                  </w:pPr>
                </w:p>
              </w:tc>
              <w:tc>
                <w:tcPr>
                  <w:tcW w:w="438" w:type="dxa"/>
                  <w:tcBorders>
                    <w:tl2br w:val="nil"/>
                    <w:tr2bl w:val="nil"/>
                  </w:tcBorders>
                  <w:vAlign w:val="center"/>
                </w:tcPr>
                <w:p>
                  <w:pPr>
                    <w:pStyle w:val="30"/>
                    <w:bidi w:val="0"/>
                    <w:rPr>
                      <w:rFonts w:hint="default"/>
                    </w:rPr>
                  </w:pPr>
                  <w:r>
                    <w:rPr>
                      <w:rFonts w:hint="default"/>
                    </w:rPr>
                    <w:t>西</w:t>
                  </w:r>
                </w:p>
              </w:tc>
              <w:tc>
                <w:tcPr>
                  <w:tcW w:w="549" w:type="dxa"/>
                  <w:tcBorders>
                    <w:tl2br w:val="nil"/>
                    <w:tr2bl w:val="nil"/>
                  </w:tcBorders>
                  <w:vAlign w:val="center"/>
                </w:tcPr>
                <w:p>
                  <w:pPr>
                    <w:pStyle w:val="30"/>
                    <w:bidi w:val="0"/>
                    <w:rPr>
                      <w:rFonts w:hint="default"/>
                      <w:lang w:val="en-US" w:eastAsia="zh-CN"/>
                    </w:rPr>
                  </w:pPr>
                  <w:r>
                    <w:rPr>
                      <w:rFonts w:hint="eastAsia"/>
                      <w:lang w:val="en-US" w:eastAsia="zh-CN"/>
                    </w:rPr>
                    <w:t>25</w:t>
                  </w:r>
                </w:p>
              </w:tc>
              <w:tc>
                <w:tcPr>
                  <w:tcW w:w="847" w:type="dxa"/>
                  <w:tcBorders>
                    <w:tl2br w:val="nil"/>
                    <w:tr2bl w:val="nil"/>
                  </w:tcBorders>
                  <w:vAlign w:val="center"/>
                </w:tcPr>
                <w:p>
                  <w:pPr>
                    <w:pStyle w:val="30"/>
                    <w:bidi w:val="0"/>
                    <w:rPr>
                      <w:rFonts w:hint="default"/>
                      <w:lang w:val="en-US" w:eastAsia="zh-CN"/>
                    </w:rPr>
                  </w:pPr>
                  <w:r>
                    <w:rPr>
                      <w:rFonts w:hint="eastAsia"/>
                      <w:lang w:val="en-US" w:eastAsia="zh-CN"/>
                    </w:rPr>
                    <w:t>47</w:t>
                  </w:r>
                </w:p>
              </w:tc>
              <w:tc>
                <w:tcPr>
                  <w:tcW w:w="549" w:type="dxa"/>
                  <w:vMerge w:val="continue"/>
                  <w:tcBorders>
                    <w:tl2br w:val="nil"/>
                    <w:tr2bl w:val="nil"/>
                  </w:tcBorders>
                  <w:vAlign w:val="center"/>
                </w:tcPr>
                <w:p>
                  <w:pPr>
                    <w:pStyle w:val="30"/>
                    <w:bidi w:val="0"/>
                    <w:rPr>
                      <w:rFonts w:hint="default"/>
                    </w:rPr>
                  </w:pPr>
                </w:p>
              </w:tc>
              <w:tc>
                <w:tcPr>
                  <w:tcW w:w="847" w:type="dxa"/>
                  <w:vMerge w:val="continue"/>
                  <w:tcBorders>
                    <w:tl2br w:val="nil"/>
                    <w:tr2bl w:val="nil"/>
                  </w:tcBorders>
                  <w:vAlign w:val="center"/>
                </w:tcPr>
                <w:p>
                  <w:pPr>
                    <w:pStyle w:val="30"/>
                    <w:bidi w:val="0"/>
                    <w:rPr>
                      <w:rFonts w:hint="default"/>
                    </w:rPr>
                  </w:pPr>
                </w:p>
              </w:tc>
              <w:tc>
                <w:tcPr>
                  <w:tcW w:w="848" w:type="dxa"/>
                  <w:tcBorders>
                    <w:tl2br w:val="nil"/>
                    <w:tr2bl w:val="nil"/>
                  </w:tcBorders>
                  <w:vAlign w:val="center"/>
                </w:tcPr>
                <w:p>
                  <w:pPr>
                    <w:pStyle w:val="30"/>
                    <w:bidi w:val="0"/>
                    <w:rPr>
                      <w:rFonts w:hint="default"/>
                      <w:lang w:val="en-US" w:eastAsia="zh-CN"/>
                    </w:rPr>
                  </w:pPr>
                  <w:r>
                    <w:rPr>
                      <w:rFonts w:hint="eastAsia"/>
                      <w:lang w:val="en-US" w:eastAsia="zh-CN"/>
                    </w:rPr>
                    <w:t>27</w:t>
                  </w:r>
                </w:p>
              </w:tc>
              <w:tc>
                <w:tcPr>
                  <w:tcW w:w="439" w:type="dxa"/>
                  <w:tcBorders>
                    <w:tl2br w:val="nil"/>
                    <w:tr2bl w:val="nil"/>
                  </w:tcBorders>
                  <w:vAlign w:val="center"/>
                </w:tcPr>
                <w:p>
                  <w:pPr>
                    <w:pStyle w:val="30"/>
                    <w:bidi w:val="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8" w:type="dxa"/>
                  <w:vMerge w:val="continue"/>
                  <w:tcBorders>
                    <w:tl2br w:val="nil"/>
                    <w:tr2bl w:val="nil"/>
                  </w:tcBorders>
                  <w:vAlign w:val="center"/>
                </w:tcPr>
                <w:p>
                  <w:pPr>
                    <w:pStyle w:val="30"/>
                    <w:bidi w:val="0"/>
                    <w:rPr>
                      <w:rFonts w:hint="default"/>
                    </w:rPr>
                  </w:pPr>
                </w:p>
              </w:tc>
              <w:tc>
                <w:tcPr>
                  <w:tcW w:w="438" w:type="dxa"/>
                  <w:vMerge w:val="continue"/>
                  <w:tcBorders>
                    <w:tl2br w:val="nil"/>
                    <w:tr2bl w:val="nil"/>
                  </w:tcBorders>
                  <w:vAlign w:val="center"/>
                </w:tcPr>
                <w:p>
                  <w:pPr>
                    <w:pStyle w:val="30"/>
                    <w:bidi w:val="0"/>
                    <w:rPr>
                      <w:rFonts w:hint="default"/>
                    </w:rPr>
                  </w:pPr>
                </w:p>
              </w:tc>
              <w:tc>
                <w:tcPr>
                  <w:tcW w:w="1461" w:type="dxa"/>
                  <w:vMerge w:val="continue"/>
                  <w:tcBorders>
                    <w:tl2br w:val="nil"/>
                    <w:tr2bl w:val="nil"/>
                  </w:tcBorders>
                  <w:vAlign w:val="center"/>
                </w:tcPr>
                <w:p>
                  <w:pPr>
                    <w:pStyle w:val="30"/>
                    <w:bidi w:val="0"/>
                    <w:rPr>
                      <w:rFonts w:hint="default"/>
                    </w:rPr>
                  </w:pPr>
                </w:p>
              </w:tc>
              <w:tc>
                <w:tcPr>
                  <w:tcW w:w="528" w:type="dxa"/>
                  <w:vMerge w:val="continue"/>
                  <w:tcBorders>
                    <w:tl2br w:val="nil"/>
                    <w:tr2bl w:val="nil"/>
                  </w:tcBorders>
                  <w:vAlign w:val="center"/>
                </w:tcPr>
                <w:p>
                  <w:pPr>
                    <w:pStyle w:val="30"/>
                    <w:bidi w:val="0"/>
                    <w:rPr>
                      <w:rFonts w:hint="default"/>
                    </w:rPr>
                  </w:pPr>
                </w:p>
              </w:tc>
              <w:tc>
                <w:tcPr>
                  <w:tcW w:w="514" w:type="dxa"/>
                  <w:vMerge w:val="continue"/>
                  <w:tcBorders>
                    <w:tl2br w:val="nil"/>
                    <w:tr2bl w:val="nil"/>
                  </w:tcBorders>
                  <w:vAlign w:val="center"/>
                </w:tcPr>
                <w:p>
                  <w:pPr>
                    <w:pStyle w:val="30"/>
                    <w:bidi w:val="0"/>
                    <w:rPr>
                      <w:rFonts w:hint="default"/>
                    </w:rPr>
                  </w:pPr>
                </w:p>
              </w:tc>
              <w:tc>
                <w:tcPr>
                  <w:tcW w:w="438" w:type="dxa"/>
                  <w:vMerge w:val="continue"/>
                  <w:tcBorders>
                    <w:tl2br w:val="nil"/>
                    <w:tr2bl w:val="nil"/>
                  </w:tcBorders>
                  <w:vAlign w:val="center"/>
                </w:tcPr>
                <w:p>
                  <w:pPr>
                    <w:pStyle w:val="30"/>
                    <w:bidi w:val="0"/>
                    <w:rPr>
                      <w:rFonts w:hint="default"/>
                    </w:rPr>
                  </w:pPr>
                </w:p>
              </w:tc>
              <w:tc>
                <w:tcPr>
                  <w:tcW w:w="351" w:type="dxa"/>
                  <w:vMerge w:val="continue"/>
                  <w:tcBorders>
                    <w:tl2br w:val="nil"/>
                    <w:tr2bl w:val="nil"/>
                  </w:tcBorders>
                  <w:vAlign w:val="center"/>
                </w:tcPr>
                <w:p>
                  <w:pPr>
                    <w:pStyle w:val="30"/>
                    <w:bidi w:val="0"/>
                    <w:rPr>
                      <w:rFonts w:hint="default"/>
                    </w:rPr>
                  </w:pPr>
                </w:p>
              </w:tc>
              <w:tc>
                <w:tcPr>
                  <w:tcW w:w="438" w:type="dxa"/>
                  <w:tcBorders>
                    <w:tl2br w:val="nil"/>
                    <w:tr2bl w:val="nil"/>
                  </w:tcBorders>
                  <w:vAlign w:val="center"/>
                </w:tcPr>
                <w:p>
                  <w:pPr>
                    <w:pStyle w:val="30"/>
                    <w:bidi w:val="0"/>
                    <w:rPr>
                      <w:rFonts w:hint="default"/>
                    </w:rPr>
                  </w:pPr>
                  <w:r>
                    <w:rPr>
                      <w:rFonts w:hint="default"/>
                    </w:rPr>
                    <w:t>北</w:t>
                  </w:r>
                </w:p>
              </w:tc>
              <w:tc>
                <w:tcPr>
                  <w:tcW w:w="549" w:type="dxa"/>
                  <w:tcBorders>
                    <w:tl2br w:val="nil"/>
                    <w:tr2bl w:val="nil"/>
                  </w:tcBorders>
                  <w:vAlign w:val="center"/>
                </w:tcPr>
                <w:p>
                  <w:pPr>
                    <w:pStyle w:val="30"/>
                    <w:bidi w:val="0"/>
                    <w:rPr>
                      <w:rFonts w:hint="default"/>
                      <w:lang w:val="en-US" w:eastAsia="zh-CN"/>
                    </w:rPr>
                  </w:pPr>
                  <w:r>
                    <w:rPr>
                      <w:rFonts w:hint="eastAsia"/>
                      <w:lang w:val="en-US" w:eastAsia="zh-CN"/>
                    </w:rPr>
                    <w:t>70</w:t>
                  </w:r>
                </w:p>
              </w:tc>
              <w:tc>
                <w:tcPr>
                  <w:tcW w:w="847" w:type="dxa"/>
                  <w:tcBorders>
                    <w:tl2br w:val="nil"/>
                    <w:tr2bl w:val="nil"/>
                  </w:tcBorders>
                  <w:vAlign w:val="center"/>
                </w:tcPr>
                <w:p>
                  <w:pPr>
                    <w:pStyle w:val="30"/>
                    <w:bidi w:val="0"/>
                    <w:rPr>
                      <w:rFonts w:hint="default"/>
                      <w:lang w:val="en-US" w:eastAsia="zh-CN"/>
                    </w:rPr>
                  </w:pPr>
                  <w:r>
                    <w:rPr>
                      <w:rFonts w:hint="eastAsia"/>
                      <w:lang w:val="en-US" w:eastAsia="zh-CN"/>
                    </w:rPr>
                    <w:t>38</w:t>
                  </w:r>
                </w:p>
              </w:tc>
              <w:tc>
                <w:tcPr>
                  <w:tcW w:w="549" w:type="dxa"/>
                  <w:vMerge w:val="continue"/>
                  <w:tcBorders>
                    <w:tl2br w:val="nil"/>
                    <w:tr2bl w:val="nil"/>
                  </w:tcBorders>
                  <w:vAlign w:val="center"/>
                </w:tcPr>
                <w:p>
                  <w:pPr>
                    <w:pStyle w:val="30"/>
                    <w:bidi w:val="0"/>
                    <w:rPr>
                      <w:rFonts w:hint="default"/>
                    </w:rPr>
                  </w:pPr>
                </w:p>
              </w:tc>
              <w:tc>
                <w:tcPr>
                  <w:tcW w:w="847" w:type="dxa"/>
                  <w:vMerge w:val="continue"/>
                  <w:tcBorders>
                    <w:tl2br w:val="nil"/>
                    <w:tr2bl w:val="nil"/>
                  </w:tcBorders>
                  <w:vAlign w:val="center"/>
                </w:tcPr>
                <w:p>
                  <w:pPr>
                    <w:pStyle w:val="30"/>
                    <w:bidi w:val="0"/>
                    <w:rPr>
                      <w:rFonts w:hint="default"/>
                    </w:rPr>
                  </w:pPr>
                </w:p>
              </w:tc>
              <w:tc>
                <w:tcPr>
                  <w:tcW w:w="848" w:type="dxa"/>
                  <w:tcBorders>
                    <w:tl2br w:val="nil"/>
                    <w:tr2bl w:val="nil"/>
                  </w:tcBorders>
                  <w:vAlign w:val="center"/>
                </w:tcPr>
                <w:p>
                  <w:pPr>
                    <w:pStyle w:val="30"/>
                    <w:bidi w:val="0"/>
                    <w:rPr>
                      <w:rFonts w:hint="default"/>
                      <w:lang w:val="en-US" w:eastAsia="zh-CN"/>
                    </w:rPr>
                  </w:pPr>
                  <w:r>
                    <w:rPr>
                      <w:rFonts w:hint="eastAsia"/>
                      <w:lang w:val="en-US" w:eastAsia="zh-CN"/>
                    </w:rPr>
                    <w:t>18</w:t>
                  </w:r>
                </w:p>
              </w:tc>
              <w:tc>
                <w:tcPr>
                  <w:tcW w:w="439" w:type="dxa"/>
                  <w:tcBorders>
                    <w:tl2br w:val="nil"/>
                    <w:tr2bl w:val="nil"/>
                  </w:tcBorders>
                  <w:vAlign w:val="center"/>
                </w:tcPr>
                <w:p>
                  <w:pPr>
                    <w:pStyle w:val="30"/>
                    <w:bidi w:val="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8" w:type="dxa"/>
                  <w:vMerge w:val="restart"/>
                  <w:tcBorders>
                    <w:tl2br w:val="nil"/>
                    <w:tr2bl w:val="nil"/>
                  </w:tcBorders>
                  <w:vAlign w:val="center"/>
                </w:tcPr>
                <w:p>
                  <w:pPr>
                    <w:pStyle w:val="30"/>
                    <w:bidi w:val="0"/>
                    <w:rPr>
                      <w:rFonts w:hint="eastAsia" w:eastAsia="宋体"/>
                      <w:lang w:eastAsia="zh-CN"/>
                    </w:rPr>
                  </w:pPr>
                  <w:r>
                    <w:rPr>
                      <w:rFonts w:hint="eastAsia"/>
                      <w:lang w:val="en-US" w:eastAsia="zh-CN"/>
                    </w:rPr>
                    <w:t>2</w:t>
                  </w:r>
                </w:p>
              </w:tc>
              <w:tc>
                <w:tcPr>
                  <w:tcW w:w="438" w:type="dxa"/>
                  <w:vMerge w:val="restart"/>
                  <w:tcBorders>
                    <w:tl2br w:val="nil"/>
                    <w:tr2bl w:val="nil"/>
                  </w:tcBorders>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空调机</w:t>
                  </w:r>
                </w:p>
                <w:p>
                  <w:pPr>
                    <w:pStyle w:val="30"/>
                    <w:bidi w:val="0"/>
                    <w:rPr>
                      <w:rFonts w:hint="default"/>
                    </w:rPr>
                  </w:pPr>
                </w:p>
              </w:tc>
              <w:tc>
                <w:tcPr>
                  <w:tcW w:w="1461" w:type="dxa"/>
                  <w:vMerge w:val="restart"/>
                  <w:tcBorders>
                    <w:tl2br w:val="nil"/>
                    <w:tr2bl w:val="nil"/>
                  </w:tcBorders>
                  <w:vAlign w:val="center"/>
                </w:tcPr>
                <w:p>
                  <w:pPr>
                    <w:pStyle w:val="30"/>
                    <w:bidi w:val="0"/>
                    <w:rPr>
                      <w:rFonts w:hint="eastAsia" w:eastAsia="宋体"/>
                      <w:lang w:val="en-US" w:eastAsia="zh-CN"/>
                    </w:rPr>
                  </w:pPr>
                  <w:r>
                    <w:rPr>
                      <w:rFonts w:hint="eastAsia"/>
                      <w:lang w:val="en-US" w:eastAsia="zh-CN"/>
                    </w:rPr>
                    <w:t>65</w:t>
                  </w:r>
                  <w:r>
                    <w:rPr>
                      <w:rFonts w:hint="default"/>
                    </w:rPr>
                    <w:t>/</w:t>
                  </w:r>
                  <w:r>
                    <w:rPr>
                      <w:rFonts w:hint="eastAsia"/>
                      <w:lang w:val="en-US" w:eastAsia="zh-CN"/>
                    </w:rPr>
                    <w:t>1</w:t>
                  </w:r>
                </w:p>
              </w:tc>
              <w:tc>
                <w:tcPr>
                  <w:tcW w:w="528" w:type="dxa"/>
                  <w:vMerge w:val="continue"/>
                  <w:tcBorders>
                    <w:tl2br w:val="nil"/>
                    <w:tr2bl w:val="nil"/>
                  </w:tcBorders>
                  <w:vAlign w:val="center"/>
                </w:tcPr>
                <w:p>
                  <w:pPr>
                    <w:pStyle w:val="30"/>
                    <w:bidi w:val="0"/>
                    <w:rPr>
                      <w:rFonts w:hint="eastAsia"/>
                      <w:lang w:eastAsia="zh-CN"/>
                    </w:rPr>
                  </w:pPr>
                </w:p>
              </w:tc>
              <w:tc>
                <w:tcPr>
                  <w:tcW w:w="514" w:type="dxa"/>
                  <w:vMerge w:val="restart"/>
                  <w:tcBorders>
                    <w:tl2br w:val="nil"/>
                    <w:tr2bl w:val="nil"/>
                  </w:tcBorders>
                  <w:shd w:val="clear" w:color="auto" w:fill="auto"/>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-8</w:t>
                  </w:r>
                </w:p>
              </w:tc>
              <w:tc>
                <w:tcPr>
                  <w:tcW w:w="438" w:type="dxa"/>
                  <w:vMerge w:val="restart"/>
                  <w:tcBorders>
                    <w:tl2br w:val="nil"/>
                    <w:tr2bl w:val="nil"/>
                  </w:tcBorders>
                  <w:shd w:val="clear" w:color="auto" w:fill="auto"/>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-6</w:t>
                  </w:r>
                </w:p>
              </w:tc>
              <w:tc>
                <w:tcPr>
                  <w:tcW w:w="351" w:type="dxa"/>
                  <w:vMerge w:val="restart"/>
                  <w:tcBorders>
                    <w:tl2br w:val="nil"/>
                    <w:tr2bl w:val="nil"/>
                  </w:tcBorders>
                  <w:vAlign w:val="center"/>
                </w:tcPr>
                <w:p>
                  <w:pPr>
                    <w:pStyle w:val="30"/>
                    <w:bidi w:val="0"/>
                    <w:rPr>
                      <w:rFonts w:hint="eastAsia" w:eastAsia="宋体"/>
                      <w:lang w:eastAsia="zh-CN"/>
                    </w:rPr>
                  </w:pPr>
                  <w:r>
                    <w:rPr>
                      <w:rFonts w:hint="eastAsia"/>
                      <w:lang w:val="en-US" w:eastAsia="zh-CN"/>
                    </w:rPr>
                    <w:t>0</w:t>
                  </w:r>
                </w:p>
              </w:tc>
              <w:tc>
                <w:tcPr>
                  <w:tcW w:w="438" w:type="dxa"/>
                  <w:tcBorders>
                    <w:tl2br w:val="nil"/>
                    <w:tr2bl w:val="nil"/>
                  </w:tcBorders>
                  <w:vAlign w:val="center"/>
                </w:tcPr>
                <w:p>
                  <w:pPr>
                    <w:pStyle w:val="30"/>
                    <w:bidi w:val="0"/>
                    <w:rPr>
                      <w:rFonts w:hint="default"/>
                    </w:rPr>
                  </w:pPr>
                  <w:r>
                    <w:rPr>
                      <w:rFonts w:hint="default"/>
                    </w:rPr>
                    <w:t>东</w:t>
                  </w:r>
                </w:p>
              </w:tc>
              <w:tc>
                <w:tcPr>
                  <w:tcW w:w="549" w:type="dxa"/>
                  <w:tcBorders>
                    <w:tl2br w:val="nil"/>
                    <w:tr2bl w:val="nil"/>
                  </w:tcBorders>
                  <w:vAlign w:val="center"/>
                </w:tcPr>
                <w:p>
                  <w:pPr>
                    <w:pStyle w:val="30"/>
                    <w:bidi w:val="0"/>
                    <w:rPr>
                      <w:rFonts w:hint="default"/>
                      <w:lang w:val="en-US" w:eastAsia="zh-CN"/>
                    </w:rPr>
                  </w:pPr>
                  <w:r>
                    <w:rPr>
                      <w:rFonts w:hint="eastAsia"/>
                      <w:lang w:val="en-US" w:eastAsia="zh-CN"/>
                    </w:rPr>
                    <w:t>100</w:t>
                  </w:r>
                </w:p>
              </w:tc>
              <w:tc>
                <w:tcPr>
                  <w:tcW w:w="847" w:type="dxa"/>
                  <w:tcBorders>
                    <w:tl2br w:val="nil"/>
                    <w:tr2bl w:val="nil"/>
                  </w:tcBorders>
                  <w:vAlign w:val="center"/>
                </w:tcPr>
                <w:p>
                  <w:pPr>
                    <w:pStyle w:val="30"/>
                    <w:bidi w:val="0"/>
                    <w:rPr>
                      <w:rFonts w:hint="default"/>
                      <w:lang w:val="en-US" w:eastAsia="zh-CN"/>
                    </w:rPr>
                  </w:pPr>
                  <w:r>
                    <w:rPr>
                      <w:rFonts w:hint="eastAsia"/>
                      <w:lang w:val="en-US" w:eastAsia="zh-CN"/>
                    </w:rPr>
                    <w:t>25</w:t>
                  </w:r>
                </w:p>
              </w:tc>
              <w:tc>
                <w:tcPr>
                  <w:tcW w:w="549" w:type="dxa"/>
                  <w:vMerge w:val="restart"/>
                  <w:tcBorders>
                    <w:tl2br w:val="nil"/>
                    <w:tr2bl w:val="nil"/>
                  </w:tcBorders>
                  <w:vAlign w:val="center"/>
                </w:tcPr>
                <w:p>
                  <w:pPr>
                    <w:pStyle w:val="30"/>
                    <w:bidi w:val="0"/>
                    <w:rPr>
                      <w:rFonts w:hint="default"/>
                    </w:rPr>
                  </w:pPr>
                  <w:r>
                    <w:rPr>
                      <w:rFonts w:hint="eastAsia"/>
                      <w:lang w:val="en-US" w:eastAsia="zh-CN"/>
                    </w:rPr>
                    <w:t>24</w:t>
                  </w:r>
                  <w:r>
                    <w:rPr>
                      <w:rFonts w:hint="default"/>
                    </w:rPr>
                    <w:t>h</w:t>
                  </w:r>
                </w:p>
              </w:tc>
              <w:tc>
                <w:tcPr>
                  <w:tcW w:w="847" w:type="dxa"/>
                  <w:vMerge w:val="restart"/>
                  <w:tcBorders>
                    <w:tl2br w:val="nil"/>
                    <w:tr2bl w:val="nil"/>
                  </w:tcBorders>
                  <w:vAlign w:val="center"/>
                </w:tcPr>
                <w:p>
                  <w:pPr>
                    <w:pStyle w:val="30"/>
                    <w:bidi w:val="0"/>
                    <w:rPr>
                      <w:rFonts w:hint="default"/>
                      <w:lang w:val="en-US" w:eastAsia="zh-CN"/>
                    </w:rPr>
                  </w:pPr>
                  <w:r>
                    <w:rPr>
                      <w:rFonts w:hint="eastAsia"/>
                      <w:lang w:val="en-US" w:eastAsia="zh-CN"/>
                    </w:rPr>
                    <w:t>20</w:t>
                  </w:r>
                </w:p>
              </w:tc>
              <w:tc>
                <w:tcPr>
                  <w:tcW w:w="848" w:type="dxa"/>
                  <w:tcBorders>
                    <w:tl2br w:val="nil"/>
                    <w:tr2bl w:val="nil"/>
                  </w:tcBorders>
                  <w:vAlign w:val="center"/>
                </w:tcPr>
                <w:p>
                  <w:pPr>
                    <w:pStyle w:val="30"/>
                    <w:bidi w:val="0"/>
                    <w:rPr>
                      <w:rFonts w:hint="default"/>
                      <w:lang w:val="en-US" w:eastAsia="zh-CN"/>
                    </w:rPr>
                  </w:pPr>
                  <w:r>
                    <w:rPr>
                      <w:rFonts w:hint="eastAsia"/>
                      <w:lang w:val="en-US" w:eastAsia="zh-CN"/>
                    </w:rPr>
                    <w:t>5</w:t>
                  </w:r>
                </w:p>
              </w:tc>
              <w:tc>
                <w:tcPr>
                  <w:tcW w:w="439" w:type="dxa"/>
                  <w:tcBorders>
                    <w:tl2br w:val="nil"/>
                    <w:tr2bl w:val="nil"/>
                  </w:tcBorders>
                  <w:vAlign w:val="center"/>
                </w:tcPr>
                <w:p>
                  <w:pPr>
                    <w:pStyle w:val="30"/>
                    <w:bidi w:val="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8" w:type="dxa"/>
                  <w:vMerge w:val="continue"/>
                  <w:tcBorders>
                    <w:tl2br w:val="nil"/>
                    <w:tr2bl w:val="nil"/>
                  </w:tcBorders>
                  <w:vAlign w:val="center"/>
                </w:tcPr>
                <w:p>
                  <w:pPr>
                    <w:pStyle w:val="30"/>
                    <w:bidi w:val="0"/>
                    <w:rPr>
                      <w:rFonts w:hint="default"/>
                    </w:rPr>
                  </w:pPr>
                </w:p>
              </w:tc>
              <w:tc>
                <w:tcPr>
                  <w:tcW w:w="438" w:type="dxa"/>
                  <w:vMerge w:val="continue"/>
                  <w:tcBorders>
                    <w:tl2br w:val="nil"/>
                    <w:tr2bl w:val="nil"/>
                  </w:tcBorders>
                  <w:vAlign w:val="center"/>
                </w:tcPr>
                <w:p>
                  <w:pPr>
                    <w:pStyle w:val="30"/>
                    <w:bidi w:val="0"/>
                    <w:rPr>
                      <w:rFonts w:hint="default"/>
                    </w:rPr>
                  </w:pPr>
                </w:p>
              </w:tc>
              <w:tc>
                <w:tcPr>
                  <w:tcW w:w="1461" w:type="dxa"/>
                  <w:vMerge w:val="continue"/>
                  <w:tcBorders>
                    <w:tl2br w:val="nil"/>
                    <w:tr2bl w:val="nil"/>
                  </w:tcBorders>
                  <w:vAlign w:val="center"/>
                </w:tcPr>
                <w:p>
                  <w:pPr>
                    <w:pStyle w:val="30"/>
                    <w:bidi w:val="0"/>
                    <w:rPr>
                      <w:rFonts w:hint="default"/>
                    </w:rPr>
                  </w:pPr>
                </w:p>
              </w:tc>
              <w:tc>
                <w:tcPr>
                  <w:tcW w:w="528" w:type="dxa"/>
                  <w:vMerge w:val="continue"/>
                  <w:tcBorders>
                    <w:tl2br w:val="nil"/>
                    <w:tr2bl w:val="nil"/>
                  </w:tcBorders>
                  <w:vAlign w:val="center"/>
                </w:tcPr>
                <w:p>
                  <w:pPr>
                    <w:pStyle w:val="30"/>
                    <w:bidi w:val="0"/>
                    <w:rPr>
                      <w:rFonts w:hint="default"/>
                    </w:rPr>
                  </w:pPr>
                </w:p>
              </w:tc>
              <w:tc>
                <w:tcPr>
                  <w:tcW w:w="514" w:type="dxa"/>
                  <w:vMerge w:val="continue"/>
                  <w:tcBorders>
                    <w:tl2br w:val="nil"/>
                    <w:tr2bl w:val="nil"/>
                  </w:tcBorders>
                  <w:vAlign w:val="center"/>
                </w:tcPr>
                <w:p>
                  <w:pPr>
                    <w:pStyle w:val="30"/>
                    <w:bidi w:val="0"/>
                    <w:rPr>
                      <w:rFonts w:hint="default"/>
                    </w:rPr>
                  </w:pPr>
                </w:p>
              </w:tc>
              <w:tc>
                <w:tcPr>
                  <w:tcW w:w="438" w:type="dxa"/>
                  <w:vMerge w:val="continue"/>
                  <w:tcBorders>
                    <w:tl2br w:val="nil"/>
                    <w:tr2bl w:val="nil"/>
                  </w:tcBorders>
                  <w:vAlign w:val="center"/>
                </w:tcPr>
                <w:p>
                  <w:pPr>
                    <w:pStyle w:val="30"/>
                    <w:bidi w:val="0"/>
                    <w:rPr>
                      <w:rFonts w:hint="default"/>
                    </w:rPr>
                  </w:pPr>
                </w:p>
              </w:tc>
              <w:tc>
                <w:tcPr>
                  <w:tcW w:w="351" w:type="dxa"/>
                  <w:vMerge w:val="continue"/>
                  <w:tcBorders>
                    <w:tl2br w:val="nil"/>
                    <w:tr2bl w:val="nil"/>
                  </w:tcBorders>
                  <w:vAlign w:val="center"/>
                </w:tcPr>
                <w:p>
                  <w:pPr>
                    <w:pStyle w:val="30"/>
                    <w:bidi w:val="0"/>
                    <w:rPr>
                      <w:rFonts w:hint="default"/>
                    </w:rPr>
                  </w:pPr>
                </w:p>
              </w:tc>
              <w:tc>
                <w:tcPr>
                  <w:tcW w:w="438" w:type="dxa"/>
                  <w:tcBorders>
                    <w:tl2br w:val="nil"/>
                    <w:tr2bl w:val="nil"/>
                  </w:tcBorders>
                  <w:vAlign w:val="center"/>
                </w:tcPr>
                <w:p>
                  <w:pPr>
                    <w:pStyle w:val="30"/>
                    <w:bidi w:val="0"/>
                    <w:rPr>
                      <w:rFonts w:hint="default"/>
                    </w:rPr>
                  </w:pPr>
                  <w:r>
                    <w:rPr>
                      <w:rFonts w:hint="default"/>
                    </w:rPr>
                    <w:t>南</w:t>
                  </w:r>
                </w:p>
              </w:tc>
              <w:tc>
                <w:tcPr>
                  <w:tcW w:w="549" w:type="dxa"/>
                  <w:tcBorders>
                    <w:tl2br w:val="nil"/>
                    <w:tr2bl w:val="nil"/>
                  </w:tcBorders>
                  <w:vAlign w:val="center"/>
                </w:tcPr>
                <w:p>
                  <w:pPr>
                    <w:pStyle w:val="30"/>
                    <w:bidi w:val="0"/>
                    <w:rPr>
                      <w:rFonts w:hint="default"/>
                      <w:lang w:val="en-US" w:eastAsia="zh-CN"/>
                    </w:rPr>
                  </w:pPr>
                  <w:r>
                    <w:rPr>
                      <w:rFonts w:hint="eastAsia"/>
                      <w:lang w:val="en-US" w:eastAsia="zh-CN"/>
                    </w:rPr>
                    <w:t>20</w:t>
                  </w:r>
                </w:p>
              </w:tc>
              <w:tc>
                <w:tcPr>
                  <w:tcW w:w="847" w:type="dxa"/>
                  <w:tcBorders>
                    <w:tl2br w:val="nil"/>
                    <w:tr2bl w:val="nil"/>
                  </w:tcBorders>
                  <w:vAlign w:val="center"/>
                </w:tcPr>
                <w:p>
                  <w:pPr>
                    <w:pStyle w:val="30"/>
                    <w:bidi w:val="0"/>
                    <w:rPr>
                      <w:rFonts w:hint="default"/>
                      <w:lang w:val="en-US" w:eastAsia="zh-CN"/>
                    </w:rPr>
                  </w:pPr>
                  <w:r>
                    <w:rPr>
                      <w:rFonts w:hint="eastAsia"/>
                      <w:lang w:val="en-US" w:eastAsia="zh-CN"/>
                    </w:rPr>
                    <w:t>39</w:t>
                  </w:r>
                </w:p>
              </w:tc>
              <w:tc>
                <w:tcPr>
                  <w:tcW w:w="549" w:type="dxa"/>
                  <w:vMerge w:val="continue"/>
                  <w:tcBorders>
                    <w:tl2br w:val="nil"/>
                    <w:tr2bl w:val="nil"/>
                  </w:tcBorders>
                  <w:vAlign w:val="center"/>
                </w:tcPr>
                <w:p>
                  <w:pPr>
                    <w:pStyle w:val="30"/>
                    <w:bidi w:val="0"/>
                    <w:rPr>
                      <w:rFonts w:hint="default"/>
                    </w:rPr>
                  </w:pPr>
                </w:p>
              </w:tc>
              <w:tc>
                <w:tcPr>
                  <w:tcW w:w="847" w:type="dxa"/>
                  <w:vMerge w:val="continue"/>
                  <w:tcBorders>
                    <w:tl2br w:val="nil"/>
                    <w:tr2bl w:val="nil"/>
                  </w:tcBorders>
                  <w:vAlign w:val="center"/>
                </w:tcPr>
                <w:p>
                  <w:pPr>
                    <w:pStyle w:val="30"/>
                    <w:bidi w:val="0"/>
                    <w:rPr>
                      <w:rFonts w:hint="default"/>
                    </w:rPr>
                  </w:pPr>
                </w:p>
              </w:tc>
              <w:tc>
                <w:tcPr>
                  <w:tcW w:w="848" w:type="dxa"/>
                  <w:tcBorders>
                    <w:tl2br w:val="nil"/>
                    <w:tr2bl w:val="nil"/>
                  </w:tcBorders>
                  <w:vAlign w:val="center"/>
                </w:tcPr>
                <w:p>
                  <w:pPr>
                    <w:pStyle w:val="30"/>
                    <w:bidi w:val="0"/>
                    <w:rPr>
                      <w:rFonts w:hint="default"/>
                      <w:lang w:val="en-US" w:eastAsia="zh-CN"/>
                    </w:rPr>
                  </w:pPr>
                  <w:r>
                    <w:rPr>
                      <w:rFonts w:hint="eastAsia"/>
                      <w:lang w:val="en-US" w:eastAsia="zh-CN"/>
                    </w:rPr>
                    <w:t>19</w:t>
                  </w:r>
                </w:p>
              </w:tc>
              <w:tc>
                <w:tcPr>
                  <w:tcW w:w="439" w:type="dxa"/>
                  <w:tcBorders>
                    <w:tl2br w:val="nil"/>
                    <w:tr2bl w:val="nil"/>
                  </w:tcBorders>
                  <w:vAlign w:val="center"/>
                </w:tcPr>
                <w:p>
                  <w:pPr>
                    <w:pStyle w:val="30"/>
                    <w:bidi w:val="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8" w:type="dxa"/>
                  <w:vMerge w:val="continue"/>
                  <w:tcBorders>
                    <w:tl2br w:val="nil"/>
                    <w:tr2bl w:val="nil"/>
                  </w:tcBorders>
                  <w:vAlign w:val="center"/>
                </w:tcPr>
                <w:p>
                  <w:pPr>
                    <w:pStyle w:val="30"/>
                    <w:bidi w:val="0"/>
                    <w:rPr>
                      <w:rFonts w:hint="default"/>
                    </w:rPr>
                  </w:pPr>
                </w:p>
              </w:tc>
              <w:tc>
                <w:tcPr>
                  <w:tcW w:w="438" w:type="dxa"/>
                  <w:vMerge w:val="continue"/>
                  <w:tcBorders>
                    <w:tl2br w:val="nil"/>
                    <w:tr2bl w:val="nil"/>
                  </w:tcBorders>
                  <w:vAlign w:val="center"/>
                </w:tcPr>
                <w:p>
                  <w:pPr>
                    <w:pStyle w:val="30"/>
                    <w:bidi w:val="0"/>
                    <w:rPr>
                      <w:rFonts w:hint="default"/>
                    </w:rPr>
                  </w:pPr>
                </w:p>
              </w:tc>
              <w:tc>
                <w:tcPr>
                  <w:tcW w:w="1461" w:type="dxa"/>
                  <w:vMerge w:val="continue"/>
                  <w:tcBorders>
                    <w:tl2br w:val="nil"/>
                    <w:tr2bl w:val="nil"/>
                  </w:tcBorders>
                  <w:vAlign w:val="center"/>
                </w:tcPr>
                <w:p>
                  <w:pPr>
                    <w:pStyle w:val="30"/>
                    <w:bidi w:val="0"/>
                    <w:rPr>
                      <w:rFonts w:hint="default"/>
                    </w:rPr>
                  </w:pPr>
                </w:p>
              </w:tc>
              <w:tc>
                <w:tcPr>
                  <w:tcW w:w="528" w:type="dxa"/>
                  <w:vMerge w:val="continue"/>
                  <w:tcBorders>
                    <w:tl2br w:val="nil"/>
                    <w:tr2bl w:val="nil"/>
                  </w:tcBorders>
                  <w:vAlign w:val="center"/>
                </w:tcPr>
                <w:p>
                  <w:pPr>
                    <w:pStyle w:val="30"/>
                    <w:bidi w:val="0"/>
                    <w:rPr>
                      <w:rFonts w:hint="default"/>
                    </w:rPr>
                  </w:pPr>
                </w:p>
              </w:tc>
              <w:tc>
                <w:tcPr>
                  <w:tcW w:w="514" w:type="dxa"/>
                  <w:vMerge w:val="continue"/>
                  <w:tcBorders>
                    <w:tl2br w:val="nil"/>
                    <w:tr2bl w:val="nil"/>
                  </w:tcBorders>
                  <w:vAlign w:val="center"/>
                </w:tcPr>
                <w:p>
                  <w:pPr>
                    <w:pStyle w:val="30"/>
                    <w:bidi w:val="0"/>
                    <w:rPr>
                      <w:rFonts w:hint="default"/>
                    </w:rPr>
                  </w:pPr>
                </w:p>
              </w:tc>
              <w:tc>
                <w:tcPr>
                  <w:tcW w:w="438" w:type="dxa"/>
                  <w:vMerge w:val="continue"/>
                  <w:tcBorders>
                    <w:tl2br w:val="nil"/>
                    <w:tr2bl w:val="nil"/>
                  </w:tcBorders>
                  <w:vAlign w:val="center"/>
                </w:tcPr>
                <w:p>
                  <w:pPr>
                    <w:pStyle w:val="30"/>
                    <w:bidi w:val="0"/>
                    <w:rPr>
                      <w:rFonts w:hint="default"/>
                    </w:rPr>
                  </w:pPr>
                </w:p>
              </w:tc>
              <w:tc>
                <w:tcPr>
                  <w:tcW w:w="351" w:type="dxa"/>
                  <w:vMerge w:val="continue"/>
                  <w:tcBorders>
                    <w:tl2br w:val="nil"/>
                    <w:tr2bl w:val="nil"/>
                  </w:tcBorders>
                  <w:vAlign w:val="center"/>
                </w:tcPr>
                <w:p>
                  <w:pPr>
                    <w:pStyle w:val="30"/>
                    <w:bidi w:val="0"/>
                    <w:rPr>
                      <w:rFonts w:hint="default"/>
                    </w:rPr>
                  </w:pPr>
                </w:p>
              </w:tc>
              <w:tc>
                <w:tcPr>
                  <w:tcW w:w="438" w:type="dxa"/>
                  <w:tcBorders>
                    <w:tl2br w:val="nil"/>
                    <w:tr2bl w:val="nil"/>
                  </w:tcBorders>
                  <w:vAlign w:val="center"/>
                </w:tcPr>
                <w:p>
                  <w:pPr>
                    <w:pStyle w:val="30"/>
                    <w:bidi w:val="0"/>
                    <w:rPr>
                      <w:rFonts w:hint="default"/>
                    </w:rPr>
                  </w:pPr>
                  <w:r>
                    <w:rPr>
                      <w:rFonts w:hint="default"/>
                    </w:rPr>
                    <w:t>西</w:t>
                  </w:r>
                </w:p>
              </w:tc>
              <w:tc>
                <w:tcPr>
                  <w:tcW w:w="549" w:type="dxa"/>
                  <w:tcBorders>
                    <w:tl2br w:val="nil"/>
                    <w:tr2bl w:val="nil"/>
                  </w:tcBorders>
                  <w:vAlign w:val="center"/>
                </w:tcPr>
                <w:p>
                  <w:pPr>
                    <w:pStyle w:val="30"/>
                    <w:bidi w:val="0"/>
                    <w:rPr>
                      <w:rFonts w:hint="default"/>
                      <w:lang w:val="en-US" w:eastAsia="zh-CN"/>
                    </w:rPr>
                  </w:pPr>
                  <w:r>
                    <w:rPr>
                      <w:rFonts w:hint="eastAsia"/>
                      <w:lang w:val="en-US" w:eastAsia="zh-CN"/>
                    </w:rPr>
                    <w:t>30</w:t>
                  </w:r>
                </w:p>
              </w:tc>
              <w:tc>
                <w:tcPr>
                  <w:tcW w:w="847" w:type="dxa"/>
                  <w:tcBorders>
                    <w:tl2br w:val="nil"/>
                    <w:tr2bl w:val="nil"/>
                  </w:tcBorders>
                  <w:vAlign w:val="center"/>
                </w:tcPr>
                <w:p>
                  <w:pPr>
                    <w:pStyle w:val="30"/>
                    <w:bidi w:val="0"/>
                    <w:rPr>
                      <w:rFonts w:hint="default"/>
                      <w:lang w:val="en-US" w:eastAsia="zh-CN"/>
                    </w:rPr>
                  </w:pPr>
                  <w:r>
                    <w:rPr>
                      <w:rFonts w:hint="eastAsia"/>
                      <w:lang w:val="en-US" w:eastAsia="zh-CN"/>
                    </w:rPr>
                    <w:t>35</w:t>
                  </w:r>
                </w:p>
              </w:tc>
              <w:tc>
                <w:tcPr>
                  <w:tcW w:w="549" w:type="dxa"/>
                  <w:vMerge w:val="continue"/>
                  <w:tcBorders>
                    <w:tl2br w:val="nil"/>
                    <w:tr2bl w:val="nil"/>
                  </w:tcBorders>
                  <w:vAlign w:val="center"/>
                </w:tcPr>
                <w:p>
                  <w:pPr>
                    <w:pStyle w:val="30"/>
                    <w:bidi w:val="0"/>
                    <w:rPr>
                      <w:rFonts w:hint="default"/>
                    </w:rPr>
                  </w:pPr>
                </w:p>
              </w:tc>
              <w:tc>
                <w:tcPr>
                  <w:tcW w:w="847" w:type="dxa"/>
                  <w:vMerge w:val="continue"/>
                  <w:tcBorders>
                    <w:tl2br w:val="nil"/>
                    <w:tr2bl w:val="nil"/>
                  </w:tcBorders>
                  <w:vAlign w:val="center"/>
                </w:tcPr>
                <w:p>
                  <w:pPr>
                    <w:pStyle w:val="30"/>
                    <w:bidi w:val="0"/>
                    <w:rPr>
                      <w:rFonts w:hint="default"/>
                    </w:rPr>
                  </w:pPr>
                </w:p>
              </w:tc>
              <w:tc>
                <w:tcPr>
                  <w:tcW w:w="848" w:type="dxa"/>
                  <w:tcBorders>
                    <w:tl2br w:val="nil"/>
                    <w:tr2bl w:val="nil"/>
                  </w:tcBorders>
                  <w:vAlign w:val="center"/>
                </w:tcPr>
                <w:p>
                  <w:pPr>
                    <w:pStyle w:val="30"/>
                    <w:bidi w:val="0"/>
                    <w:rPr>
                      <w:rFonts w:hint="default"/>
                      <w:lang w:val="en-US" w:eastAsia="zh-CN"/>
                    </w:rPr>
                  </w:pPr>
                  <w:r>
                    <w:rPr>
                      <w:rFonts w:hint="eastAsia"/>
                      <w:lang w:val="en-US" w:eastAsia="zh-CN"/>
                    </w:rPr>
                    <w:t>15</w:t>
                  </w:r>
                </w:p>
              </w:tc>
              <w:tc>
                <w:tcPr>
                  <w:tcW w:w="439" w:type="dxa"/>
                  <w:tcBorders>
                    <w:tl2br w:val="nil"/>
                    <w:tr2bl w:val="nil"/>
                  </w:tcBorders>
                  <w:vAlign w:val="center"/>
                </w:tcPr>
                <w:p>
                  <w:pPr>
                    <w:pStyle w:val="30"/>
                    <w:bidi w:val="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8" w:type="dxa"/>
                  <w:vMerge w:val="continue"/>
                  <w:tcBorders>
                    <w:tl2br w:val="nil"/>
                    <w:tr2bl w:val="nil"/>
                  </w:tcBorders>
                  <w:vAlign w:val="center"/>
                </w:tcPr>
                <w:p>
                  <w:pPr>
                    <w:pStyle w:val="30"/>
                    <w:bidi w:val="0"/>
                    <w:rPr>
                      <w:rFonts w:hint="default"/>
                    </w:rPr>
                  </w:pPr>
                </w:p>
              </w:tc>
              <w:tc>
                <w:tcPr>
                  <w:tcW w:w="438" w:type="dxa"/>
                  <w:vMerge w:val="continue"/>
                  <w:tcBorders>
                    <w:tl2br w:val="nil"/>
                    <w:tr2bl w:val="nil"/>
                  </w:tcBorders>
                  <w:vAlign w:val="center"/>
                </w:tcPr>
                <w:p>
                  <w:pPr>
                    <w:pStyle w:val="30"/>
                    <w:bidi w:val="0"/>
                    <w:rPr>
                      <w:rFonts w:hint="default"/>
                    </w:rPr>
                  </w:pPr>
                </w:p>
              </w:tc>
              <w:tc>
                <w:tcPr>
                  <w:tcW w:w="1461" w:type="dxa"/>
                  <w:vMerge w:val="continue"/>
                  <w:tcBorders>
                    <w:tl2br w:val="nil"/>
                    <w:tr2bl w:val="nil"/>
                  </w:tcBorders>
                  <w:vAlign w:val="center"/>
                </w:tcPr>
                <w:p>
                  <w:pPr>
                    <w:pStyle w:val="30"/>
                    <w:bidi w:val="0"/>
                    <w:rPr>
                      <w:rFonts w:hint="default"/>
                    </w:rPr>
                  </w:pPr>
                </w:p>
              </w:tc>
              <w:tc>
                <w:tcPr>
                  <w:tcW w:w="528" w:type="dxa"/>
                  <w:vMerge w:val="continue"/>
                  <w:tcBorders>
                    <w:tl2br w:val="nil"/>
                    <w:tr2bl w:val="nil"/>
                  </w:tcBorders>
                  <w:vAlign w:val="center"/>
                </w:tcPr>
                <w:p>
                  <w:pPr>
                    <w:pStyle w:val="30"/>
                    <w:bidi w:val="0"/>
                    <w:rPr>
                      <w:rFonts w:hint="default"/>
                    </w:rPr>
                  </w:pPr>
                </w:p>
              </w:tc>
              <w:tc>
                <w:tcPr>
                  <w:tcW w:w="514" w:type="dxa"/>
                  <w:vMerge w:val="continue"/>
                  <w:tcBorders>
                    <w:tl2br w:val="nil"/>
                    <w:tr2bl w:val="nil"/>
                  </w:tcBorders>
                  <w:vAlign w:val="center"/>
                </w:tcPr>
                <w:p>
                  <w:pPr>
                    <w:pStyle w:val="30"/>
                    <w:bidi w:val="0"/>
                    <w:rPr>
                      <w:rFonts w:hint="default"/>
                    </w:rPr>
                  </w:pPr>
                </w:p>
              </w:tc>
              <w:tc>
                <w:tcPr>
                  <w:tcW w:w="438" w:type="dxa"/>
                  <w:vMerge w:val="continue"/>
                  <w:tcBorders>
                    <w:tl2br w:val="nil"/>
                    <w:tr2bl w:val="nil"/>
                  </w:tcBorders>
                  <w:vAlign w:val="center"/>
                </w:tcPr>
                <w:p>
                  <w:pPr>
                    <w:pStyle w:val="30"/>
                    <w:bidi w:val="0"/>
                    <w:rPr>
                      <w:rFonts w:hint="default"/>
                    </w:rPr>
                  </w:pPr>
                </w:p>
              </w:tc>
              <w:tc>
                <w:tcPr>
                  <w:tcW w:w="351" w:type="dxa"/>
                  <w:vMerge w:val="continue"/>
                  <w:tcBorders>
                    <w:tl2br w:val="nil"/>
                    <w:tr2bl w:val="nil"/>
                  </w:tcBorders>
                  <w:vAlign w:val="center"/>
                </w:tcPr>
                <w:p>
                  <w:pPr>
                    <w:pStyle w:val="30"/>
                    <w:bidi w:val="0"/>
                    <w:rPr>
                      <w:rFonts w:hint="default"/>
                    </w:rPr>
                  </w:pPr>
                </w:p>
              </w:tc>
              <w:tc>
                <w:tcPr>
                  <w:tcW w:w="438" w:type="dxa"/>
                  <w:tcBorders>
                    <w:tl2br w:val="nil"/>
                    <w:tr2bl w:val="nil"/>
                  </w:tcBorders>
                  <w:vAlign w:val="center"/>
                </w:tcPr>
                <w:p>
                  <w:pPr>
                    <w:pStyle w:val="30"/>
                    <w:bidi w:val="0"/>
                    <w:rPr>
                      <w:rFonts w:hint="default"/>
                    </w:rPr>
                  </w:pPr>
                  <w:r>
                    <w:rPr>
                      <w:rFonts w:hint="default"/>
                    </w:rPr>
                    <w:t>北</w:t>
                  </w:r>
                </w:p>
              </w:tc>
              <w:tc>
                <w:tcPr>
                  <w:tcW w:w="549" w:type="dxa"/>
                  <w:tcBorders>
                    <w:tl2br w:val="nil"/>
                    <w:tr2bl w:val="nil"/>
                  </w:tcBorders>
                  <w:vAlign w:val="center"/>
                </w:tcPr>
                <w:p>
                  <w:pPr>
                    <w:pStyle w:val="30"/>
                    <w:bidi w:val="0"/>
                    <w:rPr>
                      <w:rFonts w:hint="default"/>
                      <w:lang w:val="en-US" w:eastAsia="zh-CN"/>
                    </w:rPr>
                  </w:pPr>
                  <w:r>
                    <w:rPr>
                      <w:rFonts w:hint="eastAsia"/>
                      <w:lang w:val="en-US" w:eastAsia="zh-CN"/>
                    </w:rPr>
                    <w:t>40</w:t>
                  </w:r>
                </w:p>
              </w:tc>
              <w:tc>
                <w:tcPr>
                  <w:tcW w:w="847" w:type="dxa"/>
                  <w:tcBorders>
                    <w:tl2br w:val="nil"/>
                    <w:tr2bl w:val="nil"/>
                  </w:tcBorders>
                  <w:vAlign w:val="center"/>
                </w:tcPr>
                <w:p>
                  <w:pPr>
                    <w:pStyle w:val="30"/>
                    <w:bidi w:val="0"/>
                    <w:rPr>
                      <w:rFonts w:hint="default"/>
                      <w:lang w:val="en-US" w:eastAsia="zh-CN"/>
                    </w:rPr>
                  </w:pPr>
                  <w:r>
                    <w:rPr>
                      <w:rFonts w:hint="eastAsia"/>
                      <w:lang w:val="en-US" w:eastAsia="zh-CN"/>
                    </w:rPr>
                    <w:t>33</w:t>
                  </w:r>
                </w:p>
              </w:tc>
              <w:tc>
                <w:tcPr>
                  <w:tcW w:w="549" w:type="dxa"/>
                  <w:vMerge w:val="continue"/>
                  <w:tcBorders>
                    <w:tl2br w:val="nil"/>
                    <w:tr2bl w:val="nil"/>
                  </w:tcBorders>
                  <w:vAlign w:val="center"/>
                </w:tcPr>
                <w:p>
                  <w:pPr>
                    <w:pStyle w:val="30"/>
                    <w:bidi w:val="0"/>
                    <w:rPr>
                      <w:rFonts w:hint="default"/>
                    </w:rPr>
                  </w:pPr>
                </w:p>
              </w:tc>
              <w:tc>
                <w:tcPr>
                  <w:tcW w:w="847" w:type="dxa"/>
                  <w:vMerge w:val="continue"/>
                  <w:tcBorders>
                    <w:tl2br w:val="nil"/>
                    <w:tr2bl w:val="nil"/>
                  </w:tcBorders>
                  <w:vAlign w:val="center"/>
                </w:tcPr>
                <w:p>
                  <w:pPr>
                    <w:pStyle w:val="30"/>
                    <w:bidi w:val="0"/>
                    <w:rPr>
                      <w:rFonts w:hint="default"/>
                    </w:rPr>
                  </w:pPr>
                </w:p>
              </w:tc>
              <w:tc>
                <w:tcPr>
                  <w:tcW w:w="848" w:type="dxa"/>
                  <w:tcBorders>
                    <w:tl2br w:val="nil"/>
                    <w:tr2bl w:val="nil"/>
                  </w:tcBorders>
                  <w:vAlign w:val="center"/>
                </w:tcPr>
                <w:p>
                  <w:pPr>
                    <w:pStyle w:val="30"/>
                    <w:bidi w:val="0"/>
                    <w:rPr>
                      <w:rFonts w:hint="default"/>
                      <w:lang w:val="en-US" w:eastAsia="zh-CN"/>
                    </w:rPr>
                  </w:pPr>
                  <w:r>
                    <w:rPr>
                      <w:rFonts w:hint="eastAsia"/>
                      <w:lang w:val="en-US" w:eastAsia="zh-CN"/>
                    </w:rPr>
                    <w:t>13</w:t>
                  </w:r>
                </w:p>
              </w:tc>
              <w:tc>
                <w:tcPr>
                  <w:tcW w:w="439" w:type="dxa"/>
                  <w:tcBorders>
                    <w:tl2br w:val="nil"/>
                    <w:tr2bl w:val="nil"/>
                  </w:tcBorders>
                  <w:vAlign w:val="center"/>
                </w:tcPr>
                <w:p>
                  <w:pPr>
                    <w:pStyle w:val="30"/>
                    <w:bidi w:val="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8" w:type="dxa"/>
                  <w:vMerge w:val="restart"/>
                  <w:tcBorders>
                    <w:tl2br w:val="nil"/>
                    <w:tr2bl w:val="nil"/>
                  </w:tcBorders>
                  <w:vAlign w:val="center"/>
                </w:tcPr>
                <w:p>
                  <w:pPr>
                    <w:pStyle w:val="30"/>
                    <w:bidi w:val="0"/>
                    <w:rPr>
                      <w:rFonts w:hint="eastAsia" w:eastAsia="宋体"/>
                      <w:lang w:eastAsia="zh-CN"/>
                    </w:rPr>
                  </w:pPr>
                  <w:r>
                    <w:rPr>
                      <w:rFonts w:hint="eastAsia"/>
                      <w:lang w:val="en-US" w:eastAsia="zh-CN"/>
                    </w:rPr>
                    <w:t>3</w:t>
                  </w:r>
                </w:p>
              </w:tc>
              <w:tc>
                <w:tcPr>
                  <w:tcW w:w="438" w:type="dxa"/>
                  <w:vMerge w:val="restart"/>
                  <w:tcBorders>
                    <w:tl2br w:val="nil"/>
                    <w:tr2bl w:val="nil"/>
                  </w:tcBorders>
                  <w:vAlign w:val="center"/>
                </w:tcPr>
                <w:p>
                  <w:pPr>
                    <w:pStyle w:val="30"/>
                    <w:bidi w:val="0"/>
                    <w:rPr>
                      <w:rFonts w:hint="default"/>
                    </w:rPr>
                  </w:pPr>
                  <w:r>
                    <w:rPr>
                      <w:rFonts w:hint="eastAsia"/>
                      <w:lang w:val="en-US" w:eastAsia="zh-CN"/>
                    </w:rPr>
                    <w:t>人群活动</w:t>
                  </w:r>
                </w:p>
              </w:tc>
              <w:tc>
                <w:tcPr>
                  <w:tcW w:w="1461" w:type="dxa"/>
                  <w:vMerge w:val="restart"/>
                  <w:tcBorders>
                    <w:tl2br w:val="nil"/>
                    <w:tr2bl w:val="nil"/>
                  </w:tcBorders>
                  <w:vAlign w:val="center"/>
                </w:tcPr>
                <w:p>
                  <w:pPr>
                    <w:pStyle w:val="30"/>
                    <w:bidi w:val="0"/>
                    <w:rPr>
                      <w:rFonts w:hint="default"/>
                      <w:lang w:val="en-US"/>
                    </w:rPr>
                  </w:pPr>
                  <w:r>
                    <w:rPr>
                      <w:rFonts w:hint="eastAsia"/>
                      <w:lang w:val="en-US" w:eastAsia="zh-CN"/>
                    </w:rPr>
                    <w:t>65</w:t>
                  </w:r>
                </w:p>
              </w:tc>
              <w:tc>
                <w:tcPr>
                  <w:tcW w:w="528" w:type="dxa"/>
                  <w:vMerge w:val="continue"/>
                  <w:tcBorders>
                    <w:tl2br w:val="nil"/>
                    <w:tr2bl w:val="nil"/>
                  </w:tcBorders>
                  <w:vAlign w:val="center"/>
                </w:tcPr>
                <w:p>
                  <w:pPr>
                    <w:pStyle w:val="30"/>
                    <w:bidi w:val="0"/>
                    <w:rPr>
                      <w:rFonts w:hint="default"/>
                    </w:rPr>
                  </w:pPr>
                </w:p>
              </w:tc>
              <w:tc>
                <w:tcPr>
                  <w:tcW w:w="514" w:type="dxa"/>
                  <w:vMerge w:val="restart"/>
                  <w:tcBorders>
                    <w:tl2br w:val="nil"/>
                    <w:tr2bl w:val="nil"/>
                  </w:tcBorders>
                  <w:shd w:val="clear" w:color="auto" w:fill="auto"/>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10</w:t>
                  </w:r>
                </w:p>
              </w:tc>
              <w:tc>
                <w:tcPr>
                  <w:tcW w:w="438" w:type="dxa"/>
                  <w:vMerge w:val="restart"/>
                  <w:tcBorders>
                    <w:tl2br w:val="nil"/>
                    <w:tr2bl w:val="nil"/>
                  </w:tcBorders>
                  <w:shd w:val="clear" w:color="auto" w:fill="auto"/>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10</w:t>
                  </w:r>
                </w:p>
              </w:tc>
              <w:tc>
                <w:tcPr>
                  <w:tcW w:w="351" w:type="dxa"/>
                  <w:vMerge w:val="restart"/>
                  <w:tcBorders>
                    <w:tl2br w:val="nil"/>
                    <w:tr2bl w:val="nil"/>
                  </w:tcBorders>
                  <w:vAlign w:val="center"/>
                </w:tcPr>
                <w:p>
                  <w:pPr>
                    <w:pStyle w:val="30"/>
                    <w:bidi w:val="0"/>
                    <w:rPr>
                      <w:rFonts w:hint="eastAsia" w:eastAsia="宋体"/>
                      <w:lang w:eastAsia="zh-CN"/>
                    </w:rPr>
                  </w:pPr>
                  <w:r>
                    <w:rPr>
                      <w:rFonts w:hint="eastAsia"/>
                      <w:lang w:val="en-US" w:eastAsia="zh-CN"/>
                    </w:rPr>
                    <w:t>0</w:t>
                  </w:r>
                </w:p>
              </w:tc>
              <w:tc>
                <w:tcPr>
                  <w:tcW w:w="438" w:type="dxa"/>
                  <w:tcBorders>
                    <w:tl2br w:val="nil"/>
                    <w:tr2bl w:val="nil"/>
                  </w:tcBorders>
                  <w:vAlign w:val="center"/>
                </w:tcPr>
                <w:p>
                  <w:pPr>
                    <w:pStyle w:val="30"/>
                    <w:bidi w:val="0"/>
                    <w:rPr>
                      <w:rFonts w:hint="default"/>
                    </w:rPr>
                  </w:pPr>
                  <w:r>
                    <w:rPr>
                      <w:rFonts w:hint="default"/>
                    </w:rPr>
                    <w:t>东</w:t>
                  </w:r>
                </w:p>
              </w:tc>
              <w:tc>
                <w:tcPr>
                  <w:tcW w:w="549" w:type="dxa"/>
                  <w:tcBorders>
                    <w:tl2br w:val="nil"/>
                    <w:tr2bl w:val="nil"/>
                  </w:tcBorders>
                  <w:shd w:val="clear" w:color="auto" w:fill="auto"/>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100</w:t>
                  </w:r>
                </w:p>
              </w:tc>
              <w:tc>
                <w:tcPr>
                  <w:tcW w:w="847" w:type="dxa"/>
                  <w:tcBorders>
                    <w:tl2br w:val="nil"/>
                    <w:tr2bl w:val="nil"/>
                  </w:tcBorders>
                  <w:shd w:val="clear" w:color="auto" w:fill="auto"/>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25</w:t>
                  </w:r>
                </w:p>
              </w:tc>
              <w:tc>
                <w:tcPr>
                  <w:tcW w:w="549" w:type="dxa"/>
                  <w:vMerge w:val="restart"/>
                  <w:tcBorders>
                    <w:tl2br w:val="nil"/>
                    <w:tr2bl w:val="nil"/>
                  </w:tcBorders>
                  <w:vAlign w:val="center"/>
                </w:tcPr>
                <w:p>
                  <w:pPr>
                    <w:pStyle w:val="30"/>
                    <w:bidi w:val="0"/>
                    <w:rPr>
                      <w:rFonts w:hint="default"/>
                    </w:rPr>
                  </w:pPr>
                  <w:r>
                    <w:rPr>
                      <w:rFonts w:hint="eastAsia"/>
                      <w:lang w:val="en-US" w:eastAsia="zh-CN"/>
                    </w:rPr>
                    <w:t>24</w:t>
                  </w:r>
                  <w:r>
                    <w:rPr>
                      <w:rFonts w:hint="default"/>
                    </w:rPr>
                    <w:t>h</w:t>
                  </w:r>
                </w:p>
              </w:tc>
              <w:tc>
                <w:tcPr>
                  <w:tcW w:w="847" w:type="dxa"/>
                  <w:vMerge w:val="restart"/>
                  <w:tcBorders>
                    <w:tl2br w:val="nil"/>
                    <w:tr2bl w:val="nil"/>
                  </w:tcBorders>
                  <w:vAlign w:val="center"/>
                </w:tcPr>
                <w:p>
                  <w:pPr>
                    <w:pStyle w:val="30"/>
                    <w:bidi w:val="0"/>
                    <w:rPr>
                      <w:rFonts w:hint="default"/>
                      <w:lang w:val="en-US" w:eastAsia="zh-CN"/>
                    </w:rPr>
                  </w:pPr>
                  <w:r>
                    <w:rPr>
                      <w:rFonts w:hint="eastAsia"/>
                      <w:lang w:val="en-US" w:eastAsia="zh-CN"/>
                    </w:rPr>
                    <w:t>20</w:t>
                  </w:r>
                </w:p>
              </w:tc>
              <w:tc>
                <w:tcPr>
                  <w:tcW w:w="848" w:type="dxa"/>
                  <w:tcBorders>
                    <w:tl2br w:val="nil"/>
                    <w:tr2bl w:val="nil"/>
                  </w:tcBorders>
                  <w:shd w:val="clear" w:color="auto" w:fill="auto"/>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5</w:t>
                  </w:r>
                </w:p>
              </w:tc>
              <w:tc>
                <w:tcPr>
                  <w:tcW w:w="439" w:type="dxa"/>
                  <w:tcBorders>
                    <w:tl2br w:val="nil"/>
                    <w:tr2bl w:val="nil"/>
                  </w:tcBorders>
                  <w:vAlign w:val="center"/>
                </w:tcPr>
                <w:p>
                  <w:pPr>
                    <w:pStyle w:val="30"/>
                    <w:bidi w:val="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8" w:type="dxa"/>
                  <w:vMerge w:val="continue"/>
                  <w:tcBorders>
                    <w:tl2br w:val="nil"/>
                    <w:tr2bl w:val="nil"/>
                  </w:tcBorders>
                  <w:vAlign w:val="center"/>
                </w:tcPr>
                <w:p>
                  <w:pPr>
                    <w:pStyle w:val="30"/>
                    <w:bidi w:val="0"/>
                    <w:rPr>
                      <w:rFonts w:hint="default"/>
                    </w:rPr>
                  </w:pPr>
                </w:p>
              </w:tc>
              <w:tc>
                <w:tcPr>
                  <w:tcW w:w="438" w:type="dxa"/>
                  <w:vMerge w:val="continue"/>
                  <w:tcBorders>
                    <w:tl2br w:val="nil"/>
                    <w:tr2bl w:val="nil"/>
                  </w:tcBorders>
                  <w:vAlign w:val="center"/>
                </w:tcPr>
                <w:p>
                  <w:pPr>
                    <w:pStyle w:val="30"/>
                    <w:bidi w:val="0"/>
                    <w:rPr>
                      <w:rFonts w:hint="default"/>
                    </w:rPr>
                  </w:pPr>
                </w:p>
              </w:tc>
              <w:tc>
                <w:tcPr>
                  <w:tcW w:w="1461" w:type="dxa"/>
                  <w:vMerge w:val="continue"/>
                  <w:tcBorders>
                    <w:tl2br w:val="nil"/>
                    <w:tr2bl w:val="nil"/>
                  </w:tcBorders>
                  <w:vAlign w:val="center"/>
                </w:tcPr>
                <w:p>
                  <w:pPr>
                    <w:pStyle w:val="30"/>
                    <w:bidi w:val="0"/>
                    <w:rPr>
                      <w:rFonts w:hint="default"/>
                    </w:rPr>
                  </w:pPr>
                </w:p>
              </w:tc>
              <w:tc>
                <w:tcPr>
                  <w:tcW w:w="528" w:type="dxa"/>
                  <w:vMerge w:val="continue"/>
                  <w:tcBorders>
                    <w:tl2br w:val="nil"/>
                    <w:tr2bl w:val="nil"/>
                  </w:tcBorders>
                  <w:vAlign w:val="center"/>
                </w:tcPr>
                <w:p>
                  <w:pPr>
                    <w:pStyle w:val="30"/>
                    <w:bidi w:val="0"/>
                    <w:rPr>
                      <w:rFonts w:hint="default"/>
                    </w:rPr>
                  </w:pPr>
                </w:p>
              </w:tc>
              <w:tc>
                <w:tcPr>
                  <w:tcW w:w="514" w:type="dxa"/>
                  <w:vMerge w:val="continue"/>
                  <w:tcBorders>
                    <w:tl2br w:val="nil"/>
                    <w:tr2bl w:val="nil"/>
                  </w:tcBorders>
                  <w:vAlign w:val="center"/>
                </w:tcPr>
                <w:p>
                  <w:pPr>
                    <w:pStyle w:val="30"/>
                    <w:bidi w:val="0"/>
                    <w:rPr>
                      <w:rFonts w:hint="default"/>
                    </w:rPr>
                  </w:pPr>
                </w:p>
              </w:tc>
              <w:tc>
                <w:tcPr>
                  <w:tcW w:w="438" w:type="dxa"/>
                  <w:vMerge w:val="continue"/>
                  <w:tcBorders>
                    <w:tl2br w:val="nil"/>
                    <w:tr2bl w:val="nil"/>
                  </w:tcBorders>
                  <w:vAlign w:val="center"/>
                </w:tcPr>
                <w:p>
                  <w:pPr>
                    <w:pStyle w:val="30"/>
                    <w:bidi w:val="0"/>
                    <w:rPr>
                      <w:rFonts w:hint="default"/>
                    </w:rPr>
                  </w:pPr>
                </w:p>
              </w:tc>
              <w:tc>
                <w:tcPr>
                  <w:tcW w:w="351" w:type="dxa"/>
                  <w:vMerge w:val="continue"/>
                  <w:tcBorders>
                    <w:tl2br w:val="nil"/>
                    <w:tr2bl w:val="nil"/>
                  </w:tcBorders>
                  <w:vAlign w:val="center"/>
                </w:tcPr>
                <w:p>
                  <w:pPr>
                    <w:pStyle w:val="30"/>
                    <w:bidi w:val="0"/>
                    <w:rPr>
                      <w:rFonts w:hint="default"/>
                    </w:rPr>
                  </w:pPr>
                </w:p>
              </w:tc>
              <w:tc>
                <w:tcPr>
                  <w:tcW w:w="438" w:type="dxa"/>
                  <w:tcBorders>
                    <w:tl2br w:val="nil"/>
                    <w:tr2bl w:val="nil"/>
                  </w:tcBorders>
                  <w:vAlign w:val="center"/>
                </w:tcPr>
                <w:p>
                  <w:pPr>
                    <w:pStyle w:val="30"/>
                    <w:bidi w:val="0"/>
                    <w:rPr>
                      <w:rFonts w:hint="default"/>
                    </w:rPr>
                  </w:pPr>
                  <w:r>
                    <w:rPr>
                      <w:rFonts w:hint="default"/>
                    </w:rPr>
                    <w:t>南</w:t>
                  </w:r>
                </w:p>
              </w:tc>
              <w:tc>
                <w:tcPr>
                  <w:tcW w:w="549" w:type="dxa"/>
                  <w:tcBorders>
                    <w:tl2br w:val="nil"/>
                    <w:tr2bl w:val="nil"/>
                  </w:tcBorders>
                  <w:shd w:val="clear" w:color="auto" w:fill="auto"/>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20</w:t>
                  </w:r>
                </w:p>
              </w:tc>
              <w:tc>
                <w:tcPr>
                  <w:tcW w:w="847" w:type="dxa"/>
                  <w:tcBorders>
                    <w:tl2br w:val="nil"/>
                    <w:tr2bl w:val="nil"/>
                  </w:tcBorders>
                  <w:shd w:val="clear" w:color="auto" w:fill="auto"/>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39</w:t>
                  </w:r>
                </w:p>
              </w:tc>
              <w:tc>
                <w:tcPr>
                  <w:tcW w:w="549" w:type="dxa"/>
                  <w:vMerge w:val="continue"/>
                  <w:tcBorders>
                    <w:tl2br w:val="nil"/>
                    <w:tr2bl w:val="nil"/>
                  </w:tcBorders>
                  <w:vAlign w:val="center"/>
                </w:tcPr>
                <w:p>
                  <w:pPr>
                    <w:pStyle w:val="30"/>
                    <w:bidi w:val="0"/>
                    <w:rPr>
                      <w:rFonts w:hint="default"/>
                    </w:rPr>
                  </w:pPr>
                </w:p>
              </w:tc>
              <w:tc>
                <w:tcPr>
                  <w:tcW w:w="847" w:type="dxa"/>
                  <w:vMerge w:val="continue"/>
                  <w:tcBorders>
                    <w:tl2br w:val="nil"/>
                    <w:tr2bl w:val="nil"/>
                  </w:tcBorders>
                  <w:vAlign w:val="center"/>
                </w:tcPr>
                <w:p>
                  <w:pPr>
                    <w:pStyle w:val="30"/>
                    <w:bidi w:val="0"/>
                    <w:rPr>
                      <w:rFonts w:hint="default"/>
                    </w:rPr>
                  </w:pPr>
                </w:p>
              </w:tc>
              <w:tc>
                <w:tcPr>
                  <w:tcW w:w="848" w:type="dxa"/>
                  <w:tcBorders>
                    <w:tl2br w:val="nil"/>
                    <w:tr2bl w:val="nil"/>
                  </w:tcBorders>
                  <w:shd w:val="clear" w:color="auto" w:fill="auto"/>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19</w:t>
                  </w:r>
                </w:p>
              </w:tc>
              <w:tc>
                <w:tcPr>
                  <w:tcW w:w="439" w:type="dxa"/>
                  <w:tcBorders>
                    <w:tl2br w:val="nil"/>
                    <w:tr2bl w:val="nil"/>
                  </w:tcBorders>
                  <w:vAlign w:val="center"/>
                </w:tcPr>
                <w:p>
                  <w:pPr>
                    <w:pStyle w:val="30"/>
                    <w:bidi w:val="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8" w:type="dxa"/>
                  <w:vMerge w:val="continue"/>
                  <w:tcBorders>
                    <w:tl2br w:val="nil"/>
                    <w:tr2bl w:val="nil"/>
                  </w:tcBorders>
                  <w:vAlign w:val="center"/>
                </w:tcPr>
                <w:p>
                  <w:pPr>
                    <w:pStyle w:val="30"/>
                    <w:bidi w:val="0"/>
                    <w:rPr>
                      <w:rFonts w:hint="default"/>
                    </w:rPr>
                  </w:pPr>
                </w:p>
              </w:tc>
              <w:tc>
                <w:tcPr>
                  <w:tcW w:w="438" w:type="dxa"/>
                  <w:vMerge w:val="continue"/>
                  <w:tcBorders>
                    <w:tl2br w:val="nil"/>
                    <w:tr2bl w:val="nil"/>
                  </w:tcBorders>
                  <w:vAlign w:val="center"/>
                </w:tcPr>
                <w:p>
                  <w:pPr>
                    <w:pStyle w:val="30"/>
                    <w:bidi w:val="0"/>
                    <w:rPr>
                      <w:rFonts w:hint="default"/>
                    </w:rPr>
                  </w:pPr>
                </w:p>
              </w:tc>
              <w:tc>
                <w:tcPr>
                  <w:tcW w:w="1461" w:type="dxa"/>
                  <w:vMerge w:val="continue"/>
                  <w:tcBorders>
                    <w:tl2br w:val="nil"/>
                    <w:tr2bl w:val="nil"/>
                  </w:tcBorders>
                  <w:vAlign w:val="center"/>
                </w:tcPr>
                <w:p>
                  <w:pPr>
                    <w:pStyle w:val="30"/>
                    <w:bidi w:val="0"/>
                    <w:rPr>
                      <w:rFonts w:hint="default"/>
                    </w:rPr>
                  </w:pPr>
                </w:p>
              </w:tc>
              <w:tc>
                <w:tcPr>
                  <w:tcW w:w="528" w:type="dxa"/>
                  <w:vMerge w:val="continue"/>
                  <w:tcBorders>
                    <w:tl2br w:val="nil"/>
                    <w:tr2bl w:val="nil"/>
                  </w:tcBorders>
                  <w:vAlign w:val="center"/>
                </w:tcPr>
                <w:p>
                  <w:pPr>
                    <w:pStyle w:val="30"/>
                    <w:bidi w:val="0"/>
                    <w:rPr>
                      <w:rFonts w:hint="default"/>
                    </w:rPr>
                  </w:pPr>
                </w:p>
              </w:tc>
              <w:tc>
                <w:tcPr>
                  <w:tcW w:w="514" w:type="dxa"/>
                  <w:vMerge w:val="continue"/>
                  <w:tcBorders>
                    <w:tl2br w:val="nil"/>
                    <w:tr2bl w:val="nil"/>
                  </w:tcBorders>
                  <w:vAlign w:val="center"/>
                </w:tcPr>
                <w:p>
                  <w:pPr>
                    <w:pStyle w:val="30"/>
                    <w:bidi w:val="0"/>
                    <w:rPr>
                      <w:rFonts w:hint="default"/>
                    </w:rPr>
                  </w:pPr>
                </w:p>
              </w:tc>
              <w:tc>
                <w:tcPr>
                  <w:tcW w:w="438" w:type="dxa"/>
                  <w:vMerge w:val="continue"/>
                  <w:tcBorders>
                    <w:tl2br w:val="nil"/>
                    <w:tr2bl w:val="nil"/>
                  </w:tcBorders>
                  <w:vAlign w:val="center"/>
                </w:tcPr>
                <w:p>
                  <w:pPr>
                    <w:pStyle w:val="30"/>
                    <w:bidi w:val="0"/>
                    <w:rPr>
                      <w:rFonts w:hint="default"/>
                    </w:rPr>
                  </w:pPr>
                </w:p>
              </w:tc>
              <w:tc>
                <w:tcPr>
                  <w:tcW w:w="351" w:type="dxa"/>
                  <w:vMerge w:val="continue"/>
                  <w:tcBorders>
                    <w:tl2br w:val="nil"/>
                    <w:tr2bl w:val="nil"/>
                  </w:tcBorders>
                  <w:vAlign w:val="center"/>
                </w:tcPr>
                <w:p>
                  <w:pPr>
                    <w:pStyle w:val="30"/>
                    <w:bidi w:val="0"/>
                    <w:rPr>
                      <w:rFonts w:hint="default"/>
                    </w:rPr>
                  </w:pPr>
                </w:p>
              </w:tc>
              <w:tc>
                <w:tcPr>
                  <w:tcW w:w="438" w:type="dxa"/>
                  <w:tcBorders>
                    <w:tl2br w:val="nil"/>
                    <w:tr2bl w:val="nil"/>
                  </w:tcBorders>
                  <w:vAlign w:val="center"/>
                </w:tcPr>
                <w:p>
                  <w:pPr>
                    <w:pStyle w:val="30"/>
                    <w:bidi w:val="0"/>
                    <w:rPr>
                      <w:rFonts w:hint="default"/>
                    </w:rPr>
                  </w:pPr>
                  <w:r>
                    <w:rPr>
                      <w:rFonts w:hint="default"/>
                    </w:rPr>
                    <w:t>西</w:t>
                  </w:r>
                </w:p>
              </w:tc>
              <w:tc>
                <w:tcPr>
                  <w:tcW w:w="549" w:type="dxa"/>
                  <w:tcBorders>
                    <w:tl2br w:val="nil"/>
                    <w:tr2bl w:val="nil"/>
                  </w:tcBorders>
                  <w:shd w:val="clear" w:color="auto" w:fill="auto"/>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30</w:t>
                  </w:r>
                </w:p>
              </w:tc>
              <w:tc>
                <w:tcPr>
                  <w:tcW w:w="847" w:type="dxa"/>
                  <w:tcBorders>
                    <w:tl2br w:val="nil"/>
                    <w:tr2bl w:val="nil"/>
                  </w:tcBorders>
                  <w:shd w:val="clear" w:color="auto" w:fill="auto"/>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35</w:t>
                  </w:r>
                </w:p>
              </w:tc>
              <w:tc>
                <w:tcPr>
                  <w:tcW w:w="549" w:type="dxa"/>
                  <w:vMerge w:val="continue"/>
                  <w:tcBorders>
                    <w:tl2br w:val="nil"/>
                    <w:tr2bl w:val="nil"/>
                  </w:tcBorders>
                  <w:vAlign w:val="center"/>
                </w:tcPr>
                <w:p>
                  <w:pPr>
                    <w:pStyle w:val="30"/>
                    <w:bidi w:val="0"/>
                    <w:rPr>
                      <w:rFonts w:hint="default"/>
                    </w:rPr>
                  </w:pPr>
                </w:p>
              </w:tc>
              <w:tc>
                <w:tcPr>
                  <w:tcW w:w="847" w:type="dxa"/>
                  <w:vMerge w:val="continue"/>
                  <w:tcBorders>
                    <w:tl2br w:val="nil"/>
                    <w:tr2bl w:val="nil"/>
                  </w:tcBorders>
                  <w:vAlign w:val="center"/>
                </w:tcPr>
                <w:p>
                  <w:pPr>
                    <w:pStyle w:val="30"/>
                    <w:bidi w:val="0"/>
                    <w:rPr>
                      <w:rFonts w:hint="default"/>
                    </w:rPr>
                  </w:pPr>
                </w:p>
              </w:tc>
              <w:tc>
                <w:tcPr>
                  <w:tcW w:w="848" w:type="dxa"/>
                  <w:tcBorders>
                    <w:tl2br w:val="nil"/>
                    <w:tr2bl w:val="nil"/>
                  </w:tcBorders>
                  <w:shd w:val="clear" w:color="auto" w:fill="auto"/>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15</w:t>
                  </w:r>
                </w:p>
              </w:tc>
              <w:tc>
                <w:tcPr>
                  <w:tcW w:w="439" w:type="dxa"/>
                  <w:tcBorders>
                    <w:tl2br w:val="nil"/>
                    <w:tr2bl w:val="nil"/>
                  </w:tcBorders>
                  <w:vAlign w:val="center"/>
                </w:tcPr>
                <w:p>
                  <w:pPr>
                    <w:pStyle w:val="30"/>
                    <w:bidi w:val="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8" w:type="dxa"/>
                  <w:vMerge w:val="continue"/>
                  <w:tcBorders>
                    <w:tl2br w:val="nil"/>
                    <w:tr2bl w:val="nil"/>
                  </w:tcBorders>
                  <w:vAlign w:val="center"/>
                </w:tcPr>
                <w:p>
                  <w:pPr>
                    <w:pStyle w:val="30"/>
                    <w:bidi w:val="0"/>
                    <w:rPr>
                      <w:rFonts w:hint="default"/>
                    </w:rPr>
                  </w:pPr>
                </w:p>
              </w:tc>
              <w:tc>
                <w:tcPr>
                  <w:tcW w:w="438" w:type="dxa"/>
                  <w:vMerge w:val="continue"/>
                  <w:tcBorders>
                    <w:tl2br w:val="nil"/>
                    <w:tr2bl w:val="nil"/>
                  </w:tcBorders>
                  <w:vAlign w:val="center"/>
                </w:tcPr>
                <w:p>
                  <w:pPr>
                    <w:pStyle w:val="30"/>
                    <w:bidi w:val="0"/>
                    <w:rPr>
                      <w:rFonts w:hint="default"/>
                    </w:rPr>
                  </w:pPr>
                </w:p>
              </w:tc>
              <w:tc>
                <w:tcPr>
                  <w:tcW w:w="1461" w:type="dxa"/>
                  <w:vMerge w:val="continue"/>
                  <w:tcBorders>
                    <w:tl2br w:val="nil"/>
                    <w:tr2bl w:val="nil"/>
                  </w:tcBorders>
                  <w:vAlign w:val="center"/>
                </w:tcPr>
                <w:p>
                  <w:pPr>
                    <w:pStyle w:val="30"/>
                    <w:bidi w:val="0"/>
                    <w:rPr>
                      <w:rFonts w:hint="default"/>
                    </w:rPr>
                  </w:pPr>
                </w:p>
              </w:tc>
              <w:tc>
                <w:tcPr>
                  <w:tcW w:w="528" w:type="dxa"/>
                  <w:vMerge w:val="continue"/>
                  <w:tcBorders>
                    <w:tl2br w:val="nil"/>
                    <w:tr2bl w:val="nil"/>
                  </w:tcBorders>
                  <w:vAlign w:val="center"/>
                </w:tcPr>
                <w:p>
                  <w:pPr>
                    <w:pStyle w:val="30"/>
                    <w:bidi w:val="0"/>
                    <w:rPr>
                      <w:rFonts w:hint="default"/>
                    </w:rPr>
                  </w:pPr>
                </w:p>
              </w:tc>
              <w:tc>
                <w:tcPr>
                  <w:tcW w:w="514" w:type="dxa"/>
                  <w:vMerge w:val="continue"/>
                  <w:tcBorders>
                    <w:tl2br w:val="nil"/>
                    <w:tr2bl w:val="nil"/>
                  </w:tcBorders>
                  <w:vAlign w:val="center"/>
                </w:tcPr>
                <w:p>
                  <w:pPr>
                    <w:pStyle w:val="30"/>
                    <w:bidi w:val="0"/>
                    <w:rPr>
                      <w:rFonts w:hint="default"/>
                    </w:rPr>
                  </w:pPr>
                </w:p>
              </w:tc>
              <w:tc>
                <w:tcPr>
                  <w:tcW w:w="438" w:type="dxa"/>
                  <w:vMerge w:val="continue"/>
                  <w:tcBorders>
                    <w:tl2br w:val="nil"/>
                    <w:tr2bl w:val="nil"/>
                  </w:tcBorders>
                  <w:vAlign w:val="center"/>
                </w:tcPr>
                <w:p>
                  <w:pPr>
                    <w:pStyle w:val="30"/>
                    <w:bidi w:val="0"/>
                    <w:rPr>
                      <w:rFonts w:hint="default"/>
                    </w:rPr>
                  </w:pPr>
                </w:p>
              </w:tc>
              <w:tc>
                <w:tcPr>
                  <w:tcW w:w="351" w:type="dxa"/>
                  <w:vMerge w:val="continue"/>
                  <w:tcBorders>
                    <w:tl2br w:val="nil"/>
                    <w:tr2bl w:val="nil"/>
                  </w:tcBorders>
                  <w:vAlign w:val="center"/>
                </w:tcPr>
                <w:p>
                  <w:pPr>
                    <w:pStyle w:val="30"/>
                    <w:bidi w:val="0"/>
                    <w:rPr>
                      <w:rFonts w:hint="default"/>
                    </w:rPr>
                  </w:pPr>
                </w:p>
              </w:tc>
              <w:tc>
                <w:tcPr>
                  <w:tcW w:w="438" w:type="dxa"/>
                  <w:tcBorders>
                    <w:tl2br w:val="nil"/>
                    <w:tr2bl w:val="nil"/>
                  </w:tcBorders>
                  <w:vAlign w:val="center"/>
                </w:tcPr>
                <w:p>
                  <w:pPr>
                    <w:pStyle w:val="30"/>
                    <w:bidi w:val="0"/>
                    <w:rPr>
                      <w:rFonts w:hint="default"/>
                    </w:rPr>
                  </w:pPr>
                  <w:r>
                    <w:rPr>
                      <w:rFonts w:hint="default"/>
                    </w:rPr>
                    <w:t>北</w:t>
                  </w:r>
                </w:p>
              </w:tc>
              <w:tc>
                <w:tcPr>
                  <w:tcW w:w="549" w:type="dxa"/>
                  <w:tcBorders>
                    <w:tl2br w:val="nil"/>
                    <w:tr2bl w:val="nil"/>
                  </w:tcBorders>
                  <w:shd w:val="clear" w:color="auto" w:fill="auto"/>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40</w:t>
                  </w:r>
                </w:p>
              </w:tc>
              <w:tc>
                <w:tcPr>
                  <w:tcW w:w="847" w:type="dxa"/>
                  <w:tcBorders>
                    <w:tl2br w:val="nil"/>
                    <w:tr2bl w:val="nil"/>
                  </w:tcBorders>
                  <w:shd w:val="clear" w:color="auto" w:fill="auto"/>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33</w:t>
                  </w:r>
                </w:p>
              </w:tc>
              <w:tc>
                <w:tcPr>
                  <w:tcW w:w="549" w:type="dxa"/>
                  <w:vMerge w:val="continue"/>
                  <w:tcBorders>
                    <w:tl2br w:val="nil"/>
                    <w:tr2bl w:val="nil"/>
                  </w:tcBorders>
                  <w:vAlign w:val="center"/>
                </w:tcPr>
                <w:p>
                  <w:pPr>
                    <w:pStyle w:val="30"/>
                    <w:bidi w:val="0"/>
                    <w:rPr>
                      <w:rFonts w:hint="default"/>
                    </w:rPr>
                  </w:pPr>
                </w:p>
              </w:tc>
              <w:tc>
                <w:tcPr>
                  <w:tcW w:w="847" w:type="dxa"/>
                  <w:vMerge w:val="continue"/>
                  <w:tcBorders>
                    <w:tl2br w:val="nil"/>
                    <w:tr2bl w:val="nil"/>
                  </w:tcBorders>
                  <w:vAlign w:val="center"/>
                </w:tcPr>
                <w:p>
                  <w:pPr>
                    <w:pStyle w:val="30"/>
                    <w:bidi w:val="0"/>
                    <w:rPr>
                      <w:rFonts w:hint="default"/>
                    </w:rPr>
                  </w:pPr>
                </w:p>
              </w:tc>
              <w:tc>
                <w:tcPr>
                  <w:tcW w:w="848" w:type="dxa"/>
                  <w:tcBorders>
                    <w:tl2br w:val="nil"/>
                    <w:tr2bl w:val="nil"/>
                  </w:tcBorders>
                  <w:shd w:val="clear" w:color="auto" w:fill="auto"/>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13</w:t>
                  </w:r>
                </w:p>
              </w:tc>
              <w:tc>
                <w:tcPr>
                  <w:tcW w:w="439" w:type="dxa"/>
                  <w:tcBorders>
                    <w:tl2br w:val="nil"/>
                    <w:tr2bl w:val="nil"/>
                  </w:tcBorders>
                  <w:vAlign w:val="center"/>
                </w:tcPr>
                <w:p>
                  <w:pPr>
                    <w:pStyle w:val="30"/>
                    <w:bidi w:val="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85" w:type="dxa"/>
                  <w:gridSpan w:val="14"/>
                  <w:tcBorders>
                    <w:tl2br w:val="nil"/>
                    <w:tr2bl w:val="nil"/>
                  </w:tcBorders>
                  <w:vAlign w:val="center"/>
                </w:tcPr>
                <w:p>
                  <w:pPr>
                    <w:pStyle w:val="30"/>
                    <w:bidi w:val="0"/>
                    <w:jc w:val="left"/>
                    <w:rPr>
                      <w:rFonts w:hint="default"/>
                    </w:rPr>
                  </w:pPr>
                  <w:r>
                    <w:rPr>
                      <w:rFonts w:hint="eastAsia"/>
                      <w:lang w:val="en-US" w:eastAsia="zh-CN"/>
                    </w:rPr>
                    <w:t>注：以综合楼中心为原点</w:t>
                  </w:r>
                  <w:r>
                    <w:rPr>
                      <w:rFonts w:hint="default"/>
                      <w:lang w:val="en-US" w:eastAsia="zh-CN"/>
                    </w:rPr>
                    <w:t>(0</w:t>
                  </w:r>
                  <w:r>
                    <w:rPr>
                      <w:rFonts w:hint="eastAsia"/>
                      <w:lang w:val="en-US" w:eastAsia="zh-CN"/>
                    </w:rPr>
                    <w:t>，</w:t>
                  </w:r>
                  <w:r>
                    <w:rPr>
                      <w:rFonts w:hint="default"/>
                      <w:lang w:val="en-US" w:eastAsia="zh-CN"/>
                    </w:rPr>
                    <w:t>0</w:t>
                  </w:r>
                  <w:r>
                    <w:rPr>
                      <w:rFonts w:hint="eastAsia"/>
                      <w:lang w:val="en-US" w:eastAsia="zh-CN"/>
                    </w:rPr>
                    <w:t>，</w:t>
                  </w:r>
                  <w:r>
                    <w:rPr>
                      <w:rFonts w:hint="default"/>
                      <w:lang w:val="en-US" w:eastAsia="zh-CN"/>
                    </w:rPr>
                    <w:t>0)</w:t>
                  </w:r>
                  <w:r>
                    <w:rPr>
                      <w:rFonts w:hint="eastAsia"/>
                      <w:lang w:val="en-US" w:eastAsia="zh-CN"/>
                    </w:rPr>
                    <w:t>，东西向为</w:t>
                  </w:r>
                  <w:r>
                    <w:rPr>
                      <w:rFonts w:hint="default"/>
                      <w:lang w:val="en-US" w:eastAsia="zh-CN"/>
                    </w:rPr>
                    <w:t>X</w:t>
                  </w:r>
                  <w:r>
                    <w:rPr>
                      <w:rFonts w:hint="eastAsia"/>
                      <w:lang w:val="en-US" w:eastAsia="zh-CN"/>
                    </w:rPr>
                    <w:t>轴，南北向为</w:t>
                  </w:r>
                  <w:r>
                    <w:rPr>
                      <w:rFonts w:hint="default"/>
                      <w:lang w:val="en-US" w:eastAsia="zh-CN"/>
                    </w:rPr>
                    <w:t>Y</w:t>
                  </w:r>
                  <w:r>
                    <w:rPr>
                      <w:rFonts w:hint="eastAsia"/>
                      <w:lang w:val="en-US" w:eastAsia="zh-CN"/>
                    </w:rPr>
                    <w:t>轴，竖向为</w:t>
                  </w:r>
                  <w:r>
                    <w:rPr>
                      <w:rFonts w:hint="default"/>
                      <w:lang w:val="en-US" w:eastAsia="zh-CN"/>
                    </w:rPr>
                    <w:t>Z</w:t>
                  </w:r>
                  <w:r>
                    <w:rPr>
                      <w:rFonts w:hint="eastAsia"/>
                      <w:lang w:val="en-US" w:eastAsia="zh-CN"/>
                    </w:rPr>
                    <w:t>轴，</w:t>
                  </w:r>
                  <w:r>
                    <w:rPr>
                      <w:rFonts w:hint="default"/>
                      <w:lang w:val="en-US" w:eastAsia="zh-CN"/>
                    </w:rPr>
                    <w:t>1m</w:t>
                  </w:r>
                  <w:r>
                    <w:rPr>
                      <w:rFonts w:hint="eastAsia"/>
                      <w:lang w:val="en-US" w:eastAsia="zh-CN"/>
                    </w:rPr>
                    <w:t>为一个单位。</w:t>
                  </w:r>
                </w:p>
              </w:tc>
            </w:tr>
          </w:tbl>
          <w:p>
            <w:pPr>
              <w:pStyle w:val="29"/>
              <w:bidi w:val="0"/>
              <w:rPr>
                <w:u w:val="single"/>
              </w:rPr>
            </w:pPr>
            <w:r>
              <w:rPr>
                <w:u w:val="single"/>
              </w:rPr>
              <w:t>表</w:t>
            </w:r>
            <w:r>
              <w:rPr>
                <w:rFonts w:hint="eastAsia"/>
                <w:u w:val="single"/>
                <w:lang w:val="en-US" w:eastAsia="zh-CN"/>
              </w:rPr>
              <w:t>4.2-12（2）</w:t>
            </w:r>
            <w:r>
              <w:rPr>
                <w:u w:val="single"/>
              </w:rPr>
              <w:t>本项目噪声源强调查清单(室外声源)</w:t>
            </w:r>
          </w:p>
          <w:tbl>
            <w:tblPr>
              <w:tblStyle w:val="32"/>
              <w:tblW w:w="8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4"/>
              <w:gridCol w:w="1005"/>
              <w:gridCol w:w="625"/>
              <w:gridCol w:w="587"/>
              <w:gridCol w:w="540"/>
              <w:gridCol w:w="731"/>
              <w:gridCol w:w="1429"/>
              <w:gridCol w:w="1842"/>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624" w:type="dxa"/>
                  <w:vMerge w:val="restart"/>
                  <w:vAlign w:val="center"/>
                </w:tcPr>
                <w:p>
                  <w:pPr>
                    <w:pStyle w:val="30"/>
                    <w:bidi w:val="0"/>
                    <w:jc w:val="center"/>
                  </w:pPr>
                  <w:r>
                    <w:t>序号</w:t>
                  </w:r>
                </w:p>
              </w:tc>
              <w:tc>
                <w:tcPr>
                  <w:tcW w:w="1005" w:type="dxa"/>
                  <w:vMerge w:val="restart"/>
                  <w:vAlign w:val="center"/>
                </w:tcPr>
                <w:p>
                  <w:pPr>
                    <w:pStyle w:val="30"/>
                    <w:bidi w:val="0"/>
                    <w:jc w:val="center"/>
                  </w:pPr>
                  <w:r>
                    <w:t>声源名称</w:t>
                  </w:r>
                </w:p>
              </w:tc>
              <w:tc>
                <w:tcPr>
                  <w:tcW w:w="625" w:type="dxa"/>
                  <w:vMerge w:val="restart"/>
                  <w:vAlign w:val="center"/>
                </w:tcPr>
                <w:p>
                  <w:pPr>
                    <w:pStyle w:val="30"/>
                    <w:bidi w:val="0"/>
                    <w:jc w:val="center"/>
                  </w:pPr>
                  <w:r>
                    <w:t>型号</w:t>
                  </w:r>
                </w:p>
              </w:tc>
              <w:tc>
                <w:tcPr>
                  <w:tcW w:w="1858" w:type="dxa"/>
                  <w:gridSpan w:val="3"/>
                  <w:vAlign w:val="center"/>
                </w:tcPr>
                <w:p>
                  <w:pPr>
                    <w:pStyle w:val="30"/>
                    <w:bidi w:val="0"/>
                    <w:jc w:val="center"/>
                  </w:pPr>
                  <w:r>
                    <w:t>空间相对位置/m</w:t>
                  </w:r>
                </w:p>
              </w:tc>
              <w:tc>
                <w:tcPr>
                  <w:tcW w:w="1429" w:type="dxa"/>
                  <w:vMerge w:val="restart"/>
                  <w:vAlign w:val="center"/>
                </w:tcPr>
                <w:p>
                  <w:pPr>
                    <w:pStyle w:val="30"/>
                    <w:bidi w:val="0"/>
                    <w:jc w:val="center"/>
                  </w:pPr>
                  <w:r>
                    <w:t>声压级/距声源距离)/</w:t>
                  </w:r>
                </w:p>
                <w:p>
                  <w:pPr>
                    <w:pStyle w:val="30"/>
                    <w:bidi w:val="0"/>
                    <w:jc w:val="center"/>
                  </w:pPr>
                  <w:r>
                    <w:t>(dB(A)/m)</w:t>
                  </w:r>
                </w:p>
              </w:tc>
              <w:tc>
                <w:tcPr>
                  <w:tcW w:w="1842" w:type="dxa"/>
                  <w:vMerge w:val="restart"/>
                  <w:vAlign w:val="center"/>
                </w:tcPr>
                <w:p>
                  <w:pPr>
                    <w:pStyle w:val="30"/>
                    <w:bidi w:val="0"/>
                    <w:jc w:val="center"/>
                  </w:pPr>
                  <w:r>
                    <w:t>声源控制措施</w:t>
                  </w:r>
                </w:p>
              </w:tc>
              <w:tc>
                <w:tcPr>
                  <w:tcW w:w="1297" w:type="dxa"/>
                  <w:vMerge w:val="restart"/>
                  <w:vAlign w:val="center"/>
                </w:tcPr>
                <w:p>
                  <w:pPr>
                    <w:pStyle w:val="30"/>
                    <w:bidi w:val="0"/>
                    <w:jc w:val="center"/>
                  </w:pPr>
                  <w: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624" w:type="dxa"/>
                  <w:vMerge w:val="continue"/>
                  <w:vAlign w:val="center"/>
                </w:tcPr>
                <w:p>
                  <w:pPr>
                    <w:pStyle w:val="30"/>
                    <w:bidi w:val="0"/>
                    <w:jc w:val="center"/>
                  </w:pPr>
                </w:p>
              </w:tc>
              <w:tc>
                <w:tcPr>
                  <w:tcW w:w="1005" w:type="dxa"/>
                  <w:vMerge w:val="continue"/>
                  <w:vAlign w:val="center"/>
                </w:tcPr>
                <w:p>
                  <w:pPr>
                    <w:pStyle w:val="30"/>
                    <w:bidi w:val="0"/>
                    <w:jc w:val="center"/>
                  </w:pPr>
                </w:p>
              </w:tc>
              <w:tc>
                <w:tcPr>
                  <w:tcW w:w="625" w:type="dxa"/>
                  <w:vMerge w:val="continue"/>
                  <w:vAlign w:val="center"/>
                </w:tcPr>
                <w:p>
                  <w:pPr>
                    <w:pStyle w:val="30"/>
                    <w:bidi w:val="0"/>
                    <w:jc w:val="center"/>
                  </w:pPr>
                </w:p>
              </w:tc>
              <w:tc>
                <w:tcPr>
                  <w:tcW w:w="587" w:type="dxa"/>
                  <w:vAlign w:val="center"/>
                </w:tcPr>
                <w:p>
                  <w:pPr>
                    <w:pStyle w:val="30"/>
                    <w:bidi w:val="0"/>
                    <w:jc w:val="center"/>
                  </w:pPr>
                  <w:r>
                    <w:t>X</w:t>
                  </w:r>
                </w:p>
              </w:tc>
              <w:tc>
                <w:tcPr>
                  <w:tcW w:w="540" w:type="dxa"/>
                  <w:vAlign w:val="center"/>
                </w:tcPr>
                <w:p>
                  <w:pPr>
                    <w:pStyle w:val="30"/>
                    <w:bidi w:val="0"/>
                    <w:jc w:val="center"/>
                  </w:pPr>
                  <w:r>
                    <w:t>Y</w:t>
                  </w:r>
                </w:p>
              </w:tc>
              <w:tc>
                <w:tcPr>
                  <w:tcW w:w="731" w:type="dxa"/>
                  <w:vAlign w:val="center"/>
                </w:tcPr>
                <w:p>
                  <w:pPr>
                    <w:pStyle w:val="30"/>
                    <w:bidi w:val="0"/>
                    <w:jc w:val="center"/>
                  </w:pPr>
                  <w:r>
                    <w:t>Z</w:t>
                  </w:r>
                </w:p>
              </w:tc>
              <w:tc>
                <w:tcPr>
                  <w:tcW w:w="1429" w:type="dxa"/>
                  <w:vMerge w:val="continue"/>
                  <w:vAlign w:val="center"/>
                </w:tcPr>
                <w:p>
                  <w:pPr>
                    <w:pStyle w:val="30"/>
                    <w:bidi w:val="0"/>
                    <w:jc w:val="center"/>
                  </w:pPr>
                </w:p>
              </w:tc>
              <w:tc>
                <w:tcPr>
                  <w:tcW w:w="1842" w:type="dxa"/>
                  <w:vMerge w:val="continue"/>
                  <w:vAlign w:val="center"/>
                </w:tcPr>
                <w:p>
                  <w:pPr>
                    <w:pStyle w:val="30"/>
                    <w:bidi w:val="0"/>
                    <w:jc w:val="center"/>
                  </w:pPr>
                </w:p>
              </w:tc>
              <w:tc>
                <w:tcPr>
                  <w:tcW w:w="1297" w:type="dxa"/>
                  <w:vMerge w:val="continue"/>
                  <w:vAlign w:val="center"/>
                </w:tcPr>
                <w:p>
                  <w:pPr>
                    <w:pStyle w:val="30"/>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624" w:type="dxa"/>
                  <w:vAlign w:val="center"/>
                </w:tcPr>
                <w:p>
                  <w:pPr>
                    <w:pStyle w:val="30"/>
                    <w:bidi w:val="0"/>
                    <w:jc w:val="center"/>
                  </w:pPr>
                  <w:r>
                    <w:t>1</w:t>
                  </w:r>
                </w:p>
              </w:tc>
              <w:tc>
                <w:tcPr>
                  <w:tcW w:w="1005" w:type="dxa"/>
                  <w:vAlign w:val="center"/>
                </w:tcPr>
                <w:p>
                  <w:pPr>
                    <w:pStyle w:val="30"/>
                    <w:bidi w:val="0"/>
                    <w:jc w:val="center"/>
                  </w:pPr>
                  <w:r>
                    <w:rPr>
                      <w:rFonts w:hint="eastAsia"/>
                      <w:lang w:val="en-US" w:eastAsia="zh-CN"/>
                    </w:rPr>
                    <w:t>污水站风机</w:t>
                  </w:r>
                </w:p>
              </w:tc>
              <w:tc>
                <w:tcPr>
                  <w:tcW w:w="625" w:type="dxa"/>
                  <w:vAlign w:val="center"/>
                </w:tcPr>
                <w:p>
                  <w:pPr>
                    <w:pStyle w:val="30"/>
                    <w:bidi w:val="0"/>
                    <w:jc w:val="center"/>
                  </w:pPr>
                  <w:r>
                    <w:t>/</w:t>
                  </w:r>
                </w:p>
              </w:tc>
              <w:tc>
                <w:tcPr>
                  <w:tcW w:w="587" w:type="dxa"/>
                  <w:shd w:val="clear" w:color="auto" w:fill="auto"/>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-26</w:t>
                  </w:r>
                </w:p>
              </w:tc>
              <w:tc>
                <w:tcPr>
                  <w:tcW w:w="540" w:type="dxa"/>
                  <w:shd w:val="clear" w:color="auto" w:fill="auto"/>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-35</w:t>
                  </w:r>
                </w:p>
              </w:tc>
              <w:tc>
                <w:tcPr>
                  <w:tcW w:w="731" w:type="dxa"/>
                  <w:shd w:val="clear" w:color="auto" w:fill="auto"/>
                  <w:vAlign w:val="center"/>
                </w:tcPr>
                <w:p>
                  <w:pPr>
                    <w:pStyle w:val="30"/>
                    <w:bidi w:val="0"/>
                    <w:rPr>
                      <w:rFonts w:hint="eastAsia" w:ascii="Times New Roman" w:hAnsi="Times New Roman" w:eastAsia="宋体" w:cstheme="minorBidi"/>
                      <w:snapToGrid w:val="0"/>
                      <w:spacing w:val="6"/>
                      <w:kern w:val="2"/>
                      <w:sz w:val="21"/>
                      <w:szCs w:val="21"/>
                      <w:lang w:val="en-US" w:eastAsia="zh-CN" w:bidi="ar-SA"/>
                    </w:rPr>
                  </w:pPr>
                  <w:r>
                    <w:rPr>
                      <w:rFonts w:hint="eastAsia"/>
                      <w:lang w:val="en-US" w:eastAsia="zh-CN"/>
                    </w:rPr>
                    <w:t>0</w:t>
                  </w:r>
                </w:p>
              </w:tc>
              <w:tc>
                <w:tcPr>
                  <w:tcW w:w="1429" w:type="dxa"/>
                  <w:vAlign w:val="center"/>
                </w:tcPr>
                <w:p>
                  <w:pPr>
                    <w:pStyle w:val="30"/>
                    <w:bidi w:val="0"/>
                    <w:jc w:val="center"/>
                  </w:pPr>
                  <w:r>
                    <w:t>85/1</w:t>
                  </w:r>
                </w:p>
              </w:tc>
              <w:tc>
                <w:tcPr>
                  <w:tcW w:w="1842" w:type="dxa"/>
                  <w:vAlign w:val="center"/>
                </w:tcPr>
                <w:p>
                  <w:pPr>
                    <w:pStyle w:val="30"/>
                    <w:bidi w:val="0"/>
                    <w:jc w:val="center"/>
                  </w:pPr>
                  <w:r>
                    <w:t>选用低噪声设备、加设隔声罩等，隔声量约10dB(A)</w:t>
                  </w:r>
                </w:p>
              </w:tc>
              <w:tc>
                <w:tcPr>
                  <w:tcW w:w="1297" w:type="dxa"/>
                  <w:vAlign w:val="center"/>
                </w:tcPr>
                <w:p>
                  <w:pPr>
                    <w:pStyle w:val="30"/>
                    <w:bidi w:val="0"/>
                    <w:jc w:val="center"/>
                  </w:pPr>
                  <w:r>
                    <w:t>工作时间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8680" w:type="dxa"/>
                  <w:gridSpan w:val="9"/>
                  <w:vAlign w:val="center"/>
                </w:tcPr>
                <w:p>
                  <w:pPr>
                    <w:pStyle w:val="30"/>
                    <w:bidi w:val="0"/>
                    <w:jc w:val="center"/>
                  </w:pPr>
                  <w:r>
                    <w:rPr>
                      <w:rFonts w:hint="eastAsia"/>
                      <w:lang w:val="en-US" w:eastAsia="zh-CN"/>
                    </w:rPr>
                    <w:t>注：以综合楼中心为原点</w:t>
                  </w:r>
                  <w:r>
                    <w:rPr>
                      <w:rFonts w:hint="default"/>
                      <w:lang w:val="en-US" w:eastAsia="zh-CN"/>
                    </w:rPr>
                    <w:t>(0</w:t>
                  </w:r>
                  <w:r>
                    <w:rPr>
                      <w:rFonts w:hint="eastAsia"/>
                      <w:lang w:val="en-US" w:eastAsia="zh-CN"/>
                    </w:rPr>
                    <w:t>，</w:t>
                  </w:r>
                  <w:r>
                    <w:rPr>
                      <w:rFonts w:hint="default"/>
                      <w:lang w:val="en-US" w:eastAsia="zh-CN"/>
                    </w:rPr>
                    <w:t>0</w:t>
                  </w:r>
                  <w:r>
                    <w:rPr>
                      <w:rFonts w:hint="eastAsia"/>
                      <w:lang w:val="en-US" w:eastAsia="zh-CN"/>
                    </w:rPr>
                    <w:t>，</w:t>
                  </w:r>
                  <w:r>
                    <w:rPr>
                      <w:rFonts w:hint="default"/>
                      <w:lang w:val="en-US" w:eastAsia="zh-CN"/>
                    </w:rPr>
                    <w:t>0)</w:t>
                  </w:r>
                  <w:r>
                    <w:rPr>
                      <w:rFonts w:hint="eastAsia"/>
                      <w:lang w:val="en-US" w:eastAsia="zh-CN"/>
                    </w:rPr>
                    <w:t>，东西向为</w:t>
                  </w:r>
                  <w:r>
                    <w:rPr>
                      <w:rFonts w:hint="default"/>
                      <w:lang w:val="en-US" w:eastAsia="zh-CN"/>
                    </w:rPr>
                    <w:t>X</w:t>
                  </w:r>
                  <w:r>
                    <w:rPr>
                      <w:rFonts w:hint="eastAsia"/>
                      <w:lang w:val="en-US" w:eastAsia="zh-CN"/>
                    </w:rPr>
                    <w:t>轴，南北向为</w:t>
                  </w:r>
                  <w:r>
                    <w:rPr>
                      <w:rFonts w:hint="default"/>
                      <w:lang w:val="en-US" w:eastAsia="zh-CN"/>
                    </w:rPr>
                    <w:t>Y</w:t>
                  </w:r>
                  <w:r>
                    <w:rPr>
                      <w:rFonts w:hint="eastAsia"/>
                      <w:lang w:val="en-US" w:eastAsia="zh-CN"/>
                    </w:rPr>
                    <w:t>轴，竖向为</w:t>
                  </w:r>
                  <w:r>
                    <w:rPr>
                      <w:rFonts w:hint="default"/>
                      <w:lang w:val="en-US" w:eastAsia="zh-CN"/>
                    </w:rPr>
                    <w:t>Z</w:t>
                  </w:r>
                  <w:r>
                    <w:rPr>
                      <w:rFonts w:hint="eastAsia"/>
                      <w:lang w:val="en-US" w:eastAsia="zh-CN"/>
                    </w:rPr>
                    <w:t>轴，</w:t>
                  </w:r>
                  <w:r>
                    <w:rPr>
                      <w:rFonts w:hint="default"/>
                      <w:lang w:val="en-US" w:eastAsia="zh-CN"/>
                    </w:rPr>
                    <w:t>1m</w:t>
                  </w:r>
                  <w:r>
                    <w:rPr>
                      <w:rFonts w:hint="eastAsia"/>
                      <w:lang w:val="en-US" w:eastAsia="zh-CN"/>
                    </w:rPr>
                    <w:t>为一个单位。</w:t>
                  </w:r>
                </w:p>
              </w:tc>
            </w:tr>
          </w:tbl>
          <w:p>
            <w:pPr>
              <w:pStyle w:val="12"/>
              <w:bidi w:val="0"/>
              <w:rPr>
                <w:rFonts w:hint="default"/>
                <w:lang w:val="en-US" w:eastAsia="zh-CN"/>
              </w:rPr>
            </w:pPr>
            <w:r>
              <w:rPr>
                <w:rFonts w:hint="eastAsia"/>
                <w:lang w:val="en-US" w:eastAsia="zh-CN"/>
              </w:rPr>
              <w:t>3.2</w:t>
            </w:r>
            <w:r>
              <w:rPr>
                <w:rFonts w:hint="default"/>
                <w:lang w:val="en-US" w:eastAsia="zh-CN"/>
              </w:rPr>
              <w:t>噪声达标分析</w:t>
            </w:r>
          </w:p>
          <w:p>
            <w:pPr>
              <w:pStyle w:val="12"/>
              <w:bidi w:val="0"/>
              <w:rPr>
                <w:rFonts w:hint="default"/>
                <w:lang w:eastAsia="zh-CN"/>
              </w:rPr>
            </w:pPr>
            <w:r>
              <w:rPr>
                <w:rFonts w:hint="default"/>
                <w:lang w:val="en-US" w:eastAsia="zh-CN"/>
              </w:rPr>
              <w:t>1）</w:t>
            </w:r>
            <w:r>
              <w:rPr>
                <w:rFonts w:hint="default"/>
              </w:rPr>
              <w:t>本项目采用噪声预测模式进行预测计算</w:t>
            </w:r>
            <w:r>
              <w:rPr>
                <w:rFonts w:hint="default"/>
                <w:lang w:eastAsia="zh-CN"/>
              </w:rPr>
              <w:t>。</w:t>
            </w:r>
          </w:p>
          <w:p>
            <w:pPr>
              <w:pStyle w:val="12"/>
              <w:bidi w:val="0"/>
            </w:pPr>
            <w:r>
              <w:rPr>
                <w:rFonts w:hint="eastAsia"/>
                <w:lang w:val="en-US" w:eastAsia="zh-CN"/>
              </w:rPr>
              <w:t>根据各主要噪声设备在厂区的分布情况和四周厂界的距离情况，本评价采用《环境影响评价技术导则声环境》（</w:t>
            </w:r>
            <w:r>
              <w:rPr>
                <w:rFonts w:hint="default"/>
                <w:lang w:val="en-US" w:eastAsia="zh-CN"/>
              </w:rPr>
              <w:t>HJ2.4-2021</w:t>
            </w:r>
            <w:r>
              <w:rPr>
                <w:rFonts w:hint="eastAsia"/>
                <w:lang w:val="en-US" w:eastAsia="zh-CN"/>
              </w:rPr>
              <w:t>）中工业噪声预测计算模式计算预测点新增噪声源的污染水平，模式如下：</w:t>
            </w:r>
          </w:p>
          <w:p>
            <w:pPr>
              <w:pStyle w:val="12"/>
              <w:bidi w:val="0"/>
              <w:rPr>
                <w:rFonts w:hint="eastAsia"/>
                <w:lang w:val="en-US" w:eastAsia="zh-CN"/>
              </w:rPr>
            </w:pPr>
            <w:r>
              <w:rPr>
                <w:rFonts w:hint="eastAsia"/>
                <w:lang w:val="en-US" w:eastAsia="zh-CN"/>
              </w:rPr>
              <w:t>①室内声源等效室外声源声功率级计算方法</w:t>
            </w:r>
          </w:p>
          <w:p>
            <w:pPr>
              <w:pStyle w:val="12"/>
              <w:bidi w:val="0"/>
            </w:pPr>
            <w:r>
              <w:rPr>
                <w:rFonts w:hint="eastAsia"/>
                <w:lang w:val="en-US" w:eastAsia="zh-CN"/>
              </w:rPr>
              <w:t>如图</w:t>
            </w:r>
            <w:r>
              <w:rPr>
                <w:rFonts w:hint="default"/>
                <w:lang w:val="en-US" w:eastAsia="zh-CN"/>
              </w:rPr>
              <w:t>B.1</w:t>
            </w:r>
            <w:r>
              <w:rPr>
                <w:rFonts w:hint="eastAsia"/>
                <w:lang w:val="en-US" w:eastAsia="zh-CN"/>
              </w:rPr>
              <w:t>所示，声源位于室内，室内声源可采用等效室外声源声功率级法进行计算。设靠近开口处</w:t>
            </w:r>
            <w:r>
              <w:rPr>
                <w:rFonts w:hint="default"/>
                <w:lang w:val="en-US" w:eastAsia="zh-CN"/>
              </w:rPr>
              <w:t>(</w:t>
            </w:r>
            <w:r>
              <w:rPr>
                <w:rFonts w:hint="eastAsia"/>
                <w:lang w:val="en-US" w:eastAsia="zh-CN"/>
              </w:rPr>
              <w:t>或窗户</w:t>
            </w:r>
            <w:r>
              <w:rPr>
                <w:rFonts w:hint="default"/>
                <w:lang w:val="en-US" w:eastAsia="zh-CN"/>
              </w:rPr>
              <w:t>)</w:t>
            </w:r>
            <w:r>
              <w:rPr>
                <w:rFonts w:hint="eastAsia"/>
                <w:lang w:val="en-US" w:eastAsia="zh-CN"/>
              </w:rPr>
              <w:t>室内、室外某倍频带的声压级或</w:t>
            </w:r>
            <w:r>
              <w:rPr>
                <w:rFonts w:hint="default"/>
                <w:lang w:val="en-US" w:eastAsia="zh-CN"/>
              </w:rPr>
              <w:t>A</w:t>
            </w:r>
            <w:r>
              <w:rPr>
                <w:rFonts w:hint="eastAsia"/>
                <w:lang w:val="en-US" w:eastAsia="zh-CN"/>
              </w:rPr>
              <w:t>声级分别为</w:t>
            </w:r>
            <w:r>
              <w:rPr>
                <w:rFonts w:hint="default"/>
                <w:lang w:val="en-US" w:eastAsia="zh-CN"/>
              </w:rPr>
              <w:t>LDA001</w:t>
            </w:r>
            <w:r>
              <w:rPr>
                <w:rFonts w:hint="eastAsia"/>
                <w:lang w:val="en-US" w:eastAsia="zh-CN"/>
              </w:rPr>
              <w:t>和</w:t>
            </w:r>
            <w:r>
              <w:rPr>
                <w:rFonts w:hint="default"/>
                <w:lang w:val="en-US" w:eastAsia="zh-CN"/>
              </w:rPr>
              <w:t>Lp2</w:t>
            </w:r>
            <w:r>
              <w:rPr>
                <w:rFonts w:hint="eastAsia"/>
                <w:lang w:val="en-US" w:eastAsia="zh-CN"/>
              </w:rPr>
              <w:t>。若声源所在室内声场为近似扩散声场，则室外的倍频带声压级可按式</w:t>
            </w:r>
            <w:r>
              <w:rPr>
                <w:rFonts w:hint="default"/>
                <w:lang w:val="en-US" w:eastAsia="zh-CN"/>
              </w:rPr>
              <w:t>(B.1)</w:t>
            </w:r>
            <w:r>
              <w:rPr>
                <w:rFonts w:hint="eastAsia"/>
                <w:lang w:val="en-US" w:eastAsia="zh-CN"/>
              </w:rPr>
              <w:t xml:space="preserve">近似求出： </w:t>
            </w:r>
          </w:p>
          <w:p>
            <w:pPr>
              <w:pStyle w:val="12"/>
              <w:bidi w:val="0"/>
              <w:jc w:val="center"/>
            </w:pPr>
            <w:r>
              <w:rPr>
                <w:rFonts w:hint="default"/>
                <w:lang w:val="en-US" w:eastAsia="zh-CN"/>
              </w:rPr>
              <w:t>Lp2=LDA001-(TL+6)</w:t>
            </w:r>
          </w:p>
          <w:p>
            <w:pPr>
              <w:pStyle w:val="12"/>
              <w:bidi w:val="0"/>
            </w:pPr>
            <w:r>
              <w:rPr>
                <w:rFonts w:hint="eastAsia"/>
                <w:lang w:val="en-US" w:eastAsia="zh-CN"/>
              </w:rPr>
              <w:t>式中：</w:t>
            </w:r>
            <w:r>
              <w:rPr>
                <w:rFonts w:hint="default"/>
                <w:lang w:val="en-US" w:eastAsia="zh-CN"/>
              </w:rPr>
              <w:t>LDA001——</w:t>
            </w:r>
            <w:r>
              <w:rPr>
                <w:rFonts w:hint="eastAsia"/>
                <w:lang w:val="en-US" w:eastAsia="zh-CN"/>
              </w:rPr>
              <w:t>靠近开口处</w:t>
            </w:r>
            <w:r>
              <w:rPr>
                <w:rFonts w:hint="default"/>
                <w:lang w:val="en-US" w:eastAsia="zh-CN"/>
              </w:rPr>
              <w:t>(</w:t>
            </w:r>
            <w:r>
              <w:rPr>
                <w:rFonts w:hint="eastAsia"/>
                <w:lang w:val="en-US" w:eastAsia="zh-CN"/>
              </w:rPr>
              <w:t>或窗户</w:t>
            </w:r>
            <w:r>
              <w:rPr>
                <w:rFonts w:hint="default"/>
                <w:lang w:val="en-US" w:eastAsia="zh-CN"/>
              </w:rPr>
              <w:t>)</w:t>
            </w:r>
            <w:r>
              <w:rPr>
                <w:rFonts w:hint="eastAsia"/>
                <w:lang w:val="en-US" w:eastAsia="zh-CN"/>
              </w:rPr>
              <w:t>室内某倍频带的声压级或</w:t>
            </w:r>
            <w:r>
              <w:rPr>
                <w:rFonts w:hint="default"/>
                <w:lang w:val="en-US" w:eastAsia="zh-CN"/>
              </w:rPr>
              <w:t>A</w:t>
            </w:r>
            <w:r>
              <w:rPr>
                <w:rFonts w:hint="eastAsia"/>
                <w:lang w:val="en-US" w:eastAsia="zh-CN"/>
              </w:rPr>
              <w:t>声级，</w:t>
            </w:r>
            <w:r>
              <w:rPr>
                <w:rFonts w:hint="default"/>
                <w:lang w:val="en-US" w:eastAsia="zh-CN"/>
              </w:rPr>
              <w:t>dB</w:t>
            </w:r>
            <w:r>
              <w:rPr>
                <w:rFonts w:hint="eastAsia"/>
                <w:lang w:val="en-US" w:eastAsia="zh-CN"/>
              </w:rPr>
              <w:t xml:space="preserve">； </w:t>
            </w:r>
          </w:p>
          <w:p>
            <w:pPr>
              <w:pStyle w:val="12"/>
              <w:bidi w:val="0"/>
            </w:pPr>
            <w:r>
              <w:rPr>
                <w:rFonts w:hint="default"/>
                <w:lang w:val="en-US" w:eastAsia="zh-CN"/>
              </w:rPr>
              <w:t>Lp2——</w:t>
            </w:r>
            <w:r>
              <w:rPr>
                <w:rFonts w:hint="eastAsia"/>
                <w:lang w:val="en-US" w:eastAsia="zh-CN"/>
              </w:rPr>
              <w:t>靠近开口处</w:t>
            </w:r>
            <w:r>
              <w:rPr>
                <w:rFonts w:hint="default"/>
                <w:lang w:val="en-US" w:eastAsia="zh-CN"/>
              </w:rPr>
              <w:t>(</w:t>
            </w:r>
            <w:r>
              <w:rPr>
                <w:rFonts w:hint="eastAsia"/>
                <w:lang w:val="en-US" w:eastAsia="zh-CN"/>
              </w:rPr>
              <w:t>或窗户</w:t>
            </w:r>
            <w:r>
              <w:rPr>
                <w:rFonts w:hint="default"/>
                <w:lang w:val="en-US" w:eastAsia="zh-CN"/>
              </w:rPr>
              <w:t>)</w:t>
            </w:r>
            <w:r>
              <w:rPr>
                <w:rFonts w:hint="eastAsia"/>
                <w:lang w:val="en-US" w:eastAsia="zh-CN"/>
              </w:rPr>
              <w:t>室外某倍频带的声压级或</w:t>
            </w:r>
            <w:r>
              <w:rPr>
                <w:rFonts w:hint="default"/>
                <w:lang w:val="en-US" w:eastAsia="zh-CN"/>
              </w:rPr>
              <w:t>A</w:t>
            </w:r>
            <w:r>
              <w:rPr>
                <w:rFonts w:hint="eastAsia"/>
                <w:lang w:val="en-US" w:eastAsia="zh-CN"/>
              </w:rPr>
              <w:t>声级，</w:t>
            </w:r>
            <w:r>
              <w:rPr>
                <w:rFonts w:hint="default"/>
                <w:lang w:val="en-US" w:eastAsia="zh-CN"/>
              </w:rPr>
              <w:t>dB</w:t>
            </w:r>
            <w:r>
              <w:rPr>
                <w:rFonts w:hint="eastAsia"/>
                <w:lang w:val="en-US" w:eastAsia="zh-CN"/>
              </w:rPr>
              <w:t xml:space="preserve">； </w:t>
            </w:r>
          </w:p>
          <w:p>
            <w:pPr>
              <w:pStyle w:val="12"/>
              <w:bidi w:val="0"/>
            </w:pPr>
            <w:r>
              <w:rPr>
                <w:rFonts w:hint="default"/>
                <w:lang w:val="en-US" w:eastAsia="zh-CN"/>
              </w:rPr>
              <w:t>TL——</w:t>
            </w:r>
            <w:r>
              <w:rPr>
                <w:rFonts w:hint="eastAsia"/>
                <w:lang w:val="en-US" w:eastAsia="zh-CN"/>
              </w:rPr>
              <w:t>隔墙</w:t>
            </w:r>
            <w:r>
              <w:rPr>
                <w:rFonts w:hint="default"/>
                <w:lang w:val="en-US" w:eastAsia="zh-CN"/>
              </w:rPr>
              <w:t>(</w:t>
            </w:r>
            <w:r>
              <w:rPr>
                <w:rFonts w:hint="eastAsia"/>
                <w:lang w:val="en-US" w:eastAsia="zh-CN"/>
              </w:rPr>
              <w:t>或窗户</w:t>
            </w:r>
            <w:r>
              <w:rPr>
                <w:rFonts w:hint="default"/>
                <w:lang w:val="en-US" w:eastAsia="zh-CN"/>
              </w:rPr>
              <w:t>)</w:t>
            </w:r>
            <w:r>
              <w:rPr>
                <w:rFonts w:hint="eastAsia"/>
                <w:lang w:val="en-US" w:eastAsia="zh-CN"/>
              </w:rPr>
              <w:t>倍频带或</w:t>
            </w:r>
            <w:r>
              <w:rPr>
                <w:rFonts w:hint="default"/>
                <w:lang w:val="en-US" w:eastAsia="zh-CN"/>
              </w:rPr>
              <w:t>A</w:t>
            </w:r>
            <w:r>
              <w:rPr>
                <w:rFonts w:hint="eastAsia"/>
                <w:lang w:val="en-US" w:eastAsia="zh-CN"/>
              </w:rPr>
              <w:t>声级的隔声量，</w:t>
            </w:r>
            <w:r>
              <w:rPr>
                <w:rFonts w:hint="default"/>
                <w:lang w:val="en-US" w:eastAsia="zh-CN"/>
              </w:rPr>
              <w:t>dB</w:t>
            </w:r>
            <w:r>
              <w:rPr>
                <w:rFonts w:hint="eastAsia"/>
                <w:lang w:val="en-US" w:eastAsia="zh-CN"/>
              </w:rPr>
              <w:t>。</w:t>
            </w:r>
          </w:p>
          <w:p>
            <w:pPr>
              <w:bidi w:val="0"/>
              <w:jc w:val="center"/>
            </w:pPr>
            <w:r>
              <w:drawing>
                <wp:inline distT="0" distB="0" distL="114300" distR="114300">
                  <wp:extent cx="4743450" cy="1629410"/>
                  <wp:effectExtent l="0" t="0" r="0" b="8890"/>
                  <wp:docPr id="10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2"/>
                          <pic:cNvPicPr>
                            <a:picLocks noChangeAspect="1"/>
                          </pic:cNvPicPr>
                        </pic:nvPicPr>
                        <pic:blipFill>
                          <a:blip r:embed="rId19"/>
                          <a:stretch>
                            <a:fillRect/>
                          </a:stretch>
                        </pic:blipFill>
                        <pic:spPr>
                          <a:xfrm>
                            <a:off x="0" y="0"/>
                            <a:ext cx="4743450" cy="1629410"/>
                          </a:xfrm>
                          <a:prstGeom prst="rect">
                            <a:avLst/>
                          </a:prstGeom>
                          <a:noFill/>
                          <a:ln>
                            <a:noFill/>
                          </a:ln>
                        </pic:spPr>
                      </pic:pic>
                    </a:graphicData>
                  </a:graphic>
                </wp:inline>
              </w:drawing>
            </w:r>
          </w:p>
          <w:p>
            <w:pPr>
              <w:pStyle w:val="29"/>
              <w:bidi w:val="0"/>
            </w:pPr>
            <w:r>
              <w:rPr>
                <w:lang w:val="en-US" w:eastAsia="zh-CN"/>
              </w:rPr>
              <w:t>图</w:t>
            </w:r>
            <w:r>
              <w:rPr>
                <w:rFonts w:hint="default"/>
                <w:lang w:val="en-US" w:eastAsia="zh-CN"/>
              </w:rPr>
              <w:t>B.1</w:t>
            </w:r>
            <w:r>
              <w:rPr>
                <w:rFonts w:hint="eastAsia"/>
                <w:lang w:val="en-US" w:eastAsia="zh-CN"/>
              </w:rPr>
              <w:t>室内声源等效为室外声源图例</w:t>
            </w:r>
          </w:p>
          <w:p>
            <w:pPr>
              <w:pStyle w:val="12"/>
              <w:bidi w:val="0"/>
              <w:rPr>
                <w:rFonts w:hint="eastAsia"/>
                <w:lang w:val="en-US" w:eastAsia="zh-CN"/>
              </w:rPr>
            </w:pPr>
            <w:r>
              <w:rPr>
                <w:rFonts w:hint="eastAsia"/>
                <w:lang w:val="en-US" w:eastAsia="zh-CN"/>
              </w:rPr>
              <w:t>也可按式</w:t>
            </w:r>
            <w:r>
              <w:rPr>
                <w:rFonts w:hint="default"/>
                <w:lang w:val="en-US" w:eastAsia="zh-CN"/>
              </w:rPr>
              <w:t>(B.2)</w:t>
            </w:r>
            <w:r>
              <w:rPr>
                <w:rFonts w:hint="eastAsia"/>
                <w:lang w:val="en-US" w:eastAsia="zh-CN"/>
              </w:rPr>
              <w:t>计算某一室内声源靠近围护结构处产生的倍频带声压级或</w:t>
            </w:r>
            <w:r>
              <w:rPr>
                <w:rFonts w:hint="default"/>
                <w:lang w:val="en-US" w:eastAsia="zh-CN"/>
              </w:rPr>
              <w:t>A</w:t>
            </w:r>
            <w:r>
              <w:rPr>
                <w:rFonts w:hint="eastAsia"/>
                <w:lang w:val="en-US" w:eastAsia="zh-CN"/>
              </w:rPr>
              <w:t>声级：</w:t>
            </w:r>
          </w:p>
          <w:p>
            <w:pPr>
              <w:bidi w:val="0"/>
              <w:jc w:val="center"/>
            </w:pPr>
            <w:r>
              <w:drawing>
                <wp:inline distT="0" distB="0" distL="114300" distR="114300">
                  <wp:extent cx="2251075" cy="464185"/>
                  <wp:effectExtent l="0" t="0" r="15875" b="12065"/>
                  <wp:docPr id="10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3"/>
                          <pic:cNvPicPr>
                            <a:picLocks noChangeAspect="1"/>
                          </pic:cNvPicPr>
                        </pic:nvPicPr>
                        <pic:blipFill>
                          <a:blip r:embed="rId20"/>
                          <a:stretch>
                            <a:fillRect/>
                          </a:stretch>
                        </pic:blipFill>
                        <pic:spPr>
                          <a:xfrm>
                            <a:off x="0" y="0"/>
                            <a:ext cx="2251075" cy="464185"/>
                          </a:xfrm>
                          <a:prstGeom prst="rect">
                            <a:avLst/>
                          </a:prstGeom>
                          <a:noFill/>
                          <a:ln>
                            <a:noFill/>
                          </a:ln>
                        </pic:spPr>
                      </pic:pic>
                    </a:graphicData>
                  </a:graphic>
                </wp:inline>
              </w:drawing>
            </w:r>
          </w:p>
          <w:p>
            <w:pPr>
              <w:pStyle w:val="12"/>
              <w:bidi w:val="0"/>
            </w:pPr>
            <w:r>
              <w:rPr>
                <w:rFonts w:hint="eastAsia"/>
                <w:lang w:val="en-US" w:eastAsia="zh-CN"/>
              </w:rPr>
              <w:t>式中：</w:t>
            </w:r>
            <w:r>
              <w:rPr>
                <w:rFonts w:hint="default"/>
                <w:lang w:val="en-US" w:eastAsia="zh-CN"/>
              </w:rPr>
              <w:t>LDA001——</w:t>
            </w:r>
            <w:r>
              <w:rPr>
                <w:rFonts w:hint="eastAsia"/>
                <w:lang w:val="en-US" w:eastAsia="zh-CN"/>
              </w:rPr>
              <w:t>靠近开口处</w:t>
            </w:r>
            <w:r>
              <w:rPr>
                <w:rFonts w:hint="default"/>
                <w:lang w:val="en-US" w:eastAsia="zh-CN"/>
              </w:rPr>
              <w:t>(</w:t>
            </w:r>
            <w:r>
              <w:rPr>
                <w:rFonts w:hint="eastAsia"/>
                <w:lang w:val="en-US" w:eastAsia="zh-CN"/>
              </w:rPr>
              <w:t>或窗户</w:t>
            </w:r>
            <w:r>
              <w:rPr>
                <w:rFonts w:hint="default"/>
                <w:lang w:val="en-US" w:eastAsia="zh-CN"/>
              </w:rPr>
              <w:t>)</w:t>
            </w:r>
            <w:r>
              <w:rPr>
                <w:rFonts w:hint="eastAsia"/>
                <w:lang w:val="en-US" w:eastAsia="zh-CN"/>
              </w:rPr>
              <w:t>室内某倍频带的声压级或</w:t>
            </w:r>
            <w:r>
              <w:rPr>
                <w:rFonts w:hint="default"/>
                <w:lang w:val="en-US" w:eastAsia="zh-CN"/>
              </w:rPr>
              <w:t>A</w:t>
            </w:r>
            <w:r>
              <w:rPr>
                <w:rFonts w:hint="eastAsia"/>
                <w:lang w:val="en-US" w:eastAsia="zh-CN"/>
              </w:rPr>
              <w:t>声级，</w:t>
            </w:r>
            <w:r>
              <w:rPr>
                <w:rFonts w:hint="default"/>
                <w:lang w:val="en-US" w:eastAsia="zh-CN"/>
              </w:rPr>
              <w:t>dB</w:t>
            </w:r>
            <w:r>
              <w:rPr>
                <w:rFonts w:hint="eastAsia"/>
                <w:lang w:val="en-US" w:eastAsia="zh-CN"/>
              </w:rPr>
              <w:t xml:space="preserve">； </w:t>
            </w:r>
          </w:p>
          <w:p>
            <w:pPr>
              <w:pStyle w:val="12"/>
              <w:bidi w:val="0"/>
            </w:pPr>
            <w:r>
              <w:rPr>
                <w:rFonts w:hint="default"/>
                <w:lang w:val="en-US" w:eastAsia="zh-CN"/>
              </w:rPr>
              <w:t>Lw——</w:t>
            </w:r>
            <w:r>
              <w:rPr>
                <w:rFonts w:hint="eastAsia"/>
                <w:lang w:val="en-US" w:eastAsia="zh-CN"/>
              </w:rPr>
              <w:t>点声源声功率级</w:t>
            </w:r>
            <w:r>
              <w:rPr>
                <w:rFonts w:hint="default"/>
                <w:lang w:val="en-US" w:eastAsia="zh-CN"/>
              </w:rPr>
              <w:t>(A</w:t>
            </w:r>
            <w:r>
              <w:rPr>
                <w:rFonts w:hint="eastAsia"/>
                <w:lang w:val="en-US" w:eastAsia="zh-CN"/>
              </w:rPr>
              <w:t>计权或倍频带</w:t>
            </w:r>
            <w:r>
              <w:rPr>
                <w:rFonts w:hint="default"/>
                <w:lang w:val="en-US" w:eastAsia="zh-CN"/>
              </w:rPr>
              <w:t>)</w:t>
            </w:r>
            <w:r>
              <w:rPr>
                <w:rFonts w:hint="eastAsia"/>
                <w:lang w:val="en-US" w:eastAsia="zh-CN"/>
              </w:rPr>
              <w:t>，</w:t>
            </w:r>
            <w:r>
              <w:rPr>
                <w:rFonts w:hint="default"/>
                <w:lang w:val="en-US" w:eastAsia="zh-CN"/>
              </w:rPr>
              <w:t>dB</w:t>
            </w:r>
            <w:r>
              <w:rPr>
                <w:rFonts w:hint="eastAsia"/>
                <w:lang w:val="en-US" w:eastAsia="zh-CN"/>
              </w:rPr>
              <w:t xml:space="preserve">； </w:t>
            </w:r>
          </w:p>
          <w:p>
            <w:pPr>
              <w:pStyle w:val="12"/>
              <w:bidi w:val="0"/>
            </w:pPr>
            <w:r>
              <w:rPr>
                <w:rFonts w:hint="default"/>
                <w:lang w:val="en-US" w:eastAsia="zh-CN"/>
              </w:rPr>
              <w:t>Q——</w:t>
            </w:r>
            <w:r>
              <w:rPr>
                <w:rFonts w:hint="eastAsia"/>
                <w:lang w:val="en-US" w:eastAsia="zh-CN"/>
              </w:rPr>
              <w:t>指向性因数；通常对无指向性声源，当声源放在房间中心时，</w:t>
            </w:r>
            <w:r>
              <w:rPr>
                <w:rFonts w:hint="default"/>
                <w:lang w:val="en-US" w:eastAsia="zh-CN"/>
              </w:rPr>
              <w:t>Q=1</w:t>
            </w:r>
            <w:r>
              <w:rPr>
                <w:rFonts w:hint="eastAsia"/>
                <w:lang w:val="en-US" w:eastAsia="zh-CN"/>
              </w:rPr>
              <w:t>；当放在一面墙的中心时，</w:t>
            </w:r>
            <w:r>
              <w:rPr>
                <w:rFonts w:hint="default"/>
                <w:lang w:val="en-US" w:eastAsia="zh-CN"/>
              </w:rPr>
              <w:t>Q=2</w:t>
            </w:r>
            <w:r>
              <w:rPr>
                <w:rFonts w:hint="eastAsia"/>
                <w:lang w:val="en-US" w:eastAsia="zh-CN"/>
              </w:rPr>
              <w:t>；当放在两面墙夹角处时，</w:t>
            </w:r>
            <w:r>
              <w:rPr>
                <w:rFonts w:hint="default"/>
                <w:lang w:val="en-US" w:eastAsia="zh-CN"/>
              </w:rPr>
              <w:t>Q=4</w:t>
            </w:r>
            <w:r>
              <w:rPr>
                <w:rFonts w:hint="eastAsia"/>
                <w:lang w:val="en-US" w:eastAsia="zh-CN"/>
              </w:rPr>
              <w:t>；当放在三面墙夹角处时，</w:t>
            </w:r>
            <w:r>
              <w:rPr>
                <w:rFonts w:hint="default"/>
                <w:lang w:val="en-US" w:eastAsia="zh-CN"/>
              </w:rPr>
              <w:t>Q=8</w:t>
            </w:r>
            <w:r>
              <w:rPr>
                <w:rFonts w:hint="eastAsia"/>
                <w:lang w:val="en-US" w:eastAsia="zh-CN"/>
              </w:rPr>
              <w:t xml:space="preserve">； </w:t>
            </w:r>
          </w:p>
          <w:p>
            <w:pPr>
              <w:pStyle w:val="12"/>
              <w:bidi w:val="0"/>
            </w:pPr>
            <w:r>
              <w:rPr>
                <w:rFonts w:hint="default"/>
                <w:lang w:val="en-US" w:eastAsia="zh-CN"/>
              </w:rPr>
              <w:t>R——</w:t>
            </w:r>
            <w:r>
              <w:rPr>
                <w:rFonts w:hint="eastAsia"/>
                <w:lang w:val="en-US" w:eastAsia="zh-CN"/>
              </w:rPr>
              <w:t>房间常数；</w:t>
            </w:r>
            <w:r>
              <w:rPr>
                <w:rFonts w:hint="default"/>
                <w:lang w:val="en-US" w:eastAsia="zh-CN"/>
              </w:rPr>
              <w:t>R=Sa/(1-a)</w:t>
            </w:r>
            <w:r>
              <w:rPr>
                <w:rFonts w:hint="eastAsia"/>
                <w:lang w:val="en-US" w:eastAsia="zh-CN"/>
              </w:rPr>
              <w:t>，</w:t>
            </w:r>
            <w:r>
              <w:rPr>
                <w:rFonts w:hint="default"/>
                <w:lang w:val="en-US" w:eastAsia="zh-CN"/>
              </w:rPr>
              <w:t>S</w:t>
            </w:r>
            <w:r>
              <w:rPr>
                <w:rFonts w:hint="eastAsia"/>
                <w:lang w:val="en-US" w:eastAsia="zh-CN"/>
              </w:rPr>
              <w:t>为房间内表面面积，</w:t>
            </w:r>
            <w:r>
              <w:rPr>
                <w:rFonts w:hint="default"/>
                <w:lang w:val="en-US" w:eastAsia="zh-CN"/>
              </w:rPr>
              <w:t>m2</w:t>
            </w:r>
            <w:r>
              <w:rPr>
                <w:rFonts w:hint="eastAsia"/>
                <w:lang w:val="en-US" w:eastAsia="zh-CN"/>
              </w:rPr>
              <w:t>；</w:t>
            </w:r>
            <w:r>
              <w:rPr>
                <w:rFonts w:hint="default"/>
                <w:lang w:val="en-US" w:eastAsia="zh-CN"/>
              </w:rPr>
              <w:t>α</w:t>
            </w:r>
            <w:r>
              <w:rPr>
                <w:rFonts w:hint="eastAsia"/>
                <w:lang w:val="en-US" w:eastAsia="zh-CN"/>
              </w:rPr>
              <w:t xml:space="preserve">为平均吸声系数； </w:t>
            </w:r>
          </w:p>
          <w:p>
            <w:pPr>
              <w:pStyle w:val="12"/>
              <w:bidi w:val="0"/>
            </w:pPr>
            <w:r>
              <w:rPr>
                <w:rFonts w:hint="default"/>
                <w:lang w:val="en-US" w:eastAsia="zh-CN"/>
              </w:rPr>
              <w:t>r——</w:t>
            </w:r>
            <w:r>
              <w:rPr>
                <w:rFonts w:hint="eastAsia"/>
                <w:lang w:val="en-US" w:eastAsia="zh-CN"/>
              </w:rPr>
              <w:t>声源到靠近围护结构某点处的距离，</w:t>
            </w:r>
            <w:r>
              <w:rPr>
                <w:rFonts w:hint="default"/>
                <w:lang w:val="en-US" w:eastAsia="zh-CN"/>
              </w:rPr>
              <w:t>m</w:t>
            </w:r>
            <w:r>
              <w:rPr>
                <w:rFonts w:hint="eastAsia"/>
                <w:lang w:val="en-US" w:eastAsia="zh-CN"/>
              </w:rPr>
              <w:t xml:space="preserve">。 </w:t>
            </w:r>
          </w:p>
          <w:p>
            <w:pPr>
              <w:pStyle w:val="12"/>
              <w:bidi w:val="0"/>
            </w:pPr>
            <w:r>
              <w:rPr>
                <w:rFonts w:hint="eastAsia"/>
                <w:lang w:val="en-US" w:eastAsia="zh-CN"/>
              </w:rPr>
              <w:t>然后按式</w:t>
            </w:r>
            <w:r>
              <w:rPr>
                <w:rFonts w:hint="default"/>
                <w:lang w:val="en-US" w:eastAsia="zh-CN"/>
              </w:rPr>
              <w:t>(B.3)</w:t>
            </w:r>
            <w:r>
              <w:rPr>
                <w:rFonts w:hint="eastAsia"/>
                <w:lang w:val="en-US" w:eastAsia="zh-CN"/>
              </w:rPr>
              <w:t>计算出所有室内声源在围护结构处产生的</w:t>
            </w:r>
            <w:r>
              <w:rPr>
                <w:rFonts w:hint="default"/>
                <w:lang w:val="en-US" w:eastAsia="zh-CN"/>
              </w:rPr>
              <w:t>i</w:t>
            </w:r>
            <w:r>
              <w:rPr>
                <w:rFonts w:hint="eastAsia"/>
                <w:lang w:val="en-US" w:eastAsia="zh-CN"/>
              </w:rPr>
              <w:t xml:space="preserve">倍频带叠加声压级： </w:t>
            </w:r>
          </w:p>
          <w:p>
            <w:pPr>
              <w:pStyle w:val="12"/>
              <w:bidi w:val="0"/>
              <w:jc w:val="center"/>
              <w:rPr>
                <w:rFonts w:hint="default"/>
                <w:lang w:val="en-US" w:eastAsia="zh-CN"/>
              </w:rPr>
            </w:pPr>
            <w:r>
              <w:drawing>
                <wp:inline distT="0" distB="0" distL="114300" distR="114300">
                  <wp:extent cx="2390775" cy="513080"/>
                  <wp:effectExtent l="0" t="0" r="9525" b="1270"/>
                  <wp:docPr id="1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4"/>
                          <pic:cNvPicPr>
                            <a:picLocks noChangeAspect="1"/>
                          </pic:cNvPicPr>
                        </pic:nvPicPr>
                        <pic:blipFill>
                          <a:blip r:embed="rId21"/>
                          <a:stretch>
                            <a:fillRect/>
                          </a:stretch>
                        </pic:blipFill>
                        <pic:spPr>
                          <a:xfrm>
                            <a:off x="0" y="0"/>
                            <a:ext cx="2390775" cy="513080"/>
                          </a:xfrm>
                          <a:prstGeom prst="rect">
                            <a:avLst/>
                          </a:prstGeom>
                          <a:noFill/>
                          <a:ln>
                            <a:noFill/>
                          </a:ln>
                        </pic:spPr>
                      </pic:pic>
                    </a:graphicData>
                  </a:graphic>
                </wp:inline>
              </w:drawing>
            </w:r>
            <w:r>
              <w:rPr>
                <w:rFonts w:hint="default"/>
                <w:lang w:val="en-US" w:eastAsia="zh-CN"/>
              </w:rPr>
              <w:t>(B.3)</w:t>
            </w:r>
          </w:p>
          <w:p>
            <w:pPr>
              <w:pStyle w:val="12"/>
              <w:bidi w:val="0"/>
            </w:pPr>
            <w:r>
              <w:rPr>
                <w:rFonts w:hint="eastAsia"/>
                <w:lang w:val="en-US" w:eastAsia="zh-CN"/>
              </w:rPr>
              <w:t>式中：</w:t>
            </w:r>
            <w:r>
              <w:rPr>
                <w:rFonts w:hint="default"/>
                <w:lang w:val="en-US" w:eastAsia="zh-CN"/>
              </w:rPr>
              <w:t>LDA001i(T)——</w:t>
            </w:r>
            <w:r>
              <w:rPr>
                <w:rFonts w:hint="eastAsia"/>
                <w:lang w:val="en-US" w:eastAsia="zh-CN"/>
              </w:rPr>
              <w:t>靠近围护结构处室内</w:t>
            </w:r>
            <w:r>
              <w:rPr>
                <w:rFonts w:hint="default"/>
                <w:lang w:val="en-US" w:eastAsia="zh-CN"/>
              </w:rPr>
              <w:t>N</w:t>
            </w:r>
            <w:r>
              <w:rPr>
                <w:rFonts w:hint="eastAsia"/>
                <w:lang w:val="en-US" w:eastAsia="zh-CN"/>
              </w:rPr>
              <w:t>个声源</w:t>
            </w:r>
            <w:r>
              <w:rPr>
                <w:rFonts w:hint="default"/>
                <w:lang w:val="en-US" w:eastAsia="zh-CN"/>
              </w:rPr>
              <w:t>i</w:t>
            </w:r>
            <w:r>
              <w:rPr>
                <w:rFonts w:hint="eastAsia"/>
                <w:lang w:val="en-US" w:eastAsia="zh-CN"/>
              </w:rPr>
              <w:t>倍频带的叠加声压级，</w:t>
            </w:r>
            <w:r>
              <w:rPr>
                <w:rFonts w:hint="default"/>
                <w:lang w:val="en-US" w:eastAsia="zh-CN"/>
              </w:rPr>
              <w:t>dB</w:t>
            </w:r>
            <w:r>
              <w:rPr>
                <w:rFonts w:hint="eastAsia"/>
                <w:lang w:val="en-US" w:eastAsia="zh-CN"/>
              </w:rPr>
              <w:t xml:space="preserve">； </w:t>
            </w:r>
          </w:p>
          <w:p>
            <w:pPr>
              <w:pStyle w:val="12"/>
              <w:bidi w:val="0"/>
              <w:ind w:firstLine="1200" w:firstLineChars="500"/>
            </w:pPr>
            <w:r>
              <w:rPr>
                <w:rFonts w:hint="default"/>
                <w:lang w:val="en-US" w:eastAsia="zh-CN"/>
              </w:rPr>
              <w:t>LDA001ij——</w:t>
            </w:r>
            <w:r>
              <w:rPr>
                <w:rFonts w:hint="eastAsia"/>
                <w:lang w:val="en-US" w:eastAsia="zh-CN"/>
              </w:rPr>
              <w:t>室内</w:t>
            </w:r>
            <w:r>
              <w:rPr>
                <w:rFonts w:hint="default"/>
                <w:lang w:val="en-US" w:eastAsia="zh-CN"/>
              </w:rPr>
              <w:t>j</w:t>
            </w:r>
            <w:r>
              <w:rPr>
                <w:rFonts w:hint="eastAsia"/>
                <w:lang w:val="en-US" w:eastAsia="zh-CN"/>
              </w:rPr>
              <w:t>声源</w:t>
            </w:r>
            <w:r>
              <w:rPr>
                <w:rFonts w:hint="default"/>
                <w:lang w:val="en-US" w:eastAsia="zh-CN"/>
              </w:rPr>
              <w:t>i</w:t>
            </w:r>
            <w:r>
              <w:rPr>
                <w:rFonts w:hint="eastAsia"/>
                <w:lang w:val="en-US" w:eastAsia="zh-CN"/>
              </w:rPr>
              <w:t>倍频带的声压级，</w:t>
            </w:r>
            <w:r>
              <w:rPr>
                <w:rFonts w:hint="default"/>
                <w:lang w:val="en-US" w:eastAsia="zh-CN"/>
              </w:rPr>
              <w:t>dB</w:t>
            </w:r>
            <w:r>
              <w:rPr>
                <w:rFonts w:hint="eastAsia"/>
                <w:lang w:val="en-US" w:eastAsia="zh-CN"/>
              </w:rPr>
              <w:t xml:space="preserve">； </w:t>
            </w:r>
          </w:p>
          <w:p>
            <w:pPr>
              <w:pStyle w:val="12"/>
              <w:bidi w:val="0"/>
              <w:ind w:firstLine="1200" w:firstLineChars="500"/>
            </w:pPr>
            <w:r>
              <w:rPr>
                <w:rFonts w:hint="default"/>
                <w:lang w:val="en-US" w:eastAsia="zh-CN"/>
              </w:rPr>
              <w:t>N——</w:t>
            </w:r>
            <w:r>
              <w:rPr>
                <w:rFonts w:hint="eastAsia"/>
                <w:lang w:val="en-US" w:eastAsia="zh-CN"/>
              </w:rPr>
              <w:t xml:space="preserve">室内声源总数。 </w:t>
            </w:r>
          </w:p>
          <w:p>
            <w:pPr>
              <w:pStyle w:val="12"/>
              <w:bidi w:val="0"/>
            </w:pPr>
            <w:r>
              <w:rPr>
                <w:rFonts w:hint="eastAsia"/>
                <w:lang w:val="en-US" w:eastAsia="zh-CN"/>
              </w:rPr>
              <w:t>在室内近似为扩散声场时，按式</w:t>
            </w:r>
            <w:r>
              <w:rPr>
                <w:rFonts w:hint="default"/>
                <w:lang w:val="en-US" w:eastAsia="zh-CN"/>
              </w:rPr>
              <w:t>(B.4)</w:t>
            </w:r>
            <w:r>
              <w:rPr>
                <w:rFonts w:hint="eastAsia"/>
                <w:lang w:val="en-US" w:eastAsia="zh-CN"/>
              </w:rPr>
              <w:t>计算出靠近室外围护结构处的声压级：</w:t>
            </w:r>
            <w:r>
              <w:rPr>
                <w:rFonts w:hint="eastAsia" w:ascii="宋体" w:hAnsi="宋体" w:eastAsia="宋体" w:cs="宋体"/>
                <w:color w:val="000000"/>
                <w:kern w:val="0"/>
                <w:szCs w:val="24"/>
                <w:lang w:val="en-US" w:eastAsia="zh-CN" w:bidi="ar"/>
              </w:rPr>
              <w:t xml:space="preserve"> </w:t>
            </w:r>
          </w:p>
          <w:p>
            <w:pPr>
              <w:keepNext w:val="0"/>
              <w:keepLines w:val="0"/>
              <w:widowControl/>
              <w:suppressLineNumbers w:val="0"/>
              <w:jc w:val="center"/>
            </w:pPr>
            <w:r>
              <w:rPr>
                <w:rFonts w:hint="default" w:ascii="Times New Roman" w:hAnsi="Times New Roman" w:eastAsia="宋体" w:cs="Times New Roman"/>
                <w:i/>
                <w:iCs/>
                <w:color w:val="000000"/>
                <w:kern w:val="0"/>
                <w:sz w:val="24"/>
                <w:szCs w:val="24"/>
                <w:lang w:val="en-US" w:eastAsia="zh-CN" w:bidi="ar"/>
              </w:rPr>
              <w:t>Lp</w:t>
            </w:r>
            <w:r>
              <w:rPr>
                <w:rFonts w:hint="default"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i/>
                <w:iCs/>
                <w:color w:val="000000"/>
                <w:kern w:val="0"/>
                <w:sz w:val="24"/>
                <w:szCs w:val="24"/>
                <w:lang w:val="en-US" w:eastAsia="zh-CN" w:bidi="ar"/>
              </w:rPr>
              <w:t>i</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i/>
                <w:iCs/>
                <w:color w:val="000000"/>
                <w:kern w:val="0"/>
                <w:sz w:val="24"/>
                <w:szCs w:val="24"/>
                <w:lang w:val="en-US" w:eastAsia="zh-CN" w:bidi="ar"/>
              </w:rPr>
              <w:t>T</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i/>
                <w:iCs/>
                <w:color w:val="000000"/>
                <w:kern w:val="0"/>
                <w:sz w:val="24"/>
                <w:szCs w:val="24"/>
                <w:lang w:val="en-US" w:eastAsia="zh-CN" w:bidi="ar"/>
              </w:rPr>
              <w:t>LDA001i</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i/>
                <w:iCs/>
                <w:color w:val="000000"/>
                <w:kern w:val="0"/>
                <w:sz w:val="24"/>
                <w:szCs w:val="24"/>
                <w:lang w:val="en-US" w:eastAsia="zh-CN" w:bidi="ar"/>
              </w:rPr>
              <w:t>T</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i/>
                <w:iCs/>
                <w:color w:val="000000"/>
                <w:kern w:val="0"/>
                <w:sz w:val="24"/>
                <w:szCs w:val="24"/>
                <w:lang w:val="en-US" w:eastAsia="zh-CN" w:bidi="ar"/>
              </w:rPr>
              <w:t>TLi</w:t>
            </w:r>
            <w:r>
              <w:rPr>
                <w:rFonts w:hint="default" w:ascii="Times New Roman" w:hAnsi="Times New Roman" w:eastAsia="宋体" w:cs="Times New Roman"/>
                <w:color w:val="000000"/>
                <w:kern w:val="0"/>
                <w:sz w:val="24"/>
                <w:szCs w:val="24"/>
                <w:lang w:val="en-US" w:eastAsia="zh-CN" w:bidi="ar"/>
              </w:rPr>
              <w:t>+6)</w:t>
            </w:r>
          </w:p>
          <w:p>
            <w:pPr>
              <w:pStyle w:val="12"/>
              <w:bidi w:val="0"/>
            </w:pPr>
            <w:r>
              <w:rPr>
                <w:rFonts w:hint="eastAsia"/>
                <w:lang w:val="en-US" w:eastAsia="zh-CN"/>
              </w:rPr>
              <w:t>式中：</w:t>
            </w:r>
            <w:r>
              <w:rPr>
                <w:rFonts w:hint="default"/>
                <w:lang w:val="en-US" w:eastAsia="zh-CN"/>
              </w:rPr>
              <w:t>Lp2i(T)——</w:t>
            </w:r>
            <w:r>
              <w:rPr>
                <w:rFonts w:hint="eastAsia"/>
                <w:lang w:val="en-US" w:eastAsia="zh-CN"/>
              </w:rPr>
              <w:t>靠近围护结构处室外</w:t>
            </w:r>
            <w:r>
              <w:rPr>
                <w:rFonts w:hint="default"/>
                <w:lang w:val="en-US" w:eastAsia="zh-CN"/>
              </w:rPr>
              <w:t>N</w:t>
            </w:r>
            <w:r>
              <w:rPr>
                <w:rFonts w:hint="eastAsia"/>
                <w:lang w:val="en-US" w:eastAsia="zh-CN"/>
              </w:rPr>
              <w:t>个声源</w:t>
            </w:r>
            <w:r>
              <w:rPr>
                <w:rFonts w:hint="default"/>
                <w:lang w:val="en-US" w:eastAsia="zh-CN"/>
              </w:rPr>
              <w:t>i</w:t>
            </w:r>
            <w:r>
              <w:rPr>
                <w:rFonts w:hint="eastAsia"/>
                <w:lang w:val="en-US" w:eastAsia="zh-CN"/>
              </w:rPr>
              <w:t>倍频带的叠加声压级，</w:t>
            </w:r>
            <w:r>
              <w:rPr>
                <w:rFonts w:hint="default"/>
                <w:lang w:val="en-US" w:eastAsia="zh-CN"/>
              </w:rPr>
              <w:t>dB</w:t>
            </w:r>
            <w:r>
              <w:rPr>
                <w:rFonts w:hint="eastAsia"/>
                <w:lang w:val="en-US" w:eastAsia="zh-CN"/>
              </w:rPr>
              <w:t xml:space="preserve">； </w:t>
            </w:r>
          </w:p>
          <w:p>
            <w:pPr>
              <w:pStyle w:val="12"/>
              <w:bidi w:val="0"/>
            </w:pPr>
            <w:r>
              <w:rPr>
                <w:rFonts w:hint="default"/>
                <w:lang w:val="en-US" w:eastAsia="zh-CN"/>
              </w:rPr>
              <w:t>LDA001i(T)——</w:t>
            </w:r>
            <w:r>
              <w:rPr>
                <w:rFonts w:hint="eastAsia"/>
                <w:lang w:val="en-US" w:eastAsia="zh-CN"/>
              </w:rPr>
              <w:t>靠近围护结构处室内</w:t>
            </w:r>
            <w:r>
              <w:rPr>
                <w:rFonts w:hint="default"/>
                <w:lang w:val="en-US" w:eastAsia="zh-CN"/>
              </w:rPr>
              <w:t>N</w:t>
            </w:r>
            <w:r>
              <w:rPr>
                <w:rFonts w:hint="eastAsia"/>
                <w:lang w:val="en-US" w:eastAsia="zh-CN"/>
              </w:rPr>
              <w:t>个声源</w:t>
            </w:r>
            <w:r>
              <w:rPr>
                <w:rFonts w:hint="default"/>
                <w:lang w:val="en-US" w:eastAsia="zh-CN"/>
              </w:rPr>
              <w:t>i</w:t>
            </w:r>
            <w:r>
              <w:rPr>
                <w:rFonts w:hint="eastAsia"/>
                <w:lang w:val="en-US" w:eastAsia="zh-CN"/>
              </w:rPr>
              <w:t>倍频带的叠加声压级，</w:t>
            </w:r>
            <w:r>
              <w:rPr>
                <w:rFonts w:hint="default"/>
                <w:lang w:val="en-US" w:eastAsia="zh-CN"/>
              </w:rPr>
              <w:t>dB</w:t>
            </w:r>
            <w:r>
              <w:rPr>
                <w:rFonts w:hint="eastAsia"/>
                <w:lang w:val="en-US" w:eastAsia="zh-CN"/>
              </w:rPr>
              <w:t xml:space="preserve">； </w:t>
            </w:r>
          </w:p>
          <w:p>
            <w:pPr>
              <w:pStyle w:val="12"/>
              <w:bidi w:val="0"/>
            </w:pPr>
            <w:r>
              <w:rPr>
                <w:rFonts w:hint="default"/>
                <w:lang w:val="en-US" w:eastAsia="zh-CN"/>
              </w:rPr>
              <w:t>TLi——</w:t>
            </w:r>
            <w:r>
              <w:rPr>
                <w:rFonts w:hint="eastAsia"/>
                <w:lang w:val="en-US" w:eastAsia="zh-CN"/>
              </w:rPr>
              <w:t>围护结构</w:t>
            </w:r>
            <w:r>
              <w:rPr>
                <w:rFonts w:hint="default"/>
                <w:lang w:val="en-US" w:eastAsia="zh-CN"/>
              </w:rPr>
              <w:t>i</w:t>
            </w:r>
            <w:r>
              <w:rPr>
                <w:rFonts w:hint="eastAsia"/>
                <w:lang w:val="en-US" w:eastAsia="zh-CN"/>
              </w:rPr>
              <w:t>倍频带的隔声量，</w:t>
            </w:r>
            <w:r>
              <w:rPr>
                <w:rFonts w:hint="default"/>
                <w:lang w:val="en-US" w:eastAsia="zh-CN"/>
              </w:rPr>
              <w:t>dB</w:t>
            </w:r>
            <w:r>
              <w:rPr>
                <w:rFonts w:hint="eastAsia"/>
                <w:lang w:val="en-US" w:eastAsia="zh-CN"/>
              </w:rPr>
              <w:t xml:space="preserve">。 </w:t>
            </w:r>
          </w:p>
          <w:p>
            <w:pPr>
              <w:pStyle w:val="12"/>
              <w:bidi w:val="0"/>
            </w:pPr>
            <w:r>
              <w:rPr>
                <w:rFonts w:hint="eastAsia"/>
                <w:lang w:val="en-US" w:eastAsia="zh-CN"/>
              </w:rPr>
              <w:t>然后按式</w:t>
            </w:r>
            <w:r>
              <w:rPr>
                <w:rFonts w:hint="default"/>
                <w:lang w:val="en-US" w:eastAsia="zh-CN"/>
              </w:rPr>
              <w:t>(B.5)</w:t>
            </w:r>
            <w:r>
              <w:rPr>
                <w:rFonts w:hint="eastAsia"/>
                <w:lang w:val="en-US" w:eastAsia="zh-CN"/>
              </w:rPr>
              <w:t>将室外声源的声压级和透过面积换算成等效的室外声源，计算出中心位置位于透声面积</w:t>
            </w:r>
            <w:r>
              <w:rPr>
                <w:rFonts w:hint="default"/>
                <w:lang w:val="en-US" w:eastAsia="zh-CN"/>
              </w:rPr>
              <w:t>(S)</w:t>
            </w:r>
            <w:r>
              <w:rPr>
                <w:rFonts w:hint="eastAsia"/>
                <w:lang w:val="en-US" w:eastAsia="zh-CN"/>
              </w:rPr>
              <w:t>处的等效声源的倍频带声功率级。</w:t>
            </w:r>
            <w:r>
              <w:rPr>
                <w:rFonts w:hint="eastAsia" w:ascii="宋体" w:hAnsi="宋体" w:eastAsia="宋体" w:cs="宋体"/>
                <w:color w:val="000000"/>
                <w:kern w:val="0"/>
                <w:szCs w:val="24"/>
                <w:lang w:val="en-US" w:eastAsia="zh-CN" w:bidi="ar"/>
              </w:rPr>
              <w:t xml:space="preserve"> </w:t>
            </w:r>
          </w:p>
          <w:p>
            <w:pPr>
              <w:pStyle w:val="12"/>
              <w:bidi w:val="0"/>
              <w:jc w:val="center"/>
            </w:pPr>
            <w:r>
              <w:rPr>
                <w:rFonts w:hint="default" w:ascii="Times New Roman" w:hAnsi="Times New Roman" w:eastAsia="宋体" w:cs="Times New Roman"/>
                <w:i/>
                <w:iCs/>
                <w:color w:val="000000"/>
                <w:kern w:val="0"/>
                <w:sz w:val="24"/>
                <w:szCs w:val="24"/>
                <w:lang w:val="en-US" w:eastAsia="zh-CN" w:bidi="ar"/>
              </w:rPr>
              <w:t>Lw</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i/>
                <w:iCs/>
                <w:color w:val="000000"/>
                <w:kern w:val="0"/>
                <w:sz w:val="24"/>
                <w:szCs w:val="24"/>
                <w:lang w:val="en-US" w:eastAsia="zh-CN" w:bidi="ar"/>
              </w:rPr>
              <w:t>Lp</w:t>
            </w:r>
            <w:r>
              <w:rPr>
                <w:rFonts w:hint="default"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i/>
                <w:iCs/>
                <w:color w:val="000000"/>
                <w:kern w:val="0"/>
                <w:sz w:val="24"/>
                <w:szCs w:val="24"/>
                <w:lang w:val="en-US" w:eastAsia="zh-CN" w:bidi="ar"/>
              </w:rPr>
              <w:t>T</w:t>
            </w:r>
            <w:r>
              <w:rPr>
                <w:rFonts w:hint="default" w:ascii="Times New Roman" w:hAnsi="Times New Roman" w:eastAsia="宋体" w:cs="Times New Roman"/>
                <w:color w:val="000000"/>
                <w:kern w:val="0"/>
                <w:sz w:val="24"/>
                <w:szCs w:val="24"/>
                <w:lang w:val="en-US" w:eastAsia="zh-CN" w:bidi="ar"/>
              </w:rPr>
              <w:t>)+10lg</w:t>
            </w:r>
            <w:r>
              <w:rPr>
                <w:rFonts w:hint="default" w:ascii="Times New Roman" w:hAnsi="Times New Roman" w:eastAsia="宋体" w:cs="Times New Roman"/>
                <w:i/>
                <w:iCs/>
                <w:color w:val="000000"/>
                <w:kern w:val="0"/>
                <w:sz w:val="24"/>
                <w:szCs w:val="24"/>
                <w:lang w:val="en-US" w:eastAsia="zh-CN" w:bidi="ar"/>
              </w:rPr>
              <w:t>S</w:t>
            </w:r>
            <w:r>
              <w:rPr>
                <w:rFonts w:hint="default" w:ascii="Times New Roman" w:hAnsi="Times New Roman" w:eastAsia="宋体" w:cs="Times New Roman"/>
                <w:color w:val="000000"/>
                <w:kern w:val="0"/>
                <w:sz w:val="24"/>
                <w:szCs w:val="24"/>
                <w:lang w:val="en-US" w:eastAsia="zh-CN" w:bidi="ar"/>
              </w:rPr>
              <w:t>(B.5)</w:t>
            </w:r>
          </w:p>
          <w:p>
            <w:pPr>
              <w:pStyle w:val="12"/>
              <w:bidi w:val="0"/>
            </w:pPr>
            <w:r>
              <w:rPr>
                <w:rFonts w:hint="eastAsia"/>
                <w:lang w:val="en-US" w:eastAsia="zh-CN"/>
              </w:rPr>
              <w:t>式中：</w:t>
            </w:r>
            <w:r>
              <w:rPr>
                <w:rFonts w:hint="default"/>
                <w:lang w:val="en-US" w:eastAsia="zh-CN"/>
              </w:rPr>
              <w:t>Lw——</w:t>
            </w:r>
            <w:r>
              <w:rPr>
                <w:rFonts w:hint="eastAsia"/>
                <w:lang w:val="en-US" w:eastAsia="zh-CN"/>
              </w:rPr>
              <w:t>中心位置位于透声面积</w:t>
            </w:r>
            <w:r>
              <w:rPr>
                <w:rFonts w:hint="default"/>
                <w:lang w:val="en-US" w:eastAsia="zh-CN"/>
              </w:rPr>
              <w:t>(S)</w:t>
            </w:r>
            <w:r>
              <w:rPr>
                <w:rFonts w:hint="eastAsia"/>
                <w:lang w:val="en-US" w:eastAsia="zh-CN"/>
              </w:rPr>
              <w:t>处的等效声源的倍频带声功率级，</w:t>
            </w:r>
            <w:r>
              <w:rPr>
                <w:rFonts w:hint="default"/>
                <w:lang w:val="en-US" w:eastAsia="zh-CN"/>
              </w:rPr>
              <w:t>dB</w:t>
            </w:r>
            <w:r>
              <w:rPr>
                <w:rFonts w:hint="eastAsia"/>
                <w:lang w:val="en-US" w:eastAsia="zh-CN"/>
              </w:rPr>
              <w:t xml:space="preserve">； </w:t>
            </w:r>
          </w:p>
          <w:p>
            <w:pPr>
              <w:pStyle w:val="12"/>
              <w:bidi w:val="0"/>
            </w:pPr>
            <w:r>
              <w:rPr>
                <w:rFonts w:hint="default"/>
                <w:lang w:val="en-US" w:eastAsia="zh-CN"/>
              </w:rPr>
              <w:t>Lp2(T)——</w:t>
            </w:r>
            <w:r>
              <w:rPr>
                <w:rFonts w:hint="eastAsia"/>
                <w:lang w:val="en-US" w:eastAsia="zh-CN"/>
              </w:rPr>
              <w:t>靠近围护结构处室外声源的声压级，</w:t>
            </w:r>
            <w:r>
              <w:rPr>
                <w:rFonts w:hint="default"/>
                <w:lang w:val="en-US" w:eastAsia="zh-CN"/>
              </w:rPr>
              <w:t>dB</w:t>
            </w:r>
            <w:r>
              <w:rPr>
                <w:rFonts w:hint="eastAsia"/>
                <w:lang w:val="en-US" w:eastAsia="zh-CN"/>
              </w:rPr>
              <w:t xml:space="preserve">； </w:t>
            </w:r>
          </w:p>
          <w:p>
            <w:pPr>
              <w:pStyle w:val="12"/>
              <w:bidi w:val="0"/>
            </w:pPr>
            <w:r>
              <w:rPr>
                <w:rFonts w:hint="default"/>
                <w:lang w:val="en-US" w:eastAsia="zh-CN"/>
              </w:rPr>
              <w:t>S——</w:t>
            </w:r>
            <w:r>
              <w:rPr>
                <w:rFonts w:hint="eastAsia"/>
                <w:lang w:val="en-US" w:eastAsia="zh-CN"/>
              </w:rPr>
              <w:t>透声面积，</w:t>
            </w:r>
            <w:r>
              <w:rPr>
                <w:rFonts w:hint="default"/>
                <w:lang w:val="en-US" w:eastAsia="zh-CN"/>
              </w:rPr>
              <w:t>m</w:t>
            </w:r>
            <w:r>
              <w:rPr>
                <w:rFonts w:hint="default" w:ascii="Times New Roman" w:hAnsi="Times New Roman" w:cs="Times New Roman"/>
                <w:lang w:val="en-US" w:eastAsia="zh-CN"/>
              </w:rPr>
              <w:t>²</w:t>
            </w:r>
            <w:r>
              <w:rPr>
                <w:rFonts w:hint="eastAsia"/>
                <w:lang w:val="en-US" w:eastAsia="zh-CN"/>
              </w:rPr>
              <w:t xml:space="preserve">。 </w:t>
            </w:r>
          </w:p>
          <w:p>
            <w:pPr>
              <w:pStyle w:val="12"/>
              <w:bidi w:val="0"/>
            </w:pPr>
            <w:r>
              <w:rPr>
                <w:rFonts w:hint="eastAsia"/>
                <w:lang w:val="en-US" w:eastAsia="zh-CN"/>
              </w:rPr>
              <w:t>然后按室外声源预测方法计算预测点处的</w:t>
            </w:r>
            <w:r>
              <w:rPr>
                <w:rFonts w:hint="default"/>
                <w:lang w:val="en-US" w:eastAsia="zh-CN"/>
              </w:rPr>
              <w:t>A</w:t>
            </w:r>
            <w:r>
              <w:rPr>
                <w:rFonts w:hint="eastAsia"/>
                <w:lang w:val="en-US" w:eastAsia="zh-CN"/>
              </w:rPr>
              <w:t>声级。</w:t>
            </w:r>
          </w:p>
          <w:p>
            <w:pPr>
              <w:pStyle w:val="12"/>
              <w:bidi w:val="0"/>
            </w:pPr>
            <w:r>
              <w:rPr>
                <w:rFonts w:hint="eastAsia"/>
                <w:lang w:val="en-US" w:eastAsia="zh-CN"/>
              </w:rPr>
              <w:t xml:space="preserve">②室外声源预测 </w:t>
            </w:r>
          </w:p>
          <w:p>
            <w:pPr>
              <w:pStyle w:val="12"/>
              <w:bidi w:val="0"/>
            </w:pPr>
            <w:r>
              <w:rPr>
                <w:rFonts w:hint="eastAsia"/>
                <w:lang w:val="en-US" w:eastAsia="zh-CN"/>
              </w:rPr>
              <w:t>户外声传播衰减包括几何发散</w:t>
            </w:r>
            <w:r>
              <w:rPr>
                <w:rFonts w:hint="default"/>
                <w:lang w:val="en-US" w:eastAsia="zh-CN"/>
              </w:rPr>
              <w:t>(Adiv)</w:t>
            </w:r>
            <w:r>
              <w:rPr>
                <w:rFonts w:hint="eastAsia"/>
                <w:lang w:val="en-US" w:eastAsia="zh-CN"/>
              </w:rPr>
              <w:t>、大气吸收</w:t>
            </w:r>
            <w:r>
              <w:rPr>
                <w:rFonts w:hint="default"/>
                <w:lang w:val="en-US" w:eastAsia="zh-CN"/>
              </w:rPr>
              <w:t>(Aatm)</w:t>
            </w:r>
            <w:r>
              <w:rPr>
                <w:rFonts w:hint="eastAsia"/>
                <w:lang w:val="en-US" w:eastAsia="zh-CN"/>
              </w:rPr>
              <w:t>、地面效应</w:t>
            </w:r>
            <w:r>
              <w:rPr>
                <w:rFonts w:hint="default"/>
                <w:lang w:val="en-US" w:eastAsia="zh-CN"/>
              </w:rPr>
              <w:t>(Agr)</w:t>
            </w:r>
            <w:r>
              <w:rPr>
                <w:rFonts w:hint="eastAsia"/>
                <w:lang w:val="en-US" w:eastAsia="zh-CN"/>
              </w:rPr>
              <w:t>、障碍物屏蔽</w:t>
            </w:r>
            <w:r>
              <w:rPr>
                <w:rFonts w:hint="default"/>
                <w:lang w:val="en-US" w:eastAsia="zh-CN"/>
              </w:rPr>
              <w:t>(Abar)</w:t>
            </w:r>
            <w:r>
              <w:rPr>
                <w:rFonts w:hint="eastAsia"/>
                <w:lang w:val="en-US" w:eastAsia="zh-CN"/>
              </w:rPr>
              <w:t>、其他多方面效应</w:t>
            </w:r>
            <w:r>
              <w:rPr>
                <w:rFonts w:hint="default"/>
                <w:lang w:val="en-US" w:eastAsia="zh-CN"/>
              </w:rPr>
              <w:t>(Amisc)</w:t>
            </w:r>
            <w:r>
              <w:rPr>
                <w:rFonts w:hint="eastAsia"/>
                <w:lang w:val="en-US" w:eastAsia="zh-CN"/>
              </w:rPr>
              <w:t xml:space="preserve">引起的衰减。 </w:t>
            </w:r>
          </w:p>
          <w:p>
            <w:pPr>
              <w:pStyle w:val="12"/>
              <w:bidi w:val="0"/>
            </w:pPr>
            <w:r>
              <w:rPr>
                <w:rFonts w:hint="default"/>
                <w:lang w:val="en-US" w:eastAsia="zh-CN"/>
              </w:rPr>
              <w:t>a)</w:t>
            </w:r>
            <w:r>
              <w:rPr>
                <w:rFonts w:hint="eastAsia"/>
                <w:lang w:val="en-US" w:eastAsia="zh-CN"/>
              </w:rPr>
              <w:t>在环境影响评价中，应根据声源声功率级或参考位置处的声压级、户外声传播衰减，计算预测点的声级，分别按式</w:t>
            </w:r>
            <w:r>
              <w:rPr>
                <w:rFonts w:hint="default"/>
                <w:lang w:val="en-US" w:eastAsia="zh-CN"/>
              </w:rPr>
              <w:t>(A.1)</w:t>
            </w:r>
            <w:r>
              <w:rPr>
                <w:rFonts w:hint="eastAsia"/>
                <w:lang w:val="en-US" w:eastAsia="zh-CN"/>
              </w:rPr>
              <w:t>或式</w:t>
            </w:r>
            <w:r>
              <w:rPr>
                <w:rFonts w:hint="default"/>
                <w:lang w:val="en-US" w:eastAsia="zh-CN"/>
              </w:rPr>
              <w:t>(A.2)</w:t>
            </w:r>
            <w:r>
              <w:rPr>
                <w:rFonts w:hint="eastAsia"/>
                <w:lang w:val="en-US" w:eastAsia="zh-CN"/>
              </w:rPr>
              <w:t xml:space="preserve">计算。 </w:t>
            </w:r>
          </w:p>
          <w:p>
            <w:pPr>
              <w:pStyle w:val="12"/>
              <w:bidi w:val="0"/>
              <w:jc w:val="center"/>
            </w:pPr>
            <w:r>
              <w:rPr>
                <w:rFonts w:hint="default"/>
                <w:lang w:val="en-US" w:eastAsia="zh-CN"/>
              </w:rPr>
              <w:t>Lp(r)</w:t>
            </w:r>
            <w:r>
              <w:rPr>
                <w:rFonts w:hint="eastAsia"/>
                <w:lang w:val="en-US" w:eastAsia="zh-CN"/>
              </w:rPr>
              <w:t>＝</w:t>
            </w:r>
            <w:r>
              <w:rPr>
                <w:rFonts w:hint="default"/>
                <w:lang w:val="en-US" w:eastAsia="zh-CN"/>
              </w:rPr>
              <w:t>Lw+DC-(Adiv</w:t>
            </w:r>
            <w:r>
              <w:rPr>
                <w:rFonts w:hint="eastAsia"/>
                <w:lang w:val="en-US" w:eastAsia="zh-CN"/>
              </w:rPr>
              <w:t>＋</w:t>
            </w:r>
            <w:r>
              <w:rPr>
                <w:rFonts w:hint="default"/>
                <w:lang w:val="en-US" w:eastAsia="zh-CN"/>
              </w:rPr>
              <w:t>Aatm</w:t>
            </w:r>
            <w:r>
              <w:rPr>
                <w:rFonts w:hint="eastAsia"/>
                <w:lang w:val="en-US" w:eastAsia="zh-CN"/>
              </w:rPr>
              <w:t>＋</w:t>
            </w:r>
            <w:r>
              <w:rPr>
                <w:rFonts w:hint="default"/>
                <w:lang w:val="en-US" w:eastAsia="zh-CN"/>
              </w:rPr>
              <w:t>Agr</w:t>
            </w:r>
            <w:r>
              <w:rPr>
                <w:rFonts w:hint="eastAsia"/>
                <w:lang w:val="en-US" w:eastAsia="zh-CN"/>
              </w:rPr>
              <w:t>＋</w:t>
            </w:r>
            <w:r>
              <w:rPr>
                <w:rFonts w:hint="default"/>
                <w:lang w:val="en-US" w:eastAsia="zh-CN"/>
              </w:rPr>
              <w:t>Abar</w:t>
            </w:r>
            <w:r>
              <w:rPr>
                <w:rFonts w:hint="eastAsia"/>
                <w:lang w:val="en-US" w:eastAsia="zh-CN"/>
              </w:rPr>
              <w:t>＋</w:t>
            </w:r>
            <w:r>
              <w:rPr>
                <w:rFonts w:hint="default"/>
                <w:lang w:val="en-US" w:eastAsia="zh-CN"/>
              </w:rPr>
              <w:t>Amisc)</w:t>
            </w:r>
            <w:r>
              <w:rPr>
                <w:rFonts w:hint="eastAsia"/>
                <w:lang w:val="en-US" w:eastAsia="zh-CN"/>
              </w:rPr>
              <w:t xml:space="preserve">   </w:t>
            </w:r>
            <w:r>
              <w:rPr>
                <w:rFonts w:hint="default"/>
                <w:lang w:val="en-US" w:eastAsia="zh-CN"/>
              </w:rPr>
              <w:t xml:space="preserve">(A.1) </w:t>
            </w:r>
          </w:p>
          <w:p>
            <w:pPr>
              <w:pStyle w:val="12"/>
              <w:bidi w:val="0"/>
            </w:pPr>
            <w:r>
              <w:rPr>
                <w:rFonts w:hint="eastAsia"/>
                <w:lang w:val="en-US" w:eastAsia="zh-CN"/>
              </w:rPr>
              <w:t>式中：</w:t>
            </w:r>
            <w:r>
              <w:rPr>
                <w:rFonts w:hint="default"/>
                <w:lang w:val="en-US" w:eastAsia="zh-CN"/>
              </w:rPr>
              <w:t>Lp(r)——</w:t>
            </w:r>
            <w:r>
              <w:rPr>
                <w:rFonts w:hint="eastAsia"/>
                <w:lang w:val="en-US" w:eastAsia="zh-CN"/>
              </w:rPr>
              <w:t>预测点处声压级，</w:t>
            </w:r>
            <w:r>
              <w:rPr>
                <w:rFonts w:hint="default"/>
                <w:lang w:val="en-US" w:eastAsia="zh-CN"/>
              </w:rPr>
              <w:t>dB</w:t>
            </w:r>
            <w:r>
              <w:rPr>
                <w:rFonts w:hint="eastAsia"/>
                <w:lang w:val="en-US" w:eastAsia="zh-CN"/>
              </w:rPr>
              <w:t xml:space="preserve">； </w:t>
            </w:r>
          </w:p>
          <w:p>
            <w:pPr>
              <w:pStyle w:val="12"/>
              <w:bidi w:val="0"/>
            </w:pPr>
            <w:r>
              <w:rPr>
                <w:rFonts w:hint="default"/>
                <w:lang w:val="en-US" w:eastAsia="zh-CN"/>
              </w:rPr>
              <w:t>Lw——</w:t>
            </w:r>
            <w:r>
              <w:rPr>
                <w:rFonts w:hint="eastAsia"/>
                <w:lang w:val="en-US" w:eastAsia="zh-CN"/>
              </w:rPr>
              <w:t>由点声源产生的声功率级</w:t>
            </w:r>
            <w:r>
              <w:rPr>
                <w:rFonts w:hint="default"/>
                <w:lang w:val="en-US" w:eastAsia="zh-CN"/>
              </w:rPr>
              <w:t>(A</w:t>
            </w:r>
            <w:r>
              <w:rPr>
                <w:rFonts w:hint="eastAsia"/>
                <w:lang w:val="en-US" w:eastAsia="zh-CN"/>
              </w:rPr>
              <w:t>计权或倍频带</w:t>
            </w:r>
            <w:r>
              <w:rPr>
                <w:rFonts w:hint="default"/>
                <w:lang w:val="en-US" w:eastAsia="zh-CN"/>
              </w:rPr>
              <w:t>)</w:t>
            </w:r>
            <w:r>
              <w:rPr>
                <w:rFonts w:hint="eastAsia"/>
                <w:lang w:val="en-US" w:eastAsia="zh-CN"/>
              </w:rPr>
              <w:t>，</w:t>
            </w:r>
            <w:r>
              <w:rPr>
                <w:rFonts w:hint="default"/>
                <w:lang w:val="en-US" w:eastAsia="zh-CN"/>
              </w:rPr>
              <w:t>dB</w:t>
            </w:r>
            <w:r>
              <w:rPr>
                <w:rFonts w:hint="eastAsia"/>
                <w:lang w:val="en-US" w:eastAsia="zh-CN"/>
              </w:rPr>
              <w:t xml:space="preserve">； </w:t>
            </w:r>
          </w:p>
          <w:p>
            <w:pPr>
              <w:pStyle w:val="12"/>
              <w:bidi w:val="0"/>
            </w:pPr>
            <w:r>
              <w:rPr>
                <w:rFonts w:hint="default"/>
                <w:lang w:val="en-US" w:eastAsia="zh-CN"/>
              </w:rPr>
              <w:t>DC——</w:t>
            </w:r>
            <w:r>
              <w:rPr>
                <w:rFonts w:hint="eastAsia"/>
                <w:lang w:val="en-US" w:eastAsia="zh-CN"/>
              </w:rPr>
              <w:t>指向性校正，它描述点声源的等效连续声压级与产生声功率级</w:t>
            </w:r>
            <w:r>
              <w:rPr>
                <w:rFonts w:hint="default"/>
                <w:lang w:val="en-US" w:eastAsia="zh-CN"/>
              </w:rPr>
              <w:t>Lw</w:t>
            </w:r>
            <w:r>
              <w:rPr>
                <w:rFonts w:hint="eastAsia"/>
                <w:lang w:val="en-US" w:eastAsia="zh-CN"/>
              </w:rPr>
              <w:t>的全向点声源在规定方向的声级的偏差程度，</w:t>
            </w:r>
            <w:r>
              <w:rPr>
                <w:rFonts w:hint="default"/>
                <w:lang w:val="en-US" w:eastAsia="zh-CN"/>
              </w:rPr>
              <w:t>dB</w:t>
            </w:r>
            <w:r>
              <w:rPr>
                <w:rFonts w:hint="eastAsia"/>
                <w:lang w:val="en-US" w:eastAsia="zh-CN"/>
              </w:rPr>
              <w:t xml:space="preserve">； </w:t>
            </w:r>
          </w:p>
          <w:p>
            <w:pPr>
              <w:pStyle w:val="12"/>
              <w:bidi w:val="0"/>
            </w:pPr>
            <w:r>
              <w:rPr>
                <w:rFonts w:hint="default"/>
                <w:lang w:val="en-US" w:eastAsia="zh-CN"/>
              </w:rPr>
              <w:t>Adiv——</w:t>
            </w:r>
            <w:r>
              <w:rPr>
                <w:rFonts w:hint="eastAsia"/>
                <w:lang w:val="en-US" w:eastAsia="zh-CN"/>
              </w:rPr>
              <w:t>几何发散引起的衰减，</w:t>
            </w:r>
            <w:r>
              <w:rPr>
                <w:rFonts w:hint="default"/>
                <w:lang w:val="en-US" w:eastAsia="zh-CN"/>
              </w:rPr>
              <w:t>dB</w:t>
            </w:r>
            <w:r>
              <w:rPr>
                <w:rFonts w:hint="eastAsia"/>
                <w:lang w:val="en-US" w:eastAsia="zh-CN"/>
              </w:rPr>
              <w:t xml:space="preserve">； </w:t>
            </w:r>
          </w:p>
          <w:p>
            <w:pPr>
              <w:pStyle w:val="12"/>
              <w:bidi w:val="0"/>
            </w:pPr>
            <w:r>
              <w:rPr>
                <w:rFonts w:hint="default"/>
                <w:lang w:val="en-US" w:eastAsia="zh-CN"/>
              </w:rPr>
              <w:t>Aatm——</w:t>
            </w:r>
            <w:r>
              <w:rPr>
                <w:rFonts w:hint="eastAsia"/>
                <w:lang w:val="en-US" w:eastAsia="zh-CN"/>
              </w:rPr>
              <w:t>大气吸收引起的衰减，</w:t>
            </w:r>
            <w:r>
              <w:rPr>
                <w:rFonts w:hint="default"/>
                <w:lang w:val="en-US" w:eastAsia="zh-CN"/>
              </w:rPr>
              <w:t>dB</w:t>
            </w:r>
            <w:r>
              <w:rPr>
                <w:rFonts w:hint="eastAsia"/>
                <w:lang w:val="en-US" w:eastAsia="zh-CN"/>
              </w:rPr>
              <w:t xml:space="preserve">； </w:t>
            </w:r>
          </w:p>
          <w:p>
            <w:pPr>
              <w:pStyle w:val="12"/>
              <w:bidi w:val="0"/>
            </w:pPr>
            <w:r>
              <w:rPr>
                <w:rFonts w:hint="default"/>
                <w:lang w:val="en-US" w:eastAsia="zh-CN"/>
              </w:rPr>
              <w:t>Agr——</w:t>
            </w:r>
            <w:r>
              <w:rPr>
                <w:rFonts w:hint="eastAsia"/>
                <w:lang w:val="en-US" w:eastAsia="zh-CN"/>
              </w:rPr>
              <w:t>地面效应引起的衰减，</w:t>
            </w:r>
            <w:r>
              <w:rPr>
                <w:rFonts w:hint="default"/>
                <w:lang w:val="en-US" w:eastAsia="zh-CN"/>
              </w:rPr>
              <w:t>dB</w:t>
            </w:r>
            <w:r>
              <w:rPr>
                <w:rFonts w:hint="eastAsia"/>
                <w:lang w:val="en-US" w:eastAsia="zh-CN"/>
              </w:rPr>
              <w:t xml:space="preserve">； </w:t>
            </w:r>
          </w:p>
          <w:p>
            <w:pPr>
              <w:pStyle w:val="12"/>
              <w:bidi w:val="0"/>
            </w:pPr>
            <w:r>
              <w:rPr>
                <w:rFonts w:hint="default"/>
                <w:lang w:val="en-US" w:eastAsia="zh-CN"/>
              </w:rPr>
              <w:t>Abar——</w:t>
            </w:r>
            <w:r>
              <w:rPr>
                <w:rFonts w:hint="eastAsia"/>
                <w:lang w:val="en-US" w:eastAsia="zh-CN"/>
              </w:rPr>
              <w:t>障碍物屏蔽引起的衰减，</w:t>
            </w:r>
            <w:r>
              <w:rPr>
                <w:rFonts w:hint="default"/>
                <w:lang w:val="en-US" w:eastAsia="zh-CN"/>
              </w:rPr>
              <w:t>dB</w:t>
            </w:r>
            <w:r>
              <w:rPr>
                <w:rFonts w:hint="eastAsia"/>
                <w:lang w:val="en-US" w:eastAsia="zh-CN"/>
              </w:rPr>
              <w:t xml:space="preserve">； </w:t>
            </w:r>
          </w:p>
          <w:p>
            <w:pPr>
              <w:pStyle w:val="12"/>
              <w:bidi w:val="0"/>
            </w:pPr>
            <w:r>
              <w:rPr>
                <w:rFonts w:hint="default"/>
                <w:lang w:val="en-US" w:eastAsia="zh-CN"/>
              </w:rPr>
              <w:t>Amisc——</w:t>
            </w:r>
            <w:r>
              <w:rPr>
                <w:rFonts w:hint="eastAsia"/>
                <w:lang w:val="en-US" w:eastAsia="zh-CN"/>
              </w:rPr>
              <w:t>其他多方面效应引起的衰减，</w:t>
            </w:r>
            <w:r>
              <w:rPr>
                <w:rFonts w:hint="default"/>
                <w:lang w:val="en-US" w:eastAsia="zh-CN"/>
              </w:rPr>
              <w:t>dB</w:t>
            </w:r>
            <w:r>
              <w:rPr>
                <w:rFonts w:hint="eastAsia"/>
                <w:lang w:val="en-US" w:eastAsia="zh-CN"/>
              </w:rPr>
              <w:t xml:space="preserve">。 </w:t>
            </w:r>
          </w:p>
          <w:p>
            <w:pPr>
              <w:pStyle w:val="12"/>
              <w:bidi w:val="0"/>
              <w:jc w:val="center"/>
            </w:pPr>
            <w:r>
              <w:rPr>
                <w:rFonts w:hint="default"/>
                <w:lang w:val="en-US" w:eastAsia="zh-CN"/>
              </w:rPr>
              <w:t>Lp(r)</w:t>
            </w:r>
            <w:r>
              <w:rPr>
                <w:rFonts w:hint="eastAsia"/>
                <w:lang w:val="en-US" w:eastAsia="zh-CN"/>
              </w:rPr>
              <w:t>＝</w:t>
            </w:r>
            <w:r>
              <w:rPr>
                <w:rFonts w:hint="default"/>
                <w:lang w:val="en-US" w:eastAsia="zh-CN"/>
              </w:rPr>
              <w:t>Lp(r0)+DC-(Adiv</w:t>
            </w:r>
            <w:r>
              <w:rPr>
                <w:rFonts w:hint="eastAsia"/>
                <w:lang w:val="en-US" w:eastAsia="zh-CN"/>
              </w:rPr>
              <w:t>＋</w:t>
            </w:r>
            <w:r>
              <w:rPr>
                <w:rFonts w:hint="default"/>
                <w:lang w:val="en-US" w:eastAsia="zh-CN"/>
              </w:rPr>
              <w:t>Aatm</w:t>
            </w:r>
            <w:r>
              <w:rPr>
                <w:rFonts w:hint="eastAsia"/>
                <w:lang w:val="en-US" w:eastAsia="zh-CN"/>
              </w:rPr>
              <w:t>＋</w:t>
            </w:r>
            <w:r>
              <w:rPr>
                <w:rFonts w:hint="default"/>
                <w:lang w:val="en-US" w:eastAsia="zh-CN"/>
              </w:rPr>
              <w:t>Agr</w:t>
            </w:r>
            <w:r>
              <w:rPr>
                <w:rFonts w:hint="eastAsia"/>
                <w:lang w:val="en-US" w:eastAsia="zh-CN"/>
              </w:rPr>
              <w:t>＋</w:t>
            </w:r>
            <w:r>
              <w:rPr>
                <w:rFonts w:hint="default"/>
                <w:lang w:val="en-US" w:eastAsia="zh-CN"/>
              </w:rPr>
              <w:t>Abar</w:t>
            </w:r>
            <w:r>
              <w:rPr>
                <w:rFonts w:hint="eastAsia"/>
                <w:lang w:val="en-US" w:eastAsia="zh-CN"/>
              </w:rPr>
              <w:t>＋</w:t>
            </w:r>
            <w:r>
              <w:rPr>
                <w:rFonts w:hint="default"/>
                <w:lang w:val="en-US" w:eastAsia="zh-CN"/>
              </w:rPr>
              <w:t xml:space="preserve">Amisc) </w:t>
            </w:r>
            <w:r>
              <w:rPr>
                <w:rFonts w:hint="eastAsia"/>
                <w:lang w:val="en-US" w:eastAsia="zh-CN"/>
              </w:rPr>
              <w:t xml:space="preserve"> </w:t>
            </w:r>
            <w:r>
              <w:rPr>
                <w:rFonts w:hint="default"/>
                <w:lang w:val="en-US" w:eastAsia="zh-CN"/>
              </w:rPr>
              <w:t>(A.2)</w:t>
            </w:r>
          </w:p>
          <w:p>
            <w:pPr>
              <w:pStyle w:val="12"/>
              <w:bidi w:val="0"/>
            </w:pPr>
            <w:r>
              <w:rPr>
                <w:rFonts w:hint="eastAsia"/>
                <w:lang w:val="en-US" w:eastAsia="zh-CN"/>
              </w:rPr>
              <w:t>式中：</w:t>
            </w:r>
            <w:r>
              <w:rPr>
                <w:rFonts w:hint="default"/>
                <w:lang w:val="en-US" w:eastAsia="zh-CN"/>
              </w:rPr>
              <w:t>Lp(r)——</w:t>
            </w:r>
            <w:r>
              <w:rPr>
                <w:rFonts w:hint="eastAsia"/>
                <w:lang w:val="en-US" w:eastAsia="zh-CN"/>
              </w:rPr>
              <w:t>预测点处声压级，</w:t>
            </w:r>
            <w:r>
              <w:rPr>
                <w:rFonts w:hint="default"/>
                <w:lang w:val="en-US" w:eastAsia="zh-CN"/>
              </w:rPr>
              <w:t>dB</w:t>
            </w:r>
            <w:r>
              <w:rPr>
                <w:rFonts w:hint="eastAsia"/>
                <w:lang w:val="en-US" w:eastAsia="zh-CN"/>
              </w:rPr>
              <w:t xml:space="preserve">； </w:t>
            </w:r>
          </w:p>
          <w:p>
            <w:pPr>
              <w:pStyle w:val="12"/>
              <w:bidi w:val="0"/>
            </w:pPr>
            <w:r>
              <w:rPr>
                <w:rFonts w:hint="default"/>
                <w:lang w:val="en-US" w:eastAsia="zh-CN"/>
              </w:rPr>
              <w:t>Lp(r0)——</w:t>
            </w:r>
            <w:r>
              <w:rPr>
                <w:rFonts w:hint="eastAsia"/>
                <w:lang w:val="en-US" w:eastAsia="zh-CN"/>
              </w:rPr>
              <w:t>参考位置</w:t>
            </w:r>
            <w:r>
              <w:rPr>
                <w:rFonts w:hint="default"/>
                <w:lang w:val="en-US" w:eastAsia="zh-CN"/>
              </w:rPr>
              <w:t>r0</w:t>
            </w:r>
            <w:r>
              <w:rPr>
                <w:rFonts w:hint="eastAsia"/>
                <w:lang w:val="en-US" w:eastAsia="zh-CN"/>
              </w:rPr>
              <w:t>处的声压级，</w:t>
            </w:r>
            <w:r>
              <w:rPr>
                <w:rFonts w:hint="default"/>
                <w:lang w:val="en-US" w:eastAsia="zh-CN"/>
              </w:rPr>
              <w:t>dB</w:t>
            </w:r>
            <w:r>
              <w:rPr>
                <w:rFonts w:hint="eastAsia"/>
                <w:lang w:val="en-US" w:eastAsia="zh-CN"/>
              </w:rPr>
              <w:t xml:space="preserve">； </w:t>
            </w:r>
          </w:p>
          <w:p>
            <w:pPr>
              <w:pStyle w:val="12"/>
              <w:bidi w:val="0"/>
            </w:pPr>
            <w:r>
              <w:rPr>
                <w:rFonts w:hint="default"/>
                <w:lang w:val="en-US" w:eastAsia="zh-CN"/>
              </w:rPr>
              <w:t>DC——</w:t>
            </w:r>
            <w:r>
              <w:rPr>
                <w:rFonts w:hint="eastAsia"/>
                <w:lang w:val="en-US" w:eastAsia="zh-CN"/>
              </w:rPr>
              <w:t>指向性校正，它描述点声源的等效连续声压级与产生声功率级</w:t>
            </w:r>
            <w:r>
              <w:rPr>
                <w:rFonts w:hint="default"/>
                <w:lang w:val="en-US" w:eastAsia="zh-CN"/>
              </w:rPr>
              <w:t>Lw</w:t>
            </w:r>
            <w:r>
              <w:rPr>
                <w:rFonts w:hint="eastAsia"/>
                <w:lang w:val="en-US" w:eastAsia="zh-CN"/>
              </w:rPr>
              <w:t xml:space="preserve">的全向 </w:t>
            </w:r>
          </w:p>
          <w:p>
            <w:pPr>
              <w:pStyle w:val="12"/>
              <w:bidi w:val="0"/>
            </w:pPr>
            <w:r>
              <w:rPr>
                <w:rFonts w:hint="eastAsia"/>
                <w:lang w:val="en-US" w:eastAsia="zh-CN"/>
              </w:rPr>
              <w:t>点声源在规定方向的声级的偏差程度，</w:t>
            </w:r>
            <w:r>
              <w:rPr>
                <w:rFonts w:hint="default"/>
                <w:lang w:val="en-US" w:eastAsia="zh-CN"/>
              </w:rPr>
              <w:t>dB</w:t>
            </w:r>
            <w:r>
              <w:rPr>
                <w:rFonts w:hint="eastAsia"/>
                <w:lang w:val="en-US" w:eastAsia="zh-CN"/>
              </w:rPr>
              <w:t xml:space="preserve">； </w:t>
            </w:r>
          </w:p>
          <w:p>
            <w:pPr>
              <w:pStyle w:val="12"/>
              <w:bidi w:val="0"/>
            </w:pPr>
            <w:r>
              <w:rPr>
                <w:rFonts w:hint="default"/>
                <w:lang w:val="en-US" w:eastAsia="zh-CN"/>
              </w:rPr>
              <w:t>Adiv——</w:t>
            </w:r>
            <w:r>
              <w:rPr>
                <w:rFonts w:hint="eastAsia"/>
                <w:lang w:val="en-US" w:eastAsia="zh-CN"/>
              </w:rPr>
              <w:t>几何发散引起的衰减，</w:t>
            </w:r>
            <w:r>
              <w:rPr>
                <w:rFonts w:hint="default"/>
                <w:lang w:val="en-US" w:eastAsia="zh-CN"/>
              </w:rPr>
              <w:t>dB</w:t>
            </w:r>
            <w:r>
              <w:rPr>
                <w:rFonts w:hint="eastAsia"/>
                <w:lang w:val="en-US" w:eastAsia="zh-CN"/>
              </w:rPr>
              <w:t xml:space="preserve">； </w:t>
            </w:r>
          </w:p>
          <w:p>
            <w:pPr>
              <w:pStyle w:val="12"/>
              <w:bidi w:val="0"/>
            </w:pPr>
            <w:r>
              <w:rPr>
                <w:rFonts w:hint="default"/>
                <w:lang w:val="en-US" w:eastAsia="zh-CN"/>
              </w:rPr>
              <w:t>Aatm——</w:t>
            </w:r>
            <w:r>
              <w:rPr>
                <w:rFonts w:hint="eastAsia"/>
                <w:lang w:val="en-US" w:eastAsia="zh-CN"/>
              </w:rPr>
              <w:t>大气吸收引起的衰减，</w:t>
            </w:r>
            <w:r>
              <w:rPr>
                <w:rFonts w:hint="default"/>
                <w:lang w:val="en-US" w:eastAsia="zh-CN"/>
              </w:rPr>
              <w:t>dB</w:t>
            </w:r>
            <w:r>
              <w:rPr>
                <w:rFonts w:hint="eastAsia"/>
                <w:lang w:val="en-US" w:eastAsia="zh-CN"/>
              </w:rPr>
              <w:t xml:space="preserve">； </w:t>
            </w:r>
          </w:p>
          <w:p>
            <w:pPr>
              <w:pStyle w:val="12"/>
              <w:bidi w:val="0"/>
            </w:pPr>
            <w:r>
              <w:rPr>
                <w:rFonts w:hint="default"/>
                <w:lang w:val="en-US" w:eastAsia="zh-CN"/>
              </w:rPr>
              <w:t>Agr——</w:t>
            </w:r>
            <w:r>
              <w:rPr>
                <w:rFonts w:hint="eastAsia"/>
                <w:lang w:val="en-US" w:eastAsia="zh-CN"/>
              </w:rPr>
              <w:t>地面效应引起的衰减，</w:t>
            </w:r>
            <w:r>
              <w:rPr>
                <w:rFonts w:hint="default"/>
                <w:lang w:val="en-US" w:eastAsia="zh-CN"/>
              </w:rPr>
              <w:t>dB</w:t>
            </w:r>
            <w:r>
              <w:rPr>
                <w:rFonts w:hint="eastAsia"/>
                <w:lang w:val="en-US" w:eastAsia="zh-CN"/>
              </w:rPr>
              <w:t xml:space="preserve">； </w:t>
            </w:r>
          </w:p>
          <w:p>
            <w:pPr>
              <w:pStyle w:val="12"/>
              <w:bidi w:val="0"/>
            </w:pPr>
            <w:r>
              <w:rPr>
                <w:rFonts w:hint="default"/>
                <w:lang w:val="en-US" w:eastAsia="zh-CN"/>
              </w:rPr>
              <w:t>Abar——</w:t>
            </w:r>
            <w:r>
              <w:rPr>
                <w:rFonts w:hint="eastAsia"/>
                <w:lang w:val="en-US" w:eastAsia="zh-CN"/>
              </w:rPr>
              <w:t>障碍物屏蔽引起的衰减，</w:t>
            </w:r>
            <w:r>
              <w:rPr>
                <w:rFonts w:hint="default"/>
                <w:lang w:val="en-US" w:eastAsia="zh-CN"/>
              </w:rPr>
              <w:t>dB</w:t>
            </w:r>
            <w:r>
              <w:rPr>
                <w:rFonts w:hint="eastAsia"/>
                <w:lang w:val="en-US" w:eastAsia="zh-CN"/>
              </w:rPr>
              <w:t xml:space="preserve">； </w:t>
            </w:r>
          </w:p>
          <w:p>
            <w:pPr>
              <w:pStyle w:val="12"/>
              <w:bidi w:val="0"/>
              <w:rPr>
                <w:rFonts w:hint="eastAsia"/>
                <w:lang w:val="en-US" w:eastAsia="zh-CN"/>
              </w:rPr>
            </w:pPr>
            <w:r>
              <w:rPr>
                <w:rFonts w:hint="default"/>
                <w:lang w:val="en-US" w:eastAsia="zh-CN"/>
              </w:rPr>
              <w:t>Amisc——</w:t>
            </w:r>
            <w:r>
              <w:rPr>
                <w:rFonts w:hint="eastAsia"/>
                <w:lang w:val="en-US" w:eastAsia="zh-CN"/>
              </w:rPr>
              <w:t>其他多方面效应引起的衰减，</w:t>
            </w:r>
            <w:r>
              <w:rPr>
                <w:rFonts w:hint="default"/>
                <w:lang w:val="en-US" w:eastAsia="zh-CN"/>
              </w:rPr>
              <w:t>dB</w:t>
            </w:r>
            <w:r>
              <w:rPr>
                <w:rFonts w:hint="eastAsia"/>
                <w:lang w:val="en-US" w:eastAsia="zh-CN"/>
              </w:rPr>
              <w:t xml:space="preserve">。 </w:t>
            </w:r>
          </w:p>
          <w:p>
            <w:pPr>
              <w:pStyle w:val="12"/>
              <w:bidi w:val="0"/>
              <w:rPr>
                <w:rFonts w:hint="default"/>
              </w:rPr>
            </w:pPr>
            <w:r>
              <w:rPr>
                <w:rFonts w:hint="default"/>
              </w:rPr>
              <w:t>噪声在向外传播过程中将受到厂房或其它车间的阻挡影响，从而引起声能量的较大衰减，具体衰减根据不同声级的传播途径而定，一般取10～20dB(A)</w:t>
            </w:r>
            <w:r>
              <w:rPr>
                <w:rFonts w:hint="eastAsia"/>
                <w:lang w:eastAsia="zh-CN"/>
              </w:rPr>
              <w:t>，本项目厂四周设置围墙，取</w:t>
            </w:r>
            <w:r>
              <w:rPr>
                <w:rFonts w:hint="eastAsia"/>
                <w:lang w:val="en-US" w:eastAsia="zh-CN"/>
              </w:rPr>
              <w:t>10</w:t>
            </w:r>
            <w:r>
              <w:rPr>
                <w:rFonts w:hint="default"/>
              </w:rPr>
              <w:t>dB(A)。</w:t>
            </w:r>
          </w:p>
          <w:p>
            <w:pPr>
              <w:pStyle w:val="12"/>
              <w:bidi w:val="0"/>
              <w:rPr>
                <w:rFonts w:hint="default"/>
              </w:rPr>
            </w:pPr>
            <w:r>
              <w:rPr>
                <w:rFonts w:hint="default"/>
              </w:rPr>
              <w:t>结合拟建项目的厂区平面布置和噪声源分布情况，本次评价不再考虑地面效应引起的倍频带衰减Agr和其他多方面效应引起的倍频带衰减Amisc。</w:t>
            </w:r>
          </w:p>
          <w:p>
            <w:pPr>
              <w:pStyle w:val="12"/>
              <w:bidi w:val="0"/>
            </w:pPr>
            <w:r>
              <w:rPr>
                <w:rFonts w:hint="default"/>
                <w:lang w:val="en-US" w:eastAsia="zh-CN"/>
              </w:rPr>
              <w:t>b)</w:t>
            </w:r>
            <w:r>
              <w:rPr>
                <w:rFonts w:hint="eastAsia"/>
                <w:lang w:val="en-US" w:eastAsia="zh-CN"/>
              </w:rPr>
              <w:t>预测点的</w:t>
            </w:r>
            <w:r>
              <w:rPr>
                <w:rFonts w:hint="default"/>
                <w:lang w:val="en-US" w:eastAsia="zh-CN"/>
              </w:rPr>
              <w:t>A</w:t>
            </w:r>
            <w:r>
              <w:rPr>
                <w:rFonts w:hint="eastAsia"/>
                <w:lang w:val="en-US" w:eastAsia="zh-CN"/>
              </w:rPr>
              <w:t>声级</w:t>
            </w:r>
            <w:r>
              <w:rPr>
                <w:rFonts w:hint="default"/>
                <w:lang w:val="en-US" w:eastAsia="zh-CN"/>
              </w:rPr>
              <w:t>LA(r)</w:t>
            </w:r>
            <w:r>
              <w:rPr>
                <w:rFonts w:hint="eastAsia"/>
                <w:lang w:val="en-US" w:eastAsia="zh-CN"/>
              </w:rPr>
              <w:t>可按式</w:t>
            </w:r>
            <w:r>
              <w:rPr>
                <w:rFonts w:hint="default"/>
                <w:lang w:val="en-US" w:eastAsia="zh-CN"/>
              </w:rPr>
              <w:t>(A.3)</w:t>
            </w:r>
            <w:r>
              <w:rPr>
                <w:rFonts w:hint="eastAsia"/>
                <w:lang w:val="en-US" w:eastAsia="zh-CN"/>
              </w:rPr>
              <w:t>计算，即将</w:t>
            </w:r>
            <w:r>
              <w:rPr>
                <w:rFonts w:hint="default"/>
                <w:lang w:val="en-US" w:eastAsia="zh-CN"/>
              </w:rPr>
              <w:t>8</w:t>
            </w:r>
            <w:r>
              <w:rPr>
                <w:rFonts w:hint="eastAsia"/>
                <w:lang w:val="en-US" w:eastAsia="zh-CN"/>
              </w:rPr>
              <w:t>个倍频带声压级合成，计算出预测点的</w:t>
            </w:r>
            <w:r>
              <w:rPr>
                <w:rFonts w:hint="default"/>
                <w:lang w:val="en-US" w:eastAsia="zh-CN"/>
              </w:rPr>
              <w:t>A</w:t>
            </w:r>
            <w:r>
              <w:rPr>
                <w:rFonts w:hint="eastAsia"/>
                <w:lang w:val="en-US" w:eastAsia="zh-CN"/>
              </w:rPr>
              <w:t>声级</w:t>
            </w:r>
            <w:r>
              <w:rPr>
                <w:rFonts w:hint="default"/>
                <w:lang w:val="en-US" w:eastAsia="zh-CN"/>
              </w:rPr>
              <w:t>[LA(r)]</w:t>
            </w:r>
            <w:r>
              <w:rPr>
                <w:rFonts w:hint="eastAsia"/>
                <w:lang w:val="en-US" w:eastAsia="zh-CN"/>
              </w:rPr>
              <w:t>。</w:t>
            </w:r>
          </w:p>
          <w:p>
            <w:pPr>
              <w:keepNext w:val="0"/>
              <w:keepLines w:val="0"/>
              <w:widowControl/>
              <w:suppressLineNumbers w:val="0"/>
              <w:jc w:val="center"/>
              <w:rPr>
                <w:rFonts w:hint="default" w:ascii="Times New Roman" w:hAnsi="Times New Roman" w:eastAsia="宋体" w:cs="Times New Roman"/>
                <w:color w:val="000000"/>
                <w:kern w:val="0"/>
                <w:sz w:val="24"/>
                <w:szCs w:val="24"/>
                <w:lang w:val="en-US" w:eastAsia="zh-CN" w:bidi="ar"/>
              </w:rPr>
            </w:pPr>
            <w:r>
              <w:drawing>
                <wp:inline distT="0" distB="0" distL="114300" distR="114300">
                  <wp:extent cx="2382520" cy="599440"/>
                  <wp:effectExtent l="0" t="0" r="17780" b="10160"/>
                  <wp:docPr id="1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5"/>
                          <pic:cNvPicPr>
                            <a:picLocks noChangeAspect="1"/>
                          </pic:cNvPicPr>
                        </pic:nvPicPr>
                        <pic:blipFill>
                          <a:blip r:embed="rId22"/>
                          <a:stretch>
                            <a:fillRect/>
                          </a:stretch>
                        </pic:blipFill>
                        <pic:spPr>
                          <a:xfrm>
                            <a:off x="0" y="0"/>
                            <a:ext cx="2382520" cy="599440"/>
                          </a:xfrm>
                          <a:prstGeom prst="rect">
                            <a:avLst/>
                          </a:prstGeom>
                          <a:noFill/>
                          <a:ln>
                            <a:noFill/>
                          </a:ln>
                        </pic:spPr>
                      </pic:pic>
                    </a:graphicData>
                  </a:graphic>
                </wp:inline>
              </w:drawing>
            </w:r>
            <w:r>
              <w:rPr>
                <w:rFonts w:hint="default" w:ascii="Times New Roman" w:hAnsi="Times New Roman" w:eastAsia="宋体" w:cs="Times New Roman"/>
                <w:color w:val="000000"/>
                <w:kern w:val="0"/>
                <w:sz w:val="24"/>
                <w:szCs w:val="24"/>
                <w:lang w:val="en-US" w:eastAsia="zh-CN" w:bidi="ar"/>
              </w:rPr>
              <w:t>(A.3)</w:t>
            </w:r>
          </w:p>
          <w:p>
            <w:pPr>
              <w:pStyle w:val="12"/>
              <w:bidi w:val="0"/>
            </w:pPr>
            <w:r>
              <w:rPr>
                <w:rFonts w:hint="eastAsia"/>
                <w:lang w:val="en-US" w:eastAsia="zh-CN"/>
              </w:rPr>
              <w:t>式中：</w:t>
            </w:r>
            <w:r>
              <w:rPr>
                <w:rFonts w:hint="default"/>
                <w:lang w:val="en-US" w:eastAsia="zh-CN"/>
              </w:rPr>
              <w:t>LA(r)——</w:t>
            </w:r>
            <w:r>
              <w:rPr>
                <w:rFonts w:hint="eastAsia"/>
                <w:lang w:val="en-US" w:eastAsia="zh-CN"/>
              </w:rPr>
              <w:t>距声源</w:t>
            </w:r>
            <w:r>
              <w:rPr>
                <w:rFonts w:hint="default"/>
                <w:lang w:val="en-US" w:eastAsia="zh-CN"/>
              </w:rPr>
              <w:t>r</w:t>
            </w:r>
            <w:r>
              <w:rPr>
                <w:rFonts w:hint="eastAsia"/>
                <w:lang w:val="en-US" w:eastAsia="zh-CN"/>
              </w:rPr>
              <w:t>处的</w:t>
            </w:r>
            <w:r>
              <w:rPr>
                <w:rFonts w:hint="default"/>
                <w:lang w:val="en-US" w:eastAsia="zh-CN"/>
              </w:rPr>
              <w:t>A</w:t>
            </w:r>
            <w:r>
              <w:rPr>
                <w:rFonts w:hint="eastAsia"/>
                <w:lang w:val="en-US" w:eastAsia="zh-CN"/>
              </w:rPr>
              <w:t>声级，</w:t>
            </w:r>
            <w:r>
              <w:rPr>
                <w:rFonts w:hint="default"/>
                <w:lang w:val="en-US" w:eastAsia="zh-CN"/>
              </w:rPr>
              <w:t>dB(A)</w:t>
            </w:r>
            <w:r>
              <w:rPr>
                <w:rFonts w:hint="eastAsia"/>
                <w:lang w:val="en-US" w:eastAsia="zh-CN"/>
              </w:rPr>
              <w:t xml:space="preserve">； </w:t>
            </w:r>
          </w:p>
          <w:p>
            <w:pPr>
              <w:pStyle w:val="12"/>
              <w:bidi w:val="0"/>
            </w:pPr>
            <w:r>
              <w:rPr>
                <w:rFonts w:hint="default"/>
                <w:lang w:val="en-US" w:eastAsia="zh-CN"/>
              </w:rPr>
              <w:t>Lpi(r)——</w:t>
            </w:r>
            <w:r>
              <w:rPr>
                <w:rFonts w:hint="eastAsia"/>
                <w:lang w:val="en-US" w:eastAsia="zh-CN"/>
              </w:rPr>
              <w:t>预测点</w:t>
            </w:r>
            <w:r>
              <w:rPr>
                <w:rFonts w:hint="default"/>
                <w:lang w:val="en-US" w:eastAsia="zh-CN"/>
              </w:rPr>
              <w:t>(r)</w:t>
            </w:r>
            <w:r>
              <w:rPr>
                <w:rFonts w:hint="eastAsia"/>
                <w:lang w:val="en-US" w:eastAsia="zh-CN"/>
              </w:rPr>
              <w:t>处，第</w:t>
            </w:r>
            <w:r>
              <w:rPr>
                <w:rFonts w:hint="default"/>
                <w:lang w:val="en-US" w:eastAsia="zh-CN"/>
              </w:rPr>
              <w:t>i</w:t>
            </w:r>
            <w:r>
              <w:rPr>
                <w:rFonts w:hint="eastAsia"/>
                <w:lang w:val="en-US" w:eastAsia="zh-CN"/>
              </w:rPr>
              <w:t>倍频带声压级，</w:t>
            </w:r>
            <w:r>
              <w:rPr>
                <w:rFonts w:hint="default"/>
                <w:lang w:val="en-US" w:eastAsia="zh-CN"/>
              </w:rPr>
              <w:t>dB</w:t>
            </w:r>
            <w:r>
              <w:rPr>
                <w:rFonts w:hint="eastAsia"/>
                <w:lang w:val="en-US" w:eastAsia="zh-CN"/>
              </w:rPr>
              <w:t xml:space="preserve">； </w:t>
            </w:r>
          </w:p>
          <w:p>
            <w:pPr>
              <w:pStyle w:val="12"/>
              <w:bidi w:val="0"/>
            </w:pPr>
            <w:r>
              <w:rPr>
                <w:rFonts w:hint="default"/>
                <w:lang w:val="en-US" w:eastAsia="zh-CN"/>
              </w:rPr>
              <w:t>ΔLi——</w:t>
            </w:r>
            <w:r>
              <w:rPr>
                <w:rFonts w:hint="eastAsia"/>
                <w:lang w:val="en-US" w:eastAsia="zh-CN"/>
              </w:rPr>
              <w:t>第</w:t>
            </w:r>
            <w:r>
              <w:rPr>
                <w:rFonts w:hint="default"/>
                <w:lang w:val="en-US" w:eastAsia="zh-CN"/>
              </w:rPr>
              <w:t>i</w:t>
            </w:r>
            <w:r>
              <w:rPr>
                <w:rFonts w:hint="eastAsia"/>
                <w:lang w:val="en-US" w:eastAsia="zh-CN"/>
              </w:rPr>
              <w:t>倍频带的</w:t>
            </w:r>
            <w:r>
              <w:rPr>
                <w:rFonts w:hint="default"/>
                <w:lang w:val="en-US" w:eastAsia="zh-CN"/>
              </w:rPr>
              <w:t>A</w:t>
            </w:r>
            <w:r>
              <w:rPr>
                <w:rFonts w:hint="eastAsia"/>
                <w:lang w:val="en-US" w:eastAsia="zh-CN"/>
              </w:rPr>
              <w:t>计权网络修正值，</w:t>
            </w:r>
            <w:r>
              <w:rPr>
                <w:rFonts w:hint="default"/>
                <w:lang w:val="en-US" w:eastAsia="zh-CN"/>
              </w:rPr>
              <w:t>dB</w:t>
            </w:r>
            <w:r>
              <w:rPr>
                <w:rFonts w:hint="eastAsia"/>
                <w:lang w:val="en-US" w:eastAsia="zh-CN"/>
              </w:rPr>
              <w:t xml:space="preserve">。 </w:t>
            </w:r>
          </w:p>
          <w:p>
            <w:pPr>
              <w:pStyle w:val="12"/>
              <w:bidi w:val="0"/>
            </w:pPr>
            <w:r>
              <w:rPr>
                <w:rFonts w:hint="default"/>
                <w:lang w:val="en-US" w:eastAsia="zh-CN"/>
              </w:rPr>
              <w:t>c)</w:t>
            </w:r>
            <w:r>
              <w:rPr>
                <w:rFonts w:hint="eastAsia"/>
                <w:lang w:val="en-US" w:eastAsia="zh-CN"/>
              </w:rPr>
              <w:t>在只考虑几何发散衰减时，可按式</w:t>
            </w:r>
            <w:r>
              <w:rPr>
                <w:rFonts w:hint="default"/>
                <w:lang w:val="en-US" w:eastAsia="zh-CN"/>
              </w:rPr>
              <w:t>(A.4)</w:t>
            </w:r>
            <w:r>
              <w:rPr>
                <w:rFonts w:hint="eastAsia"/>
                <w:lang w:val="en-US" w:eastAsia="zh-CN"/>
              </w:rPr>
              <w:t xml:space="preserve">计算。 </w:t>
            </w:r>
          </w:p>
          <w:p>
            <w:pPr>
              <w:pStyle w:val="12"/>
              <w:bidi w:val="0"/>
              <w:jc w:val="center"/>
            </w:pPr>
            <w:r>
              <w:rPr>
                <w:rFonts w:hint="default"/>
                <w:lang w:val="en-US" w:eastAsia="zh-CN"/>
              </w:rPr>
              <w:t>LA(r)=LA(r0)-Adiv</w:t>
            </w:r>
          </w:p>
          <w:p>
            <w:pPr>
              <w:pStyle w:val="12"/>
              <w:bidi w:val="0"/>
            </w:pPr>
            <w:r>
              <w:rPr>
                <w:rFonts w:hint="eastAsia"/>
                <w:lang w:val="en-US" w:eastAsia="zh-CN"/>
              </w:rPr>
              <w:t>式中：</w:t>
            </w:r>
            <w:r>
              <w:rPr>
                <w:rFonts w:hint="default"/>
                <w:lang w:val="en-US" w:eastAsia="zh-CN"/>
              </w:rPr>
              <w:t>LA(r)——</w:t>
            </w:r>
            <w:r>
              <w:rPr>
                <w:rFonts w:hint="eastAsia"/>
                <w:lang w:val="en-US" w:eastAsia="zh-CN"/>
              </w:rPr>
              <w:t>距声源</w:t>
            </w:r>
            <w:r>
              <w:rPr>
                <w:rFonts w:hint="default"/>
                <w:lang w:val="en-US" w:eastAsia="zh-CN"/>
              </w:rPr>
              <w:t>r</w:t>
            </w:r>
            <w:r>
              <w:rPr>
                <w:rFonts w:hint="eastAsia"/>
                <w:lang w:val="en-US" w:eastAsia="zh-CN"/>
              </w:rPr>
              <w:t>处的</w:t>
            </w:r>
            <w:r>
              <w:rPr>
                <w:rFonts w:hint="default"/>
                <w:lang w:val="en-US" w:eastAsia="zh-CN"/>
              </w:rPr>
              <w:t>A</w:t>
            </w:r>
            <w:r>
              <w:rPr>
                <w:rFonts w:hint="eastAsia"/>
                <w:lang w:val="en-US" w:eastAsia="zh-CN"/>
              </w:rPr>
              <w:t>声级，</w:t>
            </w:r>
            <w:r>
              <w:rPr>
                <w:rFonts w:hint="default"/>
                <w:lang w:val="en-US" w:eastAsia="zh-CN"/>
              </w:rPr>
              <w:t>dB(A)</w:t>
            </w:r>
            <w:r>
              <w:rPr>
                <w:rFonts w:hint="eastAsia"/>
                <w:lang w:val="en-US" w:eastAsia="zh-CN"/>
              </w:rPr>
              <w:t xml:space="preserve">； </w:t>
            </w:r>
          </w:p>
          <w:p>
            <w:pPr>
              <w:pStyle w:val="12"/>
              <w:bidi w:val="0"/>
            </w:pPr>
            <w:r>
              <w:rPr>
                <w:rFonts w:hint="default"/>
                <w:lang w:val="en-US" w:eastAsia="zh-CN"/>
              </w:rPr>
              <w:t>LA(r0)——</w:t>
            </w:r>
            <w:r>
              <w:rPr>
                <w:rFonts w:hint="eastAsia"/>
                <w:lang w:val="en-US" w:eastAsia="zh-CN"/>
              </w:rPr>
              <w:t>参考位置</w:t>
            </w:r>
            <w:r>
              <w:rPr>
                <w:rFonts w:hint="default"/>
                <w:lang w:val="en-US" w:eastAsia="zh-CN"/>
              </w:rPr>
              <w:t>r0</w:t>
            </w:r>
            <w:r>
              <w:rPr>
                <w:rFonts w:hint="eastAsia"/>
                <w:lang w:val="en-US" w:eastAsia="zh-CN"/>
              </w:rPr>
              <w:t>处的</w:t>
            </w:r>
            <w:r>
              <w:rPr>
                <w:rFonts w:hint="default"/>
                <w:lang w:val="en-US" w:eastAsia="zh-CN"/>
              </w:rPr>
              <w:t>A</w:t>
            </w:r>
            <w:r>
              <w:rPr>
                <w:rFonts w:hint="eastAsia"/>
                <w:lang w:val="en-US" w:eastAsia="zh-CN"/>
              </w:rPr>
              <w:t>声级，</w:t>
            </w:r>
            <w:r>
              <w:rPr>
                <w:rFonts w:hint="default"/>
                <w:lang w:val="en-US" w:eastAsia="zh-CN"/>
              </w:rPr>
              <w:t>dB(A)</w:t>
            </w:r>
            <w:r>
              <w:rPr>
                <w:rFonts w:hint="eastAsia"/>
                <w:lang w:val="en-US" w:eastAsia="zh-CN"/>
              </w:rPr>
              <w:t xml:space="preserve">； </w:t>
            </w:r>
          </w:p>
          <w:p>
            <w:pPr>
              <w:pStyle w:val="12"/>
              <w:bidi w:val="0"/>
            </w:pPr>
            <w:r>
              <w:rPr>
                <w:rFonts w:hint="default"/>
                <w:lang w:val="en-US" w:eastAsia="zh-CN"/>
              </w:rPr>
              <w:t>Adiv——</w:t>
            </w:r>
            <w:r>
              <w:rPr>
                <w:rFonts w:hint="eastAsia"/>
                <w:lang w:val="en-US" w:eastAsia="zh-CN"/>
              </w:rPr>
              <w:t>几何发散引起的衰减，</w:t>
            </w:r>
            <w:r>
              <w:rPr>
                <w:rFonts w:hint="default"/>
                <w:lang w:val="en-US" w:eastAsia="zh-CN"/>
              </w:rPr>
              <w:t>dB</w:t>
            </w:r>
            <w:r>
              <w:rPr>
                <w:rFonts w:hint="eastAsia"/>
                <w:lang w:val="en-US" w:eastAsia="zh-CN"/>
              </w:rPr>
              <w:t>。</w:t>
            </w:r>
          </w:p>
          <w:p>
            <w:pPr>
              <w:pStyle w:val="12"/>
              <w:bidi w:val="0"/>
            </w:pPr>
            <w:r>
              <w:rPr>
                <w:rFonts w:hint="eastAsia"/>
                <w:lang w:val="en-US" w:eastAsia="zh-CN"/>
              </w:rPr>
              <w:t xml:space="preserve">③工业企业噪声计算 </w:t>
            </w:r>
          </w:p>
          <w:p>
            <w:pPr>
              <w:pStyle w:val="12"/>
              <w:bidi w:val="0"/>
            </w:pPr>
            <w:r>
              <w:rPr>
                <w:rFonts w:hint="eastAsia"/>
                <w:lang w:val="en-US" w:eastAsia="zh-CN"/>
              </w:rPr>
              <w:t>设第</w:t>
            </w:r>
            <w:r>
              <w:rPr>
                <w:rFonts w:hint="default"/>
                <w:lang w:val="en-US" w:eastAsia="zh-CN"/>
              </w:rPr>
              <w:t>i</w:t>
            </w:r>
            <w:r>
              <w:rPr>
                <w:rFonts w:hint="eastAsia"/>
                <w:lang w:val="en-US" w:eastAsia="zh-CN"/>
              </w:rPr>
              <w:t>个室外声源在预测点产生的</w:t>
            </w:r>
            <w:r>
              <w:rPr>
                <w:rFonts w:hint="default"/>
                <w:lang w:val="en-US" w:eastAsia="zh-CN"/>
              </w:rPr>
              <w:t>A</w:t>
            </w:r>
            <w:r>
              <w:rPr>
                <w:rFonts w:hint="eastAsia"/>
                <w:lang w:val="en-US" w:eastAsia="zh-CN"/>
              </w:rPr>
              <w:t>声级为</w:t>
            </w:r>
            <w:r>
              <w:rPr>
                <w:rFonts w:hint="default"/>
                <w:lang w:val="en-US" w:eastAsia="zh-CN"/>
              </w:rPr>
              <w:t>LAi</w:t>
            </w:r>
            <w:r>
              <w:rPr>
                <w:rFonts w:hint="eastAsia"/>
                <w:lang w:val="en-US" w:eastAsia="zh-CN"/>
              </w:rPr>
              <w:t>，在</w:t>
            </w:r>
            <w:r>
              <w:rPr>
                <w:rFonts w:hint="default"/>
                <w:lang w:val="en-US" w:eastAsia="zh-CN"/>
              </w:rPr>
              <w:t>T</w:t>
            </w:r>
            <w:r>
              <w:rPr>
                <w:rFonts w:hint="eastAsia"/>
                <w:lang w:val="en-US" w:eastAsia="zh-CN"/>
              </w:rPr>
              <w:t>时间内该声源工作时间为</w:t>
            </w:r>
            <w:r>
              <w:rPr>
                <w:rFonts w:hint="default"/>
                <w:lang w:val="en-US" w:eastAsia="zh-CN"/>
              </w:rPr>
              <w:t>t i</w:t>
            </w:r>
            <w:r>
              <w:rPr>
                <w:rFonts w:hint="eastAsia"/>
                <w:lang w:val="en-US" w:eastAsia="zh-CN"/>
              </w:rPr>
              <w:t>；第</w:t>
            </w:r>
            <w:r>
              <w:rPr>
                <w:rFonts w:hint="default"/>
                <w:lang w:val="en-US" w:eastAsia="zh-CN"/>
              </w:rPr>
              <w:t>j</w:t>
            </w:r>
            <w:r>
              <w:rPr>
                <w:rFonts w:hint="eastAsia"/>
                <w:lang w:val="en-US" w:eastAsia="zh-CN"/>
              </w:rPr>
              <w:t>个等效室外声源在预测点产生的</w:t>
            </w:r>
            <w:r>
              <w:rPr>
                <w:rFonts w:hint="default"/>
                <w:lang w:val="en-US" w:eastAsia="zh-CN"/>
              </w:rPr>
              <w:t>A</w:t>
            </w:r>
            <w:r>
              <w:rPr>
                <w:rFonts w:hint="eastAsia"/>
                <w:lang w:val="en-US" w:eastAsia="zh-CN"/>
              </w:rPr>
              <w:t>声级为</w:t>
            </w:r>
            <w:r>
              <w:rPr>
                <w:rFonts w:hint="default"/>
                <w:lang w:val="en-US" w:eastAsia="zh-CN"/>
              </w:rPr>
              <w:t>LAj</w:t>
            </w:r>
            <w:r>
              <w:rPr>
                <w:rFonts w:hint="eastAsia"/>
                <w:lang w:val="en-US" w:eastAsia="zh-CN"/>
              </w:rPr>
              <w:t>，在</w:t>
            </w:r>
            <w:r>
              <w:rPr>
                <w:rFonts w:hint="default"/>
                <w:lang w:val="en-US" w:eastAsia="zh-CN"/>
              </w:rPr>
              <w:t>T</w:t>
            </w:r>
            <w:r>
              <w:rPr>
                <w:rFonts w:hint="eastAsia"/>
                <w:lang w:val="en-US" w:eastAsia="zh-CN"/>
              </w:rPr>
              <w:t>时间内该声源工作时间为</w:t>
            </w:r>
            <w:r>
              <w:rPr>
                <w:rFonts w:hint="default"/>
                <w:lang w:val="en-US" w:eastAsia="zh-CN"/>
              </w:rPr>
              <w:t>tj</w:t>
            </w:r>
            <w:r>
              <w:rPr>
                <w:rFonts w:hint="eastAsia"/>
                <w:lang w:val="en-US" w:eastAsia="zh-CN"/>
              </w:rPr>
              <w:t>，则拟建工程声源对预测点产生的 贡献值</w:t>
            </w:r>
            <w:r>
              <w:rPr>
                <w:rFonts w:hint="default"/>
                <w:lang w:val="en-US" w:eastAsia="zh-CN"/>
              </w:rPr>
              <w:t>(Leqg)</w:t>
            </w:r>
            <w:r>
              <w:rPr>
                <w:rFonts w:hint="eastAsia"/>
                <w:lang w:val="en-US" w:eastAsia="zh-CN"/>
              </w:rPr>
              <w:t xml:space="preserve">为： </w:t>
            </w:r>
          </w:p>
          <w:p>
            <w:pPr>
              <w:pStyle w:val="12"/>
              <w:bidi w:val="0"/>
              <w:jc w:val="center"/>
            </w:pPr>
            <w:r>
              <w:drawing>
                <wp:inline distT="0" distB="0" distL="114300" distR="114300">
                  <wp:extent cx="3201035" cy="425450"/>
                  <wp:effectExtent l="0" t="0" r="18415" b="12700"/>
                  <wp:docPr id="1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6"/>
                          <pic:cNvPicPr>
                            <a:picLocks noChangeAspect="1"/>
                          </pic:cNvPicPr>
                        </pic:nvPicPr>
                        <pic:blipFill>
                          <a:blip r:embed="rId23"/>
                          <a:stretch>
                            <a:fillRect/>
                          </a:stretch>
                        </pic:blipFill>
                        <pic:spPr>
                          <a:xfrm>
                            <a:off x="0" y="0"/>
                            <a:ext cx="3201035" cy="425450"/>
                          </a:xfrm>
                          <a:prstGeom prst="rect">
                            <a:avLst/>
                          </a:prstGeom>
                          <a:noFill/>
                          <a:ln>
                            <a:noFill/>
                          </a:ln>
                        </pic:spPr>
                      </pic:pic>
                    </a:graphicData>
                  </a:graphic>
                </wp:inline>
              </w:drawing>
            </w:r>
          </w:p>
          <w:p>
            <w:pPr>
              <w:pStyle w:val="12"/>
              <w:bidi w:val="0"/>
            </w:pPr>
            <w:r>
              <w:rPr>
                <w:rFonts w:hint="eastAsia"/>
                <w:lang w:val="en-US" w:eastAsia="zh-CN"/>
              </w:rPr>
              <w:t>式中：</w:t>
            </w:r>
            <w:r>
              <w:rPr>
                <w:rFonts w:hint="default"/>
                <w:lang w:val="en-US" w:eastAsia="zh-CN"/>
              </w:rPr>
              <w:t>Leqg——</w:t>
            </w:r>
            <w:r>
              <w:rPr>
                <w:rFonts w:hint="eastAsia"/>
                <w:lang w:val="en-US" w:eastAsia="zh-CN"/>
              </w:rPr>
              <w:t>建设项目声源在预测点产生的噪声贡献值，</w:t>
            </w:r>
            <w:r>
              <w:rPr>
                <w:rFonts w:hint="default"/>
                <w:lang w:val="en-US" w:eastAsia="zh-CN"/>
              </w:rPr>
              <w:t>dB</w:t>
            </w:r>
            <w:r>
              <w:rPr>
                <w:rFonts w:hint="eastAsia"/>
                <w:lang w:val="en-US" w:eastAsia="zh-CN"/>
              </w:rPr>
              <w:t xml:space="preserve">； </w:t>
            </w:r>
          </w:p>
          <w:p>
            <w:pPr>
              <w:pStyle w:val="12"/>
              <w:bidi w:val="0"/>
            </w:pPr>
            <w:r>
              <w:rPr>
                <w:rFonts w:hint="default"/>
                <w:lang w:val="en-US" w:eastAsia="zh-CN"/>
              </w:rPr>
              <w:t>T——</w:t>
            </w:r>
            <w:r>
              <w:rPr>
                <w:rFonts w:hint="eastAsia"/>
                <w:lang w:val="en-US" w:eastAsia="zh-CN"/>
              </w:rPr>
              <w:t>用于计算等效声级的时间，</w:t>
            </w:r>
            <w:r>
              <w:rPr>
                <w:rFonts w:hint="default"/>
                <w:lang w:val="en-US" w:eastAsia="zh-CN"/>
              </w:rPr>
              <w:t>s</w:t>
            </w:r>
            <w:r>
              <w:rPr>
                <w:rFonts w:hint="eastAsia"/>
                <w:lang w:val="en-US" w:eastAsia="zh-CN"/>
              </w:rPr>
              <w:t xml:space="preserve">； </w:t>
            </w:r>
          </w:p>
          <w:p>
            <w:pPr>
              <w:pStyle w:val="12"/>
              <w:bidi w:val="0"/>
            </w:pPr>
            <w:r>
              <w:rPr>
                <w:rFonts w:hint="default"/>
                <w:lang w:val="en-US" w:eastAsia="zh-CN"/>
              </w:rPr>
              <w:t>N——</w:t>
            </w:r>
            <w:r>
              <w:rPr>
                <w:rFonts w:hint="eastAsia"/>
                <w:lang w:val="en-US" w:eastAsia="zh-CN"/>
              </w:rPr>
              <w:t xml:space="preserve">室外声源个数； </w:t>
            </w:r>
          </w:p>
          <w:p>
            <w:pPr>
              <w:pStyle w:val="12"/>
              <w:bidi w:val="0"/>
            </w:pPr>
            <w:r>
              <w:rPr>
                <w:rFonts w:hint="default"/>
                <w:lang w:val="en-US" w:eastAsia="zh-CN"/>
              </w:rPr>
              <w:t>ti——</w:t>
            </w:r>
            <w:r>
              <w:rPr>
                <w:rFonts w:hint="eastAsia"/>
                <w:lang w:val="en-US" w:eastAsia="zh-CN"/>
              </w:rPr>
              <w:t>在</w:t>
            </w:r>
            <w:r>
              <w:rPr>
                <w:rFonts w:hint="default"/>
                <w:lang w:val="en-US" w:eastAsia="zh-CN"/>
              </w:rPr>
              <w:t>T</w:t>
            </w:r>
            <w:r>
              <w:rPr>
                <w:rFonts w:hint="eastAsia"/>
                <w:lang w:val="en-US" w:eastAsia="zh-CN"/>
              </w:rPr>
              <w:t>时间内</w:t>
            </w:r>
            <w:r>
              <w:rPr>
                <w:rFonts w:hint="default"/>
                <w:lang w:val="en-US" w:eastAsia="zh-CN"/>
              </w:rPr>
              <w:t>i</w:t>
            </w:r>
            <w:r>
              <w:rPr>
                <w:rFonts w:hint="eastAsia"/>
                <w:lang w:val="en-US" w:eastAsia="zh-CN"/>
              </w:rPr>
              <w:t>声源工作时间，</w:t>
            </w:r>
            <w:r>
              <w:rPr>
                <w:rFonts w:hint="default"/>
                <w:lang w:val="en-US" w:eastAsia="zh-CN"/>
              </w:rPr>
              <w:t>s</w:t>
            </w:r>
            <w:r>
              <w:rPr>
                <w:rFonts w:hint="eastAsia"/>
                <w:lang w:val="en-US" w:eastAsia="zh-CN"/>
              </w:rPr>
              <w:t xml:space="preserve">； </w:t>
            </w:r>
          </w:p>
          <w:p>
            <w:pPr>
              <w:pStyle w:val="12"/>
              <w:bidi w:val="0"/>
            </w:pPr>
            <w:r>
              <w:rPr>
                <w:rFonts w:hint="default"/>
                <w:lang w:val="en-US" w:eastAsia="zh-CN"/>
              </w:rPr>
              <w:t>M——</w:t>
            </w:r>
            <w:r>
              <w:rPr>
                <w:rFonts w:hint="eastAsia"/>
                <w:lang w:val="en-US" w:eastAsia="zh-CN"/>
              </w:rPr>
              <w:t xml:space="preserve">等效室外声源个数； </w:t>
            </w:r>
          </w:p>
          <w:p>
            <w:pPr>
              <w:pStyle w:val="12"/>
              <w:bidi w:val="0"/>
            </w:pPr>
            <w:r>
              <w:rPr>
                <w:rFonts w:hint="default"/>
                <w:lang w:val="en-US" w:eastAsia="zh-CN"/>
              </w:rPr>
              <w:t>tj——</w:t>
            </w:r>
            <w:r>
              <w:rPr>
                <w:rFonts w:hint="eastAsia"/>
                <w:lang w:val="en-US" w:eastAsia="zh-CN"/>
              </w:rPr>
              <w:t>在</w:t>
            </w:r>
            <w:r>
              <w:rPr>
                <w:rFonts w:hint="default"/>
                <w:lang w:val="en-US" w:eastAsia="zh-CN"/>
              </w:rPr>
              <w:t>T</w:t>
            </w:r>
            <w:r>
              <w:rPr>
                <w:rFonts w:hint="eastAsia"/>
                <w:lang w:val="en-US" w:eastAsia="zh-CN"/>
              </w:rPr>
              <w:t>时间内</w:t>
            </w:r>
            <w:r>
              <w:rPr>
                <w:rFonts w:hint="default"/>
                <w:lang w:val="en-US" w:eastAsia="zh-CN"/>
              </w:rPr>
              <w:t>j</w:t>
            </w:r>
            <w:r>
              <w:rPr>
                <w:rFonts w:hint="eastAsia"/>
                <w:lang w:val="en-US" w:eastAsia="zh-CN"/>
              </w:rPr>
              <w:t>声源工作时间，</w:t>
            </w:r>
            <w:r>
              <w:rPr>
                <w:rFonts w:hint="default"/>
                <w:lang w:val="en-US" w:eastAsia="zh-CN"/>
              </w:rPr>
              <w:t>s</w:t>
            </w:r>
            <w:r>
              <w:rPr>
                <w:rFonts w:hint="eastAsia"/>
                <w:lang w:val="en-US" w:eastAsia="zh-CN"/>
              </w:rPr>
              <w:t>。</w:t>
            </w:r>
          </w:p>
          <w:p>
            <w:pPr>
              <w:pStyle w:val="12"/>
              <w:bidi w:val="0"/>
            </w:pPr>
            <w:r>
              <w:rPr>
                <w:rFonts w:hint="eastAsia"/>
                <w:lang w:val="en-US" w:eastAsia="zh-CN"/>
              </w:rPr>
              <w:t xml:space="preserve">④声环境敏感点预测 </w:t>
            </w:r>
          </w:p>
          <w:p>
            <w:pPr>
              <w:pStyle w:val="12"/>
              <w:bidi w:val="0"/>
            </w:pPr>
            <w:r>
              <w:rPr>
                <w:rFonts w:hint="eastAsia"/>
                <w:lang w:val="en-US" w:eastAsia="zh-CN"/>
              </w:rPr>
              <w:t xml:space="preserve">声环境敏感点噪声预测值 </w:t>
            </w:r>
            <w:r>
              <w:rPr>
                <w:rFonts w:hint="default"/>
                <w:lang w:val="en-US" w:eastAsia="zh-CN"/>
              </w:rPr>
              <w:t>( Leq )</w:t>
            </w:r>
            <w:r>
              <w:rPr>
                <w:rFonts w:hint="eastAsia"/>
                <w:lang w:val="en-US" w:eastAsia="zh-CN"/>
              </w:rPr>
              <w:t xml:space="preserve">计算公式为： </w:t>
            </w:r>
          </w:p>
          <w:p>
            <w:pPr>
              <w:pStyle w:val="12"/>
              <w:bidi w:val="0"/>
              <w:jc w:val="center"/>
            </w:pPr>
            <w:r>
              <w:drawing>
                <wp:inline distT="0" distB="0" distL="114300" distR="114300">
                  <wp:extent cx="2285365" cy="361950"/>
                  <wp:effectExtent l="0" t="0" r="0" b="0"/>
                  <wp:docPr id="1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5"/>
                          <pic:cNvPicPr>
                            <a:picLocks noChangeAspect="1"/>
                          </pic:cNvPicPr>
                        </pic:nvPicPr>
                        <pic:blipFill>
                          <a:blip r:embed="rId24"/>
                          <a:stretch>
                            <a:fillRect/>
                          </a:stretch>
                        </pic:blipFill>
                        <pic:spPr>
                          <a:xfrm>
                            <a:off x="0" y="0"/>
                            <a:ext cx="2285365" cy="361950"/>
                          </a:xfrm>
                          <a:prstGeom prst="rect">
                            <a:avLst/>
                          </a:prstGeom>
                          <a:noFill/>
                          <a:ln>
                            <a:noFill/>
                          </a:ln>
                        </pic:spPr>
                      </pic:pic>
                    </a:graphicData>
                  </a:graphic>
                </wp:inline>
              </w:drawing>
            </w:r>
          </w:p>
          <w:p>
            <w:pPr>
              <w:pStyle w:val="12"/>
              <w:bidi w:val="0"/>
            </w:pPr>
            <w:r>
              <w:rPr>
                <w:rFonts w:hint="eastAsia"/>
                <w:lang w:val="en-US" w:eastAsia="zh-CN"/>
              </w:rPr>
              <w:t xml:space="preserve">式中： </w:t>
            </w:r>
            <w:r>
              <w:rPr>
                <w:rFonts w:hint="default"/>
                <w:lang w:val="en-US" w:eastAsia="zh-CN"/>
              </w:rPr>
              <w:t>Leq ——</w:t>
            </w:r>
            <w:r>
              <w:rPr>
                <w:rFonts w:hint="eastAsia"/>
                <w:lang w:val="en-US" w:eastAsia="zh-CN"/>
              </w:rPr>
              <w:t>预测点的噪声预测值，</w:t>
            </w:r>
            <w:r>
              <w:rPr>
                <w:rFonts w:hint="default"/>
                <w:lang w:val="en-US" w:eastAsia="zh-CN"/>
              </w:rPr>
              <w:t>dB</w:t>
            </w:r>
            <w:r>
              <w:rPr>
                <w:rFonts w:hint="eastAsia"/>
                <w:lang w:val="en-US" w:eastAsia="zh-CN"/>
              </w:rPr>
              <w:t xml:space="preserve">； </w:t>
            </w:r>
          </w:p>
          <w:p>
            <w:pPr>
              <w:pStyle w:val="12"/>
              <w:bidi w:val="0"/>
            </w:pPr>
            <w:r>
              <w:rPr>
                <w:rFonts w:hint="default"/>
                <w:lang w:val="en-US" w:eastAsia="zh-CN"/>
              </w:rPr>
              <w:t>Leqg ——</w:t>
            </w:r>
            <w:r>
              <w:rPr>
                <w:rFonts w:hint="eastAsia"/>
                <w:lang w:val="en-US" w:eastAsia="zh-CN"/>
              </w:rPr>
              <w:t>建设项目声源在预测点产生的噪声贡献值，</w:t>
            </w:r>
            <w:r>
              <w:rPr>
                <w:rFonts w:hint="default"/>
                <w:lang w:val="en-US" w:eastAsia="zh-CN"/>
              </w:rPr>
              <w:t>dB</w:t>
            </w:r>
            <w:r>
              <w:rPr>
                <w:rFonts w:hint="eastAsia"/>
                <w:lang w:val="en-US" w:eastAsia="zh-CN"/>
              </w:rPr>
              <w:t xml:space="preserve">； </w:t>
            </w:r>
          </w:p>
          <w:p>
            <w:pPr>
              <w:pStyle w:val="12"/>
              <w:bidi w:val="0"/>
            </w:pPr>
            <w:r>
              <w:rPr>
                <w:rFonts w:hint="default"/>
                <w:lang w:val="en-US" w:eastAsia="zh-CN"/>
              </w:rPr>
              <w:t>Leqb ——</w:t>
            </w:r>
            <w:r>
              <w:rPr>
                <w:rFonts w:hint="eastAsia"/>
                <w:lang w:val="en-US" w:eastAsia="zh-CN"/>
              </w:rPr>
              <w:t>预测点的背景噪声值，</w:t>
            </w:r>
            <w:r>
              <w:rPr>
                <w:rFonts w:hint="default"/>
                <w:lang w:val="en-US" w:eastAsia="zh-CN"/>
              </w:rPr>
              <w:t>dB</w:t>
            </w:r>
            <w:r>
              <w:rPr>
                <w:rFonts w:hint="eastAsia"/>
                <w:lang w:val="en-US" w:eastAsia="zh-CN"/>
              </w:rPr>
              <w:t>。</w:t>
            </w:r>
          </w:p>
          <w:p>
            <w:pPr>
              <w:pStyle w:val="12"/>
              <w:numPr>
                <w:ilvl w:val="0"/>
                <w:numId w:val="6"/>
              </w:numPr>
              <w:bidi w:val="0"/>
              <w:rPr>
                <w:rFonts w:hint="default"/>
              </w:rPr>
            </w:pPr>
            <w:r>
              <w:rPr>
                <w:rFonts w:hint="default"/>
              </w:rPr>
              <w:t>预测结果与评价</w:t>
            </w:r>
          </w:p>
          <w:p>
            <w:pPr>
              <w:pStyle w:val="12"/>
              <w:bidi w:val="0"/>
              <w:rPr>
                <w:rFonts w:hint="default"/>
              </w:rPr>
            </w:pPr>
            <w:r>
              <w:rPr>
                <w:rFonts w:hint="default"/>
              </w:rPr>
              <w:t>对项目厂区边界的噪声贡献值进行预测，预测结果见</w:t>
            </w:r>
            <w:r>
              <w:rPr>
                <w:rFonts w:hint="default"/>
                <w:lang w:eastAsia="zh-CN"/>
              </w:rPr>
              <w:t>下</w:t>
            </w:r>
            <w:r>
              <w:rPr>
                <w:rFonts w:hint="default"/>
              </w:rPr>
              <w:t>表。</w:t>
            </w:r>
          </w:p>
          <w:p>
            <w:pPr>
              <w:pStyle w:val="29"/>
              <w:bidi w:val="0"/>
              <w:rPr>
                <w:rFonts w:hint="default"/>
              </w:rPr>
            </w:pPr>
            <w:r>
              <w:rPr>
                <w:rFonts w:hint="default"/>
              </w:rPr>
              <w:t>表</w:t>
            </w:r>
            <w:r>
              <w:rPr>
                <w:rFonts w:hint="default"/>
                <w:lang w:val="en-US" w:eastAsia="zh-CN"/>
              </w:rPr>
              <w:t>4.2-1</w:t>
            </w:r>
            <w:r>
              <w:rPr>
                <w:rFonts w:hint="eastAsia"/>
                <w:lang w:val="en-US" w:eastAsia="zh-CN"/>
              </w:rPr>
              <w:t>3</w:t>
            </w:r>
            <w:r>
              <w:rPr>
                <w:rFonts w:hint="default"/>
              </w:rPr>
              <w:t xml:space="preserve">  项目营运期噪声达标情况</w:t>
            </w:r>
          </w:p>
          <w:tbl>
            <w:tblPr>
              <w:tblStyle w:val="27"/>
              <w:tblpPr w:leftFromText="181" w:rightFromText="181" w:bottomFromText="142" w:vertAnchor="text" w:tblpXSpec="center" w:tblpY="1"/>
              <w:tblOverlap w:val="never"/>
              <w:tblW w:w="86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4"/>
              <w:gridCol w:w="1706"/>
              <w:gridCol w:w="1640"/>
              <w:gridCol w:w="1960"/>
              <w:gridCol w:w="2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74" w:type="dxa"/>
                  <w:vAlign w:val="center"/>
                </w:tcPr>
                <w:p>
                  <w:pPr>
                    <w:pStyle w:val="30"/>
                    <w:bidi w:val="0"/>
                    <w:rPr>
                      <w:rFonts w:hint="default"/>
                    </w:rPr>
                  </w:pPr>
                  <w:r>
                    <w:rPr>
                      <w:rFonts w:hint="default"/>
                    </w:rPr>
                    <w:t>场界</w:t>
                  </w:r>
                </w:p>
              </w:tc>
              <w:tc>
                <w:tcPr>
                  <w:tcW w:w="1706" w:type="dxa"/>
                  <w:vAlign w:val="center"/>
                </w:tcPr>
                <w:p>
                  <w:pPr>
                    <w:pStyle w:val="30"/>
                    <w:bidi w:val="0"/>
                    <w:rPr>
                      <w:rFonts w:hint="default"/>
                    </w:rPr>
                  </w:pPr>
                  <w:r>
                    <w:rPr>
                      <w:rFonts w:hint="default"/>
                    </w:rPr>
                    <w:t>时段</w:t>
                  </w:r>
                </w:p>
              </w:tc>
              <w:tc>
                <w:tcPr>
                  <w:tcW w:w="1640" w:type="dxa"/>
                  <w:vAlign w:val="center"/>
                </w:tcPr>
                <w:p>
                  <w:pPr>
                    <w:pStyle w:val="30"/>
                    <w:bidi w:val="0"/>
                    <w:rPr>
                      <w:rFonts w:hint="default"/>
                    </w:rPr>
                  </w:pPr>
                  <w:r>
                    <w:rPr>
                      <w:rFonts w:hint="default"/>
                    </w:rPr>
                    <w:t>贡献值</w:t>
                  </w:r>
                </w:p>
                <w:p>
                  <w:pPr>
                    <w:pStyle w:val="30"/>
                    <w:bidi w:val="0"/>
                    <w:rPr>
                      <w:rFonts w:hint="default"/>
                    </w:rPr>
                  </w:pPr>
                  <w:r>
                    <w:rPr>
                      <w:rFonts w:hint="default"/>
                    </w:rPr>
                    <w:t>[dB（A）]</w:t>
                  </w:r>
                </w:p>
              </w:tc>
              <w:tc>
                <w:tcPr>
                  <w:tcW w:w="1960" w:type="dxa"/>
                  <w:vAlign w:val="center"/>
                </w:tcPr>
                <w:p>
                  <w:pPr>
                    <w:pStyle w:val="30"/>
                    <w:bidi w:val="0"/>
                    <w:rPr>
                      <w:rFonts w:hint="default"/>
                    </w:rPr>
                  </w:pPr>
                  <w:r>
                    <w:rPr>
                      <w:rFonts w:hint="default"/>
                    </w:rPr>
                    <w:t>标准值</w:t>
                  </w:r>
                </w:p>
                <w:p>
                  <w:pPr>
                    <w:pStyle w:val="30"/>
                    <w:bidi w:val="0"/>
                    <w:rPr>
                      <w:rFonts w:hint="default"/>
                    </w:rPr>
                  </w:pPr>
                  <w:r>
                    <w:rPr>
                      <w:rFonts w:hint="default"/>
                    </w:rPr>
                    <w:t>[dB（A）]</w:t>
                  </w:r>
                </w:p>
              </w:tc>
              <w:tc>
                <w:tcPr>
                  <w:tcW w:w="2002" w:type="dxa"/>
                  <w:vAlign w:val="center"/>
                </w:tcPr>
                <w:p>
                  <w:pPr>
                    <w:pStyle w:val="30"/>
                    <w:bidi w:val="0"/>
                    <w:rPr>
                      <w:rFonts w:hint="default"/>
                    </w:rPr>
                  </w:pPr>
                  <w:r>
                    <w:rPr>
                      <w:rFonts w:hint="default"/>
                    </w:rPr>
                    <w:t>达标</w:t>
                  </w:r>
                </w:p>
                <w:p>
                  <w:pPr>
                    <w:pStyle w:val="30"/>
                    <w:bidi w:val="0"/>
                    <w:rPr>
                      <w:rFonts w:hint="default"/>
                    </w:rPr>
                  </w:pPr>
                  <w:r>
                    <w:rPr>
                      <w:rFonts w:hint="default"/>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74" w:type="dxa"/>
                  <w:vMerge w:val="restart"/>
                  <w:vAlign w:val="center"/>
                </w:tcPr>
                <w:p>
                  <w:pPr>
                    <w:pStyle w:val="30"/>
                    <w:bidi w:val="0"/>
                    <w:rPr>
                      <w:rFonts w:hint="default"/>
                      <w:lang w:eastAsia="zh-CN"/>
                    </w:rPr>
                  </w:pPr>
                  <w:r>
                    <w:rPr>
                      <w:rFonts w:hint="default"/>
                      <w:lang w:eastAsia="zh-CN"/>
                    </w:rPr>
                    <w:t>厂界东侧</w:t>
                  </w:r>
                </w:p>
              </w:tc>
              <w:tc>
                <w:tcPr>
                  <w:tcW w:w="1706" w:type="dxa"/>
                  <w:vAlign w:val="center"/>
                </w:tcPr>
                <w:p>
                  <w:pPr>
                    <w:pStyle w:val="30"/>
                    <w:bidi w:val="0"/>
                    <w:rPr>
                      <w:rFonts w:hint="default"/>
                      <w:lang w:eastAsia="zh-CN"/>
                    </w:rPr>
                  </w:pPr>
                  <w:r>
                    <w:rPr>
                      <w:rFonts w:hint="default"/>
                      <w:lang w:eastAsia="zh-CN"/>
                    </w:rPr>
                    <w:t>昼</w:t>
                  </w:r>
                </w:p>
              </w:tc>
              <w:tc>
                <w:tcPr>
                  <w:tcW w:w="1640" w:type="dxa"/>
                  <w:vMerge w:val="restart"/>
                  <w:vAlign w:val="center"/>
                </w:tcPr>
                <w:p>
                  <w:pPr>
                    <w:pStyle w:val="30"/>
                    <w:bidi w:val="0"/>
                    <w:rPr>
                      <w:rFonts w:hint="default"/>
                      <w:lang w:val="en-US" w:eastAsia="zh-CN"/>
                    </w:rPr>
                  </w:pPr>
                  <w:r>
                    <w:rPr>
                      <w:rFonts w:hint="eastAsia"/>
                      <w:lang w:val="en-US" w:eastAsia="zh-CN"/>
                    </w:rPr>
                    <w:t>18.5</w:t>
                  </w:r>
                </w:p>
              </w:tc>
              <w:tc>
                <w:tcPr>
                  <w:tcW w:w="1960" w:type="dxa"/>
                  <w:vAlign w:val="center"/>
                </w:tcPr>
                <w:p>
                  <w:pPr>
                    <w:pStyle w:val="30"/>
                    <w:bidi w:val="0"/>
                    <w:rPr>
                      <w:rFonts w:hint="default"/>
                    </w:rPr>
                  </w:pPr>
                  <w:r>
                    <w:rPr>
                      <w:rFonts w:hint="default"/>
                    </w:rPr>
                    <w:t>60</w:t>
                  </w:r>
                </w:p>
              </w:tc>
              <w:tc>
                <w:tcPr>
                  <w:tcW w:w="2002" w:type="dxa"/>
                  <w:vAlign w:val="center"/>
                </w:tcPr>
                <w:p>
                  <w:pPr>
                    <w:pStyle w:val="30"/>
                    <w:bidi w:val="0"/>
                    <w:rPr>
                      <w:rFonts w:hint="default"/>
                    </w:rPr>
                  </w:pP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74" w:type="dxa"/>
                  <w:vMerge w:val="continue"/>
                  <w:vAlign w:val="center"/>
                </w:tcPr>
                <w:p>
                  <w:pPr>
                    <w:pStyle w:val="30"/>
                    <w:bidi w:val="0"/>
                    <w:rPr>
                      <w:rFonts w:hint="default"/>
                    </w:rPr>
                  </w:pPr>
                </w:p>
              </w:tc>
              <w:tc>
                <w:tcPr>
                  <w:tcW w:w="1706" w:type="dxa"/>
                  <w:vAlign w:val="center"/>
                </w:tcPr>
                <w:p>
                  <w:pPr>
                    <w:pStyle w:val="30"/>
                    <w:bidi w:val="0"/>
                    <w:rPr>
                      <w:rFonts w:hint="default"/>
                    </w:rPr>
                  </w:pPr>
                  <w:r>
                    <w:rPr>
                      <w:rFonts w:hint="default"/>
                      <w:lang w:eastAsia="zh-CN"/>
                    </w:rPr>
                    <w:t>夜</w:t>
                  </w:r>
                </w:p>
              </w:tc>
              <w:tc>
                <w:tcPr>
                  <w:tcW w:w="1640" w:type="dxa"/>
                  <w:vMerge w:val="continue"/>
                  <w:vAlign w:val="center"/>
                </w:tcPr>
                <w:p>
                  <w:pPr>
                    <w:pStyle w:val="30"/>
                    <w:bidi w:val="0"/>
                    <w:rPr>
                      <w:rFonts w:hint="default"/>
                      <w:lang w:val="en-US" w:eastAsia="zh-CN"/>
                    </w:rPr>
                  </w:pPr>
                </w:p>
              </w:tc>
              <w:tc>
                <w:tcPr>
                  <w:tcW w:w="1960" w:type="dxa"/>
                  <w:vAlign w:val="center"/>
                </w:tcPr>
                <w:p>
                  <w:pPr>
                    <w:pStyle w:val="30"/>
                    <w:bidi w:val="0"/>
                    <w:rPr>
                      <w:rFonts w:hint="default"/>
                      <w:lang w:val="en-US" w:eastAsia="zh-CN"/>
                    </w:rPr>
                  </w:pPr>
                  <w:r>
                    <w:rPr>
                      <w:rFonts w:hint="default"/>
                      <w:lang w:val="en-US" w:eastAsia="zh-CN"/>
                    </w:rPr>
                    <w:t>50</w:t>
                  </w:r>
                </w:p>
              </w:tc>
              <w:tc>
                <w:tcPr>
                  <w:tcW w:w="2002" w:type="dxa"/>
                  <w:vAlign w:val="center"/>
                </w:tcPr>
                <w:p>
                  <w:pPr>
                    <w:pStyle w:val="30"/>
                    <w:bidi w:val="0"/>
                    <w:rPr>
                      <w:rFonts w:hint="default"/>
                    </w:rPr>
                  </w:pP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74" w:type="dxa"/>
                  <w:vMerge w:val="restart"/>
                  <w:vAlign w:val="center"/>
                </w:tcPr>
                <w:p>
                  <w:pPr>
                    <w:pStyle w:val="30"/>
                    <w:bidi w:val="0"/>
                    <w:rPr>
                      <w:rFonts w:hint="default"/>
                      <w:lang w:eastAsia="zh-CN"/>
                    </w:rPr>
                  </w:pPr>
                  <w:r>
                    <w:rPr>
                      <w:rFonts w:hint="default"/>
                      <w:lang w:eastAsia="zh-CN"/>
                    </w:rPr>
                    <w:t>厂界南侧</w:t>
                  </w:r>
                </w:p>
              </w:tc>
              <w:tc>
                <w:tcPr>
                  <w:tcW w:w="1706" w:type="dxa"/>
                  <w:vAlign w:val="center"/>
                </w:tcPr>
                <w:p>
                  <w:pPr>
                    <w:pStyle w:val="30"/>
                    <w:bidi w:val="0"/>
                    <w:rPr>
                      <w:rFonts w:hint="default"/>
                    </w:rPr>
                  </w:pPr>
                  <w:r>
                    <w:rPr>
                      <w:rFonts w:hint="default"/>
                      <w:lang w:eastAsia="zh-CN"/>
                    </w:rPr>
                    <w:t>昼</w:t>
                  </w:r>
                </w:p>
              </w:tc>
              <w:tc>
                <w:tcPr>
                  <w:tcW w:w="1640" w:type="dxa"/>
                  <w:vMerge w:val="restart"/>
                  <w:vAlign w:val="center"/>
                </w:tcPr>
                <w:p>
                  <w:pPr>
                    <w:pStyle w:val="30"/>
                    <w:bidi w:val="0"/>
                    <w:rPr>
                      <w:rFonts w:hint="default"/>
                      <w:lang w:val="en-US" w:eastAsia="zh-CN"/>
                    </w:rPr>
                  </w:pPr>
                  <w:r>
                    <w:rPr>
                      <w:rFonts w:hint="eastAsia"/>
                      <w:lang w:val="en-US" w:eastAsia="zh-CN"/>
                    </w:rPr>
                    <w:t>41.2</w:t>
                  </w:r>
                </w:p>
              </w:tc>
              <w:tc>
                <w:tcPr>
                  <w:tcW w:w="1960" w:type="dxa"/>
                  <w:vAlign w:val="center"/>
                </w:tcPr>
                <w:p>
                  <w:pPr>
                    <w:pStyle w:val="30"/>
                    <w:bidi w:val="0"/>
                    <w:rPr>
                      <w:rFonts w:hint="default"/>
                    </w:rPr>
                  </w:pPr>
                  <w:r>
                    <w:rPr>
                      <w:rFonts w:hint="default"/>
                      <w:lang w:val="en-US" w:eastAsia="zh-CN"/>
                    </w:rPr>
                    <w:t>6</w:t>
                  </w:r>
                  <w:r>
                    <w:rPr>
                      <w:rFonts w:hint="default"/>
                    </w:rPr>
                    <w:t>0</w:t>
                  </w:r>
                </w:p>
              </w:tc>
              <w:tc>
                <w:tcPr>
                  <w:tcW w:w="2002" w:type="dxa"/>
                  <w:vAlign w:val="center"/>
                </w:tcPr>
                <w:p>
                  <w:pPr>
                    <w:pStyle w:val="30"/>
                    <w:bidi w:val="0"/>
                    <w:rPr>
                      <w:rFonts w:hint="default"/>
                    </w:rPr>
                  </w:pP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74" w:type="dxa"/>
                  <w:vMerge w:val="continue"/>
                  <w:vAlign w:val="center"/>
                </w:tcPr>
                <w:p>
                  <w:pPr>
                    <w:pStyle w:val="30"/>
                    <w:bidi w:val="0"/>
                    <w:rPr>
                      <w:rFonts w:hint="default"/>
                    </w:rPr>
                  </w:pPr>
                </w:p>
              </w:tc>
              <w:tc>
                <w:tcPr>
                  <w:tcW w:w="1706" w:type="dxa"/>
                  <w:vAlign w:val="center"/>
                </w:tcPr>
                <w:p>
                  <w:pPr>
                    <w:pStyle w:val="30"/>
                    <w:bidi w:val="0"/>
                    <w:rPr>
                      <w:rFonts w:hint="default"/>
                    </w:rPr>
                  </w:pPr>
                  <w:r>
                    <w:rPr>
                      <w:rFonts w:hint="default"/>
                      <w:lang w:eastAsia="zh-CN"/>
                    </w:rPr>
                    <w:t>夜</w:t>
                  </w:r>
                </w:p>
              </w:tc>
              <w:tc>
                <w:tcPr>
                  <w:tcW w:w="1640" w:type="dxa"/>
                  <w:vMerge w:val="continue"/>
                  <w:vAlign w:val="center"/>
                </w:tcPr>
                <w:p>
                  <w:pPr>
                    <w:pStyle w:val="30"/>
                    <w:bidi w:val="0"/>
                    <w:rPr>
                      <w:rFonts w:hint="default"/>
                      <w:lang w:val="en-US" w:eastAsia="zh-CN"/>
                    </w:rPr>
                  </w:pPr>
                </w:p>
              </w:tc>
              <w:tc>
                <w:tcPr>
                  <w:tcW w:w="1960" w:type="dxa"/>
                  <w:vAlign w:val="center"/>
                </w:tcPr>
                <w:p>
                  <w:pPr>
                    <w:pStyle w:val="30"/>
                    <w:bidi w:val="0"/>
                    <w:rPr>
                      <w:rFonts w:hint="default"/>
                      <w:lang w:val="en-US" w:eastAsia="zh-CN"/>
                    </w:rPr>
                  </w:pPr>
                  <w:r>
                    <w:rPr>
                      <w:rFonts w:hint="default"/>
                      <w:lang w:val="en-US" w:eastAsia="zh-CN"/>
                    </w:rPr>
                    <w:t>50</w:t>
                  </w:r>
                </w:p>
              </w:tc>
              <w:tc>
                <w:tcPr>
                  <w:tcW w:w="2002" w:type="dxa"/>
                  <w:vAlign w:val="center"/>
                </w:tcPr>
                <w:p>
                  <w:pPr>
                    <w:pStyle w:val="30"/>
                    <w:bidi w:val="0"/>
                    <w:rPr>
                      <w:rFonts w:hint="default"/>
                    </w:rPr>
                  </w:pP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74" w:type="dxa"/>
                  <w:vMerge w:val="restart"/>
                  <w:vAlign w:val="center"/>
                </w:tcPr>
                <w:p>
                  <w:pPr>
                    <w:pStyle w:val="30"/>
                    <w:bidi w:val="0"/>
                    <w:rPr>
                      <w:rFonts w:hint="default"/>
                      <w:lang w:eastAsia="zh-CN"/>
                    </w:rPr>
                  </w:pPr>
                  <w:r>
                    <w:rPr>
                      <w:rFonts w:hint="default"/>
                      <w:lang w:eastAsia="zh-CN"/>
                    </w:rPr>
                    <w:t>厂界西侧</w:t>
                  </w:r>
                </w:p>
              </w:tc>
              <w:tc>
                <w:tcPr>
                  <w:tcW w:w="1706" w:type="dxa"/>
                  <w:vAlign w:val="center"/>
                </w:tcPr>
                <w:p>
                  <w:pPr>
                    <w:pStyle w:val="30"/>
                    <w:bidi w:val="0"/>
                    <w:rPr>
                      <w:rFonts w:hint="default"/>
                    </w:rPr>
                  </w:pPr>
                  <w:r>
                    <w:rPr>
                      <w:rFonts w:hint="default"/>
                      <w:lang w:eastAsia="zh-CN"/>
                    </w:rPr>
                    <w:t>昼</w:t>
                  </w:r>
                </w:p>
              </w:tc>
              <w:tc>
                <w:tcPr>
                  <w:tcW w:w="1640" w:type="dxa"/>
                  <w:vMerge w:val="restart"/>
                  <w:vAlign w:val="center"/>
                </w:tcPr>
                <w:p>
                  <w:pPr>
                    <w:pStyle w:val="30"/>
                    <w:bidi w:val="0"/>
                    <w:rPr>
                      <w:rFonts w:hint="default"/>
                      <w:lang w:val="en-US" w:eastAsia="zh-CN"/>
                    </w:rPr>
                  </w:pPr>
                  <w:r>
                    <w:rPr>
                      <w:rFonts w:hint="eastAsia"/>
                      <w:lang w:val="en-US" w:eastAsia="zh-CN"/>
                    </w:rPr>
                    <w:t>34.1</w:t>
                  </w:r>
                </w:p>
              </w:tc>
              <w:tc>
                <w:tcPr>
                  <w:tcW w:w="1960" w:type="dxa"/>
                  <w:vAlign w:val="center"/>
                </w:tcPr>
                <w:p>
                  <w:pPr>
                    <w:pStyle w:val="30"/>
                    <w:bidi w:val="0"/>
                    <w:rPr>
                      <w:rFonts w:hint="default"/>
                      <w:lang w:val="en-US" w:eastAsia="zh-CN"/>
                    </w:rPr>
                  </w:pPr>
                  <w:r>
                    <w:rPr>
                      <w:rFonts w:hint="default"/>
                      <w:lang w:val="en-US" w:eastAsia="zh-CN"/>
                    </w:rPr>
                    <w:t>60</w:t>
                  </w:r>
                </w:p>
              </w:tc>
              <w:tc>
                <w:tcPr>
                  <w:tcW w:w="2002" w:type="dxa"/>
                  <w:vAlign w:val="center"/>
                </w:tcPr>
                <w:p>
                  <w:pPr>
                    <w:pStyle w:val="30"/>
                    <w:bidi w:val="0"/>
                    <w:rPr>
                      <w:rFonts w:hint="default"/>
                    </w:rPr>
                  </w:pP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74" w:type="dxa"/>
                  <w:vMerge w:val="continue"/>
                  <w:vAlign w:val="center"/>
                </w:tcPr>
                <w:p>
                  <w:pPr>
                    <w:pStyle w:val="30"/>
                    <w:bidi w:val="0"/>
                    <w:rPr>
                      <w:rFonts w:hint="default"/>
                    </w:rPr>
                  </w:pPr>
                </w:p>
              </w:tc>
              <w:tc>
                <w:tcPr>
                  <w:tcW w:w="1706" w:type="dxa"/>
                  <w:vAlign w:val="center"/>
                </w:tcPr>
                <w:p>
                  <w:pPr>
                    <w:pStyle w:val="30"/>
                    <w:bidi w:val="0"/>
                    <w:rPr>
                      <w:rFonts w:hint="default"/>
                    </w:rPr>
                  </w:pPr>
                  <w:r>
                    <w:rPr>
                      <w:rFonts w:hint="default"/>
                      <w:lang w:eastAsia="zh-CN"/>
                    </w:rPr>
                    <w:t>夜</w:t>
                  </w:r>
                </w:p>
              </w:tc>
              <w:tc>
                <w:tcPr>
                  <w:tcW w:w="1640" w:type="dxa"/>
                  <w:vMerge w:val="continue"/>
                  <w:vAlign w:val="center"/>
                </w:tcPr>
                <w:p>
                  <w:pPr>
                    <w:pStyle w:val="30"/>
                    <w:bidi w:val="0"/>
                    <w:rPr>
                      <w:rFonts w:hint="default"/>
                      <w:lang w:val="en-US" w:eastAsia="zh-CN"/>
                    </w:rPr>
                  </w:pPr>
                </w:p>
              </w:tc>
              <w:tc>
                <w:tcPr>
                  <w:tcW w:w="1960" w:type="dxa"/>
                  <w:vAlign w:val="center"/>
                </w:tcPr>
                <w:p>
                  <w:pPr>
                    <w:pStyle w:val="30"/>
                    <w:bidi w:val="0"/>
                    <w:rPr>
                      <w:rFonts w:hint="default"/>
                      <w:lang w:val="en-US" w:eastAsia="zh-CN"/>
                    </w:rPr>
                  </w:pPr>
                  <w:r>
                    <w:rPr>
                      <w:rFonts w:hint="default"/>
                      <w:lang w:val="en-US" w:eastAsia="zh-CN"/>
                    </w:rPr>
                    <w:t>50</w:t>
                  </w:r>
                </w:p>
              </w:tc>
              <w:tc>
                <w:tcPr>
                  <w:tcW w:w="2002" w:type="dxa"/>
                  <w:vAlign w:val="center"/>
                </w:tcPr>
                <w:p>
                  <w:pPr>
                    <w:pStyle w:val="30"/>
                    <w:bidi w:val="0"/>
                    <w:rPr>
                      <w:rFonts w:hint="default"/>
                    </w:rPr>
                  </w:pP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74" w:type="dxa"/>
                  <w:vMerge w:val="restart"/>
                  <w:vAlign w:val="center"/>
                </w:tcPr>
                <w:p>
                  <w:pPr>
                    <w:pStyle w:val="30"/>
                    <w:bidi w:val="0"/>
                    <w:rPr>
                      <w:rFonts w:hint="default"/>
                      <w:lang w:eastAsia="zh-CN"/>
                    </w:rPr>
                  </w:pPr>
                  <w:r>
                    <w:rPr>
                      <w:rFonts w:hint="default"/>
                      <w:lang w:eastAsia="zh-CN"/>
                    </w:rPr>
                    <w:t>厂界北侧</w:t>
                  </w:r>
                </w:p>
              </w:tc>
              <w:tc>
                <w:tcPr>
                  <w:tcW w:w="1706" w:type="dxa"/>
                  <w:vAlign w:val="center"/>
                </w:tcPr>
                <w:p>
                  <w:pPr>
                    <w:pStyle w:val="30"/>
                    <w:bidi w:val="0"/>
                    <w:rPr>
                      <w:rFonts w:hint="default"/>
                    </w:rPr>
                  </w:pPr>
                  <w:r>
                    <w:rPr>
                      <w:rFonts w:hint="default"/>
                      <w:lang w:eastAsia="zh-CN"/>
                    </w:rPr>
                    <w:t>昼</w:t>
                  </w:r>
                </w:p>
              </w:tc>
              <w:tc>
                <w:tcPr>
                  <w:tcW w:w="1640" w:type="dxa"/>
                  <w:vMerge w:val="restart"/>
                  <w:vAlign w:val="center"/>
                </w:tcPr>
                <w:p>
                  <w:pPr>
                    <w:pStyle w:val="30"/>
                    <w:bidi w:val="0"/>
                    <w:rPr>
                      <w:rFonts w:hint="default"/>
                      <w:lang w:val="en-US" w:eastAsia="zh-CN"/>
                    </w:rPr>
                  </w:pPr>
                  <w:r>
                    <w:rPr>
                      <w:rFonts w:hint="eastAsia"/>
                      <w:lang w:val="en-US" w:eastAsia="zh-CN"/>
                    </w:rPr>
                    <w:t>24.8</w:t>
                  </w:r>
                </w:p>
              </w:tc>
              <w:tc>
                <w:tcPr>
                  <w:tcW w:w="1960" w:type="dxa"/>
                  <w:vAlign w:val="center"/>
                </w:tcPr>
                <w:p>
                  <w:pPr>
                    <w:pStyle w:val="30"/>
                    <w:bidi w:val="0"/>
                    <w:rPr>
                      <w:rFonts w:hint="default"/>
                      <w:lang w:val="en-US" w:eastAsia="zh-CN"/>
                    </w:rPr>
                  </w:pPr>
                  <w:r>
                    <w:rPr>
                      <w:rFonts w:hint="default"/>
                      <w:lang w:val="en-US" w:eastAsia="zh-CN"/>
                    </w:rPr>
                    <w:t>60</w:t>
                  </w:r>
                </w:p>
              </w:tc>
              <w:tc>
                <w:tcPr>
                  <w:tcW w:w="2002" w:type="dxa"/>
                  <w:vAlign w:val="center"/>
                </w:tcPr>
                <w:p>
                  <w:pPr>
                    <w:pStyle w:val="30"/>
                    <w:bidi w:val="0"/>
                    <w:rPr>
                      <w:rFonts w:hint="default"/>
                    </w:rPr>
                  </w:pP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74" w:type="dxa"/>
                  <w:vMerge w:val="continue"/>
                  <w:vAlign w:val="center"/>
                </w:tcPr>
                <w:p>
                  <w:pPr>
                    <w:pStyle w:val="30"/>
                    <w:bidi w:val="0"/>
                    <w:rPr>
                      <w:rFonts w:hint="default"/>
                    </w:rPr>
                  </w:pPr>
                </w:p>
              </w:tc>
              <w:tc>
                <w:tcPr>
                  <w:tcW w:w="1706" w:type="dxa"/>
                  <w:vAlign w:val="center"/>
                </w:tcPr>
                <w:p>
                  <w:pPr>
                    <w:pStyle w:val="30"/>
                    <w:bidi w:val="0"/>
                    <w:rPr>
                      <w:rFonts w:hint="default"/>
                    </w:rPr>
                  </w:pPr>
                  <w:r>
                    <w:rPr>
                      <w:rFonts w:hint="default"/>
                      <w:lang w:eastAsia="zh-CN"/>
                    </w:rPr>
                    <w:t>夜</w:t>
                  </w:r>
                </w:p>
              </w:tc>
              <w:tc>
                <w:tcPr>
                  <w:tcW w:w="1640" w:type="dxa"/>
                  <w:vMerge w:val="continue"/>
                  <w:vAlign w:val="center"/>
                </w:tcPr>
                <w:p>
                  <w:pPr>
                    <w:pStyle w:val="30"/>
                    <w:bidi w:val="0"/>
                    <w:rPr>
                      <w:rFonts w:hint="default"/>
                      <w:lang w:val="en-US" w:eastAsia="zh-CN"/>
                    </w:rPr>
                  </w:pPr>
                </w:p>
              </w:tc>
              <w:tc>
                <w:tcPr>
                  <w:tcW w:w="1960" w:type="dxa"/>
                  <w:vAlign w:val="center"/>
                </w:tcPr>
                <w:p>
                  <w:pPr>
                    <w:pStyle w:val="30"/>
                    <w:bidi w:val="0"/>
                    <w:rPr>
                      <w:rFonts w:hint="default"/>
                      <w:lang w:val="en-US" w:eastAsia="zh-CN"/>
                    </w:rPr>
                  </w:pPr>
                  <w:r>
                    <w:rPr>
                      <w:rFonts w:hint="default"/>
                      <w:lang w:val="en-US" w:eastAsia="zh-CN"/>
                    </w:rPr>
                    <w:t>50</w:t>
                  </w:r>
                </w:p>
              </w:tc>
              <w:tc>
                <w:tcPr>
                  <w:tcW w:w="2002" w:type="dxa"/>
                  <w:vAlign w:val="center"/>
                </w:tcPr>
                <w:p>
                  <w:pPr>
                    <w:pStyle w:val="30"/>
                    <w:bidi w:val="0"/>
                    <w:rPr>
                      <w:rFonts w:hint="default"/>
                    </w:rPr>
                  </w:pPr>
                  <w:r>
                    <w:rPr>
                      <w:rFonts w:hint="default"/>
                    </w:rPr>
                    <w:t>达标</w:t>
                  </w:r>
                </w:p>
              </w:tc>
            </w:tr>
          </w:tbl>
          <w:p>
            <w:pPr>
              <w:pStyle w:val="12"/>
              <w:bidi w:val="0"/>
              <w:rPr>
                <w:rFonts w:hint="default"/>
                <w:lang w:eastAsia="zh-CN"/>
              </w:rPr>
            </w:pPr>
            <w:r>
              <w:rPr>
                <w:rFonts w:hint="default"/>
              </w:rPr>
              <w:t>由上表</w:t>
            </w:r>
            <w:r>
              <w:rPr>
                <w:rFonts w:hint="default"/>
                <w:lang w:eastAsia="zh-CN"/>
              </w:rPr>
              <w:t>预测</w:t>
            </w:r>
            <w:r>
              <w:rPr>
                <w:rFonts w:hint="default"/>
              </w:rPr>
              <w:t>可知，建设项目生产设备产生的噪声经</w:t>
            </w:r>
            <w:r>
              <w:rPr>
                <w:rFonts w:hint="eastAsia"/>
              </w:rPr>
              <w:t>选取低噪声设备、设置隔声、减振</w:t>
            </w:r>
            <w:r>
              <w:rPr>
                <w:rFonts w:hint="eastAsia"/>
                <w:lang w:eastAsia="zh-CN"/>
              </w:rPr>
              <w:t>、</w:t>
            </w:r>
            <w:r>
              <w:rPr>
                <w:rFonts w:hint="default"/>
                <w:lang w:eastAsia="zh-CN"/>
              </w:rPr>
              <w:t>厂房</w:t>
            </w:r>
            <w:r>
              <w:rPr>
                <w:rFonts w:hint="default"/>
              </w:rPr>
              <w:t>隔声</w:t>
            </w:r>
            <w:r>
              <w:rPr>
                <w:rFonts w:hint="eastAsia"/>
                <w:lang w:eastAsia="zh-CN"/>
              </w:rPr>
              <w:t>、设置围墙</w:t>
            </w:r>
            <w:r>
              <w:rPr>
                <w:rFonts w:hint="default"/>
              </w:rPr>
              <w:t>和距离衰减后，厂界</w:t>
            </w:r>
            <w:r>
              <w:rPr>
                <w:rFonts w:hint="default"/>
                <w:lang w:eastAsia="zh-CN"/>
              </w:rPr>
              <w:t>东</w:t>
            </w:r>
            <w:r>
              <w:rPr>
                <w:rFonts w:hint="eastAsia"/>
                <w:lang w:eastAsia="zh-CN"/>
              </w:rPr>
              <w:t>、</w:t>
            </w:r>
            <w:r>
              <w:rPr>
                <w:rFonts w:hint="default"/>
                <w:lang w:eastAsia="zh-CN"/>
              </w:rPr>
              <w:t>南</w:t>
            </w:r>
            <w:r>
              <w:rPr>
                <w:rFonts w:hint="eastAsia"/>
                <w:lang w:eastAsia="zh-CN"/>
              </w:rPr>
              <w:t>、</w:t>
            </w:r>
            <w:r>
              <w:rPr>
                <w:rFonts w:hint="default"/>
                <w:lang w:eastAsia="zh-CN"/>
              </w:rPr>
              <w:t>北侧昼</w:t>
            </w:r>
            <w:r>
              <w:rPr>
                <w:rFonts w:hint="eastAsia"/>
                <w:lang w:eastAsia="zh-CN"/>
              </w:rPr>
              <w:t>、</w:t>
            </w:r>
            <w:r>
              <w:rPr>
                <w:rFonts w:hint="default"/>
                <w:lang w:eastAsia="zh-CN"/>
              </w:rPr>
              <w:t>夜</w:t>
            </w:r>
            <w:r>
              <w:rPr>
                <w:rFonts w:hint="eastAsia"/>
                <w:lang w:eastAsia="zh-CN"/>
              </w:rPr>
              <w:t>间</w:t>
            </w:r>
            <w:r>
              <w:rPr>
                <w:rFonts w:hint="default"/>
              </w:rPr>
              <w:t>噪声滿足《工业企业厂界环境噪声排放标准》</w:t>
            </w:r>
            <w:r>
              <w:rPr>
                <w:rFonts w:hint="default"/>
                <w:lang w:val="en-US" w:eastAsia="en-US"/>
              </w:rPr>
              <w:t xml:space="preserve">(GB12348-2008) </w:t>
            </w:r>
            <w:r>
              <w:rPr>
                <w:rFonts w:hint="default"/>
                <w:lang w:val="en-US" w:eastAsia="zh-CN"/>
              </w:rPr>
              <w:t>2</w:t>
            </w:r>
            <w:r>
              <w:rPr>
                <w:rFonts w:hint="default"/>
              </w:rPr>
              <w:t>类标准要求</w:t>
            </w:r>
            <w:r>
              <w:rPr>
                <w:rFonts w:hint="eastAsia"/>
                <w:lang w:eastAsia="zh-CN"/>
              </w:rPr>
              <w:t>；</w:t>
            </w:r>
            <w:r>
              <w:rPr>
                <w:rFonts w:hint="default"/>
              </w:rPr>
              <w:t>厂界</w:t>
            </w:r>
            <w:r>
              <w:rPr>
                <w:rFonts w:hint="default"/>
                <w:lang w:eastAsia="zh-CN"/>
              </w:rPr>
              <w:t>西侧昼</w:t>
            </w:r>
            <w:r>
              <w:rPr>
                <w:rFonts w:hint="eastAsia"/>
                <w:lang w:eastAsia="zh-CN"/>
              </w:rPr>
              <w:t>、</w:t>
            </w:r>
            <w:r>
              <w:rPr>
                <w:rFonts w:hint="default"/>
                <w:lang w:eastAsia="zh-CN"/>
              </w:rPr>
              <w:t>夜</w:t>
            </w:r>
            <w:r>
              <w:rPr>
                <w:rFonts w:hint="eastAsia"/>
                <w:lang w:eastAsia="zh-CN"/>
              </w:rPr>
              <w:t>间</w:t>
            </w:r>
            <w:r>
              <w:rPr>
                <w:rFonts w:hint="default"/>
              </w:rPr>
              <w:t>噪声滿足《工业企业厂界环境噪声排放标准》</w:t>
            </w:r>
            <w:r>
              <w:rPr>
                <w:rFonts w:hint="default"/>
                <w:lang w:val="en-US" w:eastAsia="en-US"/>
              </w:rPr>
              <w:t xml:space="preserve">(GB12348-2008) </w:t>
            </w:r>
            <w:r>
              <w:rPr>
                <w:rFonts w:hint="eastAsia"/>
                <w:lang w:val="en-US" w:eastAsia="zh-CN"/>
              </w:rPr>
              <w:t>4</w:t>
            </w:r>
            <w:r>
              <w:rPr>
                <w:rFonts w:hint="default"/>
              </w:rPr>
              <w:t>类标准要求</w:t>
            </w:r>
            <w:r>
              <w:rPr>
                <w:rFonts w:hint="default"/>
                <w:lang w:eastAsia="zh-CN"/>
              </w:rPr>
              <w:t>。</w:t>
            </w:r>
          </w:p>
          <w:p>
            <w:pPr>
              <w:pStyle w:val="12"/>
              <w:bidi w:val="0"/>
            </w:pPr>
            <w:r>
              <w:t>根据周边敏感目标调查，距离</w:t>
            </w:r>
            <w:r>
              <w:rPr>
                <w:rFonts w:hint="eastAsia"/>
                <w:lang w:eastAsia="zh-CN"/>
              </w:rPr>
              <w:t>厂</w:t>
            </w:r>
            <w:r>
              <w:t>区较近的敏感点为</w:t>
            </w:r>
            <w:r>
              <w:rPr>
                <w:rFonts w:hint="eastAsia"/>
                <w:lang w:val="en-US" w:eastAsia="zh-CN"/>
              </w:rPr>
              <w:t>项目地北侧约32m处的居民点、南侧约20m处的居民点</w:t>
            </w:r>
            <w:r>
              <w:t>，项目噪声对敏感点影响预测情况见</w:t>
            </w:r>
            <w:r>
              <w:rPr>
                <w:rFonts w:hint="eastAsia"/>
              </w:rPr>
              <w:t>下</w:t>
            </w:r>
            <w:r>
              <w:t>表。</w:t>
            </w:r>
          </w:p>
          <w:p>
            <w:pPr>
              <w:pStyle w:val="29"/>
              <w:tabs>
                <w:tab w:val="left" w:pos="1021"/>
              </w:tabs>
              <w:bidi w:val="0"/>
            </w:pPr>
            <w:r>
              <w:t>表</w:t>
            </w:r>
            <w:r>
              <w:rPr>
                <w:rFonts w:hint="eastAsia"/>
                <w:lang w:val="en-US" w:eastAsia="zh-CN"/>
              </w:rPr>
              <w:t>4.2-14</w:t>
            </w:r>
            <w:r>
              <w:t xml:space="preserve">项目噪声对各敏感点影响预测值 </w:t>
            </w:r>
          </w:p>
          <w:tbl>
            <w:tblPr>
              <w:tblStyle w:val="27"/>
              <w:tblW w:w="8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95"/>
              <w:gridCol w:w="1310"/>
              <w:gridCol w:w="1611"/>
              <w:gridCol w:w="1673"/>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795" w:type="dxa"/>
                  <w:noWrap w:val="0"/>
                  <w:vAlign w:val="center"/>
                </w:tcPr>
                <w:p>
                  <w:pPr>
                    <w:pStyle w:val="30"/>
                    <w:bidi w:val="0"/>
                  </w:pPr>
                  <w:r>
                    <w:t>敏感点</w:t>
                  </w:r>
                </w:p>
              </w:tc>
              <w:tc>
                <w:tcPr>
                  <w:tcW w:w="1310" w:type="dxa"/>
                  <w:noWrap w:val="0"/>
                  <w:vAlign w:val="center"/>
                </w:tcPr>
                <w:p>
                  <w:pPr>
                    <w:pStyle w:val="30"/>
                    <w:bidi w:val="0"/>
                  </w:pPr>
                  <w:r>
                    <w:t>环境背景值</w:t>
                  </w:r>
                </w:p>
              </w:tc>
              <w:tc>
                <w:tcPr>
                  <w:tcW w:w="1611" w:type="dxa"/>
                  <w:noWrap w:val="0"/>
                  <w:vAlign w:val="center"/>
                </w:tcPr>
                <w:p>
                  <w:pPr>
                    <w:pStyle w:val="30"/>
                    <w:bidi w:val="0"/>
                  </w:pPr>
                  <w:r>
                    <w:t>项目贡献值</w:t>
                  </w:r>
                </w:p>
              </w:tc>
              <w:tc>
                <w:tcPr>
                  <w:tcW w:w="1673" w:type="dxa"/>
                  <w:noWrap w:val="0"/>
                  <w:vAlign w:val="center"/>
                </w:tcPr>
                <w:p>
                  <w:pPr>
                    <w:pStyle w:val="30"/>
                    <w:bidi w:val="0"/>
                  </w:pPr>
                  <w:r>
                    <w:t>噪声预测值</w:t>
                  </w:r>
                </w:p>
              </w:tc>
              <w:tc>
                <w:tcPr>
                  <w:tcW w:w="1293" w:type="dxa"/>
                  <w:noWrap w:val="0"/>
                  <w:vAlign w:val="center"/>
                </w:tcPr>
                <w:p>
                  <w:pPr>
                    <w:pStyle w:val="30"/>
                    <w:bidi w:val="0"/>
                  </w:pPr>
                  <w: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795" w:type="dxa"/>
                  <w:vMerge w:val="restart"/>
                  <w:noWrap w:val="0"/>
                  <w:vAlign w:val="center"/>
                </w:tcPr>
                <w:p>
                  <w:pPr>
                    <w:pStyle w:val="30"/>
                    <w:bidi w:val="0"/>
                    <w:rPr>
                      <w:rFonts w:hint="eastAsia"/>
                    </w:rPr>
                  </w:pPr>
                  <w:r>
                    <w:rPr>
                      <w:rFonts w:hint="eastAsia"/>
                      <w:lang w:val="en-US" w:eastAsia="zh-CN"/>
                    </w:rPr>
                    <w:t>项目北侧约32m处的居民点</w:t>
                  </w:r>
                </w:p>
              </w:tc>
              <w:tc>
                <w:tcPr>
                  <w:tcW w:w="1310" w:type="dxa"/>
                  <w:noWrap w:val="0"/>
                  <w:vAlign w:val="center"/>
                </w:tcPr>
                <w:p>
                  <w:pPr>
                    <w:pStyle w:val="30"/>
                    <w:bidi w:val="0"/>
                    <w:rPr>
                      <w:rFonts w:hint="default"/>
                      <w:lang w:val="en-US" w:eastAsia="zh-CN"/>
                    </w:rPr>
                  </w:pPr>
                  <w:r>
                    <w:rPr>
                      <w:rFonts w:hint="eastAsia"/>
                      <w:lang w:val="en-US" w:eastAsia="zh-CN"/>
                    </w:rPr>
                    <w:t>50</w:t>
                  </w:r>
                </w:p>
              </w:tc>
              <w:tc>
                <w:tcPr>
                  <w:tcW w:w="1611" w:type="dxa"/>
                  <w:noWrap w:val="0"/>
                  <w:vAlign w:val="center"/>
                </w:tcPr>
                <w:p>
                  <w:pPr>
                    <w:pStyle w:val="30"/>
                    <w:bidi w:val="0"/>
                    <w:rPr>
                      <w:rFonts w:hint="default"/>
                      <w:lang w:val="en-US" w:eastAsia="zh-CN"/>
                    </w:rPr>
                  </w:pPr>
                  <w:r>
                    <w:rPr>
                      <w:rFonts w:hint="eastAsia"/>
                      <w:lang w:val="en-US" w:eastAsia="zh-CN"/>
                    </w:rPr>
                    <w:t>21.4</w:t>
                  </w:r>
                </w:p>
              </w:tc>
              <w:tc>
                <w:tcPr>
                  <w:tcW w:w="1673" w:type="dxa"/>
                  <w:shd w:val="clear" w:color="auto" w:fill="auto"/>
                  <w:noWrap w:val="0"/>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50</w:t>
                  </w:r>
                </w:p>
              </w:tc>
              <w:tc>
                <w:tcPr>
                  <w:tcW w:w="1293" w:type="dxa"/>
                  <w:noWrap w:val="0"/>
                  <w:vAlign w:val="center"/>
                </w:tcPr>
                <w:p>
                  <w:pPr>
                    <w:pStyle w:val="30"/>
                    <w:bidi w:val="0"/>
                    <w:rPr>
                      <w:rFonts w:hint="eastAsia"/>
                    </w:rPr>
                  </w:pPr>
                  <w:r>
                    <w:t>昼间≤</w:t>
                  </w:r>
                  <w:r>
                    <w:rPr>
                      <w:rFonts w:hint="eastAsi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795" w:type="dxa"/>
                  <w:vMerge w:val="continue"/>
                  <w:noWrap w:val="0"/>
                  <w:vAlign w:val="center"/>
                </w:tcPr>
                <w:p>
                  <w:pPr>
                    <w:pStyle w:val="30"/>
                    <w:bidi w:val="0"/>
                    <w:rPr>
                      <w:rFonts w:hint="eastAsia"/>
                    </w:rPr>
                  </w:pPr>
                </w:p>
              </w:tc>
              <w:tc>
                <w:tcPr>
                  <w:tcW w:w="1310" w:type="dxa"/>
                  <w:noWrap w:val="0"/>
                  <w:vAlign w:val="center"/>
                </w:tcPr>
                <w:p>
                  <w:pPr>
                    <w:pStyle w:val="30"/>
                    <w:bidi w:val="0"/>
                    <w:rPr>
                      <w:rFonts w:hint="default"/>
                      <w:lang w:val="en-US" w:eastAsia="zh-CN"/>
                    </w:rPr>
                  </w:pPr>
                  <w:r>
                    <w:rPr>
                      <w:rFonts w:hint="eastAsia"/>
                      <w:lang w:val="en-US" w:eastAsia="zh-CN"/>
                    </w:rPr>
                    <w:t>41</w:t>
                  </w:r>
                </w:p>
              </w:tc>
              <w:tc>
                <w:tcPr>
                  <w:tcW w:w="1611" w:type="dxa"/>
                  <w:noWrap w:val="0"/>
                  <w:vAlign w:val="center"/>
                </w:tcPr>
                <w:p>
                  <w:pPr>
                    <w:pStyle w:val="30"/>
                    <w:bidi w:val="0"/>
                    <w:rPr>
                      <w:rFonts w:hint="default"/>
                      <w:lang w:val="en-US" w:eastAsia="zh-CN"/>
                    </w:rPr>
                  </w:pPr>
                  <w:r>
                    <w:rPr>
                      <w:rFonts w:hint="eastAsia"/>
                      <w:lang w:val="en-US" w:eastAsia="zh-CN"/>
                    </w:rPr>
                    <w:t>21.4</w:t>
                  </w:r>
                </w:p>
              </w:tc>
              <w:tc>
                <w:tcPr>
                  <w:tcW w:w="1673" w:type="dxa"/>
                  <w:shd w:val="clear" w:color="auto" w:fill="auto"/>
                  <w:noWrap w:val="0"/>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rFonts w:hint="eastAsia"/>
                      <w:lang w:val="en-US" w:eastAsia="zh-CN"/>
                    </w:rPr>
                    <w:t>41</w:t>
                  </w:r>
                </w:p>
              </w:tc>
              <w:tc>
                <w:tcPr>
                  <w:tcW w:w="1293" w:type="dxa"/>
                  <w:noWrap w:val="0"/>
                  <w:vAlign w:val="center"/>
                </w:tcPr>
                <w:p>
                  <w:pPr>
                    <w:pStyle w:val="30"/>
                    <w:bidi w:val="0"/>
                  </w:pPr>
                  <w:r>
                    <w:rPr>
                      <w:rFonts w:hint="eastAsia"/>
                      <w:lang w:eastAsia="zh-CN"/>
                    </w:rPr>
                    <w:t>夜</w:t>
                  </w:r>
                  <w:r>
                    <w:t>间≤</w:t>
                  </w:r>
                  <w:r>
                    <w:rPr>
                      <w:rFonts w:hint="eastAsia"/>
                      <w:lang w:val="en-US" w:eastAsia="zh-CN"/>
                    </w:rPr>
                    <w:t>5</w:t>
                  </w: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795" w:type="dxa"/>
                  <w:vMerge w:val="restart"/>
                  <w:noWrap w:val="0"/>
                  <w:vAlign w:val="center"/>
                </w:tcPr>
                <w:p>
                  <w:pPr>
                    <w:pStyle w:val="30"/>
                    <w:bidi w:val="0"/>
                    <w:rPr>
                      <w:rFonts w:hint="eastAsia"/>
                    </w:rPr>
                  </w:pPr>
                  <w:r>
                    <w:rPr>
                      <w:rFonts w:hint="eastAsia"/>
                      <w:lang w:val="en-US" w:eastAsia="zh-CN"/>
                    </w:rPr>
                    <w:t>项目南侧约20m处的居民点</w:t>
                  </w:r>
                </w:p>
              </w:tc>
              <w:tc>
                <w:tcPr>
                  <w:tcW w:w="1310" w:type="dxa"/>
                  <w:noWrap w:val="0"/>
                  <w:vAlign w:val="center"/>
                </w:tcPr>
                <w:p>
                  <w:pPr>
                    <w:pStyle w:val="30"/>
                    <w:bidi w:val="0"/>
                    <w:rPr>
                      <w:rFonts w:hint="default"/>
                      <w:lang w:val="en-US" w:eastAsia="zh-CN"/>
                    </w:rPr>
                  </w:pPr>
                  <w:r>
                    <w:rPr>
                      <w:rFonts w:hint="eastAsia"/>
                      <w:lang w:val="en-US" w:eastAsia="zh-CN"/>
                    </w:rPr>
                    <w:t>53</w:t>
                  </w:r>
                </w:p>
              </w:tc>
              <w:tc>
                <w:tcPr>
                  <w:tcW w:w="1611" w:type="dxa"/>
                  <w:noWrap w:val="0"/>
                  <w:vAlign w:val="center"/>
                </w:tcPr>
                <w:p>
                  <w:pPr>
                    <w:pStyle w:val="30"/>
                    <w:bidi w:val="0"/>
                    <w:rPr>
                      <w:rFonts w:hint="default"/>
                      <w:lang w:val="en-US" w:eastAsia="zh-CN"/>
                    </w:rPr>
                  </w:pPr>
                  <w:r>
                    <w:rPr>
                      <w:rFonts w:hint="eastAsia"/>
                      <w:lang w:val="en-US" w:eastAsia="zh-CN"/>
                    </w:rPr>
                    <w:t>31.4</w:t>
                  </w:r>
                </w:p>
              </w:tc>
              <w:tc>
                <w:tcPr>
                  <w:tcW w:w="1673" w:type="dxa"/>
                  <w:shd w:val="clear" w:color="auto" w:fill="auto"/>
                  <w:noWrap w:val="0"/>
                  <w:vAlign w:val="center"/>
                </w:tcPr>
                <w:p>
                  <w:pPr>
                    <w:pStyle w:val="30"/>
                    <w:bidi w:val="0"/>
                    <w:rPr>
                      <w:rFonts w:hint="eastAsia" w:ascii="Times New Roman" w:hAnsi="Times New Roman" w:eastAsia="宋体" w:cstheme="minorBidi"/>
                      <w:snapToGrid w:val="0"/>
                      <w:spacing w:val="6"/>
                      <w:kern w:val="2"/>
                      <w:sz w:val="21"/>
                      <w:szCs w:val="21"/>
                      <w:lang w:val="en-US" w:eastAsia="zh-CN" w:bidi="ar-SA"/>
                    </w:rPr>
                  </w:pPr>
                  <w:r>
                    <w:rPr>
                      <w:rFonts w:hint="eastAsia"/>
                      <w:lang w:val="en-US" w:eastAsia="zh-CN"/>
                    </w:rPr>
                    <w:t>53</w:t>
                  </w:r>
                </w:p>
              </w:tc>
              <w:tc>
                <w:tcPr>
                  <w:tcW w:w="1293" w:type="dxa"/>
                  <w:shd w:val="clear" w:color="auto" w:fill="auto"/>
                  <w:noWrap w:val="0"/>
                  <w:vAlign w:val="center"/>
                </w:tcPr>
                <w:p>
                  <w:pPr>
                    <w:pStyle w:val="30"/>
                    <w:bidi w:val="0"/>
                    <w:rPr>
                      <w:rFonts w:hint="eastAsia" w:ascii="Times New Roman" w:hAnsi="Times New Roman" w:eastAsia="宋体" w:cstheme="minorBidi"/>
                      <w:snapToGrid w:val="0"/>
                      <w:spacing w:val="6"/>
                      <w:kern w:val="2"/>
                      <w:sz w:val="21"/>
                      <w:szCs w:val="21"/>
                      <w:lang w:val="en-US" w:eastAsia="zh-CN" w:bidi="ar-SA"/>
                    </w:rPr>
                  </w:pPr>
                  <w:r>
                    <w:t>昼间≤</w:t>
                  </w:r>
                  <w:r>
                    <w:rPr>
                      <w:rFonts w:hint="eastAsi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795" w:type="dxa"/>
                  <w:vMerge w:val="continue"/>
                  <w:noWrap w:val="0"/>
                  <w:vAlign w:val="center"/>
                </w:tcPr>
                <w:p>
                  <w:pPr>
                    <w:pStyle w:val="30"/>
                    <w:bidi w:val="0"/>
                    <w:rPr>
                      <w:rFonts w:hint="eastAsia"/>
                    </w:rPr>
                  </w:pPr>
                </w:p>
              </w:tc>
              <w:tc>
                <w:tcPr>
                  <w:tcW w:w="1310" w:type="dxa"/>
                  <w:noWrap w:val="0"/>
                  <w:vAlign w:val="center"/>
                </w:tcPr>
                <w:p>
                  <w:pPr>
                    <w:pStyle w:val="30"/>
                    <w:bidi w:val="0"/>
                    <w:rPr>
                      <w:rFonts w:hint="default"/>
                      <w:lang w:val="en-US" w:eastAsia="zh-CN"/>
                    </w:rPr>
                  </w:pPr>
                  <w:r>
                    <w:rPr>
                      <w:rFonts w:hint="eastAsia"/>
                      <w:lang w:val="en-US" w:eastAsia="zh-CN"/>
                    </w:rPr>
                    <w:t>40</w:t>
                  </w:r>
                </w:p>
              </w:tc>
              <w:tc>
                <w:tcPr>
                  <w:tcW w:w="1611" w:type="dxa"/>
                  <w:noWrap w:val="0"/>
                  <w:vAlign w:val="center"/>
                </w:tcPr>
                <w:p>
                  <w:pPr>
                    <w:pStyle w:val="30"/>
                    <w:bidi w:val="0"/>
                    <w:rPr>
                      <w:rFonts w:hint="default"/>
                      <w:lang w:val="en-US" w:eastAsia="zh-CN"/>
                    </w:rPr>
                  </w:pPr>
                  <w:r>
                    <w:rPr>
                      <w:rFonts w:hint="eastAsia"/>
                      <w:lang w:val="en-US" w:eastAsia="zh-CN"/>
                    </w:rPr>
                    <w:t>31.4</w:t>
                  </w:r>
                </w:p>
              </w:tc>
              <w:tc>
                <w:tcPr>
                  <w:tcW w:w="1673" w:type="dxa"/>
                  <w:shd w:val="clear" w:color="auto" w:fill="auto"/>
                  <w:noWrap w:val="0"/>
                  <w:vAlign w:val="center"/>
                </w:tcPr>
                <w:p>
                  <w:pPr>
                    <w:pStyle w:val="30"/>
                    <w:bidi w:val="0"/>
                    <w:rPr>
                      <w:rFonts w:hint="eastAsia" w:ascii="Times New Roman" w:hAnsi="Times New Roman" w:eastAsia="宋体" w:cstheme="minorBidi"/>
                      <w:snapToGrid w:val="0"/>
                      <w:spacing w:val="6"/>
                      <w:kern w:val="2"/>
                      <w:sz w:val="21"/>
                      <w:szCs w:val="21"/>
                      <w:lang w:val="en-US" w:eastAsia="zh-CN" w:bidi="ar-SA"/>
                    </w:rPr>
                  </w:pPr>
                  <w:r>
                    <w:rPr>
                      <w:rFonts w:hint="eastAsia"/>
                      <w:lang w:val="en-US" w:eastAsia="zh-CN"/>
                    </w:rPr>
                    <w:t>40</w:t>
                  </w:r>
                </w:p>
              </w:tc>
              <w:tc>
                <w:tcPr>
                  <w:tcW w:w="1293" w:type="dxa"/>
                  <w:shd w:val="clear" w:color="auto" w:fill="auto"/>
                  <w:noWrap w:val="0"/>
                  <w:vAlign w:val="center"/>
                </w:tcPr>
                <w:p>
                  <w:pPr>
                    <w:pStyle w:val="30"/>
                    <w:bidi w:val="0"/>
                    <w:rPr>
                      <w:rFonts w:hint="eastAsia" w:ascii="Times New Roman" w:hAnsi="Times New Roman" w:eastAsia="宋体" w:cstheme="minorBidi"/>
                      <w:snapToGrid w:val="0"/>
                      <w:spacing w:val="6"/>
                      <w:kern w:val="2"/>
                      <w:sz w:val="21"/>
                      <w:szCs w:val="21"/>
                      <w:lang w:val="en-US" w:eastAsia="zh-CN" w:bidi="ar-SA"/>
                    </w:rPr>
                  </w:pPr>
                  <w:r>
                    <w:rPr>
                      <w:rFonts w:hint="eastAsia"/>
                      <w:lang w:eastAsia="zh-CN"/>
                    </w:rPr>
                    <w:t>夜</w:t>
                  </w:r>
                  <w:r>
                    <w:t>间≤</w:t>
                  </w:r>
                  <w:r>
                    <w:rPr>
                      <w:rFonts w:hint="eastAsia"/>
                      <w:lang w:val="en-US" w:eastAsia="zh-CN"/>
                    </w:rPr>
                    <w:t>5</w:t>
                  </w:r>
                  <w:r>
                    <w:rPr>
                      <w:rFonts w:hint="eastAsia"/>
                    </w:rPr>
                    <w:t>0</w:t>
                  </w:r>
                </w:p>
              </w:tc>
            </w:tr>
          </w:tbl>
          <w:p>
            <w:pPr>
              <w:pStyle w:val="12"/>
              <w:bidi w:val="0"/>
              <w:rPr>
                <w:rFonts w:hint="default"/>
              </w:rPr>
            </w:pPr>
            <w:r>
              <w:t>由上述分析结果可知，本项目生产设备经基础减振、隔声及距离衰减后，经预测周边敏感点处噪声值均可满足《声环境质量标准》（GB3096-2008）中的 2类标准。</w:t>
            </w:r>
            <w:r>
              <w:rPr>
                <w:rFonts w:hint="default"/>
              </w:rPr>
              <w:t>为了最大程度地减少噪声影响，评价建议采取以下措施来尽量降低噪声：</w:t>
            </w:r>
          </w:p>
          <w:p>
            <w:pPr>
              <w:pStyle w:val="12"/>
              <w:bidi w:val="0"/>
              <w:rPr>
                <w:rFonts w:hint="eastAsia"/>
              </w:rPr>
            </w:pPr>
            <w:r>
              <w:rPr>
                <w:rFonts w:hint="eastAsia"/>
              </w:rPr>
              <w:t>1）合理布局，重视总平面布置</w:t>
            </w:r>
          </w:p>
          <w:p>
            <w:pPr>
              <w:pStyle w:val="12"/>
              <w:bidi w:val="0"/>
              <w:rPr>
                <w:rFonts w:hint="eastAsia"/>
              </w:rPr>
            </w:pPr>
            <w:r>
              <w:rPr>
                <w:rFonts w:hint="eastAsia"/>
              </w:rPr>
              <w:t>将高噪声设备布置在单独隔间内，对有强噪声的区域，利用建筑物、构筑物来阻隔声波的传播。</w:t>
            </w:r>
          </w:p>
          <w:p>
            <w:pPr>
              <w:pStyle w:val="12"/>
              <w:bidi w:val="0"/>
              <w:rPr>
                <w:rFonts w:hint="eastAsia"/>
              </w:rPr>
            </w:pPr>
            <w:r>
              <w:rPr>
                <w:rFonts w:hint="eastAsia"/>
              </w:rPr>
              <w:t>2）防治措施</w:t>
            </w:r>
          </w:p>
          <w:p>
            <w:pPr>
              <w:pStyle w:val="12"/>
              <w:bidi w:val="0"/>
              <w:rPr>
                <w:rFonts w:hint="eastAsia"/>
              </w:rPr>
            </w:pPr>
            <w:r>
              <w:rPr>
                <w:rFonts w:hint="eastAsia"/>
              </w:rPr>
              <w:t>①</w:t>
            </w:r>
            <w:r>
              <w:rPr>
                <w:rFonts w:hint="eastAsia"/>
                <w:lang w:val="en-US" w:eastAsia="zh-CN"/>
              </w:rPr>
              <w:t>选用了低噪声风机、水泵等辅助设备；</w:t>
            </w:r>
          </w:p>
          <w:p>
            <w:pPr>
              <w:pStyle w:val="12"/>
              <w:bidi w:val="0"/>
              <w:rPr>
                <w:rFonts w:hint="eastAsia"/>
                <w:lang w:val="en-US" w:eastAsia="zh-CN"/>
              </w:rPr>
            </w:pPr>
            <w:r>
              <w:rPr>
                <w:rFonts w:hint="eastAsia"/>
              </w:rPr>
              <w:t>②</w:t>
            </w:r>
            <w:r>
              <w:rPr>
                <w:rFonts w:hint="eastAsia"/>
                <w:lang w:val="en-US" w:eastAsia="zh-CN"/>
              </w:rPr>
              <w:t>水泵安装在房内，水泵下部安装减振垫；</w:t>
            </w:r>
          </w:p>
          <w:p>
            <w:pPr>
              <w:pStyle w:val="12"/>
              <w:bidi w:val="0"/>
              <w:rPr>
                <w:rFonts w:hint="eastAsia"/>
              </w:rPr>
            </w:pPr>
            <w:r>
              <w:rPr>
                <w:rFonts w:hint="eastAsia"/>
              </w:rPr>
              <w:t>③项目临</w:t>
            </w:r>
            <w:r>
              <w:rPr>
                <w:rFonts w:hint="eastAsia"/>
                <w:lang w:val="en-US" w:eastAsia="zh-CN"/>
              </w:rPr>
              <w:t>路一侧窗户安装了</w:t>
            </w:r>
            <w:r>
              <w:rPr>
                <w:rFonts w:hint="eastAsia"/>
              </w:rPr>
              <w:t>双层玻璃有效隔绝外部噪声。</w:t>
            </w:r>
          </w:p>
          <w:p>
            <w:pPr>
              <w:pStyle w:val="12"/>
              <w:bidi w:val="0"/>
              <w:rPr>
                <w:rFonts w:hint="eastAsia"/>
              </w:rPr>
            </w:pPr>
            <w:r>
              <w:rPr>
                <w:rFonts w:hint="eastAsia"/>
              </w:rPr>
              <w:t>④建立</w:t>
            </w:r>
            <w:r>
              <w:rPr>
                <w:rFonts w:hint="eastAsia"/>
                <w:lang w:val="en-US" w:eastAsia="zh-CN"/>
              </w:rPr>
              <w:t>了</w:t>
            </w:r>
            <w:r>
              <w:rPr>
                <w:rFonts w:hint="eastAsia"/>
              </w:rPr>
              <w:t>设备定期维护、保养的管理制度，以防止设备故障形成的非生产噪声，同时确保环保措施发挥最有效的功能；</w:t>
            </w:r>
            <w:r>
              <w:rPr>
                <w:rFonts w:hint="eastAsia"/>
                <w:lang w:val="en-US" w:eastAsia="zh-CN"/>
              </w:rPr>
              <w:t>组织</w:t>
            </w:r>
            <w:r>
              <w:rPr>
                <w:rFonts w:hint="eastAsia"/>
              </w:rPr>
              <w:t>职工环保意识教育，提倡文明</w:t>
            </w:r>
            <w:r>
              <w:rPr>
                <w:rFonts w:hint="eastAsia"/>
                <w:lang w:val="en-US" w:eastAsia="zh-CN"/>
              </w:rPr>
              <w:t>办公</w:t>
            </w:r>
            <w:r>
              <w:rPr>
                <w:rFonts w:hint="eastAsia"/>
              </w:rPr>
              <w:t>，防止人为噪声。</w:t>
            </w:r>
          </w:p>
          <w:p>
            <w:pPr>
              <w:pStyle w:val="12"/>
              <w:bidi w:val="0"/>
              <w:rPr>
                <w:rFonts w:hint="eastAsia"/>
              </w:rPr>
            </w:pPr>
            <w:r>
              <w:rPr>
                <w:rFonts w:hint="eastAsia"/>
              </w:rPr>
              <w:t>⑤</w:t>
            </w:r>
            <w:r>
              <w:rPr>
                <w:rFonts w:hint="eastAsia"/>
                <w:lang w:val="en-US" w:eastAsia="zh-CN"/>
              </w:rPr>
              <w:t>对</w:t>
            </w:r>
            <w:r>
              <w:rPr>
                <w:rFonts w:hint="eastAsia"/>
              </w:rPr>
              <w:t>噪声设备的日常维护并对老化和性能降低的旧设备及时进行</w:t>
            </w:r>
            <w:r>
              <w:rPr>
                <w:rFonts w:hint="eastAsia"/>
                <w:lang w:val="en-US" w:eastAsia="zh-CN"/>
              </w:rPr>
              <w:t>了</w:t>
            </w:r>
            <w:r>
              <w:rPr>
                <w:rFonts w:hint="eastAsia"/>
              </w:rPr>
              <w:t>更换，以此降低摩擦，减小噪声强度。</w:t>
            </w:r>
          </w:p>
          <w:p>
            <w:pPr>
              <w:pStyle w:val="12"/>
              <w:bidi w:val="0"/>
              <w:rPr>
                <w:rFonts w:hint="eastAsia"/>
              </w:rPr>
            </w:pPr>
            <w:r>
              <w:rPr>
                <w:rFonts w:hint="eastAsia"/>
                <w:lang w:val="en-US" w:eastAsia="zh-CN"/>
              </w:rPr>
              <w:t>3.3</w:t>
            </w:r>
            <w:r>
              <w:rPr>
                <w:rFonts w:hint="eastAsia"/>
                <w:lang w:eastAsia="zh-CN"/>
              </w:rPr>
              <w:t>外环境对项目的影响分析</w:t>
            </w:r>
          </w:p>
          <w:p>
            <w:pPr>
              <w:pStyle w:val="12"/>
              <w:bidi w:val="0"/>
              <w:rPr>
                <w:rFonts w:hint="default"/>
                <w:u w:val="single"/>
                <w:lang w:val="zh-CN"/>
              </w:rPr>
            </w:pPr>
            <w:r>
              <w:rPr>
                <w:rFonts w:hint="eastAsia"/>
                <w:u w:val="single"/>
                <w:lang w:val="en-US" w:eastAsia="zh-CN"/>
              </w:rPr>
              <w:t>项目位于永州</w:t>
            </w:r>
            <w:r>
              <w:rPr>
                <w:rFonts w:hint="eastAsia"/>
                <w:u w:val="single"/>
              </w:rPr>
              <w:t>市</w:t>
            </w:r>
            <w:r>
              <w:rPr>
                <w:rFonts w:hint="eastAsia"/>
                <w:u w:val="single"/>
                <w:lang w:val="en-US" w:eastAsia="zh-CN"/>
              </w:rPr>
              <w:t>零陵区阳明大道386号，外环境对本项目主要影响为交通噪声，噪声源强约</w:t>
            </w:r>
            <w:r>
              <w:rPr>
                <w:rFonts w:hint="default"/>
                <w:u w:val="single"/>
                <w:lang w:val="en-US" w:eastAsia="zh-CN"/>
              </w:rPr>
              <w:t>60</w:t>
            </w:r>
            <w:r>
              <w:rPr>
                <w:rFonts w:hint="eastAsia"/>
                <w:u w:val="single"/>
                <w:lang w:val="en-US" w:eastAsia="zh-CN"/>
              </w:rPr>
              <w:t>～</w:t>
            </w:r>
            <w:r>
              <w:rPr>
                <w:rFonts w:hint="default"/>
                <w:u w:val="single"/>
                <w:lang w:val="en-US" w:eastAsia="zh-CN"/>
              </w:rPr>
              <w:t>70dB</w:t>
            </w:r>
            <w:r>
              <w:rPr>
                <w:rFonts w:hint="eastAsia"/>
                <w:u w:val="single"/>
                <w:lang w:val="en-US" w:eastAsia="zh-CN"/>
              </w:rPr>
              <w:t>（</w:t>
            </w:r>
            <w:r>
              <w:rPr>
                <w:rFonts w:hint="default"/>
                <w:u w:val="single"/>
                <w:lang w:val="en-US" w:eastAsia="zh-CN"/>
              </w:rPr>
              <w:t>A</w:t>
            </w:r>
            <w:r>
              <w:rPr>
                <w:rFonts w:hint="eastAsia"/>
                <w:u w:val="single"/>
                <w:lang w:val="en-US" w:eastAsia="zh-CN"/>
              </w:rPr>
              <w:t>），医院通过给窗户安装了隔声玻璃来减小外环境噪声对医院的影响，项目周边无大型污染源，通过措施后噪声对项目影响有限。</w:t>
            </w:r>
          </w:p>
          <w:p>
            <w:pPr>
              <w:pStyle w:val="12"/>
              <w:bidi w:val="0"/>
            </w:pPr>
            <w:r>
              <w:rPr>
                <w:rFonts w:hint="eastAsia"/>
                <w:lang w:val="en-US" w:eastAsia="zh-CN"/>
              </w:rPr>
              <w:t>3.4</w:t>
            </w:r>
            <w:r>
              <w:t>营运期噪声污染源监测计划</w:t>
            </w:r>
          </w:p>
          <w:p>
            <w:pPr>
              <w:pStyle w:val="12"/>
              <w:bidi w:val="0"/>
            </w:pPr>
            <w:r>
              <w:t>根据《排污单位自行监测技术指南 总则》</w:t>
            </w:r>
            <w:r>
              <w:rPr>
                <w:rFonts w:hint="eastAsia"/>
              </w:rPr>
              <w:t>(</w:t>
            </w:r>
            <w:r>
              <w:t>HJ819-2017</w:t>
            </w:r>
            <w:r>
              <w:rPr>
                <w:rFonts w:hint="eastAsia"/>
              </w:rPr>
              <w:t>)及</w:t>
            </w:r>
            <w:r>
              <w:t>《排污许可证申请与核发技术规范</w:t>
            </w:r>
            <w:r>
              <w:rPr>
                <w:rFonts w:hint="eastAsia"/>
              </w:rPr>
              <w:t xml:space="preserve"> 工业噪声</w:t>
            </w:r>
            <w:r>
              <w:t>》（</w:t>
            </w:r>
            <w:r>
              <w:rPr>
                <w:rFonts w:hint="eastAsia"/>
              </w:rPr>
              <w:t>HJ 1301-2023</w:t>
            </w:r>
            <w:r>
              <w:t>），营运期医院噪声环境监测计划详见下表。</w:t>
            </w:r>
          </w:p>
          <w:p>
            <w:pPr>
              <w:pStyle w:val="29"/>
              <w:bidi w:val="0"/>
            </w:pPr>
            <w:r>
              <w:t>表</w:t>
            </w:r>
            <w:r>
              <w:rPr>
                <w:rFonts w:hint="eastAsia"/>
                <w:lang w:val="en-US" w:eastAsia="zh-CN"/>
              </w:rPr>
              <w:t>4.2-18</w:t>
            </w:r>
            <w:r>
              <w:t xml:space="preserve"> 噪声污染源监测计划</w:t>
            </w:r>
          </w:p>
          <w:tbl>
            <w:tblPr>
              <w:tblStyle w:val="27"/>
              <w:tblW w:w="8677"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3"/>
              <w:gridCol w:w="997"/>
              <w:gridCol w:w="1525"/>
              <w:gridCol w:w="1181"/>
              <w:gridCol w:w="1179"/>
              <w:gridCol w:w="308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13" w:type="dxa"/>
                  <w:noWrap w:val="0"/>
                  <w:vAlign w:val="center"/>
                </w:tcPr>
                <w:p>
                  <w:pPr>
                    <w:spacing w:line="240" w:lineRule="auto"/>
                    <w:ind w:firstLine="0" w:firstLineChars="0"/>
                    <w:jc w:val="center"/>
                    <w:rPr>
                      <w:sz w:val="21"/>
                      <w:szCs w:val="21"/>
                    </w:rPr>
                  </w:pPr>
                  <w:r>
                    <w:rPr>
                      <w:sz w:val="21"/>
                      <w:szCs w:val="21"/>
                    </w:rPr>
                    <w:t>监测类别</w:t>
                  </w:r>
                </w:p>
              </w:tc>
              <w:tc>
                <w:tcPr>
                  <w:tcW w:w="997" w:type="dxa"/>
                  <w:noWrap w:val="0"/>
                  <w:vAlign w:val="center"/>
                </w:tcPr>
                <w:p>
                  <w:pPr>
                    <w:spacing w:line="240" w:lineRule="auto"/>
                    <w:ind w:firstLine="0" w:firstLineChars="0"/>
                    <w:jc w:val="center"/>
                    <w:rPr>
                      <w:sz w:val="21"/>
                      <w:szCs w:val="21"/>
                    </w:rPr>
                  </w:pPr>
                  <w:r>
                    <w:rPr>
                      <w:sz w:val="21"/>
                      <w:szCs w:val="21"/>
                    </w:rPr>
                    <w:t>监测</w:t>
                  </w:r>
                </w:p>
                <w:p>
                  <w:pPr>
                    <w:spacing w:line="240" w:lineRule="auto"/>
                    <w:ind w:firstLine="0" w:firstLineChars="0"/>
                    <w:jc w:val="center"/>
                    <w:rPr>
                      <w:sz w:val="21"/>
                      <w:szCs w:val="21"/>
                    </w:rPr>
                  </w:pPr>
                  <w:r>
                    <w:rPr>
                      <w:sz w:val="21"/>
                      <w:szCs w:val="21"/>
                    </w:rPr>
                    <w:t>地点</w:t>
                  </w:r>
                </w:p>
              </w:tc>
              <w:tc>
                <w:tcPr>
                  <w:tcW w:w="1525" w:type="dxa"/>
                  <w:noWrap w:val="0"/>
                  <w:vAlign w:val="center"/>
                </w:tcPr>
                <w:p>
                  <w:pPr>
                    <w:spacing w:line="240" w:lineRule="auto"/>
                    <w:ind w:firstLine="0" w:firstLineChars="0"/>
                    <w:jc w:val="center"/>
                    <w:rPr>
                      <w:sz w:val="21"/>
                      <w:szCs w:val="21"/>
                    </w:rPr>
                  </w:pPr>
                  <w:r>
                    <w:rPr>
                      <w:sz w:val="21"/>
                      <w:szCs w:val="21"/>
                    </w:rPr>
                    <w:t>监测点位</w:t>
                  </w:r>
                </w:p>
              </w:tc>
              <w:tc>
                <w:tcPr>
                  <w:tcW w:w="1181" w:type="dxa"/>
                  <w:noWrap w:val="0"/>
                  <w:vAlign w:val="center"/>
                </w:tcPr>
                <w:p>
                  <w:pPr>
                    <w:spacing w:line="240" w:lineRule="auto"/>
                    <w:ind w:firstLine="0" w:firstLineChars="0"/>
                    <w:jc w:val="center"/>
                    <w:rPr>
                      <w:sz w:val="21"/>
                      <w:szCs w:val="21"/>
                    </w:rPr>
                  </w:pPr>
                  <w:r>
                    <w:rPr>
                      <w:sz w:val="21"/>
                      <w:szCs w:val="21"/>
                    </w:rPr>
                    <w:t>监测项目</w:t>
                  </w:r>
                </w:p>
              </w:tc>
              <w:tc>
                <w:tcPr>
                  <w:tcW w:w="1179" w:type="dxa"/>
                  <w:noWrap w:val="0"/>
                  <w:vAlign w:val="center"/>
                </w:tcPr>
                <w:p>
                  <w:pPr>
                    <w:spacing w:line="240" w:lineRule="auto"/>
                    <w:ind w:firstLine="0" w:firstLineChars="0"/>
                    <w:jc w:val="center"/>
                    <w:rPr>
                      <w:sz w:val="21"/>
                      <w:szCs w:val="21"/>
                    </w:rPr>
                  </w:pPr>
                  <w:r>
                    <w:rPr>
                      <w:sz w:val="21"/>
                      <w:szCs w:val="21"/>
                    </w:rPr>
                    <w:t>监测频次</w:t>
                  </w:r>
                </w:p>
              </w:tc>
              <w:tc>
                <w:tcPr>
                  <w:tcW w:w="3082" w:type="dxa"/>
                  <w:noWrap w:val="0"/>
                  <w:vAlign w:val="center"/>
                </w:tcPr>
                <w:p>
                  <w:pPr>
                    <w:spacing w:line="240" w:lineRule="auto"/>
                    <w:ind w:firstLine="0" w:firstLineChars="0"/>
                    <w:jc w:val="center"/>
                    <w:rPr>
                      <w:sz w:val="21"/>
                      <w:szCs w:val="21"/>
                    </w:rPr>
                  </w:pPr>
                  <w:r>
                    <w:rPr>
                      <w:sz w:val="21"/>
                      <w:szCs w:val="21"/>
                    </w:rPr>
                    <w:t>执行标准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13" w:type="dxa"/>
                  <w:noWrap w:val="0"/>
                  <w:vAlign w:val="center"/>
                </w:tcPr>
                <w:p>
                  <w:pPr>
                    <w:spacing w:line="240" w:lineRule="auto"/>
                    <w:ind w:firstLine="0" w:firstLineChars="0"/>
                    <w:jc w:val="center"/>
                    <w:rPr>
                      <w:sz w:val="21"/>
                      <w:szCs w:val="21"/>
                    </w:rPr>
                  </w:pPr>
                  <w:r>
                    <w:rPr>
                      <w:sz w:val="21"/>
                      <w:szCs w:val="21"/>
                    </w:rPr>
                    <w:t>噪声</w:t>
                  </w:r>
                </w:p>
              </w:tc>
              <w:tc>
                <w:tcPr>
                  <w:tcW w:w="997" w:type="dxa"/>
                  <w:noWrap w:val="0"/>
                  <w:vAlign w:val="center"/>
                </w:tcPr>
                <w:p>
                  <w:pPr>
                    <w:spacing w:line="240" w:lineRule="auto"/>
                    <w:ind w:firstLine="0" w:firstLineChars="0"/>
                    <w:jc w:val="center"/>
                    <w:rPr>
                      <w:sz w:val="21"/>
                      <w:szCs w:val="21"/>
                    </w:rPr>
                  </w:pPr>
                  <w:r>
                    <w:rPr>
                      <w:sz w:val="21"/>
                      <w:szCs w:val="21"/>
                    </w:rPr>
                    <w:t>厂界噪声</w:t>
                  </w:r>
                </w:p>
              </w:tc>
              <w:tc>
                <w:tcPr>
                  <w:tcW w:w="1525" w:type="dxa"/>
                  <w:noWrap w:val="0"/>
                  <w:vAlign w:val="center"/>
                </w:tcPr>
                <w:p>
                  <w:pPr>
                    <w:spacing w:line="240" w:lineRule="auto"/>
                    <w:ind w:firstLine="0" w:firstLineChars="0"/>
                    <w:jc w:val="center"/>
                    <w:rPr>
                      <w:rFonts w:hint="eastAsia"/>
                      <w:sz w:val="21"/>
                      <w:szCs w:val="21"/>
                    </w:rPr>
                  </w:pPr>
                  <w:r>
                    <w:rPr>
                      <w:sz w:val="21"/>
                      <w:szCs w:val="21"/>
                    </w:rPr>
                    <w:t>厂</w:t>
                  </w:r>
                  <w:r>
                    <w:rPr>
                      <w:rFonts w:hint="eastAsia"/>
                      <w:sz w:val="21"/>
                      <w:szCs w:val="21"/>
                    </w:rPr>
                    <w:t>界东、南面</w:t>
                  </w:r>
                </w:p>
              </w:tc>
              <w:tc>
                <w:tcPr>
                  <w:tcW w:w="1181" w:type="dxa"/>
                  <w:noWrap w:val="0"/>
                  <w:vAlign w:val="center"/>
                </w:tcPr>
                <w:p>
                  <w:pPr>
                    <w:spacing w:line="240" w:lineRule="auto"/>
                    <w:ind w:firstLine="0" w:firstLineChars="0"/>
                    <w:jc w:val="center"/>
                    <w:rPr>
                      <w:sz w:val="21"/>
                      <w:szCs w:val="21"/>
                    </w:rPr>
                  </w:pPr>
                  <w:r>
                    <w:rPr>
                      <w:sz w:val="21"/>
                      <w:szCs w:val="21"/>
                    </w:rPr>
                    <w:t>等效连续A声级</w:t>
                  </w:r>
                </w:p>
              </w:tc>
              <w:tc>
                <w:tcPr>
                  <w:tcW w:w="1179" w:type="dxa"/>
                  <w:noWrap w:val="0"/>
                  <w:vAlign w:val="center"/>
                </w:tcPr>
                <w:p>
                  <w:pPr>
                    <w:spacing w:line="240" w:lineRule="auto"/>
                    <w:ind w:firstLine="0" w:firstLineChars="0"/>
                    <w:jc w:val="center"/>
                    <w:rPr>
                      <w:sz w:val="21"/>
                      <w:szCs w:val="21"/>
                    </w:rPr>
                  </w:pPr>
                  <w:r>
                    <w:rPr>
                      <w:sz w:val="21"/>
                      <w:szCs w:val="21"/>
                    </w:rPr>
                    <w:t>季度一次</w:t>
                  </w:r>
                </w:p>
              </w:tc>
              <w:tc>
                <w:tcPr>
                  <w:tcW w:w="3082" w:type="dxa"/>
                  <w:noWrap w:val="0"/>
                  <w:vAlign w:val="center"/>
                </w:tcPr>
                <w:p>
                  <w:pPr>
                    <w:spacing w:line="240" w:lineRule="auto"/>
                    <w:ind w:firstLine="0" w:firstLineChars="0"/>
                    <w:jc w:val="center"/>
                    <w:rPr>
                      <w:sz w:val="21"/>
                      <w:szCs w:val="21"/>
                    </w:rPr>
                  </w:pPr>
                  <w:r>
                    <w:rPr>
                      <w:sz w:val="21"/>
                      <w:szCs w:val="21"/>
                    </w:rPr>
                    <w:t>《工业企业厂界环境噪声排放标准》</w:t>
                  </w:r>
                  <w:r>
                    <w:rPr>
                      <w:rFonts w:hint="eastAsia"/>
                      <w:sz w:val="21"/>
                      <w:szCs w:val="21"/>
                    </w:rPr>
                    <w:t>(</w:t>
                  </w:r>
                  <w:r>
                    <w:rPr>
                      <w:sz w:val="21"/>
                      <w:szCs w:val="21"/>
                    </w:rPr>
                    <w:t>GB12348-2008</w:t>
                  </w:r>
                  <w:r>
                    <w:rPr>
                      <w:rFonts w:hint="eastAsia"/>
                      <w:sz w:val="21"/>
                      <w:szCs w:val="21"/>
                    </w:rPr>
                    <w:t>)</w:t>
                  </w:r>
                  <w:r>
                    <w:rPr>
                      <w:sz w:val="21"/>
                      <w:szCs w:val="21"/>
                    </w:rPr>
                    <w:t>2类标准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13" w:type="dxa"/>
                  <w:noWrap w:val="0"/>
                  <w:vAlign w:val="center"/>
                </w:tcPr>
                <w:p>
                  <w:pPr>
                    <w:spacing w:line="240" w:lineRule="auto"/>
                    <w:ind w:firstLine="0" w:firstLineChars="0"/>
                    <w:jc w:val="center"/>
                    <w:rPr>
                      <w:sz w:val="21"/>
                      <w:szCs w:val="21"/>
                    </w:rPr>
                  </w:pPr>
                  <w:r>
                    <w:rPr>
                      <w:sz w:val="21"/>
                      <w:szCs w:val="21"/>
                    </w:rPr>
                    <w:t>噪声</w:t>
                  </w:r>
                </w:p>
              </w:tc>
              <w:tc>
                <w:tcPr>
                  <w:tcW w:w="997" w:type="dxa"/>
                  <w:noWrap w:val="0"/>
                  <w:vAlign w:val="center"/>
                </w:tcPr>
                <w:p>
                  <w:pPr>
                    <w:spacing w:line="240" w:lineRule="auto"/>
                    <w:ind w:firstLine="0" w:firstLineChars="0"/>
                    <w:jc w:val="center"/>
                    <w:rPr>
                      <w:sz w:val="21"/>
                      <w:szCs w:val="21"/>
                    </w:rPr>
                  </w:pPr>
                  <w:r>
                    <w:rPr>
                      <w:sz w:val="21"/>
                      <w:szCs w:val="21"/>
                    </w:rPr>
                    <w:t>厂界噪声</w:t>
                  </w:r>
                </w:p>
              </w:tc>
              <w:tc>
                <w:tcPr>
                  <w:tcW w:w="1525" w:type="dxa"/>
                  <w:noWrap w:val="0"/>
                  <w:vAlign w:val="center"/>
                </w:tcPr>
                <w:p>
                  <w:pPr>
                    <w:spacing w:line="240" w:lineRule="auto"/>
                    <w:ind w:firstLine="0" w:firstLineChars="0"/>
                    <w:jc w:val="center"/>
                    <w:rPr>
                      <w:rFonts w:hint="eastAsia"/>
                      <w:sz w:val="21"/>
                      <w:szCs w:val="21"/>
                    </w:rPr>
                  </w:pPr>
                  <w:r>
                    <w:rPr>
                      <w:sz w:val="21"/>
                      <w:szCs w:val="21"/>
                    </w:rPr>
                    <w:t>厂</w:t>
                  </w:r>
                  <w:r>
                    <w:rPr>
                      <w:rFonts w:hint="eastAsia"/>
                      <w:sz w:val="21"/>
                      <w:szCs w:val="21"/>
                    </w:rPr>
                    <w:t>界西、北面</w:t>
                  </w:r>
                </w:p>
              </w:tc>
              <w:tc>
                <w:tcPr>
                  <w:tcW w:w="1181" w:type="dxa"/>
                  <w:noWrap w:val="0"/>
                  <w:vAlign w:val="center"/>
                </w:tcPr>
                <w:p>
                  <w:pPr>
                    <w:spacing w:line="240" w:lineRule="auto"/>
                    <w:ind w:firstLine="0" w:firstLineChars="0"/>
                    <w:jc w:val="center"/>
                    <w:rPr>
                      <w:sz w:val="21"/>
                      <w:szCs w:val="21"/>
                    </w:rPr>
                  </w:pPr>
                  <w:r>
                    <w:rPr>
                      <w:sz w:val="21"/>
                      <w:szCs w:val="21"/>
                    </w:rPr>
                    <w:t>等效连续A声级</w:t>
                  </w:r>
                </w:p>
              </w:tc>
              <w:tc>
                <w:tcPr>
                  <w:tcW w:w="1179" w:type="dxa"/>
                  <w:noWrap w:val="0"/>
                  <w:vAlign w:val="center"/>
                </w:tcPr>
                <w:p>
                  <w:pPr>
                    <w:spacing w:line="240" w:lineRule="auto"/>
                    <w:ind w:firstLine="0" w:firstLineChars="0"/>
                    <w:jc w:val="center"/>
                    <w:rPr>
                      <w:sz w:val="21"/>
                      <w:szCs w:val="21"/>
                    </w:rPr>
                  </w:pPr>
                  <w:r>
                    <w:rPr>
                      <w:sz w:val="21"/>
                      <w:szCs w:val="21"/>
                    </w:rPr>
                    <w:t>季度一次</w:t>
                  </w:r>
                </w:p>
              </w:tc>
              <w:tc>
                <w:tcPr>
                  <w:tcW w:w="3082" w:type="dxa"/>
                  <w:noWrap w:val="0"/>
                  <w:vAlign w:val="center"/>
                </w:tcPr>
                <w:p>
                  <w:pPr>
                    <w:spacing w:line="240" w:lineRule="auto"/>
                    <w:ind w:firstLine="0" w:firstLineChars="0"/>
                    <w:jc w:val="center"/>
                    <w:rPr>
                      <w:sz w:val="21"/>
                      <w:szCs w:val="21"/>
                    </w:rPr>
                  </w:pPr>
                  <w:r>
                    <w:rPr>
                      <w:sz w:val="21"/>
                      <w:szCs w:val="21"/>
                    </w:rPr>
                    <w:t>《工业企业厂界环境噪声排放标准》</w:t>
                  </w:r>
                  <w:r>
                    <w:rPr>
                      <w:rFonts w:hint="eastAsia"/>
                      <w:sz w:val="21"/>
                      <w:szCs w:val="21"/>
                    </w:rPr>
                    <w:t>(</w:t>
                  </w:r>
                  <w:r>
                    <w:rPr>
                      <w:sz w:val="21"/>
                      <w:szCs w:val="21"/>
                    </w:rPr>
                    <w:t>GB12348-2008</w:t>
                  </w:r>
                  <w:r>
                    <w:rPr>
                      <w:rFonts w:hint="eastAsia"/>
                      <w:sz w:val="21"/>
                      <w:szCs w:val="21"/>
                    </w:rPr>
                    <w:t>)4</w:t>
                  </w:r>
                  <w:r>
                    <w:rPr>
                      <w:sz w:val="21"/>
                      <w:szCs w:val="21"/>
                    </w:rPr>
                    <w:t>类标准</w:t>
                  </w:r>
                </w:p>
              </w:tc>
            </w:tr>
          </w:tbl>
          <w:p>
            <w:pPr>
              <w:pStyle w:val="12"/>
              <w:bidi w:val="0"/>
            </w:pPr>
            <w:r>
              <w:t>4</w:t>
            </w:r>
            <w:r>
              <w:rPr>
                <w:rFonts w:hint="eastAsia"/>
                <w:lang w:val="en-US" w:eastAsia="zh-CN"/>
              </w:rPr>
              <w:t>.</w:t>
            </w:r>
            <w:r>
              <w:t>固体废物</w:t>
            </w:r>
          </w:p>
          <w:p>
            <w:pPr>
              <w:pStyle w:val="12"/>
              <w:bidi w:val="0"/>
            </w:pPr>
            <w:r>
              <w:rPr>
                <w:rFonts w:hint="eastAsia"/>
                <w:lang w:val="en-US" w:eastAsia="zh-CN"/>
              </w:rPr>
              <w:t>4</w:t>
            </w:r>
            <w:r>
              <w:rPr>
                <w:rFonts w:hint="eastAsia"/>
              </w:rPr>
              <w:t>.1固体废物产排情况</w:t>
            </w:r>
          </w:p>
          <w:p>
            <w:pPr>
              <w:pStyle w:val="12"/>
              <w:bidi w:val="0"/>
              <w:rPr>
                <w:u w:val="single"/>
              </w:rPr>
            </w:pPr>
            <w:r>
              <w:rPr>
                <w:rFonts w:hint="eastAsia"/>
                <w:u w:val="single"/>
                <w:lang w:val="en-US" w:eastAsia="zh-CN"/>
              </w:rPr>
              <w:t>项目运营期产生的固体废弃物主要包括生活垃圾、中药渣、废包装材料、医疗废物、污水处理站污泥等。</w:t>
            </w:r>
          </w:p>
          <w:p>
            <w:pPr>
              <w:pStyle w:val="12"/>
              <w:bidi w:val="0"/>
            </w:pPr>
            <w:r>
              <w:t>（1）包装废物</w:t>
            </w:r>
          </w:p>
          <w:p>
            <w:pPr>
              <w:pStyle w:val="12"/>
              <w:bidi w:val="0"/>
            </w:pPr>
            <w:r>
              <w:t>包装废物主要为废弃的医疗用品外包装，类比同类工程，包装废物产生量约为</w:t>
            </w:r>
            <w:r>
              <w:rPr>
                <w:rFonts w:hint="eastAsia"/>
                <w:lang w:val="en-US" w:eastAsia="zh-CN"/>
              </w:rPr>
              <w:t>3.6</w:t>
            </w:r>
            <w:r>
              <w:t>t/a，收集后外售。</w:t>
            </w:r>
          </w:p>
          <w:p>
            <w:pPr>
              <w:pStyle w:val="12"/>
              <w:bidi w:val="0"/>
            </w:pPr>
            <w:r>
              <w:t>（2）生活垃圾</w:t>
            </w:r>
          </w:p>
          <w:p>
            <w:pPr>
              <w:pStyle w:val="12"/>
              <w:bidi w:val="0"/>
            </w:pPr>
            <w:r>
              <w:t>①职工生活垃圾：本项目职工人数</w:t>
            </w:r>
            <w:r>
              <w:rPr>
                <w:rFonts w:hint="eastAsia"/>
                <w:lang w:val="en-US" w:eastAsia="zh-CN"/>
              </w:rPr>
              <w:t>450</w:t>
            </w:r>
            <w:r>
              <w:t>人，生活垃圾产生量按1kg/人·d计算，则职工生活垃圾产生量约为</w:t>
            </w:r>
            <w:r>
              <w:rPr>
                <w:rFonts w:hint="eastAsia"/>
                <w:lang w:val="en-US" w:eastAsia="zh-CN"/>
              </w:rPr>
              <w:t>0.45</w:t>
            </w:r>
            <w:r>
              <w:t>t/d（</w:t>
            </w:r>
            <w:r>
              <w:rPr>
                <w:rFonts w:hint="eastAsia"/>
                <w:lang w:val="en-US" w:eastAsia="zh-CN"/>
              </w:rPr>
              <w:t>164.25</w:t>
            </w:r>
            <w:r>
              <w:t>t/a），收集后交由环卫部门进行处置。</w:t>
            </w:r>
          </w:p>
          <w:p>
            <w:pPr>
              <w:pStyle w:val="12"/>
              <w:bidi w:val="0"/>
            </w:pPr>
            <w:r>
              <w:t>②门诊病人产生生活垃圾：全院</w:t>
            </w:r>
            <w:r>
              <w:rPr>
                <w:rFonts w:hint="eastAsia"/>
                <w:lang w:val="en-US" w:eastAsia="zh-CN"/>
              </w:rPr>
              <w:t>最大</w:t>
            </w:r>
            <w:r>
              <w:t>门诊能力约为</w:t>
            </w:r>
            <w:r>
              <w:rPr>
                <w:rFonts w:hint="eastAsia"/>
                <w:lang w:val="en-US" w:eastAsia="zh-CN"/>
              </w:rPr>
              <w:t>500</w:t>
            </w:r>
            <w:r>
              <w:t>人次/d，按每人每次产生0.2kg计，门诊病人产生废弃物量约为</w:t>
            </w:r>
            <w:r>
              <w:rPr>
                <w:rFonts w:hint="eastAsia"/>
                <w:lang w:val="en-US" w:eastAsia="zh-CN"/>
              </w:rPr>
              <w:t>0.1</w:t>
            </w:r>
            <w:r>
              <w:t>t/d（</w:t>
            </w:r>
            <w:r>
              <w:rPr>
                <w:rFonts w:hint="eastAsia"/>
                <w:lang w:val="en-US" w:eastAsia="zh-CN"/>
              </w:rPr>
              <w:t>36.5</w:t>
            </w:r>
            <w:r>
              <w:t>t/a），集中收集后交由环卫部门进行处</w:t>
            </w:r>
            <w:r>
              <w:rPr>
                <w:rFonts w:hint="eastAsia"/>
                <w:lang w:eastAsia="zh-CN"/>
              </w:rPr>
              <w:t>理</w:t>
            </w:r>
            <w:r>
              <w:t>。</w:t>
            </w:r>
          </w:p>
          <w:p>
            <w:pPr>
              <w:pStyle w:val="12"/>
              <w:bidi w:val="0"/>
            </w:pPr>
            <w:r>
              <w:t>③住院病人生活垃圾：病床</w:t>
            </w:r>
            <w:r>
              <w:rPr>
                <w:rFonts w:hint="eastAsia"/>
                <w:lang w:val="en-US" w:eastAsia="zh-CN"/>
              </w:rPr>
              <w:t>300</w:t>
            </w:r>
            <w:r>
              <w:rPr>
                <w:rFonts w:hint="eastAsia"/>
              </w:rPr>
              <w:t>张</w:t>
            </w:r>
            <w:r>
              <w:t>，按每张床位病人每天产生1kg计，住院产生生活垃圾产生量约为</w:t>
            </w:r>
            <w:r>
              <w:rPr>
                <w:rFonts w:hint="eastAsia"/>
                <w:lang w:val="en-US" w:eastAsia="zh-CN"/>
              </w:rPr>
              <w:t>0.3</w:t>
            </w:r>
            <w:r>
              <w:t>t/d（</w:t>
            </w:r>
            <w:r>
              <w:rPr>
                <w:rFonts w:hint="eastAsia"/>
                <w:lang w:val="en-US" w:eastAsia="zh-CN"/>
              </w:rPr>
              <w:t>109.5</w:t>
            </w:r>
            <w:r>
              <w:t>t/a），集中收集后交由环卫部门进行处置。</w:t>
            </w:r>
          </w:p>
          <w:p>
            <w:pPr>
              <w:pStyle w:val="12"/>
              <w:bidi w:val="0"/>
            </w:pPr>
            <w:r>
              <w:t>④陪护人员按每</w:t>
            </w:r>
            <w:r>
              <w:rPr>
                <w:rFonts w:hint="eastAsia"/>
                <w:lang w:val="en-US" w:eastAsia="zh-CN"/>
              </w:rPr>
              <w:t>300</w:t>
            </w:r>
            <w:r>
              <w:t>人，按每人每天产生1kg计，则陪护人员生活垃圾产生量约为</w:t>
            </w:r>
            <w:r>
              <w:rPr>
                <w:rFonts w:hint="eastAsia"/>
                <w:lang w:val="en-US" w:eastAsia="zh-CN"/>
              </w:rPr>
              <w:t>0.3</w:t>
            </w:r>
            <w:r>
              <w:t>t/d（</w:t>
            </w:r>
            <w:r>
              <w:rPr>
                <w:rFonts w:hint="eastAsia"/>
                <w:lang w:val="en-US" w:eastAsia="zh-CN"/>
              </w:rPr>
              <w:t>109.5</w:t>
            </w:r>
            <w:r>
              <w:t>t/a），集中收集后交由环卫部门进行处置。</w:t>
            </w:r>
          </w:p>
          <w:p>
            <w:pPr>
              <w:pStyle w:val="12"/>
              <w:bidi w:val="0"/>
            </w:pPr>
            <w:r>
              <w:t>综上所述，运营期生活垃圾产生量约为</w:t>
            </w:r>
            <w:r>
              <w:rPr>
                <w:rFonts w:hint="eastAsia"/>
                <w:lang w:val="en-US" w:eastAsia="zh-CN"/>
              </w:rPr>
              <w:t>419.75</w:t>
            </w:r>
            <w:r>
              <w:t>t/a，收集后交由环卫部门进行处置。</w:t>
            </w:r>
          </w:p>
          <w:p>
            <w:pPr>
              <w:pStyle w:val="12"/>
              <w:bidi w:val="0"/>
              <w:rPr>
                <w:rFonts w:hint="eastAsia"/>
                <w:u w:val="single"/>
                <w:lang w:val="en-US" w:eastAsia="zh-CN"/>
              </w:rPr>
            </w:pPr>
            <w:r>
              <w:rPr>
                <w:rFonts w:hint="eastAsia"/>
                <w:u w:val="single"/>
                <w:lang w:val="en-US" w:eastAsia="zh-CN"/>
              </w:rPr>
              <w:t>（3）中药渣</w:t>
            </w:r>
          </w:p>
          <w:p>
            <w:pPr>
              <w:pStyle w:val="12"/>
              <w:bidi w:val="0"/>
              <w:rPr>
                <w:rFonts w:hint="default"/>
                <w:u w:val="single"/>
                <w:lang w:val="en-US" w:eastAsia="zh-CN"/>
              </w:rPr>
            </w:pPr>
            <w:r>
              <w:rPr>
                <w:rFonts w:hint="default"/>
                <w:u w:val="single"/>
                <w:lang w:val="en-US" w:eastAsia="zh-CN"/>
              </w:rPr>
              <w:t>本项目年中药材用量约10t/a</w:t>
            </w:r>
            <w:r>
              <w:rPr>
                <w:rFonts w:hint="eastAsia"/>
                <w:u w:val="single"/>
                <w:lang w:val="en-US" w:eastAsia="zh-CN"/>
              </w:rPr>
              <w:t>，</w:t>
            </w:r>
            <w:r>
              <w:rPr>
                <w:rFonts w:hint="default"/>
                <w:u w:val="single"/>
                <w:lang w:val="en-US" w:eastAsia="zh-CN"/>
              </w:rPr>
              <w:t>中药熬制会产生中药药渣，结合建设单位提供的数据，项目产生量约</w:t>
            </w:r>
            <w:r>
              <w:rPr>
                <w:rFonts w:hint="eastAsia"/>
                <w:u w:val="single"/>
                <w:lang w:val="en-US" w:eastAsia="zh-CN"/>
              </w:rPr>
              <w:t>30</w:t>
            </w:r>
            <w:r>
              <w:rPr>
                <w:rFonts w:hint="default"/>
                <w:u w:val="single"/>
                <w:lang w:val="en-US" w:eastAsia="zh-CN"/>
              </w:rPr>
              <w:t>kg/d</w:t>
            </w:r>
            <w:r>
              <w:rPr>
                <w:rFonts w:hint="eastAsia"/>
                <w:u w:val="single"/>
                <w:lang w:val="en-US" w:eastAsia="zh-CN"/>
              </w:rPr>
              <w:t>，10.95</w:t>
            </w:r>
            <w:r>
              <w:rPr>
                <w:rFonts w:hint="default"/>
                <w:u w:val="single"/>
                <w:lang w:val="en-US" w:eastAsia="zh-CN"/>
              </w:rPr>
              <w:t>t/a。中药药渣成分为植物废渣，视为生活垃圾，</w:t>
            </w:r>
            <w:r>
              <w:rPr>
                <w:rFonts w:hint="eastAsia"/>
                <w:u w:val="single"/>
                <w:lang w:val="en-US" w:eastAsia="zh-CN"/>
              </w:rPr>
              <w:t>中</w:t>
            </w:r>
            <w:r>
              <w:rPr>
                <w:rFonts w:hint="default"/>
                <w:u w:val="single"/>
                <w:lang w:val="en-US" w:eastAsia="zh-CN"/>
              </w:rPr>
              <w:t>药渣采用包装袋密封收集后暂存于密闭煎药室内垃圾桶，最终由</w:t>
            </w:r>
            <w:r>
              <w:rPr>
                <w:rFonts w:hint="eastAsia"/>
                <w:u w:val="single"/>
                <w:lang w:val="en-US" w:eastAsia="zh-CN"/>
              </w:rPr>
              <w:t>专门机构</w:t>
            </w:r>
            <w:r>
              <w:rPr>
                <w:rFonts w:hint="default"/>
                <w:u w:val="single"/>
                <w:lang w:val="en-US" w:eastAsia="zh-CN"/>
              </w:rPr>
              <w:t>统一收运处置。</w:t>
            </w:r>
          </w:p>
          <w:p>
            <w:pPr>
              <w:pStyle w:val="12"/>
              <w:bidi w:val="0"/>
            </w:pPr>
            <w:r>
              <w:t>（</w:t>
            </w:r>
            <w:r>
              <w:rPr>
                <w:rFonts w:hint="eastAsia"/>
                <w:lang w:val="en-US" w:eastAsia="zh-CN"/>
              </w:rPr>
              <w:t>4</w:t>
            </w:r>
            <w:r>
              <w:t>）医疗废物</w:t>
            </w:r>
          </w:p>
          <w:p>
            <w:pPr>
              <w:pStyle w:val="12"/>
              <w:bidi w:val="0"/>
            </w:pPr>
            <w:r>
              <w:t>该项目建成运营后，会产生一定量的医疗垃圾，医疗垃圾主要为被血液或分泌物污染的护理用具、敷料、一次性医疗用品等。根据我国《医疗废物管理条例》，医疗废物主要分为感染性废物、病理性废物、损伤性废物、药物性废物和化学性废物等五类。具体见</w:t>
            </w:r>
            <w:r>
              <w:rPr>
                <w:rFonts w:hint="eastAsia"/>
                <w:lang w:eastAsia="zh-CN"/>
              </w:rPr>
              <w:t>下</w:t>
            </w:r>
            <w:r>
              <w:t>表。</w:t>
            </w:r>
          </w:p>
          <w:p>
            <w:pPr>
              <w:pStyle w:val="29"/>
              <w:bidi w:val="0"/>
            </w:pPr>
            <w:r>
              <w:t>表</w:t>
            </w:r>
            <w:r>
              <w:rPr>
                <w:rFonts w:hint="eastAsia"/>
                <w:lang w:val="en-US" w:eastAsia="zh-CN"/>
              </w:rPr>
              <w:t xml:space="preserve">4.2-19 </w:t>
            </w:r>
            <w:r>
              <w:t xml:space="preserve"> 医疗废物分类表</w:t>
            </w:r>
          </w:p>
          <w:tbl>
            <w:tblPr>
              <w:tblStyle w:val="27"/>
              <w:tblW w:w="86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8"/>
              <w:gridCol w:w="693"/>
              <w:gridCol w:w="1862"/>
              <w:gridCol w:w="4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128" w:type="dxa"/>
                  <w:noWrap w:val="0"/>
                  <w:vAlign w:val="center"/>
                </w:tcPr>
                <w:p>
                  <w:pPr>
                    <w:pStyle w:val="30"/>
                    <w:bidi w:val="0"/>
                    <w:rPr>
                      <w:lang w:val="zh-CN"/>
                    </w:rPr>
                  </w:pPr>
                  <w:r>
                    <w:rPr>
                      <w:lang w:val="zh-CN"/>
                    </w:rPr>
                    <w:t>废物代码</w:t>
                  </w:r>
                </w:p>
              </w:tc>
              <w:tc>
                <w:tcPr>
                  <w:tcW w:w="693" w:type="dxa"/>
                  <w:noWrap w:val="0"/>
                  <w:vAlign w:val="center"/>
                </w:tcPr>
                <w:p>
                  <w:pPr>
                    <w:pStyle w:val="30"/>
                    <w:bidi w:val="0"/>
                    <w:rPr>
                      <w:lang w:val="zh-CN"/>
                    </w:rPr>
                  </w:pPr>
                  <w:r>
                    <w:rPr>
                      <w:lang w:val="zh-CN"/>
                    </w:rPr>
                    <w:t>类别</w:t>
                  </w:r>
                </w:p>
              </w:tc>
              <w:tc>
                <w:tcPr>
                  <w:tcW w:w="1862" w:type="dxa"/>
                  <w:noWrap w:val="0"/>
                  <w:vAlign w:val="center"/>
                </w:tcPr>
                <w:p>
                  <w:pPr>
                    <w:pStyle w:val="30"/>
                    <w:bidi w:val="0"/>
                    <w:rPr>
                      <w:lang w:val="zh-CN"/>
                    </w:rPr>
                  </w:pPr>
                  <w:r>
                    <w:rPr>
                      <w:lang w:val="zh-CN"/>
                    </w:rPr>
                    <w:t>特征</w:t>
                  </w:r>
                </w:p>
              </w:tc>
              <w:tc>
                <w:tcPr>
                  <w:tcW w:w="4999" w:type="dxa"/>
                  <w:noWrap w:val="0"/>
                  <w:vAlign w:val="center"/>
                </w:tcPr>
                <w:p>
                  <w:pPr>
                    <w:pStyle w:val="30"/>
                    <w:bidi w:val="0"/>
                    <w:rPr>
                      <w:lang w:val="zh-CN"/>
                    </w:rPr>
                  </w:pPr>
                  <w:r>
                    <w:rPr>
                      <w:lang w:val="zh-CN"/>
                    </w:rPr>
                    <w:t>常见组分或者废物名称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128" w:type="dxa"/>
                  <w:noWrap w:val="0"/>
                  <w:vAlign w:val="center"/>
                </w:tcPr>
                <w:p>
                  <w:pPr>
                    <w:pStyle w:val="30"/>
                    <w:bidi w:val="0"/>
                    <w:rPr>
                      <w:lang w:val="zh-CN"/>
                    </w:rPr>
                  </w:pPr>
                  <w:r>
                    <w:rPr>
                      <w:lang w:val="zh-CN"/>
                    </w:rPr>
                    <w:t>841-001-01</w:t>
                  </w:r>
                </w:p>
              </w:tc>
              <w:tc>
                <w:tcPr>
                  <w:tcW w:w="693" w:type="dxa"/>
                  <w:noWrap w:val="0"/>
                  <w:vAlign w:val="center"/>
                </w:tcPr>
                <w:p>
                  <w:pPr>
                    <w:pStyle w:val="30"/>
                    <w:bidi w:val="0"/>
                    <w:rPr>
                      <w:lang w:val="zh-CN"/>
                    </w:rPr>
                  </w:pPr>
                  <w:r>
                    <w:rPr>
                      <w:lang w:val="zh-CN"/>
                    </w:rPr>
                    <w:t>感染性废物</w:t>
                  </w:r>
                </w:p>
              </w:tc>
              <w:tc>
                <w:tcPr>
                  <w:tcW w:w="1862" w:type="dxa"/>
                  <w:noWrap w:val="0"/>
                  <w:vAlign w:val="center"/>
                </w:tcPr>
                <w:p>
                  <w:pPr>
                    <w:pStyle w:val="30"/>
                    <w:bidi w:val="0"/>
                    <w:rPr>
                      <w:lang w:val="zh-CN"/>
                    </w:rPr>
                  </w:pPr>
                </w:p>
                <w:p>
                  <w:pPr>
                    <w:pStyle w:val="30"/>
                    <w:bidi w:val="0"/>
                    <w:rPr>
                      <w:lang w:val="zh-CN"/>
                    </w:rPr>
                  </w:pPr>
                  <w:r>
                    <w:rPr>
                      <w:lang w:val="zh-CN"/>
                    </w:rPr>
                    <w:t>携带病原微生物，具有引发感染性疾病传播危险的医疗废物</w:t>
                  </w:r>
                </w:p>
              </w:tc>
              <w:tc>
                <w:tcPr>
                  <w:tcW w:w="4999" w:type="dxa"/>
                  <w:noWrap w:val="0"/>
                  <w:vAlign w:val="center"/>
                </w:tcPr>
                <w:p>
                  <w:pPr>
                    <w:pStyle w:val="30"/>
                    <w:bidi w:val="0"/>
                    <w:rPr>
                      <w:lang w:val="zh-CN"/>
                    </w:rPr>
                  </w:pPr>
                  <w:r>
                    <w:rPr>
                      <w:lang w:val="zh-CN"/>
                    </w:rPr>
                    <w:t>1、被病人血液、体液、排泄物污染的物品，包括：棉球、棉签、引流棉条、纱布及其他各种敷料；一次性使用卫生用品、一次性使用医疗用品及一次性医疗器械；废弃的被服；其他被病人血液、体液、排泄物污染的物品。2、医疗机构收治的隔离传染病病人或者疑似传染 病病人产生的生活垃圾。3、病原体的培养基、标本和菌种、毒种保存液。4、各种废弃的医学标本。5、废弃的血液、血清。6、使用后的一次性使用医疗用品及一次性医疗器械视为感染性废物。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128" w:type="dxa"/>
                  <w:noWrap w:val="0"/>
                  <w:vAlign w:val="center"/>
                </w:tcPr>
                <w:p>
                  <w:pPr>
                    <w:pStyle w:val="30"/>
                    <w:bidi w:val="0"/>
                    <w:rPr>
                      <w:lang w:val="zh-CN"/>
                    </w:rPr>
                  </w:pPr>
                  <w:r>
                    <w:rPr>
                      <w:lang w:val="zh-CN"/>
                    </w:rPr>
                    <w:t>841-002-01</w:t>
                  </w:r>
                </w:p>
              </w:tc>
              <w:tc>
                <w:tcPr>
                  <w:tcW w:w="693" w:type="dxa"/>
                  <w:noWrap w:val="0"/>
                  <w:vAlign w:val="center"/>
                </w:tcPr>
                <w:p>
                  <w:pPr>
                    <w:pStyle w:val="30"/>
                    <w:bidi w:val="0"/>
                    <w:rPr>
                      <w:lang w:val="zh-CN"/>
                    </w:rPr>
                  </w:pPr>
                  <w:r>
                    <w:rPr>
                      <w:lang w:val="zh-CN"/>
                    </w:rPr>
                    <w:t>损伤性废物</w:t>
                  </w:r>
                </w:p>
              </w:tc>
              <w:tc>
                <w:tcPr>
                  <w:tcW w:w="1862" w:type="dxa"/>
                  <w:noWrap w:val="0"/>
                  <w:vAlign w:val="center"/>
                </w:tcPr>
                <w:p>
                  <w:pPr>
                    <w:pStyle w:val="30"/>
                    <w:bidi w:val="0"/>
                    <w:rPr>
                      <w:lang w:val="zh-CN"/>
                    </w:rPr>
                  </w:pPr>
                  <w:r>
                    <w:rPr>
                      <w:lang w:val="zh-CN"/>
                    </w:rPr>
                    <w:t>能够刺伤或者割伤人体的废弃的医用锐器</w:t>
                  </w:r>
                </w:p>
              </w:tc>
              <w:tc>
                <w:tcPr>
                  <w:tcW w:w="4999" w:type="dxa"/>
                  <w:noWrap w:val="0"/>
                  <w:vAlign w:val="center"/>
                </w:tcPr>
                <w:p>
                  <w:pPr>
                    <w:pStyle w:val="30"/>
                    <w:bidi w:val="0"/>
                    <w:rPr>
                      <w:lang w:val="zh-CN"/>
                    </w:rPr>
                  </w:pPr>
                  <w:r>
                    <w:rPr>
                      <w:lang w:val="zh-CN"/>
                    </w:rPr>
                    <w:t>1、医用针头、缝合针。2、各类医用锐器，包括：解剖刀、手术刀、备皮刀、手术锯等。3、载玻片、玻璃试管、玻璃安瓿等。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128" w:type="dxa"/>
                  <w:noWrap w:val="0"/>
                  <w:vAlign w:val="center"/>
                </w:tcPr>
                <w:p>
                  <w:pPr>
                    <w:pStyle w:val="30"/>
                    <w:bidi w:val="0"/>
                    <w:rPr>
                      <w:lang w:val="zh-CN"/>
                    </w:rPr>
                  </w:pPr>
                </w:p>
                <w:p>
                  <w:pPr>
                    <w:pStyle w:val="30"/>
                    <w:bidi w:val="0"/>
                    <w:rPr>
                      <w:lang w:val="zh-CN"/>
                    </w:rPr>
                  </w:pPr>
                  <w:r>
                    <w:rPr>
                      <w:lang w:val="zh-CN"/>
                    </w:rPr>
                    <w:t>841-003-01</w:t>
                  </w:r>
                </w:p>
              </w:tc>
              <w:tc>
                <w:tcPr>
                  <w:tcW w:w="693" w:type="dxa"/>
                  <w:noWrap w:val="0"/>
                  <w:vAlign w:val="center"/>
                </w:tcPr>
                <w:p>
                  <w:pPr>
                    <w:pStyle w:val="30"/>
                    <w:bidi w:val="0"/>
                    <w:rPr>
                      <w:lang w:val="zh-CN"/>
                    </w:rPr>
                  </w:pPr>
                  <w:r>
                    <w:rPr>
                      <w:lang w:val="zh-CN"/>
                    </w:rPr>
                    <w:t>病理性废物</w:t>
                  </w:r>
                </w:p>
              </w:tc>
              <w:tc>
                <w:tcPr>
                  <w:tcW w:w="1862" w:type="dxa"/>
                  <w:noWrap w:val="0"/>
                  <w:vAlign w:val="center"/>
                </w:tcPr>
                <w:p>
                  <w:pPr>
                    <w:pStyle w:val="30"/>
                    <w:bidi w:val="0"/>
                    <w:rPr>
                      <w:lang w:val="zh-CN"/>
                    </w:rPr>
                  </w:pPr>
                  <w:r>
                    <w:rPr>
                      <w:lang w:val="zh-CN"/>
                    </w:rPr>
                    <w:t>诊疗过程中产生的人体废弃物和医学实验动物尸体等</w:t>
                  </w:r>
                </w:p>
              </w:tc>
              <w:tc>
                <w:tcPr>
                  <w:tcW w:w="4999" w:type="dxa"/>
                  <w:noWrap w:val="0"/>
                  <w:vAlign w:val="center"/>
                </w:tcPr>
                <w:p>
                  <w:pPr>
                    <w:pStyle w:val="30"/>
                    <w:bidi w:val="0"/>
                    <w:rPr>
                      <w:lang w:val="zh-CN"/>
                    </w:rPr>
                  </w:pPr>
                  <w:r>
                    <w:rPr>
                      <w:lang w:val="zh-CN"/>
                    </w:rPr>
                    <w:t>1、手术及其他诊疗过程中产生的废弃的人体组织、器官等。2、医学实验动物的组织、尸体。3、病理切片后废弃的人体组织、病理腊块等。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128" w:type="dxa"/>
                  <w:noWrap w:val="0"/>
                  <w:vAlign w:val="center"/>
                </w:tcPr>
                <w:p>
                  <w:pPr>
                    <w:pStyle w:val="30"/>
                    <w:bidi w:val="0"/>
                    <w:rPr>
                      <w:lang w:val="zh-CN"/>
                    </w:rPr>
                  </w:pPr>
                </w:p>
                <w:p>
                  <w:pPr>
                    <w:pStyle w:val="30"/>
                    <w:bidi w:val="0"/>
                    <w:rPr>
                      <w:lang w:val="zh-CN"/>
                    </w:rPr>
                  </w:pPr>
                  <w:r>
                    <w:rPr>
                      <w:lang w:val="zh-CN"/>
                    </w:rPr>
                    <w:t>841-004-01</w:t>
                  </w:r>
                </w:p>
              </w:tc>
              <w:tc>
                <w:tcPr>
                  <w:tcW w:w="693" w:type="dxa"/>
                  <w:noWrap w:val="0"/>
                  <w:vAlign w:val="center"/>
                </w:tcPr>
                <w:p>
                  <w:pPr>
                    <w:pStyle w:val="30"/>
                    <w:bidi w:val="0"/>
                    <w:rPr>
                      <w:lang w:val="zh-CN"/>
                    </w:rPr>
                  </w:pPr>
                  <w:r>
                    <w:rPr>
                      <w:lang w:val="zh-CN"/>
                    </w:rPr>
                    <w:t>化学性废物</w:t>
                  </w:r>
                </w:p>
              </w:tc>
              <w:tc>
                <w:tcPr>
                  <w:tcW w:w="1862" w:type="dxa"/>
                  <w:noWrap w:val="0"/>
                  <w:vAlign w:val="center"/>
                </w:tcPr>
                <w:p>
                  <w:pPr>
                    <w:pStyle w:val="30"/>
                    <w:bidi w:val="0"/>
                    <w:rPr>
                      <w:lang w:val="zh-CN"/>
                    </w:rPr>
                  </w:pPr>
                  <w:r>
                    <w:rPr>
                      <w:lang w:val="zh-CN"/>
                    </w:rPr>
                    <w:t>具有毒性、腐蚀性、易燃易爆性的废弃的化学物品。</w:t>
                  </w:r>
                </w:p>
              </w:tc>
              <w:tc>
                <w:tcPr>
                  <w:tcW w:w="4999" w:type="dxa"/>
                  <w:noWrap w:val="0"/>
                  <w:vAlign w:val="center"/>
                </w:tcPr>
                <w:p>
                  <w:pPr>
                    <w:pStyle w:val="30"/>
                    <w:bidi w:val="0"/>
                    <w:rPr>
                      <w:lang w:val="zh-CN"/>
                    </w:rPr>
                  </w:pPr>
                  <w:r>
                    <w:rPr>
                      <w:lang w:val="zh-CN"/>
                    </w:rPr>
                    <w:t>1、医学影像室、实验室废弃的化学试剂。2、废弃的过氧乙酸、戊二醛等化学消毒剂。3、废弃的汞血压计、汞温度计。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128" w:type="dxa"/>
                  <w:noWrap w:val="0"/>
                  <w:vAlign w:val="center"/>
                </w:tcPr>
                <w:p>
                  <w:pPr>
                    <w:pStyle w:val="30"/>
                    <w:bidi w:val="0"/>
                    <w:rPr>
                      <w:lang w:val="zh-CN"/>
                    </w:rPr>
                  </w:pPr>
                  <w:r>
                    <w:rPr>
                      <w:lang w:val="zh-CN"/>
                    </w:rPr>
                    <w:t>841-005-01</w:t>
                  </w:r>
                </w:p>
              </w:tc>
              <w:tc>
                <w:tcPr>
                  <w:tcW w:w="693" w:type="dxa"/>
                  <w:noWrap w:val="0"/>
                  <w:vAlign w:val="center"/>
                </w:tcPr>
                <w:p>
                  <w:pPr>
                    <w:pStyle w:val="30"/>
                    <w:bidi w:val="0"/>
                    <w:rPr>
                      <w:lang w:val="zh-CN"/>
                    </w:rPr>
                  </w:pPr>
                  <w:r>
                    <w:rPr>
                      <w:lang w:val="zh-CN"/>
                    </w:rPr>
                    <w:t>药物性废物</w:t>
                  </w:r>
                </w:p>
              </w:tc>
              <w:tc>
                <w:tcPr>
                  <w:tcW w:w="1862" w:type="dxa"/>
                  <w:noWrap w:val="0"/>
                  <w:vAlign w:val="center"/>
                </w:tcPr>
                <w:p>
                  <w:pPr>
                    <w:pStyle w:val="30"/>
                    <w:bidi w:val="0"/>
                    <w:rPr>
                      <w:lang w:val="zh-CN"/>
                    </w:rPr>
                  </w:pPr>
                  <w:r>
                    <w:rPr>
                      <w:lang w:val="zh-CN"/>
                    </w:rPr>
                    <w:t>过期、淘汰、变质或者被污染的废弃的药品。</w:t>
                  </w:r>
                </w:p>
              </w:tc>
              <w:tc>
                <w:tcPr>
                  <w:tcW w:w="4999" w:type="dxa"/>
                  <w:noWrap w:val="0"/>
                  <w:vAlign w:val="center"/>
                </w:tcPr>
                <w:p>
                  <w:pPr>
                    <w:pStyle w:val="30"/>
                    <w:bidi w:val="0"/>
                    <w:rPr>
                      <w:lang w:val="zh-CN"/>
                    </w:rPr>
                  </w:pPr>
                  <w:r>
                    <w:rPr>
                      <w:lang w:val="zh-CN"/>
                    </w:rPr>
                    <w:t>1、废弃的一般性药品，如：抗生素、非处方类药品等。 2、废弃的细胞毒性药物和遗传毒性药物，包括：致癌性药物，如硫唑嘌呤、苯丁酸氮芥、萘氮芥、环孢霉素、环磷酰胺、苯丙胺酸氮芥、司莫司汀、三苯氧氨、硫替派等；可疑致癌性药物，如：顺铂、丝裂霉素、阿霉素、苯巴比妥等；免疫抑制剂。3、废弃的疫苗、血液制品等。</w:t>
                  </w:r>
                </w:p>
              </w:tc>
            </w:tr>
          </w:tbl>
          <w:p>
            <w:pPr>
              <w:pStyle w:val="12"/>
              <w:bidi w:val="0"/>
              <w:rPr>
                <w:u w:val="single"/>
                <w:lang w:val="en-US"/>
              </w:rPr>
            </w:pPr>
            <w:r>
              <w:rPr>
                <w:u w:val="single"/>
                <w:lang w:val="en-US"/>
              </w:rPr>
              <w:t>根据</w:t>
            </w:r>
            <w:r>
              <w:rPr>
                <w:rFonts w:hint="eastAsia" w:ascii="宋体" w:hAnsi="宋体" w:eastAsia="宋体" w:cs="宋体"/>
                <w:color w:val="000000"/>
                <w:kern w:val="0"/>
                <w:sz w:val="24"/>
                <w:szCs w:val="24"/>
                <w:u w:val="single"/>
                <w:lang w:val="en-US" w:eastAsia="zh-CN" w:bidi="ar"/>
              </w:rPr>
              <w:t>《危险废物名录》（</w:t>
            </w:r>
            <w:r>
              <w:rPr>
                <w:rFonts w:hint="default" w:ascii="Times New Roman" w:hAnsi="Times New Roman" w:eastAsia="宋体" w:cs="Times New Roman"/>
                <w:color w:val="000000"/>
                <w:kern w:val="0"/>
                <w:sz w:val="24"/>
                <w:szCs w:val="24"/>
                <w:u w:val="single"/>
                <w:lang w:val="en-US" w:eastAsia="zh-CN" w:bidi="ar"/>
              </w:rPr>
              <w:t>202</w:t>
            </w:r>
            <w:r>
              <w:rPr>
                <w:rFonts w:hint="eastAsia" w:ascii="Times New Roman" w:hAnsi="Times New Roman" w:eastAsia="宋体" w:cs="Times New Roman"/>
                <w:color w:val="000000"/>
                <w:kern w:val="0"/>
                <w:sz w:val="24"/>
                <w:szCs w:val="24"/>
                <w:u w:val="single"/>
                <w:lang w:val="en-US" w:eastAsia="zh-CN" w:bidi="ar"/>
              </w:rPr>
              <w:t>1</w:t>
            </w:r>
            <w:r>
              <w:rPr>
                <w:rFonts w:hint="eastAsia" w:ascii="宋体" w:hAnsi="宋体" w:eastAsia="宋体" w:cs="宋体"/>
                <w:color w:val="000000"/>
                <w:kern w:val="0"/>
                <w:sz w:val="24"/>
                <w:szCs w:val="24"/>
                <w:u w:val="single"/>
                <w:lang w:val="en-US" w:eastAsia="zh-CN" w:bidi="ar"/>
              </w:rPr>
              <w:t>年版）</w:t>
            </w:r>
            <w:r>
              <w:rPr>
                <w:u w:val="single"/>
                <w:lang w:val="en-US"/>
              </w:rPr>
              <w:t>，医疗废物包括感染性废物、损伤性废物、病理性废物、药物性废物和化学性废物，废物类别为HW01。本项目医疗废物主要包括被病人血液或人体体液污染的医疗材料、医疗仪器、废药品等。</w:t>
            </w:r>
          </w:p>
          <w:p>
            <w:pPr>
              <w:pStyle w:val="12"/>
              <w:bidi w:val="0"/>
              <w:rPr>
                <w:lang w:val="en-US"/>
              </w:rPr>
            </w:pPr>
            <w:r>
              <w:rPr>
                <w:lang w:val="en-US"/>
              </w:rPr>
              <w:t>A、感染性废物</w:t>
            </w:r>
          </w:p>
          <w:p>
            <w:pPr>
              <w:pStyle w:val="12"/>
              <w:bidi w:val="0"/>
              <w:rPr>
                <w:lang w:val="en-US"/>
              </w:rPr>
            </w:pPr>
            <w:r>
              <w:rPr>
                <w:lang w:val="en-US"/>
              </w:rPr>
              <w:t>病人产生废物属于感染性废物，废物类别为 HW01，废物代码</w:t>
            </w:r>
            <w:r>
              <w:rPr>
                <w:rFonts w:hint="eastAsia"/>
                <w:lang w:val="en-US" w:eastAsia="zh-CN"/>
              </w:rPr>
              <w:t>841-001-01</w:t>
            </w:r>
            <w:r>
              <w:rPr>
                <w:lang w:val="en-US"/>
              </w:rPr>
              <w:t>1，住院病人按0.1kg/床·d计（其中包含日常治疗产生的医疗垃圾），产生医疗废物</w:t>
            </w:r>
            <w:r>
              <w:rPr>
                <w:rFonts w:hint="eastAsia"/>
                <w:lang w:val="en-US" w:eastAsia="zh-CN"/>
              </w:rPr>
              <w:t>30</w:t>
            </w:r>
            <w:r>
              <w:rPr>
                <w:lang w:val="en-US"/>
              </w:rPr>
              <w:t>kg/d</w:t>
            </w:r>
            <w:r>
              <w:rPr>
                <w:rFonts w:hint="eastAsia"/>
                <w:lang w:val="en-US" w:eastAsia="zh-CN"/>
              </w:rPr>
              <w:t>；</w:t>
            </w:r>
            <w:r>
              <w:rPr>
                <w:lang w:val="en-US"/>
              </w:rPr>
              <w:t>门诊产生的废物按0.05kg/人·次计，产生医疗废物</w:t>
            </w:r>
            <w:r>
              <w:rPr>
                <w:rFonts w:hint="eastAsia"/>
                <w:lang w:val="en-US" w:eastAsia="zh-CN"/>
              </w:rPr>
              <w:t>25</w:t>
            </w:r>
            <w:r>
              <w:rPr>
                <w:lang w:val="en-US"/>
              </w:rPr>
              <w:t>kg/d。因此本工程产生的感染性废物总量为</w:t>
            </w:r>
            <w:r>
              <w:rPr>
                <w:rFonts w:hint="eastAsia"/>
                <w:lang w:val="en-US" w:eastAsia="zh-CN"/>
              </w:rPr>
              <w:t>55</w:t>
            </w:r>
            <w:r>
              <w:rPr>
                <w:lang w:val="en-US"/>
              </w:rPr>
              <w:t>kg/d（</w:t>
            </w:r>
            <w:r>
              <w:rPr>
                <w:rFonts w:hint="eastAsia"/>
                <w:lang w:val="en-US" w:eastAsia="zh-CN"/>
              </w:rPr>
              <w:t>20.075</w:t>
            </w:r>
            <w:r>
              <w:rPr>
                <w:lang w:val="en-US"/>
              </w:rPr>
              <w:t>t/a）。</w:t>
            </w:r>
          </w:p>
          <w:p>
            <w:pPr>
              <w:pStyle w:val="12"/>
              <w:bidi w:val="0"/>
              <w:rPr>
                <w:lang w:val="en-US"/>
              </w:rPr>
            </w:pPr>
            <w:r>
              <w:rPr>
                <w:lang w:val="en-US"/>
              </w:rPr>
              <w:t>B、损伤性废物</w:t>
            </w:r>
          </w:p>
          <w:p>
            <w:pPr>
              <w:pStyle w:val="12"/>
              <w:bidi w:val="0"/>
              <w:rPr>
                <w:lang w:val="en-US"/>
              </w:rPr>
            </w:pPr>
            <w:r>
              <w:rPr>
                <w:lang w:val="en-US"/>
              </w:rPr>
              <w:t>废弃的或一次性的注射器、针头、化验器皿、玻璃、药盒及其它可能引起切伤刺伤的器物，属于损伤性废物，废物类别为HW01，废物代码</w:t>
            </w:r>
            <w:r>
              <w:rPr>
                <w:rFonts w:hint="eastAsia"/>
                <w:lang w:val="en-US" w:eastAsia="zh-CN"/>
              </w:rPr>
              <w:t>8</w:t>
            </w:r>
            <w:r>
              <w:rPr>
                <w:rFonts w:hint="default"/>
                <w:lang w:val="en-US" w:eastAsia="zh-CN"/>
              </w:rPr>
              <w:t>41-002-01</w:t>
            </w:r>
            <w:r>
              <w:rPr>
                <w:lang w:val="en-US"/>
              </w:rPr>
              <w:t>，住院病人按每病床每日产生锐器0.1kg计（其中包含日常治疗产生的医疗垃圾），产生医疗废物</w:t>
            </w:r>
            <w:r>
              <w:rPr>
                <w:rFonts w:hint="eastAsia"/>
                <w:lang w:val="en-US" w:eastAsia="zh-CN"/>
              </w:rPr>
              <w:t>30</w:t>
            </w:r>
            <w:r>
              <w:rPr>
                <w:lang w:val="en-US"/>
              </w:rPr>
              <w:t>kg/d</w:t>
            </w:r>
            <w:r>
              <w:rPr>
                <w:rFonts w:hint="eastAsia"/>
                <w:lang w:val="en-US" w:eastAsia="zh-CN"/>
              </w:rPr>
              <w:t>；</w:t>
            </w:r>
            <w:r>
              <w:rPr>
                <w:lang w:val="en-US"/>
              </w:rPr>
              <w:t>门诊产生的锐器按每日每人次产生0.025kg计，产生医疗废物</w:t>
            </w:r>
            <w:r>
              <w:rPr>
                <w:rFonts w:hint="eastAsia"/>
                <w:lang w:val="en-US" w:eastAsia="zh-CN"/>
              </w:rPr>
              <w:t>12.5</w:t>
            </w:r>
            <w:r>
              <w:rPr>
                <w:lang w:val="en-US"/>
              </w:rPr>
              <w:t>kg/d。因此本项目产生的损伤性废物量为</w:t>
            </w:r>
            <w:r>
              <w:rPr>
                <w:rFonts w:hint="eastAsia"/>
                <w:lang w:val="en-US" w:eastAsia="zh-CN"/>
              </w:rPr>
              <w:t>42.5</w:t>
            </w:r>
            <w:r>
              <w:rPr>
                <w:lang w:val="en-US"/>
              </w:rPr>
              <w:t>kg/d（</w:t>
            </w:r>
            <w:r>
              <w:rPr>
                <w:rFonts w:hint="eastAsia"/>
                <w:lang w:val="en-US" w:eastAsia="zh-CN"/>
              </w:rPr>
              <w:t>15.513</w:t>
            </w:r>
            <w:r>
              <w:rPr>
                <w:lang w:val="en-US"/>
              </w:rPr>
              <w:t>t/a）。</w:t>
            </w:r>
          </w:p>
          <w:p>
            <w:pPr>
              <w:pStyle w:val="12"/>
              <w:bidi w:val="0"/>
              <w:rPr>
                <w:lang w:val="en-US"/>
              </w:rPr>
            </w:pPr>
            <w:r>
              <w:rPr>
                <w:lang w:val="en-US"/>
              </w:rPr>
              <w:t>C、病理性废物</w:t>
            </w:r>
          </w:p>
          <w:p>
            <w:pPr>
              <w:pStyle w:val="12"/>
              <w:bidi w:val="0"/>
              <w:rPr>
                <w:lang w:val="en-US"/>
              </w:rPr>
            </w:pPr>
            <w:r>
              <w:rPr>
                <w:lang w:val="en-US"/>
              </w:rPr>
              <w:t>病理性废物主要包括手术及其他诊疗过程病例切片后废弃的人体组织、病理蜡块等，属于医疗废物，废物类别为HW</w:t>
            </w:r>
            <w:r>
              <w:rPr>
                <w:rFonts w:hint="eastAsia"/>
                <w:lang w:val="en-US" w:eastAsia="zh-CN"/>
              </w:rPr>
              <w:t>01</w:t>
            </w:r>
            <w:r>
              <w:rPr>
                <w:lang w:val="en-US"/>
              </w:rPr>
              <w:t>，废物代码8</w:t>
            </w:r>
            <w:r>
              <w:rPr>
                <w:rFonts w:hint="eastAsia"/>
                <w:lang w:val="en-US" w:eastAsia="zh-CN"/>
              </w:rPr>
              <w:t>4</w:t>
            </w:r>
            <w:r>
              <w:rPr>
                <w:lang w:val="en-US"/>
              </w:rPr>
              <w:t>1-003-01。类比同规模医院现状产生量为</w:t>
            </w:r>
            <w:r>
              <w:rPr>
                <w:rFonts w:hint="eastAsia"/>
                <w:lang w:val="en-US" w:eastAsia="zh-CN"/>
              </w:rPr>
              <w:t>2</w:t>
            </w:r>
            <w:r>
              <w:rPr>
                <w:lang w:val="en-US"/>
              </w:rPr>
              <w:t>kg/d（</w:t>
            </w:r>
            <w:r>
              <w:rPr>
                <w:rFonts w:hint="eastAsia"/>
                <w:lang w:val="en-US" w:eastAsia="zh-CN"/>
              </w:rPr>
              <w:t>0.73</w:t>
            </w:r>
            <w:r>
              <w:rPr>
                <w:lang w:val="en-US"/>
              </w:rPr>
              <w:t>t/a）。</w:t>
            </w:r>
          </w:p>
          <w:p>
            <w:pPr>
              <w:pStyle w:val="12"/>
              <w:bidi w:val="0"/>
              <w:rPr>
                <w:lang w:val="en-US"/>
              </w:rPr>
            </w:pPr>
            <w:r>
              <w:rPr>
                <w:lang w:val="en-US"/>
              </w:rPr>
              <w:t>D、化学性废物</w:t>
            </w:r>
          </w:p>
          <w:p>
            <w:pPr>
              <w:pStyle w:val="12"/>
              <w:bidi w:val="0"/>
              <w:rPr>
                <w:lang w:val="en-US"/>
              </w:rPr>
            </w:pPr>
            <w:r>
              <w:rPr>
                <w:lang w:val="en-US"/>
              </w:rPr>
              <w:t>化学性废物主要包括废弃的化学消毒剂，废弃的汞血压计、汞温度计等，属于医疗废物，废物类别为HW01，废物代码8</w:t>
            </w:r>
            <w:r>
              <w:rPr>
                <w:rFonts w:hint="eastAsia"/>
                <w:lang w:val="en-US" w:eastAsia="zh-CN"/>
              </w:rPr>
              <w:t>4</w:t>
            </w:r>
            <w:r>
              <w:rPr>
                <w:lang w:val="en-US"/>
              </w:rPr>
              <w:t>1-004-01。类比同规模综合性医院现状产生量为产生量约为</w:t>
            </w:r>
            <w:r>
              <w:rPr>
                <w:rFonts w:hint="eastAsia"/>
                <w:lang w:val="en-US" w:eastAsia="zh-CN"/>
              </w:rPr>
              <w:t>0.2</w:t>
            </w:r>
            <w:r>
              <w:rPr>
                <w:lang w:val="en-US"/>
              </w:rPr>
              <w:t>kg/d（</w:t>
            </w:r>
            <w:r>
              <w:rPr>
                <w:rFonts w:hint="eastAsia"/>
                <w:lang w:val="en-US" w:eastAsia="zh-CN"/>
              </w:rPr>
              <w:t>0.073</w:t>
            </w:r>
            <w:r>
              <w:rPr>
                <w:lang w:val="en-US"/>
              </w:rPr>
              <w:t>t/a）。</w:t>
            </w:r>
          </w:p>
          <w:p>
            <w:pPr>
              <w:pStyle w:val="12"/>
              <w:bidi w:val="0"/>
              <w:rPr>
                <w:lang w:val="en-US"/>
              </w:rPr>
            </w:pPr>
            <w:r>
              <w:rPr>
                <w:lang w:val="en-US"/>
              </w:rPr>
              <w:t>E、药物性废物</w:t>
            </w:r>
          </w:p>
          <w:p>
            <w:pPr>
              <w:pStyle w:val="12"/>
              <w:bidi w:val="0"/>
              <w:rPr>
                <w:lang w:val="en-US"/>
              </w:rPr>
            </w:pPr>
            <w:r>
              <w:rPr>
                <w:lang w:val="en-US"/>
              </w:rPr>
              <w:t>药物性废物主要是医院过期的、废弃的药品、疫苗、从病房处退回的药品和淘汰的药物等，属于医疗废物，废物类别为HW</w:t>
            </w:r>
            <w:r>
              <w:rPr>
                <w:rFonts w:hint="eastAsia"/>
                <w:lang w:val="en-US" w:eastAsia="zh-CN"/>
              </w:rPr>
              <w:t>01</w:t>
            </w:r>
            <w:r>
              <w:rPr>
                <w:lang w:val="en-US"/>
              </w:rPr>
              <w:t>，废物代码8</w:t>
            </w:r>
            <w:r>
              <w:rPr>
                <w:rFonts w:hint="eastAsia"/>
                <w:lang w:val="en-US" w:eastAsia="zh-CN"/>
              </w:rPr>
              <w:t>4</w:t>
            </w:r>
            <w:r>
              <w:rPr>
                <w:lang w:val="en-US"/>
              </w:rPr>
              <w:t>1-005-01。类比同规模医院现状产生量为0.</w:t>
            </w:r>
            <w:r>
              <w:rPr>
                <w:rFonts w:hint="eastAsia"/>
                <w:lang w:val="en-US" w:eastAsia="zh-CN"/>
              </w:rPr>
              <w:t>2</w:t>
            </w:r>
            <w:r>
              <w:rPr>
                <w:lang w:val="en-US"/>
              </w:rPr>
              <w:t>kg/d（0.073t/a）。</w:t>
            </w:r>
          </w:p>
          <w:p>
            <w:pPr>
              <w:pStyle w:val="12"/>
              <w:bidi w:val="0"/>
              <w:rPr>
                <w:lang w:val="en-US"/>
              </w:rPr>
            </w:pPr>
            <w:r>
              <w:rPr>
                <w:lang w:val="en-US"/>
              </w:rPr>
              <w:t>拟建项目医疗废物总产生量为</w:t>
            </w:r>
            <w:r>
              <w:rPr>
                <w:rFonts w:hint="eastAsia"/>
                <w:lang w:val="en-US" w:eastAsia="zh-CN"/>
              </w:rPr>
              <w:t>99.9</w:t>
            </w:r>
            <w:r>
              <w:rPr>
                <w:lang w:val="en-US"/>
              </w:rPr>
              <w:t>kg/d（</w:t>
            </w:r>
            <w:r>
              <w:rPr>
                <w:rFonts w:hint="eastAsia"/>
                <w:lang w:val="en-US" w:eastAsia="zh-CN"/>
              </w:rPr>
              <w:t>36.464</w:t>
            </w:r>
            <w:r>
              <w:rPr>
                <w:lang w:val="en-US"/>
              </w:rPr>
              <w:t>t/a）。</w:t>
            </w:r>
          </w:p>
          <w:p>
            <w:pPr>
              <w:pStyle w:val="12"/>
              <w:bidi w:val="0"/>
            </w:pPr>
            <w:r>
              <w:rPr>
                <w:lang w:val="zh-CN"/>
              </w:rPr>
              <w:t>医疗废物往往还带有大量病毒、细菌，具有较高的感染性，属于《国家危险废物名录》（</w:t>
            </w:r>
            <w:r>
              <w:t>2021年版</w:t>
            </w:r>
            <w:r>
              <w:rPr>
                <w:lang w:val="zh-CN"/>
              </w:rPr>
              <w:t>）中的HW01类医疗废物，医院各科室配置专用的废物转运箱，所产生的废物由各科室的专人分类打包收集至医疗固废暂存间，并在固废暂存间处设置台账系统，存放后实行称量、登记制，设置两名专人在医疗暂存间对内部交接和外部交接方面等实行专项管理，定期交由</w:t>
            </w:r>
            <w:r>
              <w:rPr>
                <w:rFonts w:hint="eastAsia"/>
                <w:lang w:val="zh-CN"/>
              </w:rPr>
              <w:t>有资质单位处置</w:t>
            </w:r>
            <w:r>
              <w:rPr>
                <w:lang w:val="zh-CN"/>
              </w:rPr>
              <w:t>，并由处置单位医疗废物运送人员和医疗卫生机构医疗废物管理人员交接时共同填写《危险废物转移联单》，同时由医疗机构和处置单位分别保存。</w:t>
            </w:r>
          </w:p>
          <w:p>
            <w:pPr>
              <w:pStyle w:val="12"/>
              <w:bidi w:val="0"/>
            </w:pPr>
            <w:r>
              <w:t>（</w:t>
            </w:r>
            <w:r>
              <w:rPr>
                <w:rFonts w:hint="eastAsia"/>
                <w:lang w:val="en-US" w:eastAsia="zh-CN"/>
              </w:rPr>
              <w:t>5</w:t>
            </w:r>
            <w:r>
              <w:t>）污泥</w:t>
            </w:r>
          </w:p>
          <w:p>
            <w:pPr>
              <w:pStyle w:val="12"/>
              <w:bidi w:val="0"/>
            </w:pPr>
            <w:r>
              <w:t>污水处理设施产生的污泥，其产率按1kgCOD产0.5kg污泥计算，项目</w:t>
            </w:r>
            <w:r>
              <w:rPr>
                <w:rFonts w:hint="eastAsia"/>
                <w:lang w:val="en-US" w:eastAsia="zh-CN"/>
              </w:rPr>
              <w:t>污水站</w:t>
            </w:r>
            <w:r>
              <w:t>去除COD约</w:t>
            </w:r>
            <w:r>
              <w:rPr>
                <w:rFonts w:hint="eastAsia"/>
                <w:lang w:val="en-US" w:eastAsia="zh-CN"/>
              </w:rPr>
              <w:t>2.56</w:t>
            </w:r>
            <w:r>
              <w:t>t/a，则本项目污泥产生量约</w:t>
            </w:r>
            <w:r>
              <w:rPr>
                <w:rFonts w:hint="eastAsia"/>
                <w:lang w:val="en-US" w:eastAsia="zh-CN"/>
              </w:rPr>
              <w:t>1.28</w:t>
            </w:r>
            <w:r>
              <w:t xml:space="preserve">t/a。 </w:t>
            </w:r>
          </w:p>
          <w:p>
            <w:pPr>
              <w:pStyle w:val="12"/>
              <w:bidi w:val="0"/>
            </w:pPr>
            <w:r>
              <w:t>根据《医疗机构水污染物排放标准》（GB18466-2005）中4.3.1条</w:t>
            </w:r>
            <w:r>
              <w:rPr>
                <w:rFonts w:hint="eastAsia"/>
              </w:rPr>
              <w:t>“</w:t>
            </w:r>
            <w:r>
              <w:t>栅渣、化粪池和污水处理设施污泥属危险废物，应按危险废物进行处理和处置</w:t>
            </w:r>
            <w:r>
              <w:rPr>
                <w:rFonts w:hint="eastAsia"/>
              </w:rPr>
              <w:t>”</w:t>
            </w:r>
            <w:r>
              <w:t>，4.3.2条</w:t>
            </w:r>
            <w:r>
              <w:rPr>
                <w:rFonts w:hint="eastAsia"/>
              </w:rPr>
              <w:t>“</w:t>
            </w:r>
            <w:r>
              <w:t>污泥清淘前应进行监测，达到表4要求</w:t>
            </w:r>
            <w:r>
              <w:rPr>
                <w:rFonts w:hint="eastAsia"/>
              </w:rPr>
              <w:t>”</w:t>
            </w:r>
            <w:r>
              <w:t>，污水处理设施污泥属于（HW</w:t>
            </w:r>
            <w:r>
              <w:rPr>
                <w:rFonts w:hint="eastAsia"/>
                <w:lang w:val="en-US" w:eastAsia="zh-CN"/>
              </w:rPr>
              <w:t>01</w:t>
            </w:r>
            <w:r>
              <w:t>）类危险废弃物，污泥进行清淘前应交由有资质单位进行监测，污泥满足《医疗机构水污染物排放标准》（GB18466-2005）中表4限值要求后</w:t>
            </w:r>
            <w:r>
              <w:rPr>
                <w:rFonts w:hint="eastAsia"/>
                <w:lang w:val="en-US" w:eastAsia="zh-CN"/>
              </w:rPr>
              <w:t>交资质单位处理</w:t>
            </w:r>
            <w:r>
              <w:t>，本</w:t>
            </w:r>
            <w:r>
              <w:rPr>
                <w:rFonts w:hint="eastAsia"/>
                <w:lang w:val="en-US" w:eastAsia="zh-CN"/>
              </w:rPr>
              <w:t>项目</w:t>
            </w:r>
            <w:r>
              <w:rPr>
                <w:rFonts w:hint="default"/>
                <w:lang w:val="zh-CN"/>
              </w:rPr>
              <w:t>污泥</w:t>
            </w:r>
            <w:r>
              <w:rPr>
                <w:rFonts w:hint="eastAsia"/>
                <w:lang w:val="en-US" w:eastAsia="zh-CN"/>
              </w:rPr>
              <w:t>通过污泥泵吸取收集，</w:t>
            </w:r>
            <w:r>
              <w:rPr>
                <w:rFonts w:hint="default"/>
                <w:lang w:val="zh-CN"/>
              </w:rPr>
              <w:t>采用石灰消毒灭菌</w:t>
            </w:r>
            <w:r>
              <w:rPr>
                <w:rFonts w:hint="eastAsia"/>
                <w:lang w:val="en-US" w:eastAsia="zh-CN"/>
              </w:rPr>
              <w:t>后直接</w:t>
            </w:r>
            <w:r>
              <w:t>交由</w:t>
            </w:r>
            <w:r>
              <w:rPr>
                <w:rFonts w:hint="eastAsia"/>
                <w:lang w:eastAsia="zh-CN"/>
              </w:rPr>
              <w:t>有资质单位</w:t>
            </w:r>
            <w:r>
              <w:t>处置</w:t>
            </w:r>
            <w:r>
              <w:rPr>
                <w:rFonts w:hint="eastAsia"/>
                <w:lang w:eastAsia="zh-CN"/>
              </w:rPr>
              <w:t>，</w:t>
            </w:r>
            <w:r>
              <w:rPr>
                <w:rFonts w:hint="eastAsia"/>
                <w:lang w:val="en-US" w:eastAsia="zh-CN"/>
              </w:rPr>
              <w:t>不在医院暂存</w:t>
            </w:r>
            <w:r>
              <w:t>。</w:t>
            </w:r>
          </w:p>
          <w:p>
            <w:pPr>
              <w:pStyle w:val="12"/>
              <w:bidi w:val="0"/>
              <w:rPr>
                <w:lang w:val="en-US" w:eastAsia="zh-CN"/>
              </w:rPr>
            </w:pPr>
            <w:r>
              <w:rPr>
                <w:lang w:val="en-US" w:eastAsia="zh-CN"/>
              </w:rPr>
              <w:t>本项目营运期产生的固体废物产生及处置情况详见</w:t>
            </w:r>
            <w:r>
              <w:rPr>
                <w:rFonts w:hint="eastAsia"/>
                <w:lang w:val="en-US" w:eastAsia="zh-CN"/>
              </w:rPr>
              <w:t>下</w:t>
            </w:r>
            <w:r>
              <w:rPr>
                <w:lang w:val="en-US" w:eastAsia="zh-CN"/>
              </w:rPr>
              <w:t>表。</w:t>
            </w:r>
          </w:p>
          <w:p>
            <w:pPr>
              <w:pStyle w:val="29"/>
              <w:bidi w:val="0"/>
            </w:pPr>
            <w:r>
              <w:t>表</w:t>
            </w:r>
            <w:r>
              <w:rPr>
                <w:rFonts w:hint="eastAsia"/>
                <w:lang w:val="en-US" w:eastAsia="zh-CN"/>
              </w:rPr>
              <w:t>4.2-20</w:t>
            </w:r>
            <w:r>
              <w:t xml:space="preserve">  全院固废废弃物排放及处置情况</w:t>
            </w:r>
          </w:p>
          <w:tbl>
            <w:tblPr>
              <w:tblStyle w:val="27"/>
              <w:tblW w:w="867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14"/>
              <w:gridCol w:w="1366"/>
              <w:gridCol w:w="1145"/>
              <w:gridCol w:w="1992"/>
              <w:gridCol w:w="682"/>
              <w:gridCol w:w="920"/>
              <w:gridCol w:w="205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14" w:type="dxa"/>
                  <w:noWrap w:val="0"/>
                  <w:vAlign w:val="center"/>
                </w:tcPr>
                <w:p>
                  <w:pPr>
                    <w:pStyle w:val="30"/>
                    <w:bidi w:val="0"/>
                  </w:pPr>
                  <w:r>
                    <w:t>序号</w:t>
                  </w:r>
                </w:p>
              </w:tc>
              <w:tc>
                <w:tcPr>
                  <w:tcW w:w="1366" w:type="dxa"/>
                  <w:noWrap w:val="0"/>
                  <w:vAlign w:val="center"/>
                </w:tcPr>
                <w:p>
                  <w:pPr>
                    <w:pStyle w:val="30"/>
                    <w:bidi w:val="0"/>
                  </w:pPr>
                  <w:r>
                    <w:t>名称</w:t>
                  </w:r>
                </w:p>
              </w:tc>
              <w:tc>
                <w:tcPr>
                  <w:tcW w:w="1145" w:type="dxa"/>
                  <w:noWrap w:val="0"/>
                  <w:vAlign w:val="center"/>
                </w:tcPr>
                <w:p>
                  <w:pPr>
                    <w:pStyle w:val="30"/>
                    <w:bidi w:val="0"/>
                  </w:pPr>
                  <w:r>
                    <w:t>废物类别</w:t>
                  </w:r>
                </w:p>
              </w:tc>
              <w:tc>
                <w:tcPr>
                  <w:tcW w:w="1992" w:type="dxa"/>
                  <w:noWrap w:val="0"/>
                  <w:vAlign w:val="center"/>
                </w:tcPr>
                <w:p>
                  <w:pPr>
                    <w:pStyle w:val="30"/>
                    <w:bidi w:val="0"/>
                  </w:pPr>
                  <w:r>
                    <w:t>废物代码</w:t>
                  </w:r>
                </w:p>
              </w:tc>
              <w:tc>
                <w:tcPr>
                  <w:tcW w:w="682" w:type="dxa"/>
                  <w:noWrap w:val="0"/>
                  <w:vAlign w:val="center"/>
                </w:tcPr>
                <w:p>
                  <w:pPr>
                    <w:pStyle w:val="30"/>
                    <w:bidi w:val="0"/>
                  </w:pPr>
                  <w:r>
                    <w:t>性状</w:t>
                  </w:r>
                </w:p>
              </w:tc>
              <w:tc>
                <w:tcPr>
                  <w:tcW w:w="920" w:type="dxa"/>
                  <w:noWrap w:val="0"/>
                  <w:vAlign w:val="center"/>
                </w:tcPr>
                <w:p>
                  <w:pPr>
                    <w:pStyle w:val="30"/>
                    <w:bidi w:val="0"/>
                  </w:pPr>
                  <w:r>
                    <w:t>产生量</w:t>
                  </w:r>
                </w:p>
                <w:p>
                  <w:pPr>
                    <w:pStyle w:val="30"/>
                    <w:bidi w:val="0"/>
                  </w:pPr>
                  <w:r>
                    <w:t>（t/a）</w:t>
                  </w:r>
                </w:p>
              </w:tc>
              <w:tc>
                <w:tcPr>
                  <w:tcW w:w="2052" w:type="dxa"/>
                  <w:noWrap w:val="0"/>
                  <w:vAlign w:val="center"/>
                </w:tcPr>
                <w:p>
                  <w:pPr>
                    <w:pStyle w:val="30"/>
                    <w:bidi w:val="0"/>
                  </w:pPr>
                  <w:r>
                    <w:t>处置方式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14" w:type="dxa"/>
                  <w:noWrap w:val="0"/>
                  <w:vAlign w:val="center"/>
                </w:tcPr>
                <w:p>
                  <w:pPr>
                    <w:pStyle w:val="30"/>
                    <w:bidi w:val="0"/>
                  </w:pPr>
                  <w:r>
                    <w:t>1</w:t>
                  </w:r>
                </w:p>
              </w:tc>
              <w:tc>
                <w:tcPr>
                  <w:tcW w:w="1366" w:type="dxa"/>
                  <w:noWrap w:val="0"/>
                  <w:vAlign w:val="center"/>
                </w:tcPr>
                <w:p>
                  <w:pPr>
                    <w:pStyle w:val="30"/>
                    <w:bidi w:val="0"/>
                  </w:pPr>
                  <w:r>
                    <w:t>包装废物</w:t>
                  </w:r>
                </w:p>
              </w:tc>
              <w:tc>
                <w:tcPr>
                  <w:tcW w:w="1145" w:type="dxa"/>
                  <w:noWrap w:val="0"/>
                  <w:vAlign w:val="center"/>
                </w:tcPr>
                <w:p>
                  <w:pPr>
                    <w:pStyle w:val="30"/>
                    <w:bidi w:val="0"/>
                    <w:rPr>
                      <w:rFonts w:hint="eastAsia"/>
                      <w:lang w:val="en-US" w:eastAsia="zh-CN"/>
                    </w:rPr>
                  </w:pPr>
                  <w:r>
                    <w:rPr>
                      <w:rFonts w:hint="eastAsia"/>
                      <w:lang w:val="en-US" w:eastAsia="zh-CN"/>
                    </w:rPr>
                    <w:t>一般固废</w:t>
                  </w:r>
                </w:p>
              </w:tc>
              <w:tc>
                <w:tcPr>
                  <w:tcW w:w="1992" w:type="dxa"/>
                  <w:noWrap w:val="0"/>
                  <w:vAlign w:val="center"/>
                </w:tcPr>
                <w:p>
                  <w:pPr>
                    <w:pStyle w:val="30"/>
                    <w:bidi w:val="0"/>
                    <w:rPr>
                      <w:rFonts w:hint="default"/>
                      <w:lang w:val="en-US" w:eastAsia="zh-CN"/>
                    </w:rPr>
                  </w:pPr>
                  <w:r>
                    <w:rPr>
                      <w:rFonts w:hint="eastAsia"/>
                      <w:lang w:val="en-US" w:eastAsia="zh-CN"/>
                    </w:rPr>
                    <w:t>/</w:t>
                  </w:r>
                </w:p>
              </w:tc>
              <w:tc>
                <w:tcPr>
                  <w:tcW w:w="682" w:type="dxa"/>
                  <w:noWrap w:val="0"/>
                  <w:vAlign w:val="center"/>
                </w:tcPr>
                <w:p>
                  <w:pPr>
                    <w:pStyle w:val="30"/>
                    <w:bidi w:val="0"/>
                  </w:pPr>
                  <w:r>
                    <w:t>固状</w:t>
                  </w:r>
                </w:p>
              </w:tc>
              <w:tc>
                <w:tcPr>
                  <w:tcW w:w="920" w:type="dxa"/>
                  <w:noWrap w:val="0"/>
                  <w:vAlign w:val="center"/>
                </w:tcPr>
                <w:p>
                  <w:pPr>
                    <w:pStyle w:val="30"/>
                    <w:bidi w:val="0"/>
                    <w:rPr>
                      <w:rFonts w:hint="default"/>
                      <w:lang w:val="en-US" w:eastAsia="zh-CN"/>
                    </w:rPr>
                  </w:pPr>
                  <w:r>
                    <w:rPr>
                      <w:rFonts w:hint="eastAsia"/>
                      <w:lang w:val="en-US" w:eastAsia="zh-CN"/>
                    </w:rPr>
                    <w:t>3.6</w:t>
                  </w:r>
                </w:p>
              </w:tc>
              <w:tc>
                <w:tcPr>
                  <w:tcW w:w="2052" w:type="dxa"/>
                  <w:noWrap w:val="0"/>
                  <w:vAlign w:val="center"/>
                </w:tcPr>
                <w:p>
                  <w:pPr>
                    <w:pStyle w:val="30"/>
                    <w:bidi w:val="0"/>
                  </w:pPr>
                  <w:r>
                    <w:t>收集后外售处理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14" w:type="dxa"/>
                  <w:noWrap w:val="0"/>
                  <w:vAlign w:val="center"/>
                </w:tcPr>
                <w:p>
                  <w:pPr>
                    <w:pStyle w:val="30"/>
                    <w:bidi w:val="0"/>
                  </w:pPr>
                  <w:r>
                    <w:t>2</w:t>
                  </w:r>
                </w:p>
              </w:tc>
              <w:tc>
                <w:tcPr>
                  <w:tcW w:w="1366" w:type="dxa"/>
                  <w:noWrap w:val="0"/>
                  <w:vAlign w:val="center"/>
                </w:tcPr>
                <w:p>
                  <w:pPr>
                    <w:pStyle w:val="30"/>
                    <w:bidi w:val="0"/>
                  </w:pPr>
                  <w:r>
                    <w:t>生活垃圾</w:t>
                  </w:r>
                </w:p>
              </w:tc>
              <w:tc>
                <w:tcPr>
                  <w:tcW w:w="1145" w:type="dxa"/>
                  <w:noWrap w:val="0"/>
                  <w:vAlign w:val="center"/>
                </w:tcPr>
                <w:p>
                  <w:pPr>
                    <w:pStyle w:val="30"/>
                    <w:bidi w:val="0"/>
                  </w:pPr>
                  <w:r>
                    <w:t>生活垃圾</w:t>
                  </w:r>
                </w:p>
              </w:tc>
              <w:tc>
                <w:tcPr>
                  <w:tcW w:w="1992" w:type="dxa"/>
                  <w:noWrap w:val="0"/>
                  <w:vAlign w:val="center"/>
                </w:tcPr>
                <w:p>
                  <w:pPr>
                    <w:pStyle w:val="30"/>
                    <w:bidi w:val="0"/>
                  </w:pPr>
                  <w:r>
                    <w:t>/</w:t>
                  </w:r>
                </w:p>
              </w:tc>
              <w:tc>
                <w:tcPr>
                  <w:tcW w:w="682" w:type="dxa"/>
                  <w:noWrap w:val="0"/>
                  <w:vAlign w:val="center"/>
                </w:tcPr>
                <w:p>
                  <w:pPr>
                    <w:pStyle w:val="30"/>
                    <w:bidi w:val="0"/>
                  </w:pPr>
                  <w:r>
                    <w:t>固状</w:t>
                  </w:r>
                </w:p>
              </w:tc>
              <w:tc>
                <w:tcPr>
                  <w:tcW w:w="920" w:type="dxa"/>
                  <w:tcBorders>
                    <w:bottom w:val="single" w:color="auto" w:sz="4" w:space="0"/>
                  </w:tcBorders>
                  <w:noWrap w:val="0"/>
                  <w:vAlign w:val="center"/>
                </w:tcPr>
                <w:p>
                  <w:pPr>
                    <w:pStyle w:val="30"/>
                    <w:bidi w:val="0"/>
                    <w:rPr>
                      <w:rFonts w:hint="default"/>
                      <w:lang w:val="en-US" w:eastAsia="zh-CN"/>
                    </w:rPr>
                  </w:pPr>
                  <w:r>
                    <w:rPr>
                      <w:rFonts w:hint="eastAsia"/>
                      <w:lang w:val="en-US" w:eastAsia="zh-CN"/>
                    </w:rPr>
                    <w:t>419.75</w:t>
                  </w:r>
                </w:p>
              </w:tc>
              <w:tc>
                <w:tcPr>
                  <w:tcW w:w="2052" w:type="dxa"/>
                  <w:tcBorders>
                    <w:bottom w:val="single" w:color="auto" w:sz="4" w:space="0"/>
                  </w:tcBorders>
                  <w:noWrap w:val="0"/>
                  <w:vAlign w:val="center"/>
                </w:tcPr>
                <w:p>
                  <w:pPr>
                    <w:pStyle w:val="30"/>
                    <w:bidi w:val="0"/>
                    <w:rPr>
                      <w:rFonts w:hint="eastAsia" w:eastAsia="宋体"/>
                      <w:lang w:val="en-US" w:eastAsia="zh-CN"/>
                    </w:rPr>
                  </w:pPr>
                  <w:r>
                    <w:t>收集后交由环卫部门进行</w:t>
                  </w:r>
                  <w:r>
                    <w:rPr>
                      <w:rFonts w:hint="eastAsia"/>
                      <w:lang w:eastAsia="zh-CN"/>
                    </w:rPr>
                    <w:t>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14" w:type="dxa"/>
                  <w:shd w:val="clear" w:color="auto" w:fill="auto"/>
                  <w:noWrap w:val="0"/>
                  <w:vAlign w:val="center"/>
                </w:tcPr>
                <w:p>
                  <w:pPr>
                    <w:pStyle w:val="30"/>
                    <w:bidi w:val="0"/>
                    <w:rPr>
                      <w:rFonts w:ascii="Times New Roman" w:hAnsi="Times New Roman" w:eastAsia="宋体" w:cstheme="minorBidi"/>
                      <w:snapToGrid w:val="0"/>
                      <w:spacing w:val="6"/>
                      <w:kern w:val="2"/>
                      <w:sz w:val="21"/>
                      <w:szCs w:val="21"/>
                      <w:lang w:val="en-US" w:eastAsia="zh-CN" w:bidi="ar-SA"/>
                    </w:rPr>
                  </w:pPr>
                  <w:r>
                    <w:t>3</w:t>
                  </w:r>
                </w:p>
              </w:tc>
              <w:tc>
                <w:tcPr>
                  <w:tcW w:w="1366" w:type="dxa"/>
                  <w:noWrap w:val="0"/>
                  <w:vAlign w:val="center"/>
                </w:tcPr>
                <w:p>
                  <w:pPr>
                    <w:pStyle w:val="30"/>
                    <w:bidi w:val="0"/>
                  </w:pPr>
                  <w:r>
                    <w:rPr>
                      <w:rFonts w:hint="eastAsia"/>
                      <w:lang w:val="en-US" w:eastAsia="zh-CN"/>
                    </w:rPr>
                    <w:t>中药渣</w:t>
                  </w:r>
                </w:p>
              </w:tc>
              <w:tc>
                <w:tcPr>
                  <w:tcW w:w="1145" w:type="dxa"/>
                  <w:noWrap w:val="0"/>
                  <w:vAlign w:val="center"/>
                </w:tcPr>
                <w:p>
                  <w:pPr>
                    <w:pStyle w:val="30"/>
                    <w:bidi w:val="0"/>
                  </w:pPr>
                  <w:r>
                    <w:rPr>
                      <w:rFonts w:hint="eastAsia"/>
                      <w:lang w:val="en-US" w:eastAsia="zh-CN"/>
                    </w:rPr>
                    <w:t>一般固废</w:t>
                  </w:r>
                </w:p>
              </w:tc>
              <w:tc>
                <w:tcPr>
                  <w:tcW w:w="1992" w:type="dxa"/>
                  <w:noWrap w:val="0"/>
                  <w:vAlign w:val="center"/>
                </w:tcPr>
                <w:p>
                  <w:pPr>
                    <w:pStyle w:val="30"/>
                    <w:bidi w:val="0"/>
                    <w:rPr>
                      <w:rFonts w:hint="eastAsia" w:eastAsia="宋体"/>
                      <w:lang w:val="en-US" w:eastAsia="zh-CN"/>
                    </w:rPr>
                  </w:pPr>
                  <w:r>
                    <w:rPr>
                      <w:rFonts w:hint="eastAsia"/>
                      <w:lang w:val="en-US" w:eastAsia="zh-CN"/>
                    </w:rPr>
                    <w:t>/</w:t>
                  </w:r>
                </w:p>
              </w:tc>
              <w:tc>
                <w:tcPr>
                  <w:tcW w:w="682" w:type="dxa"/>
                  <w:noWrap w:val="0"/>
                  <w:vAlign w:val="center"/>
                </w:tcPr>
                <w:p>
                  <w:pPr>
                    <w:pStyle w:val="30"/>
                    <w:bidi w:val="0"/>
                  </w:pPr>
                  <w:r>
                    <w:t>固状</w:t>
                  </w:r>
                </w:p>
              </w:tc>
              <w:tc>
                <w:tcPr>
                  <w:tcW w:w="920" w:type="dxa"/>
                  <w:tcBorders>
                    <w:top w:val="single" w:color="auto" w:sz="4" w:space="0"/>
                  </w:tcBorders>
                  <w:noWrap w:val="0"/>
                  <w:vAlign w:val="center"/>
                </w:tcPr>
                <w:p>
                  <w:pPr>
                    <w:pStyle w:val="30"/>
                    <w:bidi w:val="0"/>
                    <w:rPr>
                      <w:rFonts w:hint="default"/>
                      <w:lang w:val="en-US" w:eastAsia="zh-CN"/>
                    </w:rPr>
                  </w:pPr>
                  <w:r>
                    <w:rPr>
                      <w:rFonts w:hint="eastAsia"/>
                      <w:lang w:val="en-US" w:eastAsia="zh-CN"/>
                    </w:rPr>
                    <w:t>10.95</w:t>
                  </w:r>
                </w:p>
              </w:tc>
              <w:tc>
                <w:tcPr>
                  <w:tcW w:w="2052" w:type="dxa"/>
                  <w:tcBorders>
                    <w:top w:val="single" w:color="auto" w:sz="4" w:space="0"/>
                  </w:tcBorders>
                  <w:noWrap w:val="0"/>
                  <w:vAlign w:val="center"/>
                </w:tcPr>
                <w:p>
                  <w:pPr>
                    <w:pStyle w:val="30"/>
                    <w:bidi w:val="0"/>
                  </w:pPr>
                  <w:r>
                    <w:t>收集后交</w:t>
                  </w:r>
                  <w:r>
                    <w:rPr>
                      <w:rFonts w:hint="eastAsia"/>
                      <w:lang w:eastAsia="zh-CN"/>
                    </w:rPr>
                    <w:t>专门机构处理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14" w:type="dxa"/>
                  <w:shd w:val="clear" w:color="auto" w:fill="auto"/>
                  <w:noWrap w:val="0"/>
                  <w:vAlign w:val="center"/>
                </w:tcPr>
                <w:p>
                  <w:pPr>
                    <w:pStyle w:val="30"/>
                    <w:bidi w:val="0"/>
                    <w:rPr>
                      <w:rFonts w:hint="eastAsia" w:ascii="Times New Roman" w:hAnsi="Times New Roman" w:eastAsia="宋体" w:cstheme="minorBidi"/>
                      <w:snapToGrid w:val="0"/>
                      <w:spacing w:val="6"/>
                      <w:kern w:val="2"/>
                      <w:sz w:val="21"/>
                      <w:szCs w:val="21"/>
                      <w:lang w:val="en-US" w:eastAsia="zh-CN" w:bidi="ar-SA"/>
                    </w:rPr>
                  </w:pPr>
                  <w:r>
                    <w:rPr>
                      <w:rFonts w:hint="eastAsia"/>
                      <w:lang w:val="en-US" w:eastAsia="zh-CN"/>
                    </w:rPr>
                    <w:t>4</w:t>
                  </w:r>
                </w:p>
              </w:tc>
              <w:tc>
                <w:tcPr>
                  <w:tcW w:w="1366" w:type="dxa"/>
                  <w:noWrap w:val="0"/>
                  <w:vAlign w:val="center"/>
                </w:tcPr>
                <w:p>
                  <w:pPr>
                    <w:pStyle w:val="30"/>
                    <w:bidi w:val="0"/>
                  </w:pPr>
                  <w:r>
                    <w:t>医疗废物</w:t>
                  </w:r>
                </w:p>
              </w:tc>
              <w:tc>
                <w:tcPr>
                  <w:tcW w:w="1145" w:type="dxa"/>
                  <w:noWrap w:val="0"/>
                  <w:vAlign w:val="center"/>
                </w:tcPr>
                <w:p>
                  <w:pPr>
                    <w:pStyle w:val="30"/>
                    <w:bidi w:val="0"/>
                  </w:pPr>
                  <w:r>
                    <w:t>危险废物</w:t>
                  </w:r>
                </w:p>
              </w:tc>
              <w:tc>
                <w:tcPr>
                  <w:tcW w:w="1992" w:type="dxa"/>
                  <w:noWrap w:val="0"/>
                  <w:vAlign w:val="center"/>
                </w:tcPr>
                <w:p>
                  <w:pPr>
                    <w:pStyle w:val="30"/>
                    <w:bidi w:val="0"/>
                    <w:rPr>
                      <w:rFonts w:hint="default"/>
                      <w:lang w:val="en-US" w:eastAsia="zh-CN"/>
                    </w:rPr>
                  </w:pPr>
                  <w:r>
                    <w:rPr>
                      <w:rFonts w:hint="eastAsia"/>
                      <w:lang w:val="en-US" w:eastAsia="zh-CN"/>
                    </w:rPr>
                    <w:t>841-（001~005）-01</w:t>
                  </w:r>
                </w:p>
              </w:tc>
              <w:tc>
                <w:tcPr>
                  <w:tcW w:w="682" w:type="dxa"/>
                  <w:noWrap w:val="0"/>
                  <w:vAlign w:val="center"/>
                </w:tcPr>
                <w:p>
                  <w:pPr>
                    <w:pStyle w:val="30"/>
                    <w:bidi w:val="0"/>
                  </w:pPr>
                  <w:r>
                    <w:t>固状</w:t>
                  </w:r>
                </w:p>
              </w:tc>
              <w:tc>
                <w:tcPr>
                  <w:tcW w:w="920" w:type="dxa"/>
                  <w:noWrap w:val="0"/>
                  <w:vAlign w:val="center"/>
                </w:tcPr>
                <w:p>
                  <w:pPr>
                    <w:pStyle w:val="30"/>
                    <w:bidi w:val="0"/>
                    <w:rPr>
                      <w:rFonts w:hint="default"/>
                      <w:lang w:val="en-US" w:eastAsia="zh-CN"/>
                    </w:rPr>
                  </w:pPr>
                  <w:r>
                    <w:rPr>
                      <w:rFonts w:hint="eastAsia"/>
                      <w:lang w:val="en-US" w:eastAsia="zh-CN"/>
                    </w:rPr>
                    <w:t>36.464</w:t>
                  </w:r>
                </w:p>
              </w:tc>
              <w:tc>
                <w:tcPr>
                  <w:tcW w:w="2052" w:type="dxa"/>
                  <w:vMerge w:val="restart"/>
                  <w:noWrap w:val="0"/>
                  <w:vAlign w:val="center"/>
                </w:tcPr>
                <w:p>
                  <w:pPr>
                    <w:pStyle w:val="30"/>
                    <w:bidi w:val="0"/>
                  </w:pPr>
                  <w:r>
                    <w:t>收集后交由</w:t>
                  </w:r>
                  <w:r>
                    <w:rPr>
                      <w:rFonts w:hint="eastAsia"/>
                      <w:lang w:val="en-US" w:eastAsia="zh-CN"/>
                    </w:rPr>
                    <w:t>有资质单位</w:t>
                  </w:r>
                  <w:r>
                    <w:t>进行处置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14" w:type="dxa"/>
                  <w:shd w:val="clear" w:color="auto" w:fill="auto"/>
                  <w:noWrap w:val="0"/>
                  <w:vAlign w:val="center"/>
                </w:tcPr>
                <w:p>
                  <w:pPr>
                    <w:pStyle w:val="30"/>
                    <w:bidi w:val="0"/>
                    <w:rPr>
                      <w:rFonts w:hint="eastAsia" w:ascii="Times New Roman" w:hAnsi="Times New Roman" w:eastAsia="宋体" w:cstheme="minorBidi"/>
                      <w:snapToGrid w:val="0"/>
                      <w:spacing w:val="6"/>
                      <w:kern w:val="2"/>
                      <w:sz w:val="21"/>
                      <w:szCs w:val="21"/>
                      <w:lang w:val="en-US" w:eastAsia="zh-CN" w:bidi="ar-SA"/>
                    </w:rPr>
                  </w:pPr>
                  <w:r>
                    <w:rPr>
                      <w:rFonts w:hint="eastAsia"/>
                      <w:lang w:val="en-US" w:eastAsia="zh-CN"/>
                    </w:rPr>
                    <w:t>5</w:t>
                  </w:r>
                </w:p>
              </w:tc>
              <w:tc>
                <w:tcPr>
                  <w:tcW w:w="1366" w:type="dxa"/>
                  <w:shd w:val="clear" w:color="auto" w:fill="auto"/>
                  <w:noWrap w:val="0"/>
                  <w:vAlign w:val="center"/>
                </w:tcPr>
                <w:p>
                  <w:pPr>
                    <w:pStyle w:val="30"/>
                    <w:bidi w:val="0"/>
                    <w:rPr>
                      <w:lang w:val="en-US" w:eastAsia="zh-CN"/>
                    </w:rPr>
                  </w:pPr>
                  <w:r>
                    <w:rPr>
                      <w:rFonts w:hint="eastAsia"/>
                    </w:rPr>
                    <w:t>污泥</w:t>
                  </w:r>
                </w:p>
              </w:tc>
              <w:tc>
                <w:tcPr>
                  <w:tcW w:w="1145" w:type="dxa"/>
                  <w:shd w:val="clear" w:color="auto" w:fill="auto"/>
                  <w:noWrap w:val="0"/>
                  <w:vAlign w:val="center"/>
                </w:tcPr>
                <w:p>
                  <w:pPr>
                    <w:pStyle w:val="30"/>
                    <w:bidi w:val="0"/>
                    <w:rPr>
                      <w:lang w:val="en-US" w:eastAsia="zh-CN"/>
                    </w:rPr>
                  </w:pPr>
                  <w:r>
                    <w:t>危险废物</w:t>
                  </w:r>
                </w:p>
              </w:tc>
              <w:tc>
                <w:tcPr>
                  <w:tcW w:w="1992" w:type="dxa"/>
                  <w:shd w:val="clear" w:color="auto" w:fill="auto"/>
                  <w:noWrap w:val="0"/>
                  <w:vAlign w:val="center"/>
                </w:tcPr>
                <w:p>
                  <w:pPr>
                    <w:pStyle w:val="30"/>
                    <w:bidi w:val="0"/>
                    <w:rPr>
                      <w:rFonts w:hint="eastAsia"/>
                      <w:lang w:val="en-US" w:eastAsia="zh-CN"/>
                    </w:rPr>
                  </w:pPr>
                  <w:r>
                    <w:rPr>
                      <w:rFonts w:hint="eastAsia"/>
                      <w:lang w:val="en-US" w:eastAsia="zh-CN"/>
                    </w:rPr>
                    <w:t>841-001-01</w:t>
                  </w:r>
                </w:p>
              </w:tc>
              <w:tc>
                <w:tcPr>
                  <w:tcW w:w="682" w:type="dxa"/>
                  <w:shd w:val="clear" w:color="auto" w:fill="auto"/>
                  <w:noWrap w:val="0"/>
                  <w:vAlign w:val="center"/>
                </w:tcPr>
                <w:p>
                  <w:pPr>
                    <w:pStyle w:val="30"/>
                    <w:bidi w:val="0"/>
                    <w:rPr>
                      <w:lang w:val="en-US" w:eastAsia="zh-CN"/>
                    </w:rPr>
                  </w:pPr>
                  <w:r>
                    <w:t>固状</w:t>
                  </w:r>
                </w:p>
              </w:tc>
              <w:tc>
                <w:tcPr>
                  <w:tcW w:w="920" w:type="dxa"/>
                  <w:shd w:val="clear" w:color="auto" w:fill="auto"/>
                  <w:noWrap w:val="0"/>
                  <w:vAlign w:val="center"/>
                </w:tcPr>
                <w:p>
                  <w:pPr>
                    <w:pStyle w:val="30"/>
                    <w:bidi w:val="0"/>
                    <w:rPr>
                      <w:rFonts w:hint="default"/>
                      <w:lang w:val="en-US" w:eastAsia="zh-CN"/>
                    </w:rPr>
                  </w:pPr>
                  <w:r>
                    <w:rPr>
                      <w:rFonts w:hint="eastAsia"/>
                      <w:lang w:val="en-US" w:eastAsia="zh-CN"/>
                    </w:rPr>
                    <w:t>1.28</w:t>
                  </w:r>
                </w:p>
              </w:tc>
              <w:tc>
                <w:tcPr>
                  <w:tcW w:w="2052" w:type="dxa"/>
                  <w:vMerge w:val="continue"/>
                  <w:noWrap w:val="0"/>
                  <w:vAlign w:val="center"/>
                </w:tcPr>
                <w:p>
                  <w:pPr>
                    <w:pStyle w:val="30"/>
                    <w:bidi w:val="0"/>
                  </w:pPr>
                </w:p>
              </w:tc>
            </w:tr>
          </w:tbl>
          <w:p>
            <w:pPr>
              <w:pStyle w:val="12"/>
              <w:bidi w:val="0"/>
              <w:rPr>
                <w:rFonts w:hint="eastAsia"/>
                <w:u w:val="single"/>
                <w:lang w:val="en-US" w:eastAsia="zh-CN"/>
              </w:rPr>
            </w:pPr>
            <w:r>
              <w:rPr>
                <w:rFonts w:hint="eastAsia"/>
                <w:u w:val="single"/>
                <w:lang w:val="en-US" w:eastAsia="zh-CN"/>
              </w:rPr>
              <w:t>根据《建设项目危险废物环境影响评价指南》，危险废物分析结果汇总见下表。</w:t>
            </w:r>
          </w:p>
          <w:p>
            <w:pPr>
              <w:pStyle w:val="29"/>
              <w:bidi w:val="0"/>
              <w:rPr>
                <w:rFonts w:hint="default"/>
                <w:u w:val="single"/>
                <w:lang w:val="en-US" w:eastAsia="zh-CN"/>
              </w:rPr>
            </w:pPr>
            <w:r>
              <w:rPr>
                <w:rFonts w:hint="default"/>
                <w:u w:val="single"/>
                <w:lang w:val="en-US" w:eastAsia="zh-CN"/>
              </w:rPr>
              <w:t>表</w:t>
            </w:r>
            <w:r>
              <w:rPr>
                <w:rFonts w:hint="eastAsia"/>
                <w:u w:val="single"/>
                <w:lang w:val="en-US" w:eastAsia="zh-CN"/>
              </w:rPr>
              <w:t xml:space="preserve">4.2-21 </w:t>
            </w:r>
            <w:r>
              <w:rPr>
                <w:rFonts w:hint="default"/>
                <w:u w:val="single"/>
                <w:lang w:val="en-US" w:eastAsia="zh-CN"/>
              </w:rPr>
              <w:t xml:space="preserve"> 危险废物汇总表 </w:t>
            </w:r>
          </w:p>
          <w:tbl>
            <w:tblPr>
              <w:tblStyle w:val="28"/>
              <w:tblW w:w="86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736"/>
              <w:gridCol w:w="877"/>
              <w:gridCol w:w="1379"/>
              <w:gridCol w:w="973"/>
              <w:gridCol w:w="750"/>
              <w:gridCol w:w="655"/>
              <w:gridCol w:w="655"/>
              <w:gridCol w:w="823"/>
              <w:gridCol w:w="530"/>
              <w:gridCol w:w="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trPr>
              <w:tc>
                <w:tcPr>
                  <w:tcW w:w="573" w:type="dxa"/>
                  <w:tcBorders>
                    <w:tl2br w:val="nil"/>
                    <w:tr2bl w:val="nil"/>
                  </w:tcBorders>
                  <w:noWrap w:val="0"/>
                  <w:vAlign w:val="center"/>
                </w:tcPr>
                <w:p>
                  <w:pPr>
                    <w:pStyle w:val="30"/>
                    <w:bidi w:val="0"/>
                    <w:rPr>
                      <w:rFonts w:hint="default"/>
                      <w:lang w:val="en-US" w:eastAsia="zh-CN"/>
                    </w:rPr>
                  </w:pPr>
                  <w:r>
                    <w:rPr>
                      <w:rFonts w:hint="eastAsia"/>
                      <w:lang w:val="en-US" w:eastAsia="zh-CN"/>
                    </w:rPr>
                    <w:t>序号</w:t>
                  </w:r>
                </w:p>
              </w:tc>
              <w:tc>
                <w:tcPr>
                  <w:tcW w:w="736" w:type="dxa"/>
                  <w:tcBorders>
                    <w:tl2br w:val="nil"/>
                    <w:tr2bl w:val="nil"/>
                  </w:tcBorders>
                  <w:noWrap w:val="0"/>
                  <w:vAlign w:val="center"/>
                </w:tcPr>
                <w:p>
                  <w:pPr>
                    <w:pStyle w:val="30"/>
                    <w:bidi w:val="0"/>
                    <w:rPr>
                      <w:rFonts w:hint="default"/>
                      <w:lang w:val="en-US" w:eastAsia="zh-CN"/>
                    </w:rPr>
                  </w:pPr>
                  <w:r>
                    <w:rPr>
                      <w:rFonts w:hint="eastAsia"/>
                      <w:lang w:val="en-US" w:eastAsia="zh-CN"/>
                    </w:rPr>
                    <w:t>危险废物名称</w:t>
                  </w:r>
                </w:p>
              </w:tc>
              <w:tc>
                <w:tcPr>
                  <w:tcW w:w="877" w:type="dxa"/>
                  <w:tcBorders>
                    <w:tl2br w:val="nil"/>
                    <w:tr2bl w:val="nil"/>
                  </w:tcBorders>
                  <w:noWrap w:val="0"/>
                  <w:vAlign w:val="center"/>
                </w:tcPr>
                <w:p>
                  <w:pPr>
                    <w:pStyle w:val="30"/>
                    <w:bidi w:val="0"/>
                    <w:rPr>
                      <w:rFonts w:hint="default"/>
                      <w:lang w:val="en-US" w:eastAsia="zh-CN"/>
                    </w:rPr>
                  </w:pPr>
                  <w:r>
                    <w:rPr>
                      <w:rFonts w:hint="eastAsia"/>
                      <w:lang w:val="en-US" w:eastAsia="zh-CN"/>
                    </w:rPr>
                    <w:t>危险废物类别</w:t>
                  </w:r>
                </w:p>
              </w:tc>
              <w:tc>
                <w:tcPr>
                  <w:tcW w:w="1379" w:type="dxa"/>
                  <w:tcBorders>
                    <w:tl2br w:val="nil"/>
                    <w:tr2bl w:val="nil"/>
                  </w:tcBorders>
                  <w:noWrap w:val="0"/>
                  <w:vAlign w:val="center"/>
                </w:tcPr>
                <w:p>
                  <w:pPr>
                    <w:pStyle w:val="30"/>
                    <w:bidi w:val="0"/>
                    <w:rPr>
                      <w:rFonts w:hint="default"/>
                      <w:lang w:val="en-US" w:eastAsia="zh-CN"/>
                    </w:rPr>
                  </w:pPr>
                  <w:r>
                    <w:rPr>
                      <w:rFonts w:hint="eastAsia"/>
                      <w:lang w:val="en-US" w:eastAsia="zh-CN"/>
                    </w:rPr>
                    <w:t>危险废物代码</w:t>
                  </w:r>
                </w:p>
              </w:tc>
              <w:tc>
                <w:tcPr>
                  <w:tcW w:w="973" w:type="dxa"/>
                  <w:tcBorders>
                    <w:tl2br w:val="nil"/>
                    <w:tr2bl w:val="nil"/>
                  </w:tcBorders>
                  <w:noWrap w:val="0"/>
                  <w:vAlign w:val="center"/>
                </w:tcPr>
                <w:p>
                  <w:pPr>
                    <w:pStyle w:val="30"/>
                    <w:bidi w:val="0"/>
                    <w:rPr>
                      <w:rFonts w:hint="default"/>
                      <w:lang w:val="en-US" w:eastAsia="zh-CN"/>
                    </w:rPr>
                  </w:pPr>
                  <w:r>
                    <w:rPr>
                      <w:rFonts w:hint="eastAsia"/>
                      <w:lang w:val="en-US" w:eastAsia="zh-CN"/>
                    </w:rPr>
                    <w:t>产生量（</w:t>
                  </w:r>
                  <w:r>
                    <w:rPr>
                      <w:rFonts w:hint="default"/>
                      <w:lang w:val="en-US" w:eastAsia="zh-CN"/>
                    </w:rPr>
                    <w:t>t</w:t>
                  </w:r>
                  <w:r>
                    <w:rPr>
                      <w:rFonts w:hint="eastAsia"/>
                      <w:lang w:val="en-US" w:eastAsia="zh-CN"/>
                    </w:rPr>
                    <w:t>/</w:t>
                  </w:r>
                  <w:r>
                    <w:rPr>
                      <w:rFonts w:hint="default"/>
                      <w:lang w:val="en-US" w:eastAsia="zh-CN"/>
                    </w:rPr>
                    <w:t>a</w:t>
                  </w:r>
                  <w:r>
                    <w:rPr>
                      <w:rFonts w:hint="eastAsia"/>
                      <w:lang w:val="en-US" w:eastAsia="zh-CN"/>
                    </w:rPr>
                    <w:t>）</w:t>
                  </w:r>
                </w:p>
              </w:tc>
              <w:tc>
                <w:tcPr>
                  <w:tcW w:w="750" w:type="dxa"/>
                  <w:tcBorders>
                    <w:tl2br w:val="nil"/>
                    <w:tr2bl w:val="nil"/>
                  </w:tcBorders>
                  <w:noWrap w:val="0"/>
                  <w:vAlign w:val="center"/>
                </w:tcPr>
                <w:p>
                  <w:pPr>
                    <w:pStyle w:val="30"/>
                    <w:bidi w:val="0"/>
                  </w:pPr>
                  <w:r>
                    <w:rPr>
                      <w:rFonts w:hint="eastAsia"/>
                      <w:lang w:val="en-US" w:eastAsia="zh-CN"/>
                    </w:rPr>
                    <w:t>产生</w:t>
                  </w:r>
                </w:p>
                <w:p>
                  <w:pPr>
                    <w:pStyle w:val="30"/>
                    <w:bidi w:val="0"/>
                  </w:pPr>
                  <w:r>
                    <w:rPr>
                      <w:rFonts w:hint="eastAsia"/>
                      <w:lang w:val="en-US" w:eastAsia="zh-CN"/>
                    </w:rPr>
                    <w:t>工序</w:t>
                  </w:r>
                </w:p>
                <w:p>
                  <w:pPr>
                    <w:pStyle w:val="30"/>
                    <w:bidi w:val="0"/>
                  </w:pPr>
                  <w:r>
                    <w:rPr>
                      <w:rFonts w:hint="eastAsia"/>
                      <w:lang w:val="en-US" w:eastAsia="zh-CN"/>
                    </w:rPr>
                    <w:t>及装</w:t>
                  </w:r>
                </w:p>
                <w:p>
                  <w:pPr>
                    <w:pStyle w:val="30"/>
                    <w:bidi w:val="0"/>
                    <w:rPr>
                      <w:rFonts w:hint="default"/>
                      <w:lang w:val="en-US" w:eastAsia="zh-CN"/>
                    </w:rPr>
                  </w:pPr>
                  <w:r>
                    <w:rPr>
                      <w:rFonts w:hint="eastAsia"/>
                      <w:lang w:val="en-US" w:eastAsia="zh-CN"/>
                    </w:rPr>
                    <w:t>置</w:t>
                  </w:r>
                </w:p>
              </w:tc>
              <w:tc>
                <w:tcPr>
                  <w:tcW w:w="655" w:type="dxa"/>
                  <w:tcBorders>
                    <w:tl2br w:val="nil"/>
                    <w:tr2bl w:val="nil"/>
                  </w:tcBorders>
                  <w:noWrap w:val="0"/>
                  <w:vAlign w:val="center"/>
                </w:tcPr>
                <w:p>
                  <w:pPr>
                    <w:pStyle w:val="30"/>
                    <w:bidi w:val="0"/>
                  </w:pPr>
                  <w:r>
                    <w:rPr>
                      <w:rFonts w:hint="eastAsia"/>
                      <w:lang w:val="en-US" w:eastAsia="zh-CN"/>
                    </w:rPr>
                    <w:t>形</w:t>
                  </w:r>
                </w:p>
                <w:p>
                  <w:pPr>
                    <w:pStyle w:val="30"/>
                    <w:bidi w:val="0"/>
                    <w:rPr>
                      <w:rFonts w:hint="default"/>
                      <w:lang w:val="en-US" w:eastAsia="zh-CN"/>
                    </w:rPr>
                  </w:pPr>
                  <w:r>
                    <w:rPr>
                      <w:rFonts w:hint="eastAsia"/>
                      <w:lang w:val="en-US" w:eastAsia="zh-CN"/>
                    </w:rPr>
                    <w:t>态</w:t>
                  </w:r>
                </w:p>
              </w:tc>
              <w:tc>
                <w:tcPr>
                  <w:tcW w:w="655" w:type="dxa"/>
                  <w:tcBorders>
                    <w:tl2br w:val="nil"/>
                    <w:tr2bl w:val="nil"/>
                  </w:tcBorders>
                  <w:noWrap w:val="0"/>
                  <w:vAlign w:val="center"/>
                </w:tcPr>
                <w:p>
                  <w:pPr>
                    <w:pStyle w:val="30"/>
                    <w:bidi w:val="0"/>
                    <w:rPr>
                      <w:rFonts w:hint="default"/>
                      <w:lang w:val="en-US" w:eastAsia="zh-CN"/>
                    </w:rPr>
                  </w:pPr>
                  <w:r>
                    <w:rPr>
                      <w:rFonts w:hint="eastAsia"/>
                      <w:lang w:val="en-US" w:eastAsia="zh-CN"/>
                    </w:rPr>
                    <w:t>主要成分</w:t>
                  </w:r>
                </w:p>
              </w:tc>
              <w:tc>
                <w:tcPr>
                  <w:tcW w:w="823" w:type="dxa"/>
                  <w:tcBorders>
                    <w:tl2br w:val="nil"/>
                    <w:tr2bl w:val="nil"/>
                  </w:tcBorders>
                  <w:noWrap w:val="0"/>
                  <w:vAlign w:val="center"/>
                </w:tcPr>
                <w:p>
                  <w:pPr>
                    <w:pStyle w:val="30"/>
                    <w:bidi w:val="0"/>
                    <w:rPr>
                      <w:rFonts w:hint="default"/>
                      <w:lang w:val="en-US" w:eastAsia="zh-CN"/>
                    </w:rPr>
                  </w:pPr>
                  <w:r>
                    <w:rPr>
                      <w:rFonts w:hint="eastAsia"/>
                      <w:lang w:val="en-US" w:eastAsia="zh-CN"/>
                    </w:rPr>
                    <w:t>有毒有害物质</w:t>
                  </w:r>
                </w:p>
              </w:tc>
              <w:tc>
                <w:tcPr>
                  <w:tcW w:w="530" w:type="dxa"/>
                  <w:tcBorders>
                    <w:tl2br w:val="nil"/>
                    <w:tr2bl w:val="nil"/>
                  </w:tcBorders>
                  <w:noWrap w:val="0"/>
                  <w:vAlign w:val="center"/>
                </w:tcPr>
                <w:p>
                  <w:pPr>
                    <w:pStyle w:val="30"/>
                    <w:bidi w:val="0"/>
                    <w:rPr>
                      <w:rFonts w:hint="default"/>
                      <w:lang w:val="en-US" w:eastAsia="zh-CN"/>
                    </w:rPr>
                  </w:pPr>
                  <w:r>
                    <w:rPr>
                      <w:rFonts w:hint="eastAsia"/>
                      <w:lang w:val="en-US" w:eastAsia="zh-CN"/>
                    </w:rPr>
                    <w:t>产生周期</w:t>
                  </w:r>
                </w:p>
              </w:tc>
              <w:tc>
                <w:tcPr>
                  <w:tcW w:w="724" w:type="dxa"/>
                  <w:tcBorders>
                    <w:tl2br w:val="nil"/>
                    <w:tr2bl w:val="nil"/>
                  </w:tcBorders>
                  <w:noWrap w:val="0"/>
                  <w:vAlign w:val="center"/>
                </w:tcPr>
                <w:p>
                  <w:pPr>
                    <w:pStyle w:val="30"/>
                    <w:bidi w:val="0"/>
                    <w:rPr>
                      <w:rFonts w:hint="default"/>
                      <w:lang w:val="en-US" w:eastAsia="zh-CN"/>
                    </w:rPr>
                  </w:pPr>
                  <w:r>
                    <w:rPr>
                      <w:rFonts w:hint="eastAsia"/>
                      <w:lang w:val="en-US" w:eastAsia="zh-CN"/>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73" w:type="dxa"/>
                  <w:tcBorders>
                    <w:tl2br w:val="nil"/>
                    <w:tr2bl w:val="nil"/>
                  </w:tcBorders>
                  <w:noWrap w:val="0"/>
                  <w:vAlign w:val="center"/>
                </w:tcPr>
                <w:p>
                  <w:pPr>
                    <w:pStyle w:val="30"/>
                    <w:bidi w:val="0"/>
                    <w:rPr>
                      <w:rFonts w:hint="default"/>
                      <w:lang w:val="en-US" w:eastAsia="zh-CN"/>
                    </w:rPr>
                  </w:pPr>
                  <w:r>
                    <w:rPr>
                      <w:rFonts w:hint="default"/>
                      <w:lang w:val="en-US" w:eastAsia="zh-CN"/>
                    </w:rPr>
                    <w:t>1</w:t>
                  </w:r>
                </w:p>
              </w:tc>
              <w:tc>
                <w:tcPr>
                  <w:tcW w:w="736" w:type="dxa"/>
                  <w:tcBorders>
                    <w:tl2br w:val="nil"/>
                    <w:tr2bl w:val="nil"/>
                  </w:tcBorders>
                  <w:noWrap w:val="0"/>
                  <w:vAlign w:val="center"/>
                </w:tcPr>
                <w:p>
                  <w:pPr>
                    <w:pStyle w:val="30"/>
                    <w:bidi w:val="0"/>
                    <w:rPr>
                      <w:rFonts w:hint="eastAsia"/>
                      <w:lang w:val="en-US" w:eastAsia="zh-CN"/>
                    </w:rPr>
                  </w:pPr>
                  <w:r>
                    <w:rPr>
                      <w:lang w:val="en-US"/>
                    </w:rPr>
                    <w:t>感染性废物</w:t>
                  </w:r>
                </w:p>
              </w:tc>
              <w:tc>
                <w:tcPr>
                  <w:tcW w:w="877" w:type="dxa"/>
                  <w:tcBorders>
                    <w:tl2br w:val="nil"/>
                    <w:tr2bl w:val="nil"/>
                  </w:tcBorders>
                  <w:noWrap w:val="0"/>
                  <w:vAlign w:val="center"/>
                </w:tcPr>
                <w:p>
                  <w:pPr>
                    <w:pStyle w:val="30"/>
                    <w:bidi w:val="0"/>
                  </w:pPr>
                  <w:r>
                    <w:rPr>
                      <w:rFonts w:hint="default"/>
                      <w:lang w:val="en-US" w:eastAsia="zh-CN"/>
                    </w:rPr>
                    <w:t xml:space="preserve">HW01 </w:t>
                  </w:r>
                </w:p>
                <w:p>
                  <w:pPr>
                    <w:pStyle w:val="30"/>
                    <w:bidi w:val="0"/>
                  </w:pPr>
                  <w:r>
                    <w:rPr>
                      <w:rFonts w:hint="eastAsia"/>
                      <w:lang w:val="en-US" w:eastAsia="zh-CN"/>
                    </w:rPr>
                    <w:t>医疗</w:t>
                  </w:r>
                </w:p>
                <w:p>
                  <w:pPr>
                    <w:pStyle w:val="30"/>
                    <w:bidi w:val="0"/>
                    <w:rPr>
                      <w:rFonts w:hint="default"/>
                      <w:lang w:val="en-US" w:eastAsia="zh-CN"/>
                    </w:rPr>
                  </w:pPr>
                  <w:r>
                    <w:rPr>
                      <w:rFonts w:hint="eastAsia"/>
                      <w:lang w:val="en-US" w:eastAsia="zh-CN"/>
                    </w:rPr>
                    <w:t>废物</w:t>
                  </w:r>
                </w:p>
              </w:tc>
              <w:tc>
                <w:tcPr>
                  <w:tcW w:w="1379" w:type="dxa"/>
                  <w:tcBorders>
                    <w:tl2br w:val="nil"/>
                    <w:tr2bl w:val="nil"/>
                  </w:tcBorders>
                  <w:noWrap w:val="0"/>
                  <w:vAlign w:val="center"/>
                </w:tcPr>
                <w:p>
                  <w:pPr>
                    <w:pStyle w:val="30"/>
                    <w:bidi w:val="0"/>
                    <w:rPr>
                      <w:rFonts w:hint="default"/>
                      <w:lang w:val="en-US" w:eastAsia="zh-CN"/>
                    </w:rPr>
                  </w:pPr>
                  <w:r>
                    <w:rPr>
                      <w:rFonts w:hint="default"/>
                      <w:lang w:val="en-US" w:eastAsia="zh-CN"/>
                    </w:rPr>
                    <w:t>841-001-01</w:t>
                  </w:r>
                </w:p>
              </w:tc>
              <w:tc>
                <w:tcPr>
                  <w:tcW w:w="973" w:type="dxa"/>
                  <w:tcBorders>
                    <w:tl2br w:val="nil"/>
                    <w:tr2bl w:val="nil"/>
                  </w:tcBorders>
                  <w:noWrap w:val="0"/>
                  <w:vAlign w:val="center"/>
                </w:tcPr>
                <w:p>
                  <w:pPr>
                    <w:pStyle w:val="30"/>
                    <w:bidi w:val="0"/>
                    <w:rPr>
                      <w:rFonts w:hint="default"/>
                      <w:lang w:val="en-US" w:eastAsia="zh-CN"/>
                    </w:rPr>
                  </w:pPr>
                  <w:r>
                    <w:rPr>
                      <w:rFonts w:hint="eastAsia"/>
                      <w:lang w:val="en-US" w:eastAsia="zh-CN"/>
                    </w:rPr>
                    <w:t>20.075</w:t>
                  </w:r>
                </w:p>
              </w:tc>
              <w:tc>
                <w:tcPr>
                  <w:tcW w:w="750" w:type="dxa"/>
                  <w:tcBorders>
                    <w:tl2br w:val="nil"/>
                    <w:tr2bl w:val="nil"/>
                  </w:tcBorders>
                  <w:noWrap w:val="0"/>
                  <w:vAlign w:val="center"/>
                </w:tcPr>
                <w:p>
                  <w:pPr>
                    <w:pStyle w:val="30"/>
                    <w:bidi w:val="0"/>
                    <w:rPr>
                      <w:rFonts w:hint="eastAsia"/>
                      <w:lang w:val="en-US" w:eastAsia="zh-CN"/>
                    </w:rPr>
                  </w:pPr>
                  <w:r>
                    <w:rPr>
                      <w:rFonts w:hint="eastAsia"/>
                      <w:lang w:val="en-US" w:eastAsia="zh-CN"/>
                    </w:rPr>
                    <w:t>诊疗</w:t>
                  </w:r>
                </w:p>
              </w:tc>
              <w:tc>
                <w:tcPr>
                  <w:tcW w:w="655" w:type="dxa"/>
                  <w:tcBorders>
                    <w:tl2br w:val="nil"/>
                    <w:tr2bl w:val="nil"/>
                  </w:tcBorders>
                  <w:noWrap w:val="0"/>
                  <w:vAlign w:val="center"/>
                </w:tcPr>
                <w:p>
                  <w:pPr>
                    <w:pStyle w:val="30"/>
                    <w:bidi w:val="0"/>
                  </w:pPr>
                  <w:r>
                    <w:rPr>
                      <w:rFonts w:hint="eastAsia"/>
                      <w:lang w:val="en-US" w:eastAsia="zh-CN"/>
                    </w:rPr>
                    <w:t>固</w:t>
                  </w:r>
                </w:p>
                <w:p>
                  <w:pPr>
                    <w:pStyle w:val="30"/>
                    <w:bidi w:val="0"/>
                    <w:rPr>
                      <w:rFonts w:hint="eastAsia"/>
                      <w:lang w:val="en-US" w:eastAsia="zh-CN"/>
                    </w:rPr>
                  </w:pPr>
                  <w:r>
                    <w:rPr>
                      <w:rFonts w:hint="eastAsia"/>
                      <w:lang w:val="en-US" w:eastAsia="zh-CN"/>
                    </w:rPr>
                    <w:t>态</w:t>
                  </w:r>
                </w:p>
              </w:tc>
              <w:tc>
                <w:tcPr>
                  <w:tcW w:w="655" w:type="dxa"/>
                  <w:tcBorders>
                    <w:tl2br w:val="nil"/>
                    <w:tr2bl w:val="nil"/>
                  </w:tcBorders>
                  <w:noWrap w:val="0"/>
                  <w:vAlign w:val="center"/>
                </w:tcPr>
                <w:p>
                  <w:pPr>
                    <w:pStyle w:val="30"/>
                    <w:bidi w:val="0"/>
                  </w:pPr>
                  <w:r>
                    <w:rPr>
                      <w:rFonts w:hint="eastAsia"/>
                      <w:lang w:val="en-US" w:eastAsia="zh-CN"/>
                    </w:rPr>
                    <w:t>塑</w:t>
                  </w:r>
                </w:p>
                <w:p>
                  <w:pPr>
                    <w:pStyle w:val="30"/>
                    <w:bidi w:val="0"/>
                  </w:pPr>
                  <w:r>
                    <w:rPr>
                      <w:rFonts w:hint="eastAsia"/>
                      <w:lang w:val="en-US" w:eastAsia="zh-CN"/>
                    </w:rPr>
                    <w:t>料</w:t>
                  </w:r>
                </w:p>
                <w:p>
                  <w:pPr>
                    <w:pStyle w:val="30"/>
                    <w:bidi w:val="0"/>
                    <w:rPr>
                      <w:rFonts w:hint="eastAsia"/>
                      <w:lang w:val="en-US" w:eastAsia="zh-CN"/>
                    </w:rPr>
                  </w:pPr>
                  <w:r>
                    <w:rPr>
                      <w:rFonts w:hint="eastAsia"/>
                      <w:lang w:val="en-US" w:eastAsia="zh-CN"/>
                    </w:rPr>
                    <w:t>等</w:t>
                  </w:r>
                </w:p>
              </w:tc>
              <w:tc>
                <w:tcPr>
                  <w:tcW w:w="823" w:type="dxa"/>
                  <w:tcBorders>
                    <w:tl2br w:val="nil"/>
                    <w:tr2bl w:val="nil"/>
                  </w:tcBorders>
                  <w:noWrap w:val="0"/>
                  <w:vAlign w:val="center"/>
                </w:tcPr>
                <w:p>
                  <w:pPr>
                    <w:pStyle w:val="30"/>
                    <w:bidi w:val="0"/>
                    <w:rPr>
                      <w:rFonts w:hint="eastAsia"/>
                      <w:lang w:val="en-US" w:eastAsia="zh-CN"/>
                    </w:rPr>
                  </w:pPr>
                  <w:r>
                    <w:rPr>
                      <w:rFonts w:hint="eastAsia"/>
                      <w:lang w:val="en-US" w:eastAsia="zh-CN"/>
                    </w:rPr>
                    <w:t>病菌</w:t>
                  </w:r>
                </w:p>
              </w:tc>
              <w:tc>
                <w:tcPr>
                  <w:tcW w:w="530" w:type="dxa"/>
                  <w:tcBorders>
                    <w:tl2br w:val="nil"/>
                    <w:tr2bl w:val="nil"/>
                  </w:tcBorders>
                  <w:noWrap w:val="0"/>
                  <w:vAlign w:val="center"/>
                </w:tcPr>
                <w:p>
                  <w:pPr>
                    <w:pStyle w:val="30"/>
                    <w:bidi w:val="0"/>
                    <w:rPr>
                      <w:rFonts w:hint="eastAsia"/>
                      <w:lang w:val="en-US" w:eastAsia="zh-CN"/>
                    </w:rPr>
                  </w:pPr>
                  <w:r>
                    <w:rPr>
                      <w:rFonts w:hint="eastAsia"/>
                      <w:lang w:val="en-US" w:eastAsia="zh-CN"/>
                    </w:rPr>
                    <w:t>日</w:t>
                  </w:r>
                </w:p>
              </w:tc>
              <w:tc>
                <w:tcPr>
                  <w:tcW w:w="724" w:type="dxa"/>
                  <w:tcBorders>
                    <w:tl2br w:val="nil"/>
                    <w:tr2bl w:val="nil"/>
                  </w:tcBorders>
                  <w:noWrap w:val="0"/>
                  <w:vAlign w:val="center"/>
                </w:tcPr>
                <w:p>
                  <w:pPr>
                    <w:pStyle w:val="30"/>
                    <w:bidi w:val="0"/>
                    <w:rPr>
                      <w:rFonts w:hint="default"/>
                      <w:lang w:val="en-US" w:eastAsia="zh-CN"/>
                    </w:rPr>
                  </w:pPr>
                  <w:r>
                    <w:rPr>
                      <w:rFonts w:hint="default"/>
                      <w:lang w:val="en-US" w:eastAsia="zh-CN"/>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73" w:type="dxa"/>
                  <w:tcBorders>
                    <w:tl2br w:val="nil"/>
                    <w:tr2bl w:val="nil"/>
                  </w:tcBorders>
                  <w:noWrap w:val="0"/>
                  <w:vAlign w:val="center"/>
                </w:tcPr>
                <w:p>
                  <w:pPr>
                    <w:pStyle w:val="30"/>
                    <w:bidi w:val="0"/>
                    <w:rPr>
                      <w:rFonts w:hint="default"/>
                      <w:lang w:val="en-US" w:eastAsia="zh-CN"/>
                    </w:rPr>
                  </w:pPr>
                  <w:r>
                    <w:rPr>
                      <w:rFonts w:hint="eastAsia"/>
                      <w:lang w:val="en-US" w:eastAsia="zh-CN"/>
                    </w:rPr>
                    <w:t>2</w:t>
                  </w:r>
                </w:p>
              </w:tc>
              <w:tc>
                <w:tcPr>
                  <w:tcW w:w="736" w:type="dxa"/>
                  <w:tcBorders>
                    <w:tl2br w:val="nil"/>
                    <w:tr2bl w:val="nil"/>
                  </w:tcBorders>
                  <w:noWrap w:val="0"/>
                  <w:vAlign w:val="center"/>
                </w:tcPr>
                <w:p>
                  <w:pPr>
                    <w:pStyle w:val="30"/>
                    <w:bidi w:val="0"/>
                  </w:pPr>
                  <w:r>
                    <w:rPr>
                      <w:rFonts w:hint="eastAsia"/>
                      <w:lang w:val="en-US" w:eastAsia="zh-CN"/>
                    </w:rPr>
                    <w:t>损伤</w:t>
                  </w:r>
                </w:p>
                <w:p>
                  <w:pPr>
                    <w:pStyle w:val="30"/>
                    <w:bidi w:val="0"/>
                  </w:pPr>
                  <w:r>
                    <w:rPr>
                      <w:rFonts w:hint="eastAsia"/>
                      <w:lang w:val="en-US" w:eastAsia="zh-CN"/>
                    </w:rPr>
                    <w:t>性废</w:t>
                  </w:r>
                </w:p>
                <w:p>
                  <w:pPr>
                    <w:pStyle w:val="30"/>
                    <w:bidi w:val="0"/>
                    <w:rPr>
                      <w:lang w:val="en-US"/>
                    </w:rPr>
                  </w:pPr>
                  <w:r>
                    <w:rPr>
                      <w:rFonts w:hint="eastAsia"/>
                      <w:lang w:val="en-US" w:eastAsia="zh-CN"/>
                    </w:rPr>
                    <w:t>物</w:t>
                  </w:r>
                </w:p>
              </w:tc>
              <w:tc>
                <w:tcPr>
                  <w:tcW w:w="877" w:type="dxa"/>
                  <w:tcBorders>
                    <w:tl2br w:val="nil"/>
                    <w:tr2bl w:val="nil"/>
                  </w:tcBorders>
                  <w:noWrap w:val="0"/>
                  <w:vAlign w:val="center"/>
                </w:tcPr>
                <w:p>
                  <w:pPr>
                    <w:pStyle w:val="30"/>
                    <w:bidi w:val="0"/>
                  </w:pPr>
                  <w:r>
                    <w:rPr>
                      <w:rFonts w:hint="default"/>
                      <w:lang w:val="en-US" w:eastAsia="zh-CN"/>
                    </w:rPr>
                    <w:t xml:space="preserve">HW01 </w:t>
                  </w:r>
                </w:p>
                <w:p>
                  <w:pPr>
                    <w:pStyle w:val="30"/>
                    <w:bidi w:val="0"/>
                  </w:pPr>
                  <w:r>
                    <w:rPr>
                      <w:rFonts w:hint="eastAsia"/>
                      <w:lang w:val="en-US" w:eastAsia="zh-CN"/>
                    </w:rPr>
                    <w:t>医疗</w:t>
                  </w:r>
                </w:p>
                <w:p>
                  <w:pPr>
                    <w:pStyle w:val="30"/>
                    <w:bidi w:val="0"/>
                    <w:rPr>
                      <w:rFonts w:hint="eastAsia"/>
                      <w:lang w:val="en-US" w:eastAsia="zh-CN"/>
                    </w:rPr>
                  </w:pPr>
                  <w:r>
                    <w:rPr>
                      <w:rFonts w:hint="eastAsia"/>
                      <w:lang w:val="en-US" w:eastAsia="zh-CN"/>
                    </w:rPr>
                    <w:t>废物</w:t>
                  </w:r>
                </w:p>
              </w:tc>
              <w:tc>
                <w:tcPr>
                  <w:tcW w:w="1379" w:type="dxa"/>
                  <w:tcBorders>
                    <w:tl2br w:val="nil"/>
                    <w:tr2bl w:val="nil"/>
                  </w:tcBorders>
                  <w:noWrap w:val="0"/>
                  <w:vAlign w:val="center"/>
                </w:tcPr>
                <w:p>
                  <w:pPr>
                    <w:pStyle w:val="30"/>
                    <w:bidi w:val="0"/>
                    <w:rPr>
                      <w:rFonts w:hint="default"/>
                      <w:lang w:val="en-US" w:eastAsia="zh-CN"/>
                    </w:rPr>
                  </w:pPr>
                  <w:r>
                    <w:rPr>
                      <w:rFonts w:hint="default"/>
                      <w:lang w:val="en-US" w:eastAsia="zh-CN"/>
                    </w:rPr>
                    <w:t>841-00</w:t>
                  </w:r>
                  <w:r>
                    <w:rPr>
                      <w:rFonts w:hint="eastAsia"/>
                      <w:lang w:val="en-US" w:eastAsia="zh-CN"/>
                    </w:rPr>
                    <w:t>2</w:t>
                  </w:r>
                  <w:r>
                    <w:rPr>
                      <w:rFonts w:hint="default"/>
                      <w:lang w:val="en-US" w:eastAsia="zh-CN"/>
                    </w:rPr>
                    <w:t>-01</w:t>
                  </w:r>
                </w:p>
              </w:tc>
              <w:tc>
                <w:tcPr>
                  <w:tcW w:w="973" w:type="dxa"/>
                  <w:tcBorders>
                    <w:tl2br w:val="nil"/>
                    <w:tr2bl w:val="nil"/>
                  </w:tcBorders>
                  <w:noWrap w:val="0"/>
                  <w:vAlign w:val="center"/>
                </w:tcPr>
                <w:p>
                  <w:pPr>
                    <w:pStyle w:val="30"/>
                    <w:bidi w:val="0"/>
                    <w:rPr>
                      <w:rFonts w:hint="default"/>
                      <w:lang w:val="en-US" w:eastAsia="zh-CN"/>
                    </w:rPr>
                  </w:pPr>
                  <w:r>
                    <w:rPr>
                      <w:rFonts w:hint="eastAsia"/>
                      <w:lang w:val="en-US" w:eastAsia="zh-CN"/>
                    </w:rPr>
                    <w:t>15.513</w:t>
                  </w:r>
                </w:p>
              </w:tc>
              <w:tc>
                <w:tcPr>
                  <w:tcW w:w="750" w:type="dxa"/>
                  <w:tcBorders>
                    <w:tl2br w:val="nil"/>
                    <w:tr2bl w:val="nil"/>
                  </w:tcBorders>
                  <w:noWrap w:val="0"/>
                  <w:vAlign w:val="center"/>
                </w:tcPr>
                <w:p>
                  <w:pPr>
                    <w:pStyle w:val="30"/>
                    <w:bidi w:val="0"/>
                    <w:rPr>
                      <w:rFonts w:hint="eastAsia"/>
                      <w:lang w:eastAsia="zh-CN"/>
                    </w:rPr>
                  </w:pPr>
                  <w:r>
                    <w:rPr>
                      <w:rFonts w:hint="eastAsia"/>
                      <w:lang w:val="en-US" w:eastAsia="zh-CN"/>
                    </w:rPr>
                    <w:t>诊疗</w:t>
                  </w:r>
                </w:p>
              </w:tc>
              <w:tc>
                <w:tcPr>
                  <w:tcW w:w="655" w:type="dxa"/>
                  <w:tcBorders>
                    <w:tl2br w:val="nil"/>
                    <w:tr2bl w:val="nil"/>
                  </w:tcBorders>
                  <w:noWrap w:val="0"/>
                  <w:vAlign w:val="center"/>
                </w:tcPr>
                <w:p>
                  <w:pPr>
                    <w:pStyle w:val="30"/>
                    <w:bidi w:val="0"/>
                  </w:pPr>
                  <w:r>
                    <w:rPr>
                      <w:rFonts w:hint="eastAsia"/>
                      <w:lang w:val="en-US" w:eastAsia="zh-CN"/>
                    </w:rPr>
                    <w:t>固</w:t>
                  </w:r>
                </w:p>
                <w:p>
                  <w:pPr>
                    <w:pStyle w:val="30"/>
                    <w:bidi w:val="0"/>
                  </w:pPr>
                  <w:r>
                    <w:rPr>
                      <w:rFonts w:hint="eastAsia"/>
                      <w:lang w:val="en-US" w:eastAsia="zh-CN"/>
                    </w:rPr>
                    <w:t>态</w:t>
                  </w:r>
                </w:p>
              </w:tc>
              <w:tc>
                <w:tcPr>
                  <w:tcW w:w="655" w:type="dxa"/>
                  <w:tcBorders>
                    <w:tl2br w:val="nil"/>
                    <w:tr2bl w:val="nil"/>
                  </w:tcBorders>
                  <w:noWrap w:val="0"/>
                  <w:vAlign w:val="center"/>
                </w:tcPr>
                <w:p>
                  <w:pPr>
                    <w:pStyle w:val="30"/>
                    <w:bidi w:val="0"/>
                  </w:pPr>
                  <w:r>
                    <w:rPr>
                      <w:rFonts w:hint="eastAsia"/>
                      <w:lang w:val="en-US" w:eastAsia="zh-CN"/>
                    </w:rPr>
                    <w:t>金</w:t>
                  </w:r>
                </w:p>
                <w:p>
                  <w:pPr>
                    <w:pStyle w:val="30"/>
                    <w:bidi w:val="0"/>
                    <w:rPr>
                      <w:rFonts w:hint="eastAsia"/>
                      <w:lang w:eastAsia="zh-CN"/>
                    </w:rPr>
                  </w:pPr>
                  <w:r>
                    <w:rPr>
                      <w:rFonts w:hint="eastAsia"/>
                      <w:lang w:val="en-US" w:eastAsia="zh-CN"/>
                    </w:rPr>
                    <w:t>属</w:t>
                  </w:r>
                </w:p>
              </w:tc>
              <w:tc>
                <w:tcPr>
                  <w:tcW w:w="823" w:type="dxa"/>
                  <w:tcBorders>
                    <w:tl2br w:val="nil"/>
                    <w:tr2bl w:val="nil"/>
                  </w:tcBorders>
                  <w:noWrap w:val="0"/>
                  <w:vAlign w:val="center"/>
                </w:tcPr>
                <w:p>
                  <w:pPr>
                    <w:pStyle w:val="30"/>
                    <w:bidi w:val="0"/>
                  </w:pPr>
                  <w:r>
                    <w:rPr>
                      <w:rFonts w:hint="eastAsia"/>
                      <w:lang w:val="en-US" w:eastAsia="zh-CN"/>
                    </w:rPr>
                    <w:t>有机</w:t>
                  </w:r>
                </w:p>
                <w:p>
                  <w:pPr>
                    <w:pStyle w:val="30"/>
                    <w:bidi w:val="0"/>
                  </w:pPr>
                  <w:r>
                    <w:rPr>
                      <w:rFonts w:hint="eastAsia"/>
                      <w:lang w:val="en-US" w:eastAsia="zh-CN"/>
                    </w:rPr>
                    <w:t>物</w:t>
                  </w:r>
                </w:p>
              </w:tc>
              <w:tc>
                <w:tcPr>
                  <w:tcW w:w="530" w:type="dxa"/>
                  <w:tcBorders>
                    <w:tl2br w:val="nil"/>
                    <w:tr2bl w:val="nil"/>
                  </w:tcBorders>
                  <w:noWrap w:val="0"/>
                  <w:vAlign w:val="center"/>
                </w:tcPr>
                <w:p>
                  <w:pPr>
                    <w:pStyle w:val="30"/>
                    <w:bidi w:val="0"/>
                    <w:rPr>
                      <w:rFonts w:hint="eastAsia"/>
                      <w:lang w:val="en-US" w:eastAsia="zh-CN"/>
                    </w:rPr>
                  </w:pPr>
                  <w:r>
                    <w:rPr>
                      <w:rFonts w:hint="eastAsia"/>
                      <w:lang w:val="en-US" w:eastAsia="zh-CN"/>
                    </w:rPr>
                    <w:t>日</w:t>
                  </w:r>
                </w:p>
              </w:tc>
              <w:tc>
                <w:tcPr>
                  <w:tcW w:w="724" w:type="dxa"/>
                  <w:tcBorders>
                    <w:tl2br w:val="nil"/>
                    <w:tr2bl w:val="nil"/>
                  </w:tcBorders>
                  <w:noWrap w:val="0"/>
                  <w:vAlign w:val="center"/>
                </w:tcPr>
                <w:p>
                  <w:pPr>
                    <w:pStyle w:val="30"/>
                    <w:bidi w:val="0"/>
                    <w:rPr>
                      <w:rFonts w:hint="eastAsia"/>
                      <w:lang w:val="en-US" w:eastAsia="zh-CN"/>
                    </w:rPr>
                  </w:pPr>
                  <w:r>
                    <w:rPr>
                      <w:rFonts w:hint="default"/>
                      <w:lang w:val="en-US" w:eastAsia="zh-CN"/>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73" w:type="dxa"/>
                  <w:tcBorders>
                    <w:tl2br w:val="nil"/>
                    <w:tr2bl w:val="nil"/>
                  </w:tcBorders>
                  <w:noWrap w:val="0"/>
                  <w:vAlign w:val="center"/>
                </w:tcPr>
                <w:p>
                  <w:pPr>
                    <w:pStyle w:val="30"/>
                    <w:bidi w:val="0"/>
                    <w:rPr>
                      <w:rFonts w:hint="default"/>
                      <w:lang w:val="en-US" w:eastAsia="zh-CN"/>
                    </w:rPr>
                  </w:pPr>
                  <w:r>
                    <w:rPr>
                      <w:rFonts w:hint="eastAsia"/>
                      <w:lang w:val="en-US" w:eastAsia="zh-CN"/>
                    </w:rPr>
                    <w:t>3</w:t>
                  </w:r>
                </w:p>
              </w:tc>
              <w:tc>
                <w:tcPr>
                  <w:tcW w:w="736" w:type="dxa"/>
                  <w:tcBorders>
                    <w:tl2br w:val="nil"/>
                    <w:tr2bl w:val="nil"/>
                  </w:tcBorders>
                  <w:noWrap w:val="0"/>
                  <w:vAlign w:val="center"/>
                </w:tcPr>
                <w:p>
                  <w:pPr>
                    <w:pStyle w:val="30"/>
                    <w:bidi w:val="0"/>
                  </w:pPr>
                  <w:r>
                    <w:rPr>
                      <w:rFonts w:hint="eastAsia"/>
                      <w:lang w:val="en-US" w:eastAsia="zh-CN"/>
                    </w:rPr>
                    <w:t>病理</w:t>
                  </w:r>
                </w:p>
                <w:p>
                  <w:pPr>
                    <w:pStyle w:val="30"/>
                    <w:bidi w:val="0"/>
                  </w:pPr>
                  <w:r>
                    <w:rPr>
                      <w:rFonts w:hint="eastAsia"/>
                      <w:lang w:val="en-US" w:eastAsia="zh-CN"/>
                    </w:rPr>
                    <w:t>性废</w:t>
                  </w:r>
                </w:p>
                <w:p>
                  <w:pPr>
                    <w:pStyle w:val="30"/>
                    <w:bidi w:val="0"/>
                    <w:rPr>
                      <w:lang w:val="en-US"/>
                    </w:rPr>
                  </w:pPr>
                  <w:r>
                    <w:rPr>
                      <w:rFonts w:hint="eastAsia"/>
                      <w:lang w:val="en-US" w:eastAsia="zh-CN"/>
                    </w:rPr>
                    <w:t>物</w:t>
                  </w:r>
                </w:p>
              </w:tc>
              <w:tc>
                <w:tcPr>
                  <w:tcW w:w="877" w:type="dxa"/>
                  <w:tcBorders>
                    <w:tl2br w:val="nil"/>
                    <w:tr2bl w:val="nil"/>
                  </w:tcBorders>
                  <w:noWrap w:val="0"/>
                  <w:vAlign w:val="center"/>
                </w:tcPr>
                <w:p>
                  <w:pPr>
                    <w:pStyle w:val="30"/>
                    <w:bidi w:val="0"/>
                  </w:pPr>
                  <w:r>
                    <w:rPr>
                      <w:rFonts w:hint="default"/>
                      <w:lang w:val="en-US" w:eastAsia="zh-CN"/>
                    </w:rPr>
                    <w:t xml:space="preserve">HW01 </w:t>
                  </w:r>
                </w:p>
                <w:p>
                  <w:pPr>
                    <w:pStyle w:val="30"/>
                    <w:bidi w:val="0"/>
                  </w:pPr>
                  <w:r>
                    <w:rPr>
                      <w:rFonts w:hint="eastAsia"/>
                      <w:lang w:val="en-US" w:eastAsia="zh-CN"/>
                    </w:rPr>
                    <w:t>医疗</w:t>
                  </w:r>
                </w:p>
                <w:p>
                  <w:pPr>
                    <w:pStyle w:val="30"/>
                    <w:bidi w:val="0"/>
                    <w:rPr>
                      <w:rFonts w:hint="eastAsia"/>
                      <w:lang w:val="en-US" w:eastAsia="zh-CN"/>
                    </w:rPr>
                  </w:pPr>
                  <w:r>
                    <w:rPr>
                      <w:rFonts w:hint="eastAsia"/>
                      <w:lang w:val="en-US" w:eastAsia="zh-CN"/>
                    </w:rPr>
                    <w:t>废物</w:t>
                  </w:r>
                </w:p>
              </w:tc>
              <w:tc>
                <w:tcPr>
                  <w:tcW w:w="1379" w:type="dxa"/>
                  <w:tcBorders>
                    <w:tl2br w:val="nil"/>
                    <w:tr2bl w:val="nil"/>
                  </w:tcBorders>
                  <w:noWrap w:val="0"/>
                  <w:vAlign w:val="center"/>
                </w:tcPr>
                <w:p>
                  <w:pPr>
                    <w:pStyle w:val="30"/>
                    <w:bidi w:val="0"/>
                    <w:rPr>
                      <w:rFonts w:hint="default"/>
                      <w:lang w:val="en-US" w:eastAsia="zh-CN"/>
                    </w:rPr>
                  </w:pPr>
                  <w:r>
                    <w:rPr>
                      <w:rFonts w:hint="default"/>
                      <w:lang w:val="en-US" w:eastAsia="zh-CN"/>
                    </w:rPr>
                    <w:t>841-00</w:t>
                  </w:r>
                  <w:r>
                    <w:rPr>
                      <w:rFonts w:hint="eastAsia"/>
                      <w:lang w:val="en-US" w:eastAsia="zh-CN"/>
                    </w:rPr>
                    <w:t>3</w:t>
                  </w:r>
                  <w:r>
                    <w:rPr>
                      <w:rFonts w:hint="default"/>
                      <w:lang w:val="en-US" w:eastAsia="zh-CN"/>
                    </w:rPr>
                    <w:t>-01</w:t>
                  </w:r>
                </w:p>
              </w:tc>
              <w:tc>
                <w:tcPr>
                  <w:tcW w:w="973" w:type="dxa"/>
                  <w:tcBorders>
                    <w:tl2br w:val="nil"/>
                    <w:tr2bl w:val="nil"/>
                  </w:tcBorders>
                  <w:noWrap w:val="0"/>
                  <w:vAlign w:val="center"/>
                </w:tcPr>
                <w:p>
                  <w:pPr>
                    <w:pStyle w:val="30"/>
                    <w:bidi w:val="0"/>
                    <w:rPr>
                      <w:rFonts w:hint="default"/>
                      <w:lang w:val="en-US" w:eastAsia="zh-CN"/>
                    </w:rPr>
                  </w:pPr>
                  <w:r>
                    <w:rPr>
                      <w:rFonts w:hint="eastAsia"/>
                      <w:lang w:val="en-US" w:eastAsia="zh-CN"/>
                    </w:rPr>
                    <w:t>0.73</w:t>
                  </w:r>
                </w:p>
              </w:tc>
              <w:tc>
                <w:tcPr>
                  <w:tcW w:w="750" w:type="dxa"/>
                  <w:tcBorders>
                    <w:tl2br w:val="nil"/>
                    <w:tr2bl w:val="nil"/>
                  </w:tcBorders>
                  <w:noWrap w:val="0"/>
                  <w:vAlign w:val="center"/>
                </w:tcPr>
                <w:p>
                  <w:pPr>
                    <w:pStyle w:val="30"/>
                    <w:bidi w:val="0"/>
                    <w:rPr>
                      <w:rFonts w:hint="eastAsia"/>
                      <w:lang w:eastAsia="zh-CN"/>
                    </w:rPr>
                  </w:pPr>
                  <w:r>
                    <w:rPr>
                      <w:rFonts w:hint="eastAsia"/>
                      <w:lang w:val="en-US" w:eastAsia="zh-CN"/>
                    </w:rPr>
                    <w:t>诊疗</w:t>
                  </w:r>
                </w:p>
              </w:tc>
              <w:tc>
                <w:tcPr>
                  <w:tcW w:w="655" w:type="dxa"/>
                  <w:tcBorders>
                    <w:tl2br w:val="nil"/>
                    <w:tr2bl w:val="nil"/>
                  </w:tcBorders>
                  <w:noWrap w:val="0"/>
                  <w:vAlign w:val="center"/>
                </w:tcPr>
                <w:p>
                  <w:pPr>
                    <w:pStyle w:val="30"/>
                    <w:bidi w:val="0"/>
                  </w:pPr>
                  <w:r>
                    <w:rPr>
                      <w:rFonts w:hint="eastAsia"/>
                      <w:lang w:val="en-US" w:eastAsia="zh-CN"/>
                    </w:rPr>
                    <w:t>固</w:t>
                  </w:r>
                </w:p>
                <w:p>
                  <w:pPr>
                    <w:pStyle w:val="30"/>
                    <w:bidi w:val="0"/>
                  </w:pPr>
                  <w:r>
                    <w:rPr>
                      <w:rFonts w:hint="eastAsia"/>
                      <w:lang w:val="en-US" w:eastAsia="zh-CN"/>
                    </w:rPr>
                    <w:t>态</w:t>
                  </w:r>
                </w:p>
              </w:tc>
              <w:tc>
                <w:tcPr>
                  <w:tcW w:w="655" w:type="dxa"/>
                  <w:tcBorders>
                    <w:tl2br w:val="nil"/>
                    <w:tr2bl w:val="nil"/>
                  </w:tcBorders>
                  <w:noWrap w:val="0"/>
                  <w:vAlign w:val="center"/>
                </w:tcPr>
                <w:p>
                  <w:pPr>
                    <w:pStyle w:val="30"/>
                    <w:bidi w:val="0"/>
                  </w:pPr>
                  <w:r>
                    <w:rPr>
                      <w:rFonts w:hint="eastAsia"/>
                      <w:lang w:val="en-US" w:eastAsia="zh-CN"/>
                    </w:rPr>
                    <w:t>有机</w:t>
                  </w:r>
                </w:p>
                <w:p>
                  <w:pPr>
                    <w:pStyle w:val="30"/>
                    <w:bidi w:val="0"/>
                    <w:rPr>
                      <w:rFonts w:hint="eastAsia"/>
                      <w:lang w:eastAsia="zh-CN"/>
                    </w:rPr>
                  </w:pPr>
                  <w:r>
                    <w:rPr>
                      <w:rFonts w:hint="eastAsia"/>
                      <w:lang w:val="en-US" w:eastAsia="zh-CN"/>
                    </w:rPr>
                    <w:t>物</w:t>
                  </w:r>
                </w:p>
              </w:tc>
              <w:tc>
                <w:tcPr>
                  <w:tcW w:w="823" w:type="dxa"/>
                  <w:tcBorders>
                    <w:tl2br w:val="nil"/>
                    <w:tr2bl w:val="nil"/>
                  </w:tcBorders>
                  <w:noWrap w:val="0"/>
                  <w:vAlign w:val="center"/>
                </w:tcPr>
                <w:p>
                  <w:pPr>
                    <w:pStyle w:val="30"/>
                    <w:bidi w:val="0"/>
                  </w:pPr>
                  <w:r>
                    <w:rPr>
                      <w:rFonts w:hint="eastAsia"/>
                      <w:lang w:val="en-US" w:eastAsia="zh-CN"/>
                    </w:rPr>
                    <w:t>病菌</w:t>
                  </w:r>
                </w:p>
              </w:tc>
              <w:tc>
                <w:tcPr>
                  <w:tcW w:w="530" w:type="dxa"/>
                  <w:tcBorders>
                    <w:tl2br w:val="nil"/>
                    <w:tr2bl w:val="nil"/>
                  </w:tcBorders>
                  <w:noWrap w:val="0"/>
                  <w:vAlign w:val="center"/>
                </w:tcPr>
                <w:p>
                  <w:pPr>
                    <w:pStyle w:val="30"/>
                    <w:bidi w:val="0"/>
                    <w:rPr>
                      <w:rFonts w:hint="eastAsia"/>
                      <w:lang w:val="en-US" w:eastAsia="zh-CN"/>
                    </w:rPr>
                  </w:pPr>
                  <w:r>
                    <w:rPr>
                      <w:rFonts w:hint="eastAsia"/>
                      <w:lang w:val="en-US" w:eastAsia="zh-CN"/>
                    </w:rPr>
                    <w:t>日</w:t>
                  </w:r>
                </w:p>
              </w:tc>
              <w:tc>
                <w:tcPr>
                  <w:tcW w:w="724" w:type="dxa"/>
                  <w:tcBorders>
                    <w:tl2br w:val="nil"/>
                    <w:tr2bl w:val="nil"/>
                  </w:tcBorders>
                  <w:noWrap w:val="0"/>
                  <w:vAlign w:val="center"/>
                </w:tcPr>
                <w:p>
                  <w:pPr>
                    <w:pStyle w:val="30"/>
                    <w:bidi w:val="0"/>
                    <w:rPr>
                      <w:rFonts w:hint="eastAsia"/>
                      <w:lang w:val="en-US" w:eastAsia="zh-CN"/>
                    </w:rPr>
                  </w:pPr>
                  <w:r>
                    <w:rPr>
                      <w:rFonts w:hint="default"/>
                      <w:lang w:val="en-US" w:eastAsia="zh-CN"/>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73" w:type="dxa"/>
                  <w:tcBorders>
                    <w:tl2br w:val="nil"/>
                    <w:tr2bl w:val="nil"/>
                  </w:tcBorders>
                  <w:noWrap w:val="0"/>
                  <w:vAlign w:val="center"/>
                </w:tcPr>
                <w:p>
                  <w:pPr>
                    <w:pStyle w:val="30"/>
                    <w:bidi w:val="0"/>
                    <w:rPr>
                      <w:rFonts w:hint="default"/>
                      <w:lang w:val="en-US" w:eastAsia="zh-CN"/>
                    </w:rPr>
                  </w:pPr>
                  <w:r>
                    <w:rPr>
                      <w:rFonts w:hint="eastAsia"/>
                      <w:lang w:val="en-US" w:eastAsia="zh-CN"/>
                    </w:rPr>
                    <w:t>4</w:t>
                  </w:r>
                </w:p>
              </w:tc>
              <w:tc>
                <w:tcPr>
                  <w:tcW w:w="736" w:type="dxa"/>
                  <w:tcBorders>
                    <w:tl2br w:val="nil"/>
                    <w:tr2bl w:val="nil"/>
                  </w:tcBorders>
                  <w:noWrap w:val="0"/>
                  <w:vAlign w:val="center"/>
                </w:tcPr>
                <w:p>
                  <w:pPr>
                    <w:pStyle w:val="30"/>
                    <w:bidi w:val="0"/>
                  </w:pPr>
                  <w:r>
                    <w:rPr>
                      <w:rFonts w:hint="eastAsia"/>
                      <w:lang w:val="en-US" w:eastAsia="zh-CN"/>
                    </w:rPr>
                    <w:t>化学</w:t>
                  </w:r>
                </w:p>
                <w:p>
                  <w:pPr>
                    <w:pStyle w:val="30"/>
                    <w:bidi w:val="0"/>
                  </w:pPr>
                  <w:r>
                    <w:rPr>
                      <w:rFonts w:hint="eastAsia"/>
                      <w:lang w:val="en-US" w:eastAsia="zh-CN"/>
                    </w:rPr>
                    <w:t>性废</w:t>
                  </w:r>
                </w:p>
                <w:p>
                  <w:pPr>
                    <w:pStyle w:val="30"/>
                    <w:bidi w:val="0"/>
                    <w:rPr>
                      <w:lang w:val="en-US"/>
                    </w:rPr>
                  </w:pPr>
                  <w:r>
                    <w:rPr>
                      <w:rFonts w:hint="eastAsia"/>
                      <w:lang w:val="en-US" w:eastAsia="zh-CN"/>
                    </w:rPr>
                    <w:t>物</w:t>
                  </w:r>
                </w:p>
              </w:tc>
              <w:tc>
                <w:tcPr>
                  <w:tcW w:w="877" w:type="dxa"/>
                  <w:tcBorders>
                    <w:tl2br w:val="nil"/>
                    <w:tr2bl w:val="nil"/>
                  </w:tcBorders>
                  <w:noWrap w:val="0"/>
                  <w:vAlign w:val="center"/>
                </w:tcPr>
                <w:p>
                  <w:pPr>
                    <w:pStyle w:val="30"/>
                    <w:bidi w:val="0"/>
                  </w:pPr>
                  <w:r>
                    <w:rPr>
                      <w:rFonts w:hint="default"/>
                      <w:lang w:val="en-US" w:eastAsia="zh-CN"/>
                    </w:rPr>
                    <w:t xml:space="preserve">HW01 </w:t>
                  </w:r>
                </w:p>
                <w:p>
                  <w:pPr>
                    <w:pStyle w:val="30"/>
                    <w:bidi w:val="0"/>
                  </w:pPr>
                  <w:r>
                    <w:rPr>
                      <w:rFonts w:hint="eastAsia"/>
                      <w:lang w:val="en-US" w:eastAsia="zh-CN"/>
                    </w:rPr>
                    <w:t>医疗</w:t>
                  </w:r>
                </w:p>
                <w:p>
                  <w:pPr>
                    <w:pStyle w:val="30"/>
                    <w:bidi w:val="0"/>
                    <w:rPr>
                      <w:rFonts w:hint="eastAsia"/>
                      <w:lang w:val="en-US" w:eastAsia="zh-CN"/>
                    </w:rPr>
                  </w:pPr>
                  <w:r>
                    <w:rPr>
                      <w:rFonts w:hint="eastAsia"/>
                      <w:lang w:val="en-US" w:eastAsia="zh-CN"/>
                    </w:rPr>
                    <w:t>废物</w:t>
                  </w:r>
                </w:p>
              </w:tc>
              <w:tc>
                <w:tcPr>
                  <w:tcW w:w="1379" w:type="dxa"/>
                  <w:tcBorders>
                    <w:tl2br w:val="nil"/>
                    <w:tr2bl w:val="nil"/>
                  </w:tcBorders>
                  <w:noWrap w:val="0"/>
                  <w:vAlign w:val="center"/>
                </w:tcPr>
                <w:p>
                  <w:pPr>
                    <w:pStyle w:val="30"/>
                    <w:bidi w:val="0"/>
                    <w:rPr>
                      <w:rFonts w:hint="default"/>
                      <w:lang w:val="en-US" w:eastAsia="zh-CN"/>
                    </w:rPr>
                  </w:pPr>
                  <w:r>
                    <w:rPr>
                      <w:rFonts w:hint="default"/>
                      <w:lang w:val="en-US" w:eastAsia="zh-CN"/>
                    </w:rPr>
                    <w:t>841-00</w:t>
                  </w:r>
                  <w:r>
                    <w:rPr>
                      <w:rFonts w:hint="eastAsia"/>
                      <w:lang w:val="en-US" w:eastAsia="zh-CN"/>
                    </w:rPr>
                    <w:t>4</w:t>
                  </w:r>
                  <w:r>
                    <w:rPr>
                      <w:rFonts w:hint="default"/>
                      <w:lang w:val="en-US" w:eastAsia="zh-CN"/>
                    </w:rPr>
                    <w:t>-01</w:t>
                  </w:r>
                </w:p>
              </w:tc>
              <w:tc>
                <w:tcPr>
                  <w:tcW w:w="973" w:type="dxa"/>
                  <w:tcBorders>
                    <w:tl2br w:val="nil"/>
                    <w:tr2bl w:val="nil"/>
                  </w:tcBorders>
                  <w:noWrap w:val="0"/>
                  <w:vAlign w:val="center"/>
                </w:tcPr>
                <w:p>
                  <w:pPr>
                    <w:pStyle w:val="30"/>
                    <w:bidi w:val="0"/>
                    <w:rPr>
                      <w:rFonts w:hint="default"/>
                      <w:lang w:val="en-US" w:eastAsia="zh-CN"/>
                    </w:rPr>
                  </w:pPr>
                  <w:r>
                    <w:rPr>
                      <w:rFonts w:hint="eastAsia"/>
                      <w:lang w:val="en-US" w:eastAsia="zh-CN"/>
                    </w:rPr>
                    <w:t>0.073</w:t>
                  </w:r>
                </w:p>
              </w:tc>
              <w:tc>
                <w:tcPr>
                  <w:tcW w:w="750" w:type="dxa"/>
                  <w:tcBorders>
                    <w:tl2br w:val="nil"/>
                    <w:tr2bl w:val="nil"/>
                  </w:tcBorders>
                  <w:noWrap w:val="0"/>
                  <w:vAlign w:val="center"/>
                </w:tcPr>
                <w:p>
                  <w:pPr>
                    <w:pStyle w:val="30"/>
                    <w:bidi w:val="0"/>
                  </w:pPr>
                  <w:r>
                    <w:rPr>
                      <w:rFonts w:hint="eastAsia"/>
                      <w:lang w:val="en-US" w:eastAsia="zh-CN"/>
                    </w:rPr>
                    <w:t>检验</w:t>
                  </w:r>
                </w:p>
                <w:p>
                  <w:pPr>
                    <w:pStyle w:val="30"/>
                    <w:bidi w:val="0"/>
                    <w:rPr>
                      <w:rFonts w:hint="eastAsia"/>
                      <w:lang w:eastAsia="zh-CN"/>
                    </w:rPr>
                  </w:pPr>
                  <w:r>
                    <w:rPr>
                      <w:rFonts w:hint="eastAsia"/>
                      <w:lang w:val="en-US" w:eastAsia="zh-CN"/>
                    </w:rPr>
                    <w:t>室</w:t>
                  </w:r>
                </w:p>
              </w:tc>
              <w:tc>
                <w:tcPr>
                  <w:tcW w:w="655" w:type="dxa"/>
                  <w:tcBorders>
                    <w:tl2br w:val="nil"/>
                    <w:tr2bl w:val="nil"/>
                  </w:tcBorders>
                  <w:noWrap w:val="0"/>
                  <w:vAlign w:val="center"/>
                </w:tcPr>
                <w:p>
                  <w:pPr>
                    <w:pStyle w:val="30"/>
                    <w:bidi w:val="0"/>
                  </w:pPr>
                  <w:r>
                    <w:rPr>
                      <w:rFonts w:hint="eastAsia"/>
                      <w:lang w:val="en-US" w:eastAsia="zh-CN"/>
                    </w:rPr>
                    <w:t>固</w:t>
                  </w:r>
                </w:p>
                <w:p>
                  <w:pPr>
                    <w:pStyle w:val="30"/>
                    <w:bidi w:val="0"/>
                  </w:pPr>
                  <w:r>
                    <w:rPr>
                      <w:rFonts w:hint="eastAsia"/>
                      <w:lang w:val="en-US" w:eastAsia="zh-CN"/>
                    </w:rPr>
                    <w:t>态</w:t>
                  </w:r>
                  <w:r>
                    <w:rPr>
                      <w:rFonts w:hint="default"/>
                      <w:lang w:val="en-US" w:eastAsia="zh-CN"/>
                    </w:rPr>
                    <w:t xml:space="preserve">/ </w:t>
                  </w:r>
                </w:p>
                <w:p>
                  <w:pPr>
                    <w:pStyle w:val="30"/>
                    <w:bidi w:val="0"/>
                  </w:pPr>
                  <w:r>
                    <w:rPr>
                      <w:rFonts w:hint="eastAsia"/>
                      <w:lang w:val="en-US" w:eastAsia="zh-CN"/>
                    </w:rPr>
                    <w:t>液</w:t>
                  </w:r>
                </w:p>
                <w:p>
                  <w:pPr>
                    <w:pStyle w:val="30"/>
                    <w:bidi w:val="0"/>
                  </w:pPr>
                  <w:r>
                    <w:rPr>
                      <w:rFonts w:hint="eastAsia"/>
                      <w:lang w:val="en-US" w:eastAsia="zh-CN"/>
                    </w:rPr>
                    <w:t>态</w:t>
                  </w:r>
                </w:p>
              </w:tc>
              <w:tc>
                <w:tcPr>
                  <w:tcW w:w="655" w:type="dxa"/>
                  <w:tcBorders>
                    <w:tl2br w:val="nil"/>
                    <w:tr2bl w:val="nil"/>
                  </w:tcBorders>
                  <w:noWrap w:val="0"/>
                  <w:vAlign w:val="center"/>
                </w:tcPr>
                <w:p>
                  <w:pPr>
                    <w:pStyle w:val="30"/>
                    <w:bidi w:val="0"/>
                  </w:pPr>
                  <w:r>
                    <w:rPr>
                      <w:rFonts w:hint="eastAsia"/>
                      <w:lang w:val="en-US" w:eastAsia="zh-CN"/>
                    </w:rPr>
                    <w:t>化</w:t>
                  </w:r>
                </w:p>
                <w:p>
                  <w:pPr>
                    <w:pStyle w:val="30"/>
                    <w:bidi w:val="0"/>
                  </w:pPr>
                  <w:r>
                    <w:rPr>
                      <w:rFonts w:hint="eastAsia"/>
                      <w:lang w:val="en-US" w:eastAsia="zh-CN"/>
                    </w:rPr>
                    <w:t>学</w:t>
                  </w:r>
                </w:p>
                <w:p>
                  <w:pPr>
                    <w:pStyle w:val="30"/>
                    <w:bidi w:val="0"/>
                    <w:rPr>
                      <w:rFonts w:hint="eastAsia"/>
                      <w:lang w:eastAsia="zh-CN"/>
                    </w:rPr>
                  </w:pPr>
                  <w:r>
                    <w:rPr>
                      <w:rFonts w:hint="eastAsia"/>
                      <w:lang w:val="en-US" w:eastAsia="zh-CN"/>
                    </w:rPr>
                    <w:t>物</w:t>
                  </w:r>
                </w:p>
              </w:tc>
              <w:tc>
                <w:tcPr>
                  <w:tcW w:w="823" w:type="dxa"/>
                  <w:tcBorders>
                    <w:tl2br w:val="nil"/>
                    <w:tr2bl w:val="nil"/>
                  </w:tcBorders>
                  <w:noWrap w:val="0"/>
                  <w:vAlign w:val="center"/>
                </w:tcPr>
                <w:p>
                  <w:pPr>
                    <w:pStyle w:val="30"/>
                    <w:bidi w:val="0"/>
                  </w:pPr>
                  <w:r>
                    <w:rPr>
                      <w:rFonts w:hint="eastAsia"/>
                      <w:lang w:val="en-US" w:eastAsia="zh-CN"/>
                    </w:rPr>
                    <w:t>化</w:t>
                  </w:r>
                </w:p>
                <w:p>
                  <w:pPr>
                    <w:pStyle w:val="30"/>
                    <w:bidi w:val="0"/>
                  </w:pPr>
                  <w:r>
                    <w:rPr>
                      <w:rFonts w:hint="eastAsia"/>
                      <w:lang w:val="en-US" w:eastAsia="zh-CN"/>
                    </w:rPr>
                    <w:t>学</w:t>
                  </w:r>
                </w:p>
                <w:p>
                  <w:pPr>
                    <w:pStyle w:val="30"/>
                    <w:bidi w:val="0"/>
                  </w:pPr>
                  <w:r>
                    <w:rPr>
                      <w:rFonts w:hint="eastAsia"/>
                      <w:lang w:val="en-US" w:eastAsia="zh-CN"/>
                    </w:rPr>
                    <w:t>物</w:t>
                  </w:r>
                </w:p>
              </w:tc>
              <w:tc>
                <w:tcPr>
                  <w:tcW w:w="530" w:type="dxa"/>
                  <w:tcBorders>
                    <w:tl2br w:val="nil"/>
                    <w:tr2bl w:val="nil"/>
                  </w:tcBorders>
                  <w:noWrap w:val="0"/>
                  <w:vAlign w:val="center"/>
                </w:tcPr>
                <w:p>
                  <w:pPr>
                    <w:pStyle w:val="30"/>
                    <w:bidi w:val="0"/>
                    <w:rPr>
                      <w:rFonts w:hint="eastAsia"/>
                      <w:lang w:val="en-US" w:eastAsia="zh-CN"/>
                    </w:rPr>
                  </w:pPr>
                  <w:r>
                    <w:rPr>
                      <w:rFonts w:hint="eastAsia"/>
                      <w:lang w:val="en-US" w:eastAsia="zh-CN"/>
                    </w:rPr>
                    <w:t>日</w:t>
                  </w:r>
                </w:p>
              </w:tc>
              <w:tc>
                <w:tcPr>
                  <w:tcW w:w="724" w:type="dxa"/>
                  <w:tcBorders>
                    <w:tl2br w:val="nil"/>
                    <w:tr2bl w:val="nil"/>
                  </w:tcBorders>
                  <w:noWrap w:val="0"/>
                  <w:vAlign w:val="center"/>
                </w:tcPr>
                <w:p>
                  <w:pPr>
                    <w:pStyle w:val="30"/>
                    <w:bidi w:val="0"/>
                    <w:rPr>
                      <w:rFonts w:hint="eastAsia"/>
                      <w:lang w:val="en-US" w:eastAsia="zh-CN"/>
                    </w:rPr>
                  </w:pPr>
                  <w:r>
                    <w:rPr>
                      <w:rFonts w:hint="default"/>
                      <w:lang w:val="en-US" w:eastAsia="zh-CN"/>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73" w:type="dxa"/>
                  <w:tcBorders>
                    <w:tl2br w:val="nil"/>
                    <w:tr2bl w:val="nil"/>
                  </w:tcBorders>
                  <w:noWrap w:val="0"/>
                  <w:vAlign w:val="center"/>
                </w:tcPr>
                <w:p>
                  <w:pPr>
                    <w:pStyle w:val="30"/>
                    <w:bidi w:val="0"/>
                    <w:rPr>
                      <w:rFonts w:hint="default"/>
                      <w:lang w:val="en-US" w:eastAsia="zh-CN"/>
                    </w:rPr>
                  </w:pPr>
                  <w:r>
                    <w:rPr>
                      <w:rFonts w:hint="eastAsia"/>
                      <w:lang w:val="en-US" w:eastAsia="zh-CN"/>
                    </w:rPr>
                    <w:t>5</w:t>
                  </w:r>
                </w:p>
              </w:tc>
              <w:tc>
                <w:tcPr>
                  <w:tcW w:w="736" w:type="dxa"/>
                  <w:tcBorders>
                    <w:tl2br w:val="nil"/>
                    <w:tr2bl w:val="nil"/>
                  </w:tcBorders>
                  <w:noWrap w:val="0"/>
                  <w:vAlign w:val="center"/>
                </w:tcPr>
                <w:p>
                  <w:pPr>
                    <w:pStyle w:val="30"/>
                    <w:bidi w:val="0"/>
                  </w:pPr>
                  <w:r>
                    <w:rPr>
                      <w:rFonts w:hint="eastAsia"/>
                      <w:lang w:val="en-US" w:eastAsia="zh-CN"/>
                    </w:rPr>
                    <w:t>药物</w:t>
                  </w:r>
                </w:p>
                <w:p>
                  <w:pPr>
                    <w:pStyle w:val="30"/>
                    <w:bidi w:val="0"/>
                  </w:pPr>
                  <w:r>
                    <w:rPr>
                      <w:rFonts w:hint="eastAsia"/>
                      <w:lang w:val="en-US" w:eastAsia="zh-CN"/>
                    </w:rPr>
                    <w:t>性废</w:t>
                  </w:r>
                </w:p>
                <w:p>
                  <w:pPr>
                    <w:pStyle w:val="30"/>
                    <w:bidi w:val="0"/>
                    <w:rPr>
                      <w:lang w:val="en-US"/>
                    </w:rPr>
                  </w:pPr>
                  <w:r>
                    <w:rPr>
                      <w:rFonts w:hint="eastAsia"/>
                      <w:lang w:val="en-US" w:eastAsia="zh-CN"/>
                    </w:rPr>
                    <w:t>物</w:t>
                  </w:r>
                </w:p>
              </w:tc>
              <w:tc>
                <w:tcPr>
                  <w:tcW w:w="877" w:type="dxa"/>
                  <w:tcBorders>
                    <w:tl2br w:val="nil"/>
                    <w:tr2bl w:val="nil"/>
                  </w:tcBorders>
                  <w:noWrap w:val="0"/>
                  <w:vAlign w:val="center"/>
                </w:tcPr>
                <w:p>
                  <w:pPr>
                    <w:pStyle w:val="30"/>
                    <w:bidi w:val="0"/>
                  </w:pPr>
                  <w:r>
                    <w:rPr>
                      <w:rFonts w:hint="default"/>
                      <w:lang w:val="en-US" w:eastAsia="zh-CN"/>
                    </w:rPr>
                    <w:t xml:space="preserve">HW01 </w:t>
                  </w:r>
                </w:p>
                <w:p>
                  <w:pPr>
                    <w:pStyle w:val="30"/>
                    <w:bidi w:val="0"/>
                  </w:pPr>
                  <w:r>
                    <w:rPr>
                      <w:rFonts w:hint="eastAsia"/>
                      <w:lang w:val="en-US" w:eastAsia="zh-CN"/>
                    </w:rPr>
                    <w:t>医疗</w:t>
                  </w:r>
                </w:p>
                <w:p>
                  <w:pPr>
                    <w:pStyle w:val="30"/>
                    <w:bidi w:val="0"/>
                    <w:rPr>
                      <w:rFonts w:hint="eastAsia"/>
                      <w:lang w:val="en-US" w:eastAsia="zh-CN"/>
                    </w:rPr>
                  </w:pPr>
                  <w:r>
                    <w:rPr>
                      <w:rFonts w:hint="eastAsia"/>
                      <w:lang w:val="en-US" w:eastAsia="zh-CN"/>
                    </w:rPr>
                    <w:t>废物</w:t>
                  </w:r>
                </w:p>
              </w:tc>
              <w:tc>
                <w:tcPr>
                  <w:tcW w:w="1379" w:type="dxa"/>
                  <w:tcBorders>
                    <w:tl2br w:val="nil"/>
                    <w:tr2bl w:val="nil"/>
                  </w:tcBorders>
                  <w:noWrap w:val="0"/>
                  <w:vAlign w:val="center"/>
                </w:tcPr>
                <w:p>
                  <w:pPr>
                    <w:pStyle w:val="30"/>
                    <w:bidi w:val="0"/>
                    <w:rPr>
                      <w:rFonts w:hint="default"/>
                      <w:lang w:val="en-US" w:eastAsia="zh-CN"/>
                    </w:rPr>
                  </w:pPr>
                  <w:r>
                    <w:rPr>
                      <w:rFonts w:hint="default"/>
                      <w:lang w:val="en-US" w:eastAsia="zh-CN"/>
                    </w:rPr>
                    <w:t>841-00</w:t>
                  </w:r>
                  <w:r>
                    <w:rPr>
                      <w:rFonts w:hint="eastAsia"/>
                      <w:lang w:val="en-US" w:eastAsia="zh-CN"/>
                    </w:rPr>
                    <w:t>5</w:t>
                  </w:r>
                  <w:r>
                    <w:rPr>
                      <w:rFonts w:hint="default"/>
                      <w:lang w:val="en-US" w:eastAsia="zh-CN"/>
                    </w:rPr>
                    <w:t>-01</w:t>
                  </w:r>
                </w:p>
              </w:tc>
              <w:tc>
                <w:tcPr>
                  <w:tcW w:w="973" w:type="dxa"/>
                  <w:tcBorders>
                    <w:tl2br w:val="nil"/>
                    <w:tr2bl w:val="nil"/>
                  </w:tcBorders>
                  <w:noWrap w:val="0"/>
                  <w:vAlign w:val="center"/>
                </w:tcPr>
                <w:p>
                  <w:pPr>
                    <w:pStyle w:val="30"/>
                    <w:bidi w:val="0"/>
                    <w:rPr>
                      <w:rFonts w:hint="default"/>
                      <w:lang w:val="en-US" w:eastAsia="zh-CN"/>
                    </w:rPr>
                  </w:pPr>
                  <w:r>
                    <w:rPr>
                      <w:rFonts w:hint="eastAsia"/>
                      <w:lang w:val="en-US" w:eastAsia="zh-CN"/>
                    </w:rPr>
                    <w:t>0.073</w:t>
                  </w:r>
                </w:p>
              </w:tc>
              <w:tc>
                <w:tcPr>
                  <w:tcW w:w="750" w:type="dxa"/>
                  <w:tcBorders>
                    <w:tl2br w:val="nil"/>
                    <w:tr2bl w:val="nil"/>
                  </w:tcBorders>
                  <w:noWrap w:val="0"/>
                  <w:vAlign w:val="center"/>
                </w:tcPr>
                <w:p>
                  <w:pPr>
                    <w:pStyle w:val="30"/>
                    <w:bidi w:val="0"/>
                    <w:rPr>
                      <w:rFonts w:hint="eastAsia"/>
                      <w:lang w:eastAsia="zh-CN"/>
                    </w:rPr>
                  </w:pPr>
                  <w:r>
                    <w:rPr>
                      <w:rFonts w:hint="eastAsia"/>
                      <w:lang w:val="en-US" w:eastAsia="zh-CN"/>
                    </w:rPr>
                    <w:t>诊疗</w:t>
                  </w:r>
                </w:p>
              </w:tc>
              <w:tc>
                <w:tcPr>
                  <w:tcW w:w="655" w:type="dxa"/>
                  <w:tcBorders>
                    <w:tl2br w:val="nil"/>
                    <w:tr2bl w:val="nil"/>
                  </w:tcBorders>
                  <w:noWrap w:val="0"/>
                  <w:vAlign w:val="center"/>
                </w:tcPr>
                <w:p>
                  <w:pPr>
                    <w:pStyle w:val="30"/>
                    <w:bidi w:val="0"/>
                  </w:pPr>
                  <w:r>
                    <w:rPr>
                      <w:rFonts w:hint="eastAsia"/>
                      <w:lang w:val="en-US" w:eastAsia="zh-CN"/>
                    </w:rPr>
                    <w:t>固</w:t>
                  </w:r>
                </w:p>
                <w:p>
                  <w:pPr>
                    <w:pStyle w:val="30"/>
                    <w:bidi w:val="0"/>
                  </w:pPr>
                  <w:r>
                    <w:rPr>
                      <w:rFonts w:hint="eastAsia"/>
                      <w:lang w:val="en-US" w:eastAsia="zh-CN"/>
                    </w:rPr>
                    <w:t>态</w:t>
                  </w:r>
                  <w:r>
                    <w:rPr>
                      <w:rFonts w:hint="default"/>
                      <w:lang w:val="en-US" w:eastAsia="zh-CN"/>
                    </w:rPr>
                    <w:t xml:space="preserve">/ </w:t>
                  </w:r>
                </w:p>
                <w:p>
                  <w:pPr>
                    <w:pStyle w:val="30"/>
                    <w:bidi w:val="0"/>
                  </w:pPr>
                  <w:r>
                    <w:rPr>
                      <w:rFonts w:hint="eastAsia"/>
                      <w:lang w:val="en-US" w:eastAsia="zh-CN"/>
                    </w:rPr>
                    <w:t>液</w:t>
                  </w:r>
                </w:p>
                <w:p>
                  <w:pPr>
                    <w:pStyle w:val="30"/>
                    <w:bidi w:val="0"/>
                  </w:pPr>
                  <w:r>
                    <w:rPr>
                      <w:rFonts w:hint="eastAsia"/>
                      <w:lang w:val="en-US" w:eastAsia="zh-CN"/>
                    </w:rPr>
                    <w:t>态</w:t>
                  </w:r>
                </w:p>
              </w:tc>
              <w:tc>
                <w:tcPr>
                  <w:tcW w:w="655" w:type="dxa"/>
                  <w:tcBorders>
                    <w:tl2br w:val="nil"/>
                    <w:tr2bl w:val="nil"/>
                  </w:tcBorders>
                  <w:noWrap w:val="0"/>
                  <w:vAlign w:val="center"/>
                </w:tcPr>
                <w:p>
                  <w:pPr>
                    <w:pStyle w:val="30"/>
                    <w:bidi w:val="0"/>
                  </w:pPr>
                  <w:r>
                    <w:rPr>
                      <w:rFonts w:hint="eastAsia"/>
                      <w:lang w:val="en-US" w:eastAsia="zh-CN"/>
                    </w:rPr>
                    <w:t>药</w:t>
                  </w:r>
                </w:p>
                <w:p>
                  <w:pPr>
                    <w:pStyle w:val="30"/>
                    <w:bidi w:val="0"/>
                    <w:rPr>
                      <w:rFonts w:hint="eastAsia"/>
                      <w:lang w:eastAsia="zh-CN"/>
                    </w:rPr>
                  </w:pPr>
                  <w:r>
                    <w:rPr>
                      <w:rFonts w:hint="eastAsia"/>
                      <w:lang w:val="en-US" w:eastAsia="zh-CN"/>
                    </w:rPr>
                    <w:t>物</w:t>
                  </w:r>
                </w:p>
              </w:tc>
              <w:tc>
                <w:tcPr>
                  <w:tcW w:w="823" w:type="dxa"/>
                  <w:tcBorders>
                    <w:tl2br w:val="nil"/>
                    <w:tr2bl w:val="nil"/>
                  </w:tcBorders>
                  <w:noWrap w:val="0"/>
                  <w:vAlign w:val="center"/>
                </w:tcPr>
                <w:p>
                  <w:pPr>
                    <w:pStyle w:val="30"/>
                    <w:bidi w:val="0"/>
                  </w:pPr>
                  <w:r>
                    <w:rPr>
                      <w:rFonts w:hint="eastAsia"/>
                      <w:lang w:val="en-US" w:eastAsia="zh-CN"/>
                    </w:rPr>
                    <w:t>药</w:t>
                  </w:r>
                </w:p>
                <w:p>
                  <w:pPr>
                    <w:pStyle w:val="30"/>
                    <w:bidi w:val="0"/>
                  </w:pPr>
                  <w:r>
                    <w:rPr>
                      <w:rFonts w:hint="eastAsia"/>
                      <w:lang w:val="en-US" w:eastAsia="zh-CN"/>
                    </w:rPr>
                    <w:t>物</w:t>
                  </w:r>
                </w:p>
              </w:tc>
              <w:tc>
                <w:tcPr>
                  <w:tcW w:w="530" w:type="dxa"/>
                  <w:tcBorders>
                    <w:tl2br w:val="nil"/>
                    <w:tr2bl w:val="nil"/>
                  </w:tcBorders>
                  <w:noWrap w:val="0"/>
                  <w:vAlign w:val="center"/>
                </w:tcPr>
                <w:p>
                  <w:pPr>
                    <w:pStyle w:val="30"/>
                    <w:bidi w:val="0"/>
                    <w:rPr>
                      <w:rFonts w:hint="eastAsia"/>
                      <w:lang w:val="en-US" w:eastAsia="zh-CN"/>
                    </w:rPr>
                  </w:pPr>
                  <w:r>
                    <w:rPr>
                      <w:rFonts w:hint="eastAsia"/>
                      <w:lang w:val="en-US" w:eastAsia="zh-CN"/>
                    </w:rPr>
                    <w:t>日</w:t>
                  </w:r>
                </w:p>
              </w:tc>
              <w:tc>
                <w:tcPr>
                  <w:tcW w:w="724" w:type="dxa"/>
                  <w:tcBorders>
                    <w:tl2br w:val="nil"/>
                    <w:tr2bl w:val="nil"/>
                  </w:tcBorders>
                  <w:noWrap w:val="0"/>
                  <w:vAlign w:val="center"/>
                </w:tcPr>
                <w:p>
                  <w:pPr>
                    <w:pStyle w:val="30"/>
                    <w:bidi w:val="0"/>
                    <w:rPr>
                      <w:rFonts w:hint="eastAsia"/>
                      <w:lang w:val="en-US" w:eastAsia="zh-CN"/>
                    </w:rPr>
                  </w:pPr>
                  <w:r>
                    <w:rPr>
                      <w:rFonts w:hint="default"/>
                      <w:lang w:val="en-US" w:eastAsia="zh-CN"/>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73" w:type="dxa"/>
                  <w:tcBorders>
                    <w:tl2br w:val="nil"/>
                    <w:tr2bl w:val="nil"/>
                  </w:tcBorders>
                  <w:noWrap w:val="0"/>
                  <w:vAlign w:val="center"/>
                </w:tcPr>
                <w:p>
                  <w:pPr>
                    <w:pStyle w:val="30"/>
                    <w:bidi w:val="0"/>
                    <w:rPr>
                      <w:rFonts w:hint="default"/>
                      <w:lang w:val="en-US" w:eastAsia="zh-CN"/>
                    </w:rPr>
                  </w:pPr>
                  <w:r>
                    <w:rPr>
                      <w:rFonts w:hint="eastAsia"/>
                      <w:lang w:val="en-US" w:eastAsia="zh-CN"/>
                    </w:rPr>
                    <w:t>6</w:t>
                  </w:r>
                </w:p>
              </w:tc>
              <w:tc>
                <w:tcPr>
                  <w:tcW w:w="736" w:type="dxa"/>
                  <w:tcBorders>
                    <w:tl2br w:val="nil"/>
                    <w:tr2bl w:val="nil"/>
                  </w:tcBorders>
                  <w:noWrap w:val="0"/>
                  <w:vAlign w:val="center"/>
                </w:tcPr>
                <w:p>
                  <w:pPr>
                    <w:pStyle w:val="30"/>
                    <w:bidi w:val="0"/>
                  </w:pPr>
                  <w:r>
                    <w:rPr>
                      <w:rFonts w:hint="eastAsia"/>
                      <w:lang w:val="en-US" w:eastAsia="zh-CN"/>
                    </w:rPr>
                    <w:t>污水</w:t>
                  </w:r>
                </w:p>
                <w:p>
                  <w:pPr>
                    <w:pStyle w:val="30"/>
                    <w:bidi w:val="0"/>
                  </w:pPr>
                  <w:r>
                    <w:rPr>
                      <w:rFonts w:hint="eastAsia"/>
                      <w:lang w:val="en-US" w:eastAsia="zh-CN"/>
                    </w:rPr>
                    <w:t>站污</w:t>
                  </w:r>
                </w:p>
                <w:p>
                  <w:pPr>
                    <w:pStyle w:val="30"/>
                    <w:bidi w:val="0"/>
                    <w:rPr>
                      <w:lang w:val="en-US"/>
                    </w:rPr>
                  </w:pPr>
                  <w:r>
                    <w:rPr>
                      <w:rFonts w:hint="eastAsia"/>
                      <w:lang w:val="en-US" w:eastAsia="zh-CN"/>
                    </w:rPr>
                    <w:t>泥</w:t>
                  </w:r>
                </w:p>
              </w:tc>
              <w:tc>
                <w:tcPr>
                  <w:tcW w:w="877" w:type="dxa"/>
                  <w:tcBorders>
                    <w:tl2br w:val="nil"/>
                    <w:tr2bl w:val="nil"/>
                  </w:tcBorders>
                  <w:noWrap w:val="0"/>
                  <w:vAlign w:val="center"/>
                </w:tcPr>
                <w:p>
                  <w:pPr>
                    <w:pStyle w:val="30"/>
                    <w:bidi w:val="0"/>
                  </w:pPr>
                  <w:r>
                    <w:rPr>
                      <w:rFonts w:hint="default"/>
                      <w:lang w:val="en-US" w:eastAsia="zh-CN"/>
                    </w:rPr>
                    <w:t xml:space="preserve">HW49 </w:t>
                  </w:r>
                </w:p>
                <w:p>
                  <w:pPr>
                    <w:pStyle w:val="30"/>
                    <w:bidi w:val="0"/>
                  </w:pPr>
                  <w:r>
                    <w:rPr>
                      <w:rFonts w:hint="eastAsia"/>
                      <w:lang w:val="en-US" w:eastAsia="zh-CN"/>
                    </w:rPr>
                    <w:t>其他</w:t>
                  </w:r>
                </w:p>
                <w:p>
                  <w:pPr>
                    <w:pStyle w:val="30"/>
                    <w:bidi w:val="0"/>
                    <w:rPr>
                      <w:rFonts w:hint="eastAsia"/>
                      <w:lang w:val="en-US" w:eastAsia="zh-CN"/>
                    </w:rPr>
                  </w:pPr>
                  <w:r>
                    <w:rPr>
                      <w:rFonts w:hint="eastAsia"/>
                      <w:lang w:val="en-US" w:eastAsia="zh-CN"/>
                    </w:rPr>
                    <w:t>废物</w:t>
                  </w:r>
                </w:p>
              </w:tc>
              <w:tc>
                <w:tcPr>
                  <w:tcW w:w="1379" w:type="dxa"/>
                  <w:tcBorders>
                    <w:tl2br w:val="nil"/>
                    <w:tr2bl w:val="nil"/>
                  </w:tcBorders>
                  <w:noWrap w:val="0"/>
                  <w:vAlign w:val="center"/>
                </w:tcPr>
                <w:p>
                  <w:pPr>
                    <w:pStyle w:val="30"/>
                    <w:bidi w:val="0"/>
                    <w:rPr>
                      <w:lang w:val="en-US"/>
                    </w:rPr>
                  </w:pPr>
                  <w:r>
                    <w:rPr>
                      <w:rFonts w:hint="default"/>
                      <w:lang w:val="en-US" w:eastAsia="zh-CN"/>
                    </w:rPr>
                    <w:t>772-006-49</w:t>
                  </w:r>
                </w:p>
              </w:tc>
              <w:tc>
                <w:tcPr>
                  <w:tcW w:w="973" w:type="dxa"/>
                  <w:tcBorders>
                    <w:tl2br w:val="nil"/>
                    <w:tr2bl w:val="nil"/>
                  </w:tcBorders>
                  <w:noWrap w:val="0"/>
                  <w:vAlign w:val="center"/>
                </w:tcPr>
                <w:p>
                  <w:pPr>
                    <w:pStyle w:val="30"/>
                    <w:bidi w:val="0"/>
                    <w:rPr>
                      <w:rFonts w:hint="default"/>
                      <w:lang w:val="en-US" w:eastAsia="zh-CN"/>
                    </w:rPr>
                  </w:pPr>
                  <w:r>
                    <w:rPr>
                      <w:rFonts w:hint="eastAsia"/>
                      <w:lang w:val="en-US" w:eastAsia="zh-CN"/>
                    </w:rPr>
                    <w:t>1.28</w:t>
                  </w:r>
                </w:p>
              </w:tc>
              <w:tc>
                <w:tcPr>
                  <w:tcW w:w="750" w:type="dxa"/>
                  <w:tcBorders>
                    <w:tl2br w:val="nil"/>
                    <w:tr2bl w:val="nil"/>
                  </w:tcBorders>
                  <w:noWrap w:val="0"/>
                  <w:vAlign w:val="center"/>
                </w:tcPr>
                <w:p>
                  <w:pPr>
                    <w:pStyle w:val="30"/>
                    <w:bidi w:val="0"/>
                  </w:pPr>
                  <w:r>
                    <w:rPr>
                      <w:rFonts w:hint="eastAsia"/>
                      <w:lang w:val="en-US" w:eastAsia="zh-CN"/>
                    </w:rPr>
                    <w:t>医疗</w:t>
                  </w:r>
                </w:p>
                <w:p>
                  <w:pPr>
                    <w:pStyle w:val="30"/>
                    <w:bidi w:val="0"/>
                  </w:pPr>
                  <w:r>
                    <w:rPr>
                      <w:rFonts w:hint="eastAsia"/>
                      <w:lang w:val="en-US" w:eastAsia="zh-CN"/>
                    </w:rPr>
                    <w:t>污水</w:t>
                  </w:r>
                </w:p>
                <w:p>
                  <w:pPr>
                    <w:pStyle w:val="30"/>
                    <w:bidi w:val="0"/>
                  </w:pPr>
                  <w:r>
                    <w:rPr>
                      <w:rFonts w:hint="eastAsia"/>
                      <w:lang w:val="en-US" w:eastAsia="zh-CN"/>
                    </w:rPr>
                    <w:t>处理</w:t>
                  </w:r>
                </w:p>
                <w:p>
                  <w:pPr>
                    <w:pStyle w:val="30"/>
                    <w:bidi w:val="0"/>
                    <w:rPr>
                      <w:rFonts w:hint="eastAsia"/>
                      <w:lang w:eastAsia="zh-CN"/>
                    </w:rPr>
                  </w:pPr>
                  <w:r>
                    <w:rPr>
                      <w:rFonts w:hint="eastAsia"/>
                      <w:lang w:val="en-US" w:eastAsia="zh-CN"/>
                    </w:rPr>
                    <w:t>站</w:t>
                  </w:r>
                </w:p>
              </w:tc>
              <w:tc>
                <w:tcPr>
                  <w:tcW w:w="655" w:type="dxa"/>
                  <w:tcBorders>
                    <w:tl2br w:val="nil"/>
                    <w:tr2bl w:val="nil"/>
                  </w:tcBorders>
                  <w:noWrap w:val="0"/>
                  <w:vAlign w:val="center"/>
                </w:tcPr>
                <w:p>
                  <w:pPr>
                    <w:pStyle w:val="30"/>
                    <w:bidi w:val="0"/>
                  </w:pPr>
                  <w:r>
                    <w:rPr>
                      <w:rFonts w:hint="eastAsia"/>
                      <w:lang w:val="en-US" w:eastAsia="zh-CN"/>
                    </w:rPr>
                    <w:t>固</w:t>
                  </w:r>
                </w:p>
                <w:p>
                  <w:pPr>
                    <w:pStyle w:val="30"/>
                    <w:bidi w:val="0"/>
                  </w:pPr>
                  <w:r>
                    <w:rPr>
                      <w:rFonts w:hint="eastAsia"/>
                      <w:lang w:val="en-US" w:eastAsia="zh-CN"/>
                    </w:rPr>
                    <w:t>态</w:t>
                  </w:r>
                </w:p>
              </w:tc>
              <w:tc>
                <w:tcPr>
                  <w:tcW w:w="655" w:type="dxa"/>
                  <w:tcBorders>
                    <w:tl2br w:val="nil"/>
                    <w:tr2bl w:val="nil"/>
                  </w:tcBorders>
                  <w:noWrap w:val="0"/>
                  <w:vAlign w:val="center"/>
                </w:tcPr>
                <w:p>
                  <w:pPr>
                    <w:pStyle w:val="30"/>
                    <w:bidi w:val="0"/>
                  </w:pPr>
                  <w:r>
                    <w:rPr>
                      <w:rFonts w:hint="eastAsia"/>
                      <w:lang w:val="en-US" w:eastAsia="zh-CN"/>
                    </w:rPr>
                    <w:t>污</w:t>
                  </w:r>
                </w:p>
                <w:p>
                  <w:pPr>
                    <w:pStyle w:val="30"/>
                    <w:bidi w:val="0"/>
                    <w:rPr>
                      <w:rFonts w:hint="eastAsia"/>
                      <w:lang w:eastAsia="zh-CN"/>
                    </w:rPr>
                  </w:pPr>
                  <w:r>
                    <w:rPr>
                      <w:rFonts w:hint="eastAsia"/>
                      <w:lang w:val="en-US" w:eastAsia="zh-CN"/>
                    </w:rPr>
                    <w:t>泥</w:t>
                  </w:r>
                </w:p>
              </w:tc>
              <w:tc>
                <w:tcPr>
                  <w:tcW w:w="823" w:type="dxa"/>
                  <w:tcBorders>
                    <w:tl2br w:val="nil"/>
                    <w:tr2bl w:val="nil"/>
                  </w:tcBorders>
                  <w:noWrap w:val="0"/>
                  <w:vAlign w:val="center"/>
                </w:tcPr>
                <w:p>
                  <w:pPr>
                    <w:pStyle w:val="30"/>
                    <w:bidi w:val="0"/>
                  </w:pPr>
                  <w:r>
                    <w:rPr>
                      <w:rFonts w:hint="eastAsia"/>
                      <w:lang w:val="en-US" w:eastAsia="zh-CN"/>
                    </w:rPr>
                    <w:t>有机</w:t>
                  </w:r>
                </w:p>
                <w:p>
                  <w:pPr>
                    <w:pStyle w:val="30"/>
                    <w:bidi w:val="0"/>
                  </w:pPr>
                  <w:r>
                    <w:rPr>
                      <w:rFonts w:hint="eastAsia"/>
                      <w:lang w:val="en-US" w:eastAsia="zh-CN"/>
                    </w:rPr>
                    <w:t>物</w:t>
                  </w:r>
                </w:p>
                <w:p>
                  <w:pPr>
                    <w:pStyle w:val="30"/>
                    <w:bidi w:val="0"/>
                  </w:pPr>
                  <w:r>
                    <w:rPr>
                      <w:rFonts w:hint="eastAsia"/>
                      <w:lang w:val="en-US" w:eastAsia="zh-CN"/>
                    </w:rPr>
                    <w:t>‘药</w:t>
                  </w:r>
                </w:p>
                <w:p>
                  <w:pPr>
                    <w:pStyle w:val="30"/>
                    <w:bidi w:val="0"/>
                  </w:pPr>
                  <w:r>
                    <w:rPr>
                      <w:rFonts w:hint="eastAsia"/>
                      <w:lang w:val="en-US" w:eastAsia="zh-CN"/>
                    </w:rPr>
                    <w:t>物</w:t>
                  </w:r>
                </w:p>
              </w:tc>
              <w:tc>
                <w:tcPr>
                  <w:tcW w:w="530" w:type="dxa"/>
                  <w:tcBorders>
                    <w:tl2br w:val="nil"/>
                    <w:tr2bl w:val="nil"/>
                  </w:tcBorders>
                  <w:noWrap w:val="0"/>
                  <w:vAlign w:val="center"/>
                </w:tcPr>
                <w:p>
                  <w:pPr>
                    <w:pStyle w:val="30"/>
                    <w:bidi w:val="0"/>
                    <w:rPr>
                      <w:rFonts w:hint="eastAsia"/>
                      <w:lang w:val="en-US" w:eastAsia="zh-CN"/>
                    </w:rPr>
                  </w:pPr>
                  <w:r>
                    <w:rPr>
                      <w:rFonts w:hint="eastAsia"/>
                      <w:lang w:val="en-US" w:eastAsia="zh-CN"/>
                    </w:rPr>
                    <w:t>日</w:t>
                  </w:r>
                </w:p>
              </w:tc>
              <w:tc>
                <w:tcPr>
                  <w:tcW w:w="724" w:type="dxa"/>
                  <w:tcBorders>
                    <w:tl2br w:val="nil"/>
                    <w:tr2bl w:val="nil"/>
                  </w:tcBorders>
                  <w:noWrap w:val="0"/>
                  <w:vAlign w:val="center"/>
                </w:tcPr>
                <w:p>
                  <w:pPr>
                    <w:pStyle w:val="30"/>
                    <w:bidi w:val="0"/>
                    <w:rPr>
                      <w:rFonts w:hint="eastAsia"/>
                      <w:lang w:val="en-US" w:eastAsia="zh-CN"/>
                    </w:rPr>
                  </w:pPr>
                  <w:r>
                    <w:rPr>
                      <w:rFonts w:hint="default"/>
                      <w:lang w:val="en-US" w:eastAsia="zh-CN"/>
                    </w:rPr>
                    <w:t>T/In</w:t>
                  </w:r>
                </w:p>
              </w:tc>
            </w:tr>
          </w:tbl>
          <w:p>
            <w:pPr>
              <w:pStyle w:val="12"/>
              <w:bidi w:val="0"/>
              <w:rPr>
                <w:rFonts w:hint="eastAsia"/>
                <w:u w:val="single"/>
                <w:lang w:val="en-US" w:eastAsia="zh-CN"/>
              </w:rPr>
            </w:pPr>
            <w:r>
              <w:rPr>
                <w:rFonts w:hint="eastAsia"/>
                <w:u w:val="single"/>
                <w:lang w:val="en-US" w:eastAsia="zh-CN"/>
              </w:rPr>
              <w:t xml:space="preserve">4.2环境管理要求 </w:t>
            </w:r>
          </w:p>
          <w:p>
            <w:pPr>
              <w:pStyle w:val="12"/>
              <w:bidi w:val="0"/>
              <w:rPr>
                <w:rFonts w:hint="default"/>
                <w:u w:val="single"/>
              </w:rPr>
            </w:pPr>
            <w:r>
              <w:rPr>
                <w:rFonts w:hint="eastAsia"/>
                <w:u w:val="single"/>
                <w:lang w:val="en-US" w:eastAsia="zh-CN"/>
              </w:rPr>
              <w:t>1）</w:t>
            </w:r>
            <w:r>
              <w:rPr>
                <w:rFonts w:hint="default"/>
                <w:u w:val="single"/>
              </w:rPr>
              <w:t>一般固废污染防治措施</w:t>
            </w:r>
          </w:p>
          <w:p>
            <w:pPr>
              <w:pStyle w:val="12"/>
              <w:bidi w:val="0"/>
              <w:rPr>
                <w:rFonts w:hint="eastAsia" w:eastAsia="宋体"/>
                <w:lang w:eastAsia="zh-CN"/>
              </w:rPr>
            </w:pPr>
            <w:r>
              <w:rPr>
                <w:rFonts w:hint="default"/>
              </w:rPr>
              <w:t>院区及各楼层设置垃圾收集桶，由专门人员收集清运，做到日产日清。生活垃圾中可以回收的如：纸张、玻璃、塑料等回收利用，无回收价值的集中收集，由当地环卫部门负责统一清运处理，不随意排放。</w:t>
            </w:r>
            <w:r>
              <w:t>包装废物收集后外售处理</w:t>
            </w:r>
            <w:r>
              <w:rPr>
                <w:rFonts w:hint="eastAsia"/>
                <w:lang w:eastAsia="zh-CN"/>
              </w:rPr>
              <w:t>；</w:t>
            </w:r>
            <w:r>
              <w:rPr>
                <w:rFonts w:hint="eastAsia"/>
                <w:u w:val="single"/>
                <w:lang w:val="en-US" w:eastAsia="zh-CN"/>
              </w:rPr>
              <w:t>中</w:t>
            </w:r>
            <w:r>
              <w:rPr>
                <w:rFonts w:hint="default"/>
                <w:u w:val="single"/>
                <w:lang w:val="en-US" w:eastAsia="zh-CN"/>
              </w:rPr>
              <w:t>药渣采用包装袋密封收集后暂存于密闭煎药室内垃圾桶，最终由环卫部门统一收运处置。</w:t>
            </w:r>
          </w:p>
          <w:p>
            <w:pPr>
              <w:pStyle w:val="12"/>
              <w:bidi w:val="0"/>
              <w:rPr>
                <w:rFonts w:hint="default"/>
              </w:rPr>
            </w:pPr>
            <w:r>
              <w:rPr>
                <w:rFonts w:hint="eastAsia"/>
                <w:lang w:val="en-US" w:eastAsia="zh-CN"/>
              </w:rPr>
              <w:t>2）</w:t>
            </w:r>
            <w:r>
              <w:rPr>
                <w:rFonts w:hint="default"/>
              </w:rPr>
              <w:t>危险固废污染防治措施</w:t>
            </w:r>
          </w:p>
          <w:p>
            <w:pPr>
              <w:pStyle w:val="12"/>
              <w:bidi w:val="0"/>
              <w:rPr>
                <w:rFonts w:hint="default"/>
              </w:rPr>
            </w:pPr>
            <w:r>
              <w:rPr>
                <w:rFonts w:hint="default"/>
              </w:rPr>
              <w:t>污水站污泥按照《医疗废物化学消毒集中处理工程技术规范》（HJ/T 228-2006）要求，</w:t>
            </w:r>
            <w:r>
              <w:rPr>
                <w:rFonts w:hint="eastAsia"/>
                <w:lang w:val="en-US" w:eastAsia="zh-CN"/>
              </w:rPr>
              <w:t>采用污泥泵吸取污泥，使用石灰</w:t>
            </w:r>
            <w:r>
              <w:rPr>
                <w:rFonts w:hint="default"/>
              </w:rPr>
              <w:t>进行消毒处理</w:t>
            </w:r>
            <w:r>
              <w:rPr>
                <w:rFonts w:hint="eastAsia"/>
                <w:lang w:val="en-US" w:eastAsia="zh-CN"/>
              </w:rPr>
              <w:t>后直接</w:t>
            </w:r>
            <w:r>
              <w:rPr>
                <w:rFonts w:hint="default"/>
              </w:rPr>
              <w:t>交由</w:t>
            </w:r>
            <w:r>
              <w:rPr>
                <w:rFonts w:hint="eastAsia"/>
                <w:lang w:eastAsia="zh-CN"/>
              </w:rPr>
              <w:t>有资质单位</w:t>
            </w:r>
            <w:r>
              <w:rPr>
                <w:rFonts w:hint="default"/>
              </w:rPr>
              <w:t>清运处置，不在院区内暂存。</w:t>
            </w:r>
          </w:p>
          <w:p>
            <w:pPr>
              <w:pStyle w:val="12"/>
              <w:bidi w:val="0"/>
              <w:rPr>
                <w:rFonts w:hint="default"/>
              </w:rPr>
            </w:pPr>
            <w:r>
              <w:rPr>
                <w:rFonts w:hint="default"/>
              </w:rPr>
              <w:t>本项目污泥处置方式，符合环保要求，不会对环境造成二次污染，措施可行。</w:t>
            </w:r>
          </w:p>
          <w:p>
            <w:pPr>
              <w:pStyle w:val="12"/>
              <w:bidi w:val="0"/>
              <w:rPr>
                <w:rFonts w:hint="default"/>
              </w:rPr>
            </w:pPr>
            <w:r>
              <w:rPr>
                <w:rFonts w:hint="default"/>
              </w:rPr>
              <w:t>项目医疗废物临时贮存场所占地面积</w:t>
            </w:r>
            <w:r>
              <w:rPr>
                <w:rFonts w:hint="eastAsia"/>
                <w:lang w:eastAsia="zh-CN"/>
              </w:rPr>
              <w:t>设置</w:t>
            </w:r>
            <w:r>
              <w:rPr>
                <w:rFonts w:hint="default"/>
              </w:rPr>
              <w:t>约</w:t>
            </w:r>
            <w:r>
              <w:rPr>
                <w:rFonts w:hint="eastAsia"/>
                <w:lang w:val="en-US" w:eastAsia="zh-CN"/>
              </w:rPr>
              <w:t>10</w:t>
            </w:r>
            <w:r>
              <w:rPr>
                <w:rFonts w:hint="default"/>
              </w:rPr>
              <w:t>m</w:t>
            </w:r>
            <w:r>
              <w:rPr>
                <w:rFonts w:hint="default" w:ascii="Times New Roman" w:hAnsi="Times New Roman" w:cs="Times New Roman"/>
              </w:rPr>
              <w:t>²</w:t>
            </w:r>
            <w:r>
              <w:rPr>
                <w:rFonts w:hint="default"/>
              </w:rPr>
              <w:t>，能够满足项目的需要。</w:t>
            </w:r>
          </w:p>
          <w:p>
            <w:pPr>
              <w:pStyle w:val="12"/>
              <w:bidi w:val="0"/>
              <w:rPr>
                <w:rFonts w:hint="eastAsia"/>
                <w:lang w:val="en-US" w:eastAsia="zh-CN"/>
              </w:rPr>
            </w:pPr>
            <w:r>
              <w:rPr>
                <w:rFonts w:hint="eastAsia"/>
                <w:lang w:val="en-US" w:eastAsia="zh-CN"/>
              </w:rPr>
              <w:t>根据国家对医院废弃物处理处置的有关规范及要求，评价提出以下管理要求：</w:t>
            </w:r>
          </w:p>
          <w:p>
            <w:pPr>
              <w:pStyle w:val="12"/>
              <w:bidi w:val="0"/>
              <w:rPr>
                <w:rFonts w:hint="eastAsia"/>
                <w:lang w:val="en-US" w:eastAsia="zh-CN"/>
              </w:rPr>
            </w:pPr>
            <w:r>
              <w:rPr>
                <w:rFonts w:hint="eastAsia"/>
                <w:lang w:val="en-US" w:eastAsia="zh-CN"/>
              </w:rPr>
              <w:t xml:space="preserve">3）医疗废物暂时贮存库房的要求 </w:t>
            </w:r>
          </w:p>
          <w:p>
            <w:pPr>
              <w:pStyle w:val="12"/>
              <w:bidi w:val="0"/>
              <w:rPr>
                <w:rFonts w:hint="eastAsia"/>
                <w:lang w:val="en-US" w:eastAsia="zh-CN"/>
              </w:rPr>
            </w:pPr>
            <w:r>
              <w:rPr>
                <w:rFonts w:hint="eastAsia"/>
                <w:lang w:val="en-US" w:eastAsia="zh-CN"/>
              </w:rPr>
              <w:t>①必须与生活垃圾存放地分开，有防雨淋的装置，地基高度应确保设施内不受雨洪冲击或浸泡；</w:t>
            </w:r>
          </w:p>
          <w:p>
            <w:pPr>
              <w:pStyle w:val="12"/>
              <w:bidi w:val="0"/>
              <w:rPr>
                <w:rFonts w:hint="eastAsia"/>
                <w:lang w:val="en-US" w:eastAsia="zh-CN"/>
              </w:rPr>
            </w:pPr>
            <w:r>
              <w:rPr>
                <w:rFonts w:hint="eastAsia"/>
                <w:lang w:val="en-US" w:eastAsia="zh-CN"/>
              </w:rPr>
              <w:t>②必须与医疗区和人员活动密集区隔开，方便医疗废物的装卸、装卸人员及运送车辆的出入；</w:t>
            </w:r>
          </w:p>
          <w:p>
            <w:pPr>
              <w:pStyle w:val="12"/>
              <w:bidi w:val="0"/>
              <w:rPr>
                <w:rFonts w:hint="eastAsia"/>
                <w:lang w:val="en-US" w:eastAsia="zh-CN"/>
              </w:rPr>
            </w:pPr>
            <w:r>
              <w:rPr>
                <w:rFonts w:hint="eastAsia"/>
                <w:lang w:val="en-US" w:eastAsia="zh-CN"/>
              </w:rPr>
              <w:t xml:space="preserve">③应有严密的封闭措施，设专人管理，避免非工作人员进出，以及防鼠、防蚊蝇、防蟑螂、防盗以及预防儿童接触等安全措施； </w:t>
            </w:r>
          </w:p>
          <w:p>
            <w:pPr>
              <w:pStyle w:val="12"/>
              <w:bidi w:val="0"/>
              <w:rPr>
                <w:rFonts w:hint="eastAsia"/>
                <w:lang w:val="en-US" w:eastAsia="zh-CN"/>
              </w:rPr>
            </w:pPr>
            <w:r>
              <w:rPr>
                <w:rFonts w:hint="eastAsia"/>
                <w:lang w:val="en-US" w:eastAsia="zh-CN"/>
              </w:rPr>
              <w:t>④地面和1.0米高的墙裙须进行防渗处理，地面有良好的排水性能，易于清 洁和消毒，产生的废水应采用管道直接排入医疗卫生机构内的医疗废水消毒、处理系统，禁止将产生的废水直接排入外环境；</w:t>
            </w:r>
          </w:p>
          <w:p>
            <w:pPr>
              <w:pStyle w:val="12"/>
              <w:bidi w:val="0"/>
              <w:rPr>
                <w:rFonts w:hint="eastAsia"/>
                <w:lang w:val="en-US" w:eastAsia="zh-CN"/>
              </w:rPr>
            </w:pPr>
            <w:r>
              <w:rPr>
                <w:rFonts w:hint="eastAsia"/>
                <w:lang w:val="en-US" w:eastAsia="zh-CN"/>
              </w:rPr>
              <w:t>⑤库房外宜设有供水龙头，以供暂时贮存库房的清洗用；</w:t>
            </w:r>
          </w:p>
          <w:p>
            <w:pPr>
              <w:pStyle w:val="12"/>
              <w:bidi w:val="0"/>
              <w:rPr>
                <w:rFonts w:hint="eastAsia"/>
                <w:lang w:val="en-US" w:eastAsia="zh-CN"/>
              </w:rPr>
            </w:pPr>
            <w:r>
              <w:rPr>
                <w:rFonts w:hint="eastAsia"/>
                <w:lang w:val="en-US" w:eastAsia="zh-CN"/>
              </w:rPr>
              <w:t>⑥避免阳光直射库内，应有良好的照明设备和通风条件；</w:t>
            </w:r>
          </w:p>
          <w:p>
            <w:pPr>
              <w:pStyle w:val="12"/>
              <w:bidi w:val="0"/>
              <w:rPr>
                <w:rFonts w:hint="eastAsia"/>
                <w:lang w:val="en-US" w:eastAsia="zh-CN"/>
              </w:rPr>
            </w:pPr>
            <w:r>
              <w:rPr>
                <w:rFonts w:hint="eastAsia"/>
                <w:lang w:val="en-US" w:eastAsia="zh-CN"/>
              </w:rPr>
              <w:t>⑦库房内应张贴“禁止吸烟、饮食”的警示标识；</w:t>
            </w:r>
          </w:p>
          <w:p>
            <w:pPr>
              <w:pStyle w:val="12"/>
              <w:bidi w:val="0"/>
              <w:rPr>
                <w:rFonts w:hint="eastAsia"/>
                <w:lang w:val="en-US" w:eastAsia="zh-CN"/>
              </w:rPr>
            </w:pPr>
            <w:r>
              <w:rPr>
                <w:rFonts w:hint="eastAsia"/>
                <w:lang w:val="en-US" w:eastAsia="zh-CN"/>
              </w:rPr>
              <w:t>⑧应按《环境保护图形标志—固体废物贮存（处置）场》（GB15562.2）和 卫生、环保部门制定的专用医疗废物警示标识要求，在库房外的明显处同时设置危险废物和医疗废物的警示标识。</w:t>
            </w:r>
          </w:p>
          <w:p>
            <w:pPr>
              <w:pStyle w:val="12"/>
              <w:bidi w:val="0"/>
              <w:rPr>
                <w:rFonts w:hint="eastAsia"/>
                <w:lang w:val="en-US" w:eastAsia="zh-CN"/>
              </w:rPr>
            </w:pPr>
            <w:r>
              <w:rPr>
                <w:rFonts w:hint="eastAsia"/>
                <w:lang w:val="en-US" w:eastAsia="zh-CN"/>
              </w:rPr>
              <w:t xml:space="preserve">卫生要求医疗废物暂时贮存库房每天应在废物清运之后消毒冲洗，冲洗液应排入医疗卫生机构内的医疗废水消毒、处理系统。 </w:t>
            </w:r>
          </w:p>
          <w:p>
            <w:pPr>
              <w:pStyle w:val="12"/>
              <w:bidi w:val="0"/>
              <w:rPr>
                <w:rFonts w:hint="eastAsia"/>
                <w:lang w:val="en-US" w:eastAsia="zh-CN"/>
              </w:rPr>
            </w:pPr>
            <w:r>
              <w:rPr>
                <w:rFonts w:hint="eastAsia"/>
                <w:lang w:val="en-US" w:eastAsia="zh-CN"/>
              </w:rPr>
              <w:t xml:space="preserve">暂时贮存时间 应防止医疗废物在暂时贮存库房中腐败散发恶臭，尽量做到日产日清。确实不能做到日产日清，应将医疗废物低温暂时贮存，暂时贮存温度应低于20℃，时间最长不超过48小时。 </w:t>
            </w:r>
          </w:p>
          <w:p>
            <w:pPr>
              <w:pStyle w:val="12"/>
              <w:bidi w:val="0"/>
              <w:rPr>
                <w:rFonts w:hint="eastAsia"/>
                <w:lang w:val="en-US" w:eastAsia="zh-CN"/>
              </w:rPr>
            </w:pPr>
            <w:r>
              <w:rPr>
                <w:rFonts w:hint="eastAsia"/>
                <w:lang w:val="en-US" w:eastAsia="zh-CN"/>
              </w:rPr>
              <w:t xml:space="preserve">管理制度应制定医疗废物暂时贮存管理的有关规章制度、工作程序及应急处理措施。暂时贮存库房应当接受卫生主管部门的监督检查。 </w:t>
            </w:r>
          </w:p>
          <w:p>
            <w:pPr>
              <w:pStyle w:val="12"/>
              <w:bidi w:val="0"/>
              <w:rPr>
                <w:rFonts w:hint="eastAsia"/>
                <w:lang w:val="en-US" w:eastAsia="zh-CN"/>
              </w:rPr>
            </w:pPr>
            <w:r>
              <w:rPr>
                <w:rFonts w:hint="eastAsia"/>
                <w:lang w:val="en-US" w:eastAsia="zh-CN"/>
              </w:rPr>
              <w:t>医疗废物的交接、运输项目与有资质单位已签订医疗废物转运合同，交接及转运过程等由有资质单位负责，院内做好危险废物转移联单便于管理。</w:t>
            </w:r>
          </w:p>
          <w:p>
            <w:pPr>
              <w:pStyle w:val="12"/>
              <w:bidi w:val="0"/>
              <w:rPr>
                <w:lang w:val="en-US" w:eastAsia="zh-CN"/>
              </w:rPr>
            </w:pPr>
            <w:r>
              <w:rPr>
                <w:rFonts w:hint="eastAsia"/>
                <w:u w:val="single"/>
                <w:lang w:val="en-US" w:eastAsia="zh-CN"/>
              </w:rPr>
              <w:t>本次评价要求医院方面要做好医院废弃物彻底的分类收集工作，不同类型的废弃物使用不同的容器收集，并贴上分类标签。医院做好固废的分类收集、管理及处置工作，防止带菌固废等混入生活垃圾中或随意丢弃，使病菌进入外环境，造成二次污染，则其产生的固废对外环境的影响较小。</w:t>
            </w:r>
          </w:p>
          <w:p>
            <w:pPr>
              <w:pStyle w:val="12"/>
              <w:bidi w:val="0"/>
            </w:pPr>
            <w:r>
              <w:t>5</w:t>
            </w:r>
            <w:r>
              <w:rPr>
                <w:rFonts w:hint="eastAsia"/>
                <w:lang w:val="en-US" w:eastAsia="zh-CN"/>
              </w:rPr>
              <w:t>.</w:t>
            </w:r>
            <w:r>
              <w:t>运营期地下水和土壤环境影响和保护措施</w:t>
            </w:r>
            <w:bookmarkStart w:id="69" w:name="bookmark232"/>
            <w:bookmarkStart w:id="70" w:name="bookmark230"/>
            <w:bookmarkStart w:id="71" w:name="bookmark231"/>
          </w:p>
          <w:p>
            <w:pPr>
              <w:pStyle w:val="12"/>
              <w:bidi w:val="0"/>
            </w:pPr>
            <w:r>
              <w:rPr>
                <w:lang w:eastAsia="en-US"/>
              </w:rPr>
              <w:t>5.1</w:t>
            </w:r>
            <w:r>
              <w:t>污染源及污染途径识别</w:t>
            </w:r>
          </w:p>
          <w:p>
            <w:pPr>
              <w:pStyle w:val="12"/>
              <w:bidi w:val="0"/>
              <w:rPr>
                <w:rFonts w:hint="eastAsia"/>
              </w:rPr>
            </w:pPr>
            <w:r>
              <w:rPr>
                <w:rFonts w:hint="eastAsia"/>
              </w:rPr>
              <w:t>根据工程分析本项目可能对地下水和土壤</w:t>
            </w:r>
            <w:r>
              <w:rPr>
                <w:rFonts w:hint="eastAsia"/>
                <w:lang w:val="zh-CN"/>
              </w:rPr>
              <w:t>造成污染是主要包括</w:t>
            </w:r>
            <w:r>
              <w:rPr>
                <w:rFonts w:hint="eastAsia"/>
              </w:rPr>
              <w:t>医院自建污水处理站，地下水、土壤污染源主要为医疗废水，主要污染物为COD、BOD</w:t>
            </w:r>
            <w:r>
              <w:rPr>
                <w:rFonts w:hint="eastAsia"/>
                <w:vertAlign w:val="subscript"/>
              </w:rPr>
              <w:t>5</w:t>
            </w:r>
            <w:r>
              <w:rPr>
                <w:rFonts w:hint="eastAsia"/>
              </w:rPr>
              <w:t>、NH</w:t>
            </w:r>
            <w:r>
              <w:rPr>
                <w:rFonts w:hint="eastAsia"/>
                <w:vertAlign w:val="subscript"/>
              </w:rPr>
              <w:t>3</w:t>
            </w:r>
            <w:r>
              <w:rPr>
                <w:rFonts w:hint="eastAsia"/>
              </w:rPr>
              <w:t>-N、SS（不属于重金属及难降解有机物）。</w:t>
            </w:r>
          </w:p>
          <w:p>
            <w:pPr>
              <w:pStyle w:val="12"/>
              <w:bidi w:val="0"/>
            </w:pPr>
            <w:r>
              <w:t>本项目营运期正常状况下</w:t>
            </w:r>
            <w:r>
              <w:rPr>
                <w:rFonts w:hint="eastAsia"/>
              </w:rPr>
              <w:t>医疗经自建污水处理站处理后经市政污水管网排入</w:t>
            </w:r>
            <w:r>
              <w:rPr>
                <w:rFonts w:hint="eastAsia"/>
                <w:lang w:val="en-US" w:eastAsia="zh-CN"/>
              </w:rPr>
              <w:t>向家亭</w:t>
            </w:r>
            <w:r>
              <w:rPr>
                <w:rFonts w:hint="eastAsia"/>
              </w:rPr>
              <w:t>污水处理厂。</w:t>
            </w:r>
            <w:r>
              <w:t>在非正常状况下，废水输送管道</w:t>
            </w:r>
            <w:r>
              <w:rPr>
                <w:rFonts w:hint="eastAsia"/>
              </w:rPr>
              <w:t>、</w:t>
            </w:r>
            <w:r>
              <w:t>处理池</w:t>
            </w:r>
            <w:r>
              <w:rPr>
                <w:rFonts w:hint="eastAsia"/>
              </w:rPr>
              <w:t>内污水</w:t>
            </w:r>
            <w:r>
              <w:rPr>
                <w:rFonts w:hint="eastAsia"/>
                <w:lang w:val="zh-CN"/>
              </w:rPr>
              <w:t>渗漏入表层土壤、进而迁移入深层的地下水层，</w:t>
            </w:r>
            <w:r>
              <w:rPr>
                <w:rFonts w:hint="eastAsia"/>
              </w:rPr>
              <w:t>或</w:t>
            </w:r>
            <w:r>
              <w:t>废水处理池体破裂时，未经处理的废水溢出厂外</w:t>
            </w:r>
            <w:r>
              <w:rPr>
                <w:rFonts w:hint="eastAsia"/>
              </w:rPr>
              <w:t>，渗漏</w:t>
            </w:r>
            <w:r>
              <w:rPr>
                <w:rFonts w:hint="eastAsia"/>
                <w:lang w:val="zh-CN"/>
              </w:rPr>
              <w:t>入表层土壤、进而迁移入深层的地下水层，从而可能影响</w:t>
            </w:r>
            <w:r>
              <w:t>土壤</w:t>
            </w:r>
            <w:r>
              <w:rPr>
                <w:rFonts w:hint="eastAsia"/>
              </w:rPr>
              <w:t>和地下水的水质。</w:t>
            </w:r>
          </w:p>
          <w:p>
            <w:pPr>
              <w:pStyle w:val="12"/>
              <w:bidi w:val="0"/>
            </w:pPr>
            <w:r>
              <w:t>综上所述，根据最大可信事故情况，本项目废水处理站</w:t>
            </w:r>
            <w:r>
              <w:rPr>
                <w:rFonts w:hint="eastAsia"/>
              </w:rPr>
              <w:t>污水</w:t>
            </w:r>
            <w:r>
              <w:t>泄露产生的垂直入渗为主要污染途径</w:t>
            </w:r>
            <w:r>
              <w:rPr>
                <w:rFonts w:hint="eastAsia"/>
              </w:rPr>
              <w:t>。</w:t>
            </w:r>
          </w:p>
          <w:p>
            <w:pPr>
              <w:pStyle w:val="29"/>
              <w:bidi w:val="0"/>
              <w:rPr>
                <w:rFonts w:hint="default"/>
                <w:lang w:val="en-US" w:eastAsia="zh-CN"/>
              </w:rPr>
            </w:pPr>
            <w:r>
              <w:rPr>
                <w:rFonts w:hint="default"/>
                <w:lang w:val="en-US" w:eastAsia="zh-CN"/>
              </w:rPr>
              <w:t>表</w:t>
            </w:r>
            <w:r>
              <w:rPr>
                <w:rFonts w:hint="eastAsia"/>
                <w:lang w:val="en-US" w:eastAsia="zh-CN"/>
              </w:rPr>
              <w:t xml:space="preserve">4.2-22 </w:t>
            </w:r>
            <w:r>
              <w:rPr>
                <w:rFonts w:hint="default"/>
                <w:lang w:val="en-US" w:eastAsia="zh-CN"/>
              </w:rPr>
              <w:t xml:space="preserve"> 土壤</w:t>
            </w:r>
            <w:r>
              <w:rPr>
                <w:rFonts w:hint="eastAsia"/>
                <w:lang w:val="en-US" w:eastAsia="zh-CN"/>
              </w:rPr>
              <w:t>、地下水</w:t>
            </w:r>
            <w:r>
              <w:rPr>
                <w:rFonts w:hint="default"/>
                <w:lang w:val="en-US" w:eastAsia="zh-CN"/>
              </w:rPr>
              <w:t>环境影响源及影响因子识别表</w:t>
            </w:r>
          </w:p>
          <w:tbl>
            <w:tblPr>
              <w:tblStyle w:val="27"/>
              <w:tblW w:w="86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1331"/>
              <w:gridCol w:w="999"/>
              <w:gridCol w:w="2826"/>
              <w:gridCol w:w="1263"/>
              <w:gridCol w:w="1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11" w:type="dxa"/>
                  <w:tcBorders>
                    <w:tl2br w:val="nil"/>
                    <w:tr2bl w:val="nil"/>
                  </w:tcBorders>
                  <w:noWrap w:val="0"/>
                  <w:vAlign w:val="center"/>
                </w:tcPr>
                <w:p>
                  <w:pPr>
                    <w:pStyle w:val="30"/>
                    <w:bidi w:val="0"/>
                  </w:pPr>
                  <w:r>
                    <w:t>污染源</w:t>
                  </w:r>
                </w:p>
              </w:tc>
              <w:tc>
                <w:tcPr>
                  <w:tcW w:w="1331" w:type="dxa"/>
                  <w:tcBorders>
                    <w:tl2br w:val="nil"/>
                    <w:tr2bl w:val="nil"/>
                  </w:tcBorders>
                  <w:noWrap w:val="0"/>
                  <w:vAlign w:val="center"/>
                </w:tcPr>
                <w:p>
                  <w:pPr>
                    <w:pStyle w:val="30"/>
                    <w:bidi w:val="0"/>
                  </w:pPr>
                  <w:r>
                    <w:t>工艺流程/节点</w:t>
                  </w:r>
                </w:p>
              </w:tc>
              <w:tc>
                <w:tcPr>
                  <w:tcW w:w="999" w:type="dxa"/>
                  <w:tcBorders>
                    <w:tl2br w:val="nil"/>
                    <w:tr2bl w:val="nil"/>
                  </w:tcBorders>
                  <w:noWrap w:val="0"/>
                  <w:vAlign w:val="center"/>
                </w:tcPr>
                <w:p>
                  <w:pPr>
                    <w:pStyle w:val="30"/>
                    <w:bidi w:val="0"/>
                  </w:pPr>
                  <w:r>
                    <w:t>污染途径</w:t>
                  </w:r>
                </w:p>
              </w:tc>
              <w:tc>
                <w:tcPr>
                  <w:tcW w:w="2826" w:type="dxa"/>
                  <w:tcBorders>
                    <w:tl2br w:val="nil"/>
                    <w:tr2bl w:val="nil"/>
                  </w:tcBorders>
                  <w:noWrap w:val="0"/>
                  <w:vAlign w:val="center"/>
                </w:tcPr>
                <w:p>
                  <w:pPr>
                    <w:pStyle w:val="30"/>
                    <w:bidi w:val="0"/>
                  </w:pPr>
                  <w:r>
                    <w:t>全部污染物指标</w:t>
                  </w:r>
                </w:p>
              </w:tc>
              <w:tc>
                <w:tcPr>
                  <w:tcW w:w="1263" w:type="dxa"/>
                  <w:tcBorders>
                    <w:tl2br w:val="nil"/>
                    <w:tr2bl w:val="nil"/>
                  </w:tcBorders>
                  <w:noWrap w:val="0"/>
                  <w:vAlign w:val="center"/>
                </w:tcPr>
                <w:p>
                  <w:pPr>
                    <w:pStyle w:val="30"/>
                    <w:bidi w:val="0"/>
                  </w:pPr>
                  <w:r>
                    <w:t>特征因子</w:t>
                  </w:r>
                </w:p>
              </w:tc>
              <w:tc>
                <w:tcPr>
                  <w:tcW w:w="1252" w:type="dxa"/>
                  <w:tcBorders>
                    <w:tl2br w:val="nil"/>
                    <w:tr2bl w:val="nil"/>
                  </w:tcBorders>
                  <w:noWrap w:val="0"/>
                  <w:vAlign w:val="center"/>
                </w:tcPr>
                <w:p>
                  <w:pPr>
                    <w:pStyle w:val="30"/>
                    <w:bidi w:val="0"/>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11" w:type="dxa"/>
                  <w:tcBorders>
                    <w:tl2br w:val="nil"/>
                    <w:tr2bl w:val="nil"/>
                  </w:tcBorders>
                  <w:noWrap w:val="0"/>
                  <w:vAlign w:val="center"/>
                </w:tcPr>
                <w:p>
                  <w:pPr>
                    <w:pStyle w:val="30"/>
                    <w:bidi w:val="0"/>
                  </w:pPr>
                  <w:r>
                    <w:t>污水处理设施</w:t>
                  </w:r>
                </w:p>
              </w:tc>
              <w:tc>
                <w:tcPr>
                  <w:tcW w:w="1331" w:type="dxa"/>
                  <w:tcBorders>
                    <w:tl2br w:val="nil"/>
                    <w:tr2bl w:val="nil"/>
                  </w:tcBorders>
                  <w:noWrap w:val="0"/>
                  <w:vAlign w:val="center"/>
                </w:tcPr>
                <w:p>
                  <w:pPr>
                    <w:pStyle w:val="30"/>
                    <w:bidi w:val="0"/>
                  </w:pPr>
                  <w:r>
                    <w:rPr>
                      <w:rFonts w:hint="eastAsia"/>
                      <w:lang w:val="en-US" w:eastAsia="zh-CN"/>
                    </w:rPr>
                    <w:t>污</w:t>
                  </w:r>
                  <w:r>
                    <w:t>水处理</w:t>
                  </w:r>
                </w:p>
              </w:tc>
              <w:tc>
                <w:tcPr>
                  <w:tcW w:w="999" w:type="dxa"/>
                  <w:tcBorders>
                    <w:tl2br w:val="nil"/>
                    <w:tr2bl w:val="nil"/>
                  </w:tcBorders>
                  <w:noWrap w:val="0"/>
                  <w:vAlign w:val="center"/>
                </w:tcPr>
                <w:p>
                  <w:pPr>
                    <w:pStyle w:val="30"/>
                    <w:bidi w:val="0"/>
                  </w:pPr>
                  <w:r>
                    <w:t>垂直入渗</w:t>
                  </w:r>
                  <w:r>
                    <w:rPr>
                      <w:rFonts w:hint="eastAsia"/>
                    </w:rPr>
                    <w:t>、地面漫流</w:t>
                  </w:r>
                </w:p>
              </w:tc>
              <w:tc>
                <w:tcPr>
                  <w:tcW w:w="2826" w:type="dxa"/>
                  <w:tcBorders>
                    <w:tl2br w:val="nil"/>
                    <w:tr2bl w:val="nil"/>
                  </w:tcBorders>
                  <w:noWrap w:val="0"/>
                  <w:vAlign w:val="center"/>
                </w:tcPr>
                <w:p>
                  <w:pPr>
                    <w:pStyle w:val="30"/>
                    <w:bidi w:val="0"/>
                  </w:pPr>
                  <w:r>
                    <w:t>COD、BOD</w:t>
                  </w:r>
                  <w:r>
                    <w:rPr>
                      <w:vertAlign w:val="subscript"/>
                    </w:rPr>
                    <w:t>5</w:t>
                  </w:r>
                  <w:r>
                    <w:t>、NH</w:t>
                  </w:r>
                  <w:r>
                    <w:rPr>
                      <w:vertAlign w:val="subscript"/>
                    </w:rPr>
                    <w:t>3</w:t>
                  </w:r>
                  <w:r>
                    <w:t>-N、SS</w:t>
                  </w:r>
                </w:p>
              </w:tc>
              <w:tc>
                <w:tcPr>
                  <w:tcW w:w="1263" w:type="dxa"/>
                  <w:tcBorders>
                    <w:tl2br w:val="nil"/>
                    <w:tr2bl w:val="nil"/>
                  </w:tcBorders>
                  <w:noWrap w:val="0"/>
                  <w:vAlign w:val="center"/>
                </w:tcPr>
                <w:p>
                  <w:pPr>
                    <w:pStyle w:val="30"/>
                    <w:bidi w:val="0"/>
                  </w:pPr>
                  <w:r>
                    <w:rPr>
                      <w:rFonts w:hint="eastAsia"/>
                    </w:rPr>
                    <w:t>/</w:t>
                  </w:r>
                </w:p>
              </w:tc>
              <w:tc>
                <w:tcPr>
                  <w:tcW w:w="1252" w:type="dxa"/>
                  <w:tcBorders>
                    <w:tl2br w:val="nil"/>
                    <w:tr2bl w:val="nil"/>
                  </w:tcBorders>
                  <w:noWrap w:val="0"/>
                  <w:vAlign w:val="center"/>
                </w:tcPr>
                <w:p>
                  <w:pPr>
                    <w:pStyle w:val="30"/>
                    <w:bidi w:val="0"/>
                    <w:rPr>
                      <w:rFonts w:hint="eastAsia"/>
                    </w:rPr>
                  </w:pPr>
                  <w:r>
                    <w:rPr>
                      <w:rFonts w:hint="eastAsia"/>
                    </w:rPr>
                    <w:t>事故</w:t>
                  </w:r>
                </w:p>
              </w:tc>
            </w:tr>
          </w:tbl>
          <w:p>
            <w:pPr>
              <w:pStyle w:val="12"/>
              <w:bidi w:val="0"/>
            </w:pPr>
            <w:r>
              <w:rPr>
                <w:rFonts w:hint="eastAsia"/>
                <w:lang w:val="en-US" w:eastAsia="zh-CN"/>
              </w:rPr>
              <w:t>5.2</w:t>
            </w:r>
            <w:r>
              <w:rPr>
                <w:rFonts w:hint="eastAsia"/>
              </w:rPr>
              <w:t>防控措施</w:t>
            </w:r>
          </w:p>
          <w:p>
            <w:pPr>
              <w:pStyle w:val="12"/>
              <w:bidi w:val="0"/>
              <w:rPr>
                <w:rFonts w:hint="eastAsia"/>
              </w:rPr>
            </w:pPr>
            <w:r>
              <w:rPr>
                <w:rFonts w:hint="eastAsia"/>
              </w:rPr>
              <w:t>①源头控制措施</w:t>
            </w:r>
          </w:p>
          <w:p>
            <w:pPr>
              <w:pStyle w:val="12"/>
              <w:bidi w:val="0"/>
              <w:rPr>
                <w:rFonts w:hint="eastAsia"/>
              </w:rPr>
            </w:pPr>
            <w:r>
              <w:rPr>
                <w:rFonts w:hint="eastAsia"/>
              </w:rPr>
              <w:t>主要包括在污水处理设备、管道、污水储存及处理构筑物、危废暂存场所采取相应措施，防止和降低污染物跑、冒、滴、漏，将污染物泄漏的环境风险事故降到最低程度；管线敷设尽量采用“可视化”原则，即管道尽可能地上敷设，做到污染物“早发现、早处理”，减少由于埋地管道泄漏而造成的废水垂直入渗进入土壤，本项目对废水处理站各个池子进行加盖处理，防止暴雨造成各个池子出现溢流现象。</w:t>
            </w:r>
          </w:p>
          <w:p>
            <w:pPr>
              <w:pStyle w:val="12"/>
              <w:bidi w:val="0"/>
              <w:rPr>
                <w:rFonts w:hint="default"/>
              </w:rPr>
            </w:pPr>
            <w:r>
              <w:rPr>
                <w:rFonts w:hint="default"/>
              </w:rPr>
              <w:t>②分区防控措施</w:t>
            </w:r>
          </w:p>
          <w:p>
            <w:pPr>
              <w:pStyle w:val="12"/>
              <w:bidi w:val="0"/>
              <w:rPr>
                <w:rFonts w:hint="default"/>
                <w:lang w:eastAsia="zh-CN"/>
              </w:rPr>
            </w:pPr>
            <w:r>
              <w:rPr>
                <w:rFonts w:hint="default"/>
                <w:lang w:val="en-US" w:eastAsia="zh-CN"/>
              </w:rPr>
              <w:t>根据</w:t>
            </w:r>
            <w:r>
              <w:rPr>
                <w:rFonts w:hint="eastAsia"/>
                <w:lang w:val="en-US" w:eastAsia="zh-CN"/>
              </w:rPr>
              <w:t>院</w:t>
            </w:r>
            <w:r>
              <w:rPr>
                <w:rFonts w:hint="default"/>
                <w:lang w:val="en-US" w:eastAsia="zh-CN"/>
              </w:rPr>
              <w:t>区可能泄漏的污染物的性质和生产单元的构筑方式，以及潜在的地下水污染源分类分析，将厂区划分为简单防渗区、一般防渗区、重点防渗区。本项目地下水污染防渗</w:t>
            </w:r>
            <w:r>
              <w:rPr>
                <w:rFonts w:hint="eastAsia"/>
                <w:lang w:val="en-US" w:eastAsia="zh-CN"/>
              </w:rPr>
              <w:t>已</w:t>
            </w:r>
            <w:r>
              <w:rPr>
                <w:rFonts w:hint="default"/>
                <w:lang w:val="en-US" w:eastAsia="zh-CN"/>
              </w:rPr>
              <w:t>按照《环境影响评价技术导则 地下水环境》（HJ610-2016）表7中的技术要求落实，</w:t>
            </w:r>
            <w:r>
              <w:rPr>
                <w:rFonts w:hint="default"/>
                <w:lang w:val="zh-CN"/>
              </w:rPr>
              <w:t>不</w:t>
            </w:r>
            <w:r>
              <w:rPr>
                <w:rFonts w:hint="default"/>
              </w:rPr>
              <w:t>同的污染物区，采取不同等级的防渗措施</w:t>
            </w:r>
            <w:r>
              <w:rPr>
                <w:rFonts w:hint="default"/>
                <w:lang w:eastAsia="zh-CN"/>
              </w:rPr>
              <w:t>。</w:t>
            </w:r>
          </w:p>
          <w:p>
            <w:pPr>
              <w:pStyle w:val="12"/>
              <w:bidi w:val="0"/>
              <w:rPr>
                <w:rFonts w:hint="default"/>
                <w:lang w:eastAsia="zh-CN"/>
              </w:rPr>
            </w:pPr>
            <w:r>
              <w:rPr>
                <w:rFonts w:hint="default"/>
                <w:lang w:val="en-US" w:eastAsia="zh-CN"/>
              </w:rPr>
              <w:t>1）</w:t>
            </w:r>
            <w:r>
              <w:rPr>
                <w:rFonts w:hint="default"/>
                <w:lang w:eastAsia="zh-CN"/>
              </w:rPr>
              <w:t>简单防渗区</w:t>
            </w:r>
          </w:p>
          <w:p>
            <w:pPr>
              <w:pStyle w:val="12"/>
              <w:bidi w:val="0"/>
              <w:rPr>
                <w:rFonts w:hint="default"/>
                <w:lang w:val="en-US" w:eastAsia="zh-CN"/>
              </w:rPr>
            </w:pPr>
            <w:r>
              <w:rPr>
                <w:rFonts w:hint="default"/>
                <w:lang w:eastAsia="zh-CN"/>
              </w:rPr>
              <w:t>指不存在物料或污染物泄漏、不会对地下水环境造成污染的区域。污染防渗技术要求为一般地面硬化。</w:t>
            </w:r>
            <w:r>
              <w:rPr>
                <w:rFonts w:hint="eastAsia"/>
                <w:lang w:val="en-US" w:eastAsia="zh-CN"/>
              </w:rPr>
              <w:t>本项目租赁一栋7层楼，各层均已对地面进行了硬化。</w:t>
            </w:r>
          </w:p>
          <w:p>
            <w:pPr>
              <w:pStyle w:val="12"/>
              <w:bidi w:val="0"/>
              <w:rPr>
                <w:rFonts w:hint="default"/>
                <w:lang w:eastAsia="zh-CN"/>
              </w:rPr>
            </w:pPr>
            <w:r>
              <w:rPr>
                <w:rFonts w:hint="default"/>
                <w:lang w:val="en-US" w:eastAsia="zh-CN"/>
              </w:rPr>
              <w:t>2）</w:t>
            </w:r>
            <w:r>
              <w:rPr>
                <w:rFonts w:hint="default"/>
                <w:lang w:eastAsia="zh-CN"/>
              </w:rPr>
              <w:t>一般防渗区</w:t>
            </w:r>
          </w:p>
          <w:p>
            <w:pPr>
              <w:pStyle w:val="12"/>
              <w:bidi w:val="0"/>
              <w:rPr>
                <w:rFonts w:hint="default"/>
                <w:lang w:eastAsia="zh-CN"/>
              </w:rPr>
            </w:pPr>
            <w:r>
              <w:rPr>
                <w:rFonts w:hint="default"/>
                <w:lang w:eastAsia="zh-CN"/>
              </w:rPr>
              <w:t>一般防渗区指裸露地面的生产功能单元；污染地下水环境的物料泄漏容易及时发现和处理的区域；结合水文地质条件，对可能会产生一定程度的污染、但建（构）筑物基础之下场地水文地质条件较好的工艺区域或部位。主要为一般固废间等区域。</w:t>
            </w:r>
            <w:r>
              <w:rPr>
                <w:rFonts w:hint="eastAsia"/>
                <w:lang w:val="en-US" w:eastAsia="zh-CN"/>
              </w:rPr>
              <w:t>该区域项目采用水泥硬化处理，</w:t>
            </w:r>
            <w:r>
              <w:rPr>
                <w:rFonts w:hint="default"/>
                <w:lang w:eastAsia="zh-CN"/>
              </w:rPr>
              <w:t>污染防渗技术</w:t>
            </w:r>
            <w:r>
              <w:rPr>
                <w:rFonts w:hint="eastAsia"/>
                <w:lang w:val="en-US" w:eastAsia="zh-CN"/>
              </w:rPr>
              <w:t>参照</w:t>
            </w:r>
            <w:r>
              <w:rPr>
                <w:rFonts w:hint="default"/>
                <w:lang w:eastAsia="zh-CN"/>
              </w:rPr>
              <w:t>《生活垃圾填埋场污染控制标准》（</w:t>
            </w:r>
            <w:r>
              <w:rPr>
                <w:rFonts w:hint="eastAsia"/>
                <w:lang w:eastAsia="zh-CN"/>
              </w:rPr>
              <w:t>GB16889-2024</w:t>
            </w:r>
            <w:r>
              <w:rPr>
                <w:rFonts w:hint="default"/>
                <w:lang w:eastAsia="zh-CN"/>
              </w:rPr>
              <w:t>）中</w:t>
            </w:r>
            <w:r>
              <w:rPr>
                <w:rFonts w:hint="eastAsia"/>
                <w:lang w:eastAsia="zh-CN"/>
              </w:rPr>
              <w:t>“</w:t>
            </w:r>
            <w:r>
              <w:rPr>
                <w:rFonts w:hint="default"/>
                <w:lang w:eastAsia="zh-CN"/>
              </w:rPr>
              <w:t>用双层人工合成材料防渗衬层，下层人工合成材料防衬层下应具有厚度不小于0.75m，且其被压实后的饱和渗透系数小于1.0×10</w:t>
            </w:r>
            <w:r>
              <w:rPr>
                <w:rFonts w:hint="default"/>
                <w:vertAlign w:val="superscript"/>
                <w:lang w:eastAsia="zh-CN"/>
              </w:rPr>
              <w:t>-7</w:t>
            </w:r>
            <w:r>
              <w:rPr>
                <w:rFonts w:hint="default"/>
                <w:lang w:eastAsia="zh-CN"/>
              </w:rPr>
              <w:t>cm/s的天然粘土衬层，或具有同等以上隔水效力的其他材料衬层；两层人工合成材料衬层之间应布设导水层及渗漏检测层</w:t>
            </w:r>
            <w:r>
              <w:rPr>
                <w:rFonts w:hint="eastAsia"/>
                <w:lang w:eastAsia="zh-CN"/>
              </w:rPr>
              <w:t>”</w:t>
            </w:r>
            <w:r>
              <w:rPr>
                <w:rFonts w:hint="default"/>
                <w:lang w:eastAsia="zh-CN"/>
              </w:rPr>
              <w:t>的要求。</w:t>
            </w:r>
          </w:p>
          <w:p>
            <w:pPr>
              <w:pStyle w:val="12"/>
              <w:bidi w:val="0"/>
              <w:rPr>
                <w:rFonts w:hint="default"/>
                <w:lang w:eastAsia="zh-CN"/>
              </w:rPr>
            </w:pPr>
            <w:r>
              <w:rPr>
                <w:rFonts w:hint="default"/>
                <w:lang w:eastAsia="zh-CN"/>
              </w:rPr>
              <w:t>③重点防渗区</w:t>
            </w:r>
          </w:p>
          <w:p>
            <w:pPr>
              <w:pStyle w:val="12"/>
              <w:bidi w:val="0"/>
              <w:rPr>
                <w:rFonts w:hint="default"/>
                <w:lang w:val="en-US" w:eastAsia="zh-CN"/>
              </w:rPr>
            </w:pPr>
            <w:r>
              <w:rPr>
                <w:rFonts w:hint="default"/>
                <w:lang w:eastAsia="zh-CN"/>
              </w:rPr>
              <w:t>重点防渗区是指位于地下或半地下的生产功能单元，发生物料泄漏后不容易被及时发现和处理的区域或部位，</w:t>
            </w:r>
            <w:r>
              <w:rPr>
                <w:rFonts w:hint="eastAsia"/>
                <w:lang w:val="en-US" w:eastAsia="zh-CN"/>
              </w:rPr>
              <w:t>医疗废物暂存间、污水处理站、事故池</w:t>
            </w:r>
            <w:r>
              <w:rPr>
                <w:rFonts w:hint="default"/>
                <w:lang w:eastAsia="zh-CN"/>
              </w:rPr>
              <w:t>应按照重点防渗区的技术要求进行落实。</w:t>
            </w:r>
            <w:r>
              <w:rPr>
                <w:rFonts w:hint="eastAsia"/>
                <w:lang w:val="en-US" w:eastAsia="zh-CN"/>
              </w:rPr>
              <w:t>其中医院医疗废物暂存间、污水处理站</w:t>
            </w:r>
            <w:r>
              <w:rPr>
                <w:rFonts w:hint="default"/>
                <w:lang w:eastAsia="zh-CN"/>
              </w:rPr>
              <w:t>污染防渗参照《危险废物贮存污染控制标准》（GB18597-20</w:t>
            </w:r>
            <w:r>
              <w:rPr>
                <w:rFonts w:hint="eastAsia"/>
                <w:lang w:val="en-US" w:eastAsia="zh-CN"/>
              </w:rPr>
              <w:t>23</w:t>
            </w:r>
            <w:r>
              <w:rPr>
                <w:rFonts w:hint="default"/>
                <w:lang w:eastAsia="zh-CN"/>
              </w:rPr>
              <w:t>）中的要求</w:t>
            </w:r>
            <w:r>
              <w:rPr>
                <w:rFonts w:hint="eastAsia"/>
                <w:lang w:val="en-US" w:eastAsia="zh-CN"/>
              </w:rPr>
              <w:t>进行了防渗处理，事故池的防渗技术参数应满足</w:t>
            </w:r>
            <w:r>
              <w:rPr>
                <w:rFonts w:hint="default"/>
                <w:lang w:val="zh-CN" w:eastAsia="zh-CN"/>
              </w:rPr>
              <w:t>等效黏土防渗层Mb≥6.0m、K≤1×10</w:t>
            </w:r>
            <w:r>
              <w:rPr>
                <w:rFonts w:hint="default"/>
                <w:vertAlign w:val="superscript"/>
                <w:lang w:val="zh-CN" w:eastAsia="zh-CN"/>
              </w:rPr>
              <w:t>-7</w:t>
            </w:r>
            <w:r>
              <w:rPr>
                <w:rFonts w:hint="default"/>
                <w:lang w:val="zh-CN" w:eastAsia="zh-CN"/>
              </w:rPr>
              <w:t>cm/s，或参照</w:t>
            </w:r>
            <w:r>
              <w:rPr>
                <w:rFonts w:hint="default"/>
                <w:lang w:eastAsia="zh-CN"/>
              </w:rPr>
              <w:t>《危险废物贮存污染控制标准》（GB18597-20</w:t>
            </w:r>
            <w:r>
              <w:rPr>
                <w:rFonts w:hint="eastAsia"/>
                <w:lang w:val="en-US" w:eastAsia="zh-CN"/>
              </w:rPr>
              <w:t>23</w:t>
            </w:r>
            <w:r>
              <w:rPr>
                <w:rFonts w:hint="default"/>
                <w:lang w:eastAsia="zh-CN"/>
              </w:rPr>
              <w:t>）中的要求</w:t>
            </w:r>
            <w:r>
              <w:rPr>
                <w:rFonts w:hint="eastAsia"/>
                <w:lang w:val="en-US" w:eastAsia="zh-CN"/>
              </w:rPr>
              <w:t>执行</w:t>
            </w:r>
            <w:r>
              <w:rPr>
                <w:rFonts w:hint="default"/>
                <w:lang w:eastAsia="zh-CN"/>
              </w:rPr>
              <w:t>。</w:t>
            </w:r>
          </w:p>
          <w:p>
            <w:pPr>
              <w:adjustRightInd w:val="0"/>
              <w:snapToGrid w:val="0"/>
              <w:jc w:val="center"/>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 xml:space="preserve"> </w:t>
            </w:r>
            <w:r>
              <w:rPr>
                <w:rStyle w:val="33"/>
                <w:rFonts w:hint="default"/>
                <w:lang w:val="en-US" w:eastAsia="zh-CN"/>
              </w:rPr>
              <w:t>表</w:t>
            </w:r>
            <w:r>
              <w:rPr>
                <w:rStyle w:val="33"/>
                <w:rFonts w:hint="eastAsia"/>
                <w:lang w:val="en-US" w:eastAsia="zh-CN"/>
              </w:rPr>
              <w:t xml:space="preserve">4.2-23  </w:t>
            </w:r>
            <w:r>
              <w:rPr>
                <w:rStyle w:val="33"/>
                <w:rFonts w:hint="default"/>
                <w:lang w:val="en-US" w:eastAsia="zh-CN"/>
              </w:rPr>
              <w:t>防腐、防渗措施一览表</w:t>
            </w:r>
          </w:p>
          <w:tbl>
            <w:tblPr>
              <w:tblStyle w:val="27"/>
              <w:tblW w:w="86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422"/>
              <w:gridCol w:w="2364"/>
              <w:gridCol w:w="4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35" w:type="dxa"/>
                  <w:noWrap w:val="0"/>
                  <w:vAlign w:val="center"/>
                </w:tcPr>
                <w:p>
                  <w:pPr>
                    <w:pStyle w:val="30"/>
                    <w:bidi w:val="0"/>
                    <w:rPr>
                      <w:rFonts w:hint="default"/>
                    </w:rPr>
                  </w:pPr>
                  <w:r>
                    <w:rPr>
                      <w:rFonts w:hint="default"/>
                    </w:rPr>
                    <w:t>序号</w:t>
                  </w:r>
                </w:p>
              </w:tc>
              <w:tc>
                <w:tcPr>
                  <w:tcW w:w="1422" w:type="dxa"/>
                  <w:noWrap w:val="0"/>
                  <w:vAlign w:val="center"/>
                </w:tcPr>
                <w:p>
                  <w:pPr>
                    <w:pStyle w:val="30"/>
                    <w:bidi w:val="0"/>
                    <w:rPr>
                      <w:rFonts w:hint="default"/>
                    </w:rPr>
                  </w:pPr>
                  <w:r>
                    <w:rPr>
                      <w:rFonts w:hint="default"/>
                    </w:rPr>
                    <w:t>分区</w:t>
                  </w:r>
                </w:p>
              </w:tc>
              <w:tc>
                <w:tcPr>
                  <w:tcW w:w="2364" w:type="dxa"/>
                  <w:noWrap w:val="0"/>
                  <w:vAlign w:val="center"/>
                </w:tcPr>
                <w:p>
                  <w:pPr>
                    <w:pStyle w:val="30"/>
                    <w:bidi w:val="0"/>
                    <w:rPr>
                      <w:rFonts w:hint="default"/>
                    </w:rPr>
                  </w:pPr>
                  <w:r>
                    <w:rPr>
                      <w:rFonts w:hint="default"/>
                    </w:rPr>
                    <w:t>区域</w:t>
                  </w:r>
                </w:p>
              </w:tc>
              <w:tc>
                <w:tcPr>
                  <w:tcW w:w="4159" w:type="dxa"/>
                  <w:noWrap w:val="0"/>
                  <w:vAlign w:val="center"/>
                </w:tcPr>
                <w:p>
                  <w:pPr>
                    <w:pStyle w:val="30"/>
                    <w:bidi w:val="0"/>
                    <w:rPr>
                      <w:rFonts w:hint="default"/>
                    </w:rPr>
                  </w:pPr>
                  <w:r>
                    <w:rPr>
                      <w:rFonts w:hint="default"/>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5" w:type="dxa"/>
                  <w:noWrap w:val="0"/>
                  <w:vAlign w:val="center"/>
                </w:tcPr>
                <w:p>
                  <w:pPr>
                    <w:pStyle w:val="30"/>
                    <w:bidi w:val="0"/>
                    <w:rPr>
                      <w:rFonts w:hint="default"/>
                    </w:rPr>
                  </w:pPr>
                  <w:r>
                    <w:rPr>
                      <w:rFonts w:hint="default"/>
                    </w:rPr>
                    <w:t>1</w:t>
                  </w:r>
                </w:p>
              </w:tc>
              <w:tc>
                <w:tcPr>
                  <w:tcW w:w="1422" w:type="dxa"/>
                  <w:noWrap w:val="0"/>
                  <w:vAlign w:val="center"/>
                </w:tcPr>
                <w:p>
                  <w:pPr>
                    <w:pStyle w:val="30"/>
                    <w:bidi w:val="0"/>
                    <w:rPr>
                      <w:rFonts w:hint="default"/>
                    </w:rPr>
                  </w:pPr>
                  <w:r>
                    <w:rPr>
                      <w:rFonts w:hint="default"/>
                    </w:rPr>
                    <w:t>重点防渗区</w:t>
                  </w:r>
                </w:p>
              </w:tc>
              <w:tc>
                <w:tcPr>
                  <w:tcW w:w="2364" w:type="dxa"/>
                  <w:noWrap w:val="0"/>
                  <w:vAlign w:val="center"/>
                </w:tcPr>
                <w:p>
                  <w:pPr>
                    <w:pStyle w:val="30"/>
                    <w:bidi w:val="0"/>
                    <w:rPr>
                      <w:rFonts w:hint="default"/>
                      <w:lang w:val="en-US" w:eastAsia="zh-CN"/>
                    </w:rPr>
                  </w:pPr>
                  <w:r>
                    <w:rPr>
                      <w:rFonts w:hint="default"/>
                    </w:rPr>
                    <w:t>自建污水处理站、危废暂存间</w:t>
                  </w:r>
                  <w:r>
                    <w:rPr>
                      <w:rFonts w:hint="eastAsia"/>
                      <w:lang w:eastAsia="zh-CN"/>
                    </w:rPr>
                    <w:t>、</w:t>
                  </w:r>
                  <w:r>
                    <w:rPr>
                      <w:rFonts w:hint="eastAsia"/>
                      <w:lang w:val="en-US" w:eastAsia="zh-CN"/>
                    </w:rPr>
                    <w:t>事故池</w:t>
                  </w:r>
                </w:p>
              </w:tc>
              <w:tc>
                <w:tcPr>
                  <w:tcW w:w="4159" w:type="dxa"/>
                  <w:noWrap w:val="0"/>
                  <w:vAlign w:val="center"/>
                </w:tcPr>
                <w:p>
                  <w:pPr>
                    <w:pStyle w:val="30"/>
                    <w:bidi w:val="0"/>
                    <w:rPr>
                      <w:rFonts w:hint="default"/>
                    </w:rPr>
                  </w:pPr>
                  <w:r>
                    <w:rPr>
                      <w:rFonts w:hint="default"/>
                      <w:lang w:val="zh-CN"/>
                    </w:rPr>
                    <w:t>等效黏土防渗层Mb≥6.0m、K≤1×10</w:t>
                  </w:r>
                  <w:r>
                    <w:rPr>
                      <w:rFonts w:hint="default"/>
                      <w:vertAlign w:val="superscript"/>
                      <w:lang w:val="zh-CN"/>
                    </w:rPr>
                    <w:t>-7</w:t>
                  </w:r>
                  <w:r>
                    <w:rPr>
                      <w:rFonts w:hint="default"/>
                      <w:lang w:val="zh-CN"/>
                    </w:rPr>
                    <w:t>cm/s，或参照GB18597执行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5" w:type="dxa"/>
                  <w:noWrap w:val="0"/>
                  <w:vAlign w:val="center"/>
                </w:tcPr>
                <w:p>
                  <w:pPr>
                    <w:pStyle w:val="30"/>
                    <w:bidi w:val="0"/>
                    <w:rPr>
                      <w:rFonts w:hint="default"/>
                    </w:rPr>
                  </w:pPr>
                  <w:r>
                    <w:rPr>
                      <w:rFonts w:hint="default"/>
                    </w:rPr>
                    <w:t>2</w:t>
                  </w:r>
                </w:p>
              </w:tc>
              <w:tc>
                <w:tcPr>
                  <w:tcW w:w="1422" w:type="dxa"/>
                  <w:noWrap w:val="0"/>
                  <w:vAlign w:val="center"/>
                </w:tcPr>
                <w:p>
                  <w:pPr>
                    <w:pStyle w:val="30"/>
                    <w:bidi w:val="0"/>
                    <w:rPr>
                      <w:rFonts w:hint="default"/>
                    </w:rPr>
                  </w:pPr>
                  <w:r>
                    <w:rPr>
                      <w:rFonts w:hint="default"/>
                    </w:rPr>
                    <w:t>一般防渗区</w:t>
                  </w:r>
                </w:p>
              </w:tc>
              <w:tc>
                <w:tcPr>
                  <w:tcW w:w="2364" w:type="dxa"/>
                  <w:noWrap w:val="0"/>
                  <w:vAlign w:val="center"/>
                </w:tcPr>
                <w:p>
                  <w:pPr>
                    <w:pStyle w:val="30"/>
                    <w:bidi w:val="0"/>
                    <w:rPr>
                      <w:rFonts w:hint="default"/>
                    </w:rPr>
                  </w:pPr>
                  <w:r>
                    <w:rPr>
                      <w:rFonts w:hint="default"/>
                    </w:rPr>
                    <w:t>一般固废间</w:t>
                  </w:r>
                </w:p>
              </w:tc>
              <w:tc>
                <w:tcPr>
                  <w:tcW w:w="4159" w:type="dxa"/>
                  <w:noWrap w:val="0"/>
                  <w:vAlign w:val="center"/>
                </w:tcPr>
                <w:p>
                  <w:pPr>
                    <w:pStyle w:val="30"/>
                    <w:bidi w:val="0"/>
                    <w:rPr>
                      <w:rFonts w:hint="default"/>
                    </w:rPr>
                  </w:pPr>
                  <w:r>
                    <w:rPr>
                      <w:rFonts w:hint="default"/>
                    </w:rPr>
                    <w:t>等效黏土防渗层Mb≥1.5m，K≤1.0×10</w:t>
                  </w:r>
                  <w:r>
                    <w:rPr>
                      <w:rFonts w:hint="default"/>
                      <w:vertAlign w:val="superscript"/>
                    </w:rPr>
                    <w:t>-7</w:t>
                  </w:r>
                  <w:r>
                    <w:rPr>
                      <w:rFonts w:hint="default"/>
                    </w:rPr>
                    <w:t>cm/s；或参照GB16889执行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5" w:type="dxa"/>
                  <w:noWrap w:val="0"/>
                  <w:vAlign w:val="center"/>
                </w:tcPr>
                <w:p>
                  <w:pPr>
                    <w:pStyle w:val="30"/>
                    <w:bidi w:val="0"/>
                    <w:rPr>
                      <w:rFonts w:hint="default"/>
                    </w:rPr>
                  </w:pPr>
                  <w:r>
                    <w:rPr>
                      <w:rFonts w:hint="default"/>
                    </w:rPr>
                    <w:t>3</w:t>
                  </w:r>
                </w:p>
              </w:tc>
              <w:tc>
                <w:tcPr>
                  <w:tcW w:w="1422" w:type="dxa"/>
                  <w:noWrap w:val="0"/>
                  <w:vAlign w:val="center"/>
                </w:tcPr>
                <w:p>
                  <w:pPr>
                    <w:pStyle w:val="30"/>
                    <w:bidi w:val="0"/>
                    <w:rPr>
                      <w:rFonts w:hint="default"/>
                    </w:rPr>
                  </w:pPr>
                  <w:r>
                    <w:rPr>
                      <w:rFonts w:hint="default"/>
                    </w:rPr>
                    <w:t>简单防渗区</w:t>
                  </w:r>
                </w:p>
              </w:tc>
              <w:tc>
                <w:tcPr>
                  <w:tcW w:w="2364" w:type="dxa"/>
                  <w:noWrap w:val="0"/>
                  <w:vAlign w:val="center"/>
                </w:tcPr>
                <w:p>
                  <w:pPr>
                    <w:pStyle w:val="30"/>
                    <w:bidi w:val="0"/>
                    <w:rPr>
                      <w:rFonts w:hint="default"/>
                    </w:rPr>
                  </w:pPr>
                  <w:r>
                    <w:rPr>
                      <w:rFonts w:hint="default"/>
                    </w:rPr>
                    <w:t>除上述建筑外的所有区域（除厂区绿化用地外）</w:t>
                  </w:r>
                </w:p>
              </w:tc>
              <w:tc>
                <w:tcPr>
                  <w:tcW w:w="4159" w:type="dxa"/>
                  <w:noWrap w:val="0"/>
                  <w:vAlign w:val="center"/>
                </w:tcPr>
                <w:p>
                  <w:pPr>
                    <w:pStyle w:val="30"/>
                    <w:bidi w:val="0"/>
                    <w:rPr>
                      <w:rFonts w:hint="default"/>
                    </w:rPr>
                  </w:pPr>
                  <w:r>
                    <w:rPr>
                      <w:rFonts w:hint="default"/>
                    </w:rPr>
                    <w:t>一般地面硬化</w:t>
                  </w:r>
                </w:p>
              </w:tc>
            </w:tr>
          </w:tbl>
          <w:p>
            <w:pPr>
              <w:pStyle w:val="12"/>
              <w:bidi w:val="0"/>
              <w:rPr>
                <w:rFonts w:hint="eastAsia"/>
              </w:rPr>
            </w:pPr>
            <w:r>
              <w:rPr>
                <w:rFonts w:hint="eastAsia"/>
              </w:rPr>
              <w:t>本项目污水处理站、医疗废物暂存间、</w:t>
            </w:r>
            <w:r>
              <w:rPr>
                <w:rFonts w:hint="eastAsia"/>
                <w:lang w:val="en-US" w:eastAsia="zh-CN"/>
              </w:rPr>
              <w:t>事故池</w:t>
            </w:r>
            <w:r>
              <w:rPr>
                <w:rFonts w:hint="eastAsia"/>
              </w:rPr>
              <w:t>均采用水泥硬化</w:t>
            </w:r>
            <w:r>
              <w:rPr>
                <w:rFonts w:hint="eastAsia"/>
                <w:lang w:val="en-US" w:eastAsia="zh-CN"/>
              </w:rPr>
              <w:t>防渗</w:t>
            </w:r>
            <w:r>
              <w:rPr>
                <w:rFonts w:hint="eastAsia"/>
              </w:rPr>
              <w:t>处理，可有效防止污染物进入地下水体、土壤，从而减轻乃至杜绝对地下水、土壤环境的影响。</w:t>
            </w:r>
          </w:p>
          <w:bookmarkEnd w:id="69"/>
          <w:bookmarkEnd w:id="70"/>
          <w:bookmarkEnd w:id="71"/>
          <w:p>
            <w:pPr>
              <w:pStyle w:val="12"/>
              <w:bidi w:val="0"/>
              <w:rPr>
                <w:rFonts w:hint="eastAsia"/>
                <w:lang w:val="en-US" w:eastAsia="zh-CN"/>
              </w:rPr>
            </w:pPr>
            <w:r>
              <w:rPr>
                <w:rFonts w:hint="eastAsia"/>
              </w:rPr>
              <w:t>6</w:t>
            </w:r>
            <w:r>
              <w:rPr>
                <w:rFonts w:hint="eastAsia"/>
                <w:lang w:val="en-US" w:eastAsia="zh-CN"/>
              </w:rPr>
              <w:t>.</w:t>
            </w:r>
            <w:r>
              <w:t>环境风险</w:t>
            </w:r>
          </w:p>
          <w:p>
            <w:pPr>
              <w:pStyle w:val="12"/>
              <w:bidi w:val="0"/>
              <w:rPr>
                <w:rFonts w:hint="default"/>
                <w:lang w:val="en-US" w:eastAsia="zh-CN"/>
              </w:rPr>
            </w:pPr>
            <w:bookmarkStart w:id="72" w:name="bookmark243"/>
            <w:bookmarkStart w:id="73" w:name="bookmark244"/>
            <w:bookmarkStart w:id="74" w:name="bookmark242"/>
            <w:bookmarkStart w:id="75" w:name="bookmark246"/>
            <w:bookmarkStart w:id="76" w:name="bookmark245"/>
            <w:bookmarkStart w:id="77" w:name="bookmark247"/>
            <w:r>
              <w:rPr>
                <w:rFonts w:hint="eastAsia"/>
                <w:lang w:val="en-US" w:eastAsia="zh-CN"/>
              </w:rPr>
              <w:t>6.1</w:t>
            </w:r>
            <w:bookmarkEnd w:id="72"/>
            <w:bookmarkEnd w:id="73"/>
            <w:bookmarkEnd w:id="74"/>
            <w:r>
              <w:t>危险物质数量与临界量比值（</w:t>
            </w:r>
            <w:r>
              <w:rPr>
                <w:rFonts w:hint="default"/>
              </w:rPr>
              <w:t>Q</w:t>
            </w:r>
            <w:r>
              <w:t>）</w:t>
            </w:r>
          </w:p>
          <w:p>
            <w:pPr>
              <w:pStyle w:val="12"/>
              <w:bidi w:val="0"/>
            </w:pPr>
            <w:r>
              <w:t>根据《建设项目环境风险评价技术导则》</w:t>
            </w:r>
            <w:r>
              <w:rPr>
                <w:rFonts w:hint="eastAsia"/>
                <w:lang w:val="en-US" w:eastAsia="en-US"/>
              </w:rPr>
              <w:t>(</w:t>
            </w:r>
            <w:r>
              <w:rPr>
                <w:lang w:val="en-US" w:eastAsia="en-US"/>
              </w:rPr>
              <w:t>HJ 169-2018</w:t>
            </w:r>
            <w:r>
              <w:rPr>
                <w:rFonts w:hint="eastAsia"/>
                <w:lang w:val="en-US" w:eastAsia="en-US"/>
              </w:rPr>
              <w:t>)</w:t>
            </w:r>
            <w:r>
              <w:t>附录</w:t>
            </w:r>
            <w:r>
              <w:rPr>
                <w:lang w:val="en-US" w:eastAsia="en-US"/>
              </w:rPr>
              <w:t>B</w:t>
            </w:r>
            <w:r>
              <w:t>内容，结合本项目涉及原辅料的理化特性及毒理特性，本项目涉及的</w:t>
            </w:r>
            <w:r>
              <w:rPr>
                <w:rFonts w:hint="eastAsia"/>
                <w:lang w:val="en-US" w:eastAsia="zh-CN"/>
              </w:rPr>
              <w:t>危险</w:t>
            </w:r>
            <w:r>
              <w:t>物质</w:t>
            </w:r>
            <w:r>
              <w:rPr>
                <w:rFonts w:hint="eastAsia"/>
                <w:lang w:val="en-US" w:eastAsia="zh-CN"/>
              </w:rPr>
              <w:t>为乙醇（酒精）、云氧消毒粉、盐酸、亚氯酸钠，本项目危险物质的储存量、临界量见下表。</w:t>
            </w:r>
          </w:p>
          <w:p>
            <w:pPr>
              <w:pStyle w:val="12"/>
              <w:bidi w:val="0"/>
              <w:rPr>
                <w:rFonts w:hint="default"/>
              </w:rPr>
            </w:pPr>
            <w:r>
              <w:rPr>
                <w:rFonts w:hint="default"/>
              </w:rPr>
              <w:t>根据建设项目生产、使用、储存过程中涉及的有毒有害、易燃易爆物质，计算每种物质在</w:t>
            </w:r>
            <w:r>
              <w:rPr>
                <w:rFonts w:hint="default"/>
                <w:lang w:eastAsia="zh-CN"/>
              </w:rPr>
              <w:t>院界</w:t>
            </w:r>
            <w:r>
              <w:rPr>
                <w:rFonts w:hint="default"/>
              </w:rPr>
              <w:t>内的最大存在总量与其对应的临界量的比值Q，具体计算如下式：</w:t>
            </w:r>
          </w:p>
          <w:p>
            <w:pPr>
              <w:pStyle w:val="12"/>
              <w:bidi w:val="0"/>
              <w:rPr>
                <w:rFonts w:hint="default"/>
              </w:rPr>
            </w:pPr>
            <w:r>
              <w:rPr>
                <w:rFonts w:hint="default"/>
              </w:rPr>
              <w:drawing>
                <wp:anchor distT="0" distB="0" distL="114300" distR="114300" simplePos="0" relativeHeight="251660288" behindDoc="0" locked="0" layoutInCell="1" allowOverlap="1">
                  <wp:simplePos x="0" y="0"/>
                  <wp:positionH relativeFrom="page">
                    <wp:posOffset>1545590</wp:posOffset>
                  </wp:positionH>
                  <wp:positionV relativeFrom="paragraph">
                    <wp:posOffset>100330</wp:posOffset>
                  </wp:positionV>
                  <wp:extent cx="1760855" cy="449580"/>
                  <wp:effectExtent l="0" t="0" r="10795" b="7620"/>
                  <wp:wrapTopAndBottom/>
                  <wp:docPr id="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4.jpeg"/>
                          <pic:cNvPicPr>
                            <a:picLocks noChangeAspect="1"/>
                          </pic:cNvPicPr>
                        </pic:nvPicPr>
                        <pic:blipFill>
                          <a:blip r:embed="rId25"/>
                          <a:stretch>
                            <a:fillRect/>
                          </a:stretch>
                        </pic:blipFill>
                        <pic:spPr>
                          <a:xfrm>
                            <a:off x="0" y="0"/>
                            <a:ext cx="1760855" cy="449580"/>
                          </a:xfrm>
                          <a:prstGeom prst="rect">
                            <a:avLst/>
                          </a:prstGeom>
                          <a:noFill/>
                          <a:ln>
                            <a:noFill/>
                          </a:ln>
                        </pic:spPr>
                      </pic:pic>
                    </a:graphicData>
                  </a:graphic>
                </wp:anchor>
              </w:drawing>
            </w:r>
            <w:r>
              <w:rPr>
                <w:rFonts w:hint="default"/>
              </w:rPr>
              <w:t>式中，q</w:t>
            </w:r>
            <w:r>
              <w:rPr>
                <w:rFonts w:hint="default"/>
                <w:vertAlign w:val="subscript"/>
              </w:rPr>
              <w:t>1</w:t>
            </w:r>
            <w:r>
              <w:rPr>
                <w:rFonts w:hint="default"/>
                <w:lang w:eastAsia="zh-CN"/>
              </w:rPr>
              <w:t>，</w:t>
            </w:r>
            <w:r>
              <w:rPr>
                <w:rFonts w:hint="default"/>
              </w:rPr>
              <w:t>q</w:t>
            </w:r>
            <w:r>
              <w:rPr>
                <w:rFonts w:hint="default"/>
                <w:vertAlign w:val="subscript"/>
              </w:rPr>
              <w:t>2</w:t>
            </w:r>
            <w:r>
              <w:rPr>
                <w:rFonts w:hint="default"/>
              </w:rPr>
              <w:t>…</w:t>
            </w:r>
            <w:r>
              <w:rPr>
                <w:rFonts w:hint="default"/>
                <w:lang w:eastAsia="zh-CN"/>
              </w:rPr>
              <w:t>，</w:t>
            </w:r>
            <w:r>
              <w:rPr>
                <w:rFonts w:hint="default"/>
              </w:rPr>
              <w:t>qn--每一种危险物品的现存量；</w:t>
            </w:r>
          </w:p>
          <w:p>
            <w:pPr>
              <w:pStyle w:val="12"/>
              <w:bidi w:val="0"/>
              <w:ind w:firstLine="1200" w:firstLineChars="500"/>
              <w:rPr>
                <w:rFonts w:hint="default"/>
              </w:rPr>
            </w:pPr>
            <w:r>
              <w:rPr>
                <w:rFonts w:hint="default"/>
              </w:rPr>
              <w:t>Q</w:t>
            </w:r>
            <w:r>
              <w:rPr>
                <w:rFonts w:hint="default"/>
                <w:vertAlign w:val="subscript"/>
              </w:rPr>
              <w:t>1</w:t>
            </w:r>
            <w:r>
              <w:rPr>
                <w:rFonts w:hint="default"/>
              </w:rPr>
              <w:t>，Q</w:t>
            </w:r>
            <w:r>
              <w:rPr>
                <w:rFonts w:hint="default"/>
                <w:vertAlign w:val="subscript"/>
              </w:rPr>
              <w:t>2</w:t>
            </w:r>
            <w:r>
              <w:rPr>
                <w:rFonts w:hint="default"/>
              </w:rPr>
              <w:t>…Qn--对应危险物品的临界量。</w:t>
            </w:r>
          </w:p>
          <w:p>
            <w:pPr>
              <w:pStyle w:val="12"/>
              <w:bidi w:val="0"/>
              <w:rPr>
                <w:rFonts w:hint="default"/>
                <w:lang w:val="zh-CN" w:eastAsia="zh-CN"/>
              </w:rPr>
            </w:pPr>
            <w:r>
              <w:rPr>
                <w:rFonts w:hint="default"/>
              </w:rPr>
              <w:t>Q 值计算结果详见</w:t>
            </w:r>
            <w:r>
              <w:rPr>
                <w:rFonts w:hint="eastAsia"/>
                <w:lang w:eastAsia="zh-CN"/>
              </w:rPr>
              <w:t>下</w:t>
            </w:r>
            <w:r>
              <w:rPr>
                <w:rFonts w:hint="default"/>
              </w:rPr>
              <w:t>表。</w:t>
            </w:r>
          </w:p>
          <w:p>
            <w:pPr>
              <w:pStyle w:val="29"/>
              <w:bidi w:val="0"/>
              <w:rPr>
                <w:rFonts w:hint="default"/>
                <w:lang w:val="zh-CN" w:eastAsia="zh-CN"/>
              </w:rPr>
            </w:pPr>
            <w:r>
              <w:rPr>
                <w:rFonts w:hint="default"/>
                <w:lang w:val="zh-CN" w:eastAsia="zh-CN"/>
              </w:rPr>
              <w:t xml:space="preserve">表 </w:t>
            </w:r>
            <w:r>
              <w:rPr>
                <w:rFonts w:hint="eastAsia"/>
                <w:lang w:val="en-US" w:eastAsia="zh-CN"/>
              </w:rPr>
              <w:t>4.2-24</w:t>
            </w:r>
            <w:r>
              <w:rPr>
                <w:rFonts w:hint="default"/>
                <w:lang w:val="zh-CN" w:eastAsia="zh-CN"/>
              </w:rPr>
              <w:tab/>
            </w:r>
            <w:r>
              <w:rPr>
                <w:rFonts w:hint="eastAsia"/>
                <w:lang w:val="en-US" w:eastAsia="zh-CN"/>
              </w:rPr>
              <w:t xml:space="preserve"> </w:t>
            </w:r>
            <w:r>
              <w:rPr>
                <w:rFonts w:hint="default"/>
                <w:lang w:val="zh-CN" w:eastAsia="zh-CN"/>
              </w:rPr>
              <w:t>项目主要物料储存方式汇总一览表</w:t>
            </w:r>
          </w:p>
          <w:tbl>
            <w:tblPr>
              <w:tblStyle w:val="27"/>
              <w:tblW w:w="867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09"/>
              <w:gridCol w:w="1538"/>
              <w:gridCol w:w="1418"/>
              <w:gridCol w:w="1999"/>
              <w:gridCol w:w="940"/>
              <w:gridCol w:w="146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309" w:type="dxa"/>
                  <w:tcBorders>
                    <w:tl2br w:val="nil"/>
                    <w:tr2bl w:val="nil"/>
                  </w:tcBorders>
                  <w:noWrap w:val="0"/>
                  <w:vAlign w:val="center"/>
                </w:tcPr>
                <w:p>
                  <w:pPr>
                    <w:pStyle w:val="30"/>
                    <w:bidi w:val="0"/>
                  </w:pPr>
                  <w:r>
                    <w:rPr>
                      <w:rFonts w:hint="eastAsia"/>
                    </w:rPr>
                    <w:t>名称</w:t>
                  </w:r>
                </w:p>
              </w:tc>
              <w:tc>
                <w:tcPr>
                  <w:tcW w:w="1538" w:type="dxa"/>
                  <w:tcBorders>
                    <w:tl2br w:val="nil"/>
                    <w:tr2bl w:val="nil"/>
                  </w:tcBorders>
                  <w:noWrap w:val="0"/>
                  <w:vAlign w:val="center"/>
                </w:tcPr>
                <w:p>
                  <w:pPr>
                    <w:pStyle w:val="30"/>
                    <w:bidi w:val="0"/>
                  </w:pPr>
                  <w:r>
                    <w:rPr>
                      <w:rFonts w:hint="eastAsia"/>
                    </w:rPr>
                    <w:t>危险性</w:t>
                  </w:r>
                </w:p>
              </w:tc>
              <w:tc>
                <w:tcPr>
                  <w:tcW w:w="1418" w:type="dxa"/>
                  <w:tcBorders>
                    <w:tl2br w:val="nil"/>
                    <w:tr2bl w:val="nil"/>
                  </w:tcBorders>
                  <w:noWrap w:val="0"/>
                  <w:vAlign w:val="center"/>
                </w:tcPr>
                <w:p>
                  <w:pPr>
                    <w:pStyle w:val="30"/>
                    <w:bidi w:val="0"/>
                  </w:pPr>
                  <w:r>
                    <w:rPr>
                      <w:rFonts w:hint="eastAsia"/>
                    </w:rPr>
                    <w:t>CAS号</w:t>
                  </w:r>
                </w:p>
              </w:tc>
              <w:tc>
                <w:tcPr>
                  <w:tcW w:w="1999" w:type="dxa"/>
                  <w:tcBorders>
                    <w:tl2br w:val="nil"/>
                    <w:tr2bl w:val="nil"/>
                  </w:tcBorders>
                  <w:noWrap w:val="0"/>
                  <w:vAlign w:val="center"/>
                </w:tcPr>
                <w:p>
                  <w:pPr>
                    <w:pStyle w:val="30"/>
                    <w:bidi w:val="0"/>
                  </w:pPr>
                  <w:r>
                    <w:t>最大</w:t>
                  </w:r>
                  <w:r>
                    <w:rPr>
                      <w:rFonts w:hint="eastAsia"/>
                      <w:lang w:val="en-US" w:eastAsia="zh-CN"/>
                    </w:rPr>
                    <w:t>储存量</w:t>
                  </w:r>
                  <w:r>
                    <w:t>qn/t</w:t>
                  </w:r>
                </w:p>
              </w:tc>
              <w:tc>
                <w:tcPr>
                  <w:tcW w:w="940" w:type="dxa"/>
                  <w:tcBorders>
                    <w:tl2br w:val="nil"/>
                    <w:tr2bl w:val="nil"/>
                  </w:tcBorders>
                  <w:noWrap w:val="0"/>
                  <w:vAlign w:val="center"/>
                </w:tcPr>
                <w:p>
                  <w:pPr>
                    <w:pStyle w:val="30"/>
                    <w:bidi w:val="0"/>
                  </w:pPr>
                  <w:r>
                    <w:t>临界量</w:t>
                  </w:r>
                </w:p>
              </w:tc>
              <w:tc>
                <w:tcPr>
                  <w:tcW w:w="1466" w:type="dxa"/>
                  <w:tcBorders>
                    <w:tl2br w:val="nil"/>
                    <w:tr2bl w:val="nil"/>
                  </w:tcBorders>
                  <w:noWrap w:val="0"/>
                  <w:vAlign w:val="center"/>
                </w:tcPr>
                <w:p>
                  <w:pPr>
                    <w:pStyle w:val="30"/>
                    <w:bidi w:val="0"/>
                  </w:pPr>
                  <w:r>
                    <w:t>Q</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309" w:type="dxa"/>
                  <w:tcBorders>
                    <w:tl2br w:val="nil"/>
                    <w:tr2bl w:val="nil"/>
                  </w:tcBorders>
                  <w:noWrap w:val="0"/>
                  <w:vAlign w:val="center"/>
                </w:tcPr>
                <w:p>
                  <w:pPr>
                    <w:pStyle w:val="30"/>
                    <w:bidi w:val="0"/>
                    <w:rPr>
                      <w:rFonts w:hint="eastAsia"/>
                      <w:lang w:val="en-US" w:eastAsia="zh-CN"/>
                    </w:rPr>
                  </w:pPr>
                  <w:r>
                    <w:rPr>
                      <w:rFonts w:hint="eastAsia"/>
                      <w:lang w:val="en-US" w:eastAsia="zh-CN"/>
                    </w:rPr>
                    <w:t>乙醇</w:t>
                  </w:r>
                </w:p>
              </w:tc>
              <w:tc>
                <w:tcPr>
                  <w:tcW w:w="1538" w:type="dxa"/>
                  <w:tcBorders>
                    <w:tl2br w:val="nil"/>
                    <w:tr2bl w:val="nil"/>
                  </w:tcBorders>
                  <w:noWrap w:val="0"/>
                  <w:vAlign w:val="center"/>
                </w:tcPr>
                <w:p>
                  <w:pPr>
                    <w:pStyle w:val="30"/>
                    <w:bidi w:val="0"/>
                  </w:pPr>
                  <w:r>
                    <w:t>泄露、火灾</w:t>
                  </w:r>
                </w:p>
              </w:tc>
              <w:tc>
                <w:tcPr>
                  <w:tcW w:w="1418" w:type="dxa"/>
                  <w:tcBorders>
                    <w:tl2br w:val="nil"/>
                    <w:tr2bl w:val="nil"/>
                  </w:tcBorders>
                  <w:noWrap w:val="0"/>
                  <w:vAlign w:val="center"/>
                </w:tcPr>
                <w:p>
                  <w:pPr>
                    <w:pStyle w:val="30"/>
                    <w:bidi w:val="0"/>
                  </w:pPr>
                  <w:r>
                    <w:t>64-17-5</w:t>
                  </w:r>
                </w:p>
              </w:tc>
              <w:tc>
                <w:tcPr>
                  <w:tcW w:w="1999" w:type="dxa"/>
                  <w:tcBorders>
                    <w:tl2br w:val="nil"/>
                    <w:tr2bl w:val="nil"/>
                  </w:tcBorders>
                  <w:noWrap w:val="0"/>
                  <w:vAlign w:val="center"/>
                </w:tcPr>
                <w:p>
                  <w:pPr>
                    <w:pStyle w:val="30"/>
                    <w:bidi w:val="0"/>
                    <w:rPr>
                      <w:rFonts w:hint="default"/>
                      <w:lang w:val="en-US" w:eastAsia="zh-CN"/>
                    </w:rPr>
                  </w:pPr>
                  <w:r>
                    <w:rPr>
                      <w:rFonts w:hint="eastAsia"/>
                      <w:lang w:val="en-US" w:eastAsia="zh-CN"/>
                    </w:rPr>
                    <w:t>0.1</w:t>
                  </w:r>
                </w:p>
              </w:tc>
              <w:tc>
                <w:tcPr>
                  <w:tcW w:w="940" w:type="dxa"/>
                  <w:tcBorders>
                    <w:tl2br w:val="nil"/>
                    <w:tr2bl w:val="nil"/>
                  </w:tcBorders>
                  <w:noWrap w:val="0"/>
                  <w:vAlign w:val="center"/>
                </w:tcPr>
                <w:p>
                  <w:pPr>
                    <w:pStyle w:val="30"/>
                    <w:bidi w:val="0"/>
                  </w:pPr>
                  <w:r>
                    <w:t>500</w:t>
                  </w:r>
                </w:p>
              </w:tc>
              <w:tc>
                <w:tcPr>
                  <w:tcW w:w="1466" w:type="dxa"/>
                  <w:tcBorders>
                    <w:tl2br w:val="nil"/>
                    <w:tr2bl w:val="nil"/>
                  </w:tcBorders>
                  <w:noWrap w:val="0"/>
                  <w:vAlign w:val="center"/>
                </w:tcPr>
                <w:p>
                  <w:pPr>
                    <w:pStyle w:val="30"/>
                    <w:bidi w:val="0"/>
                    <w:rPr>
                      <w:rFonts w:hint="default"/>
                      <w:lang w:val="en-US" w:eastAsia="zh-CN"/>
                    </w:rPr>
                  </w:pPr>
                  <w:r>
                    <w:rPr>
                      <w:rFonts w:hint="eastAsia"/>
                      <w:lang w:val="en-US" w:eastAsia="zh-CN"/>
                    </w:rPr>
                    <w:t>0.0002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309" w:type="dxa"/>
                  <w:tcBorders>
                    <w:tl2br w:val="nil"/>
                    <w:tr2bl w:val="nil"/>
                  </w:tcBorders>
                  <w:noWrap w:val="0"/>
                  <w:vAlign w:val="center"/>
                </w:tcPr>
                <w:p>
                  <w:pPr>
                    <w:pStyle w:val="30"/>
                    <w:bidi w:val="0"/>
                    <w:rPr>
                      <w:rFonts w:hint="eastAsia"/>
                      <w:lang w:val="en-US" w:eastAsia="zh-CN"/>
                    </w:rPr>
                  </w:pPr>
                  <w:r>
                    <w:rPr>
                      <w:rFonts w:hint="default"/>
                    </w:rPr>
                    <w:t>盐酸</w:t>
                  </w:r>
                </w:p>
              </w:tc>
              <w:tc>
                <w:tcPr>
                  <w:tcW w:w="1538" w:type="dxa"/>
                  <w:tcBorders>
                    <w:tl2br w:val="nil"/>
                    <w:tr2bl w:val="nil"/>
                  </w:tcBorders>
                  <w:noWrap w:val="0"/>
                  <w:vAlign w:val="center"/>
                </w:tcPr>
                <w:p>
                  <w:pPr>
                    <w:pStyle w:val="30"/>
                    <w:bidi w:val="0"/>
                    <w:rPr>
                      <w:lang w:val="en-US" w:eastAsia="zh-CN"/>
                    </w:rPr>
                  </w:pPr>
                  <w:r>
                    <w:rPr>
                      <w:rFonts w:hint="default"/>
                    </w:rPr>
                    <w:t>有毒有害</w:t>
                  </w:r>
                </w:p>
              </w:tc>
              <w:tc>
                <w:tcPr>
                  <w:tcW w:w="1418" w:type="dxa"/>
                  <w:tcBorders>
                    <w:tl2br w:val="nil"/>
                    <w:tr2bl w:val="nil"/>
                  </w:tcBorders>
                  <w:noWrap w:val="0"/>
                  <w:vAlign w:val="center"/>
                </w:tcPr>
                <w:p>
                  <w:pPr>
                    <w:pStyle w:val="30"/>
                    <w:bidi w:val="0"/>
                    <w:rPr>
                      <w:lang w:val="en-US" w:eastAsia="zh-CN"/>
                    </w:rPr>
                  </w:pPr>
                  <w:r>
                    <w:rPr>
                      <w:rFonts w:hint="default"/>
                    </w:rPr>
                    <w:t>7647-01-0</w:t>
                  </w:r>
                </w:p>
              </w:tc>
              <w:tc>
                <w:tcPr>
                  <w:tcW w:w="1999" w:type="dxa"/>
                  <w:tcBorders>
                    <w:tl2br w:val="nil"/>
                    <w:tr2bl w:val="nil"/>
                  </w:tcBorders>
                  <w:noWrap w:val="0"/>
                  <w:vAlign w:val="center"/>
                </w:tcPr>
                <w:p>
                  <w:pPr>
                    <w:pStyle w:val="30"/>
                    <w:bidi w:val="0"/>
                    <w:rPr>
                      <w:lang w:val="en-US" w:eastAsia="zh-CN"/>
                    </w:rPr>
                  </w:pPr>
                  <w:r>
                    <w:rPr>
                      <w:rFonts w:hint="eastAsia"/>
                      <w:lang w:val="en-US" w:eastAsia="zh-CN"/>
                    </w:rPr>
                    <w:t>0.1</w:t>
                  </w:r>
                </w:p>
              </w:tc>
              <w:tc>
                <w:tcPr>
                  <w:tcW w:w="940" w:type="dxa"/>
                  <w:tcBorders>
                    <w:tl2br w:val="nil"/>
                    <w:tr2bl w:val="nil"/>
                  </w:tcBorders>
                  <w:noWrap w:val="0"/>
                  <w:vAlign w:val="center"/>
                </w:tcPr>
                <w:p>
                  <w:pPr>
                    <w:pStyle w:val="30"/>
                    <w:bidi w:val="0"/>
                    <w:rPr>
                      <w:rFonts w:hint="eastAsia"/>
                      <w:lang w:val="en-US" w:eastAsia="zh-CN"/>
                    </w:rPr>
                  </w:pPr>
                  <w:r>
                    <w:rPr>
                      <w:rFonts w:hint="default"/>
                    </w:rPr>
                    <w:t>7.5</w:t>
                  </w:r>
                </w:p>
              </w:tc>
              <w:tc>
                <w:tcPr>
                  <w:tcW w:w="1466" w:type="dxa"/>
                  <w:tcBorders>
                    <w:tl2br w:val="nil"/>
                    <w:tr2bl w:val="nil"/>
                  </w:tcBorders>
                  <w:noWrap w:val="0"/>
                  <w:vAlign w:val="center"/>
                </w:tcPr>
                <w:p>
                  <w:pPr>
                    <w:pStyle w:val="30"/>
                    <w:bidi w:val="0"/>
                    <w:rPr>
                      <w:rFonts w:hint="eastAsia"/>
                      <w:lang w:val="en-US" w:eastAsia="zh-CN"/>
                    </w:rPr>
                  </w:pPr>
                  <w:r>
                    <w:rPr>
                      <w:rFonts w:hint="eastAsia"/>
                      <w:lang w:val="en-US" w:eastAsia="zh-CN"/>
                    </w:rPr>
                    <w:t>0.013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7204" w:type="dxa"/>
                  <w:gridSpan w:val="5"/>
                  <w:tcBorders>
                    <w:tl2br w:val="nil"/>
                    <w:tr2bl w:val="nil"/>
                  </w:tcBorders>
                  <w:noWrap w:val="0"/>
                  <w:vAlign w:val="center"/>
                </w:tcPr>
                <w:p>
                  <w:pPr>
                    <w:pStyle w:val="30"/>
                    <w:bidi w:val="0"/>
                  </w:pPr>
                  <w:r>
                    <w:rPr>
                      <w:rFonts w:hint="eastAsia"/>
                    </w:rPr>
                    <w:t>合计</w:t>
                  </w:r>
                </w:p>
              </w:tc>
              <w:tc>
                <w:tcPr>
                  <w:tcW w:w="1466" w:type="dxa"/>
                  <w:tcBorders>
                    <w:tl2br w:val="nil"/>
                    <w:tr2bl w:val="nil"/>
                  </w:tcBorders>
                  <w:noWrap w:val="0"/>
                  <w:vAlign w:val="center"/>
                </w:tcPr>
                <w:p>
                  <w:pPr>
                    <w:pStyle w:val="30"/>
                    <w:bidi w:val="0"/>
                    <w:rPr>
                      <w:rFonts w:hint="default"/>
                      <w:lang w:val="en-US" w:eastAsia="zh-CN"/>
                    </w:rPr>
                  </w:pPr>
                  <w:r>
                    <w:t>0.0</w:t>
                  </w:r>
                  <w:r>
                    <w:rPr>
                      <w:rFonts w:hint="eastAsia"/>
                      <w:lang w:val="en-US" w:eastAsia="zh-CN"/>
                    </w:rPr>
                    <w:t>152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8670" w:type="dxa"/>
                  <w:gridSpan w:val="6"/>
                  <w:tcBorders>
                    <w:tl2br w:val="nil"/>
                    <w:tr2bl w:val="nil"/>
                  </w:tcBorders>
                  <w:noWrap w:val="0"/>
                  <w:vAlign w:val="center"/>
                </w:tcPr>
                <w:p>
                  <w:pPr>
                    <w:pStyle w:val="30"/>
                    <w:bidi w:val="0"/>
                  </w:pPr>
                  <w:r>
                    <w:rPr>
                      <w:rFonts w:hint="eastAsia"/>
                      <w:lang w:val="en-US" w:eastAsia="zh-CN"/>
                    </w:rPr>
                    <w:t>注:乙醇临界量参照《危险化学品重大危险源辨识》（GB18218-2009）</w:t>
                  </w:r>
                </w:p>
              </w:tc>
            </w:tr>
          </w:tbl>
          <w:p>
            <w:pPr>
              <w:pStyle w:val="12"/>
              <w:bidi w:val="0"/>
              <w:rPr>
                <w:rFonts w:hint="default" w:ascii="Times New Roman" w:hAnsi="Times New Roman" w:eastAsia="宋体" w:cs="Times New Roman"/>
                <w:b w:val="0"/>
                <w:bCs w:val="0"/>
                <w:color w:val="000000"/>
                <w:spacing w:val="0"/>
                <w:w w:val="100"/>
                <w:position w:val="0"/>
                <w:sz w:val="24"/>
                <w:szCs w:val="24"/>
                <w:highlight w:val="none"/>
                <w:lang w:val="en-US" w:eastAsia="zh-CN" w:bidi="zh-CN"/>
              </w:rPr>
            </w:pPr>
            <w:r>
              <w:rPr>
                <w:rFonts w:hint="default" w:ascii="Times New Roman" w:hAnsi="Times New Roman" w:eastAsia="宋体" w:cs="Times New Roman"/>
                <w:b w:val="0"/>
                <w:bCs w:val="0"/>
                <w:color w:val="000000"/>
                <w:spacing w:val="0"/>
                <w:w w:val="100"/>
                <w:position w:val="0"/>
                <w:sz w:val="24"/>
                <w:szCs w:val="24"/>
                <w:highlight w:val="none"/>
                <w:lang w:val="zh-CN" w:eastAsia="zh-CN" w:bidi="zh-CN"/>
              </w:rPr>
              <w:t>根据上表得知，各危险品储存量远小于临界量，物质总量与临界量比值Q值</w:t>
            </w:r>
            <w:r>
              <w:rPr>
                <w:rFonts w:hint="eastAsia" w:ascii="Times New Roman" w:hAnsi="Times New Roman" w:eastAsia="宋体" w:cs="Times New Roman"/>
                <w:b w:val="0"/>
                <w:bCs w:val="0"/>
                <w:color w:val="000000"/>
                <w:spacing w:val="0"/>
                <w:w w:val="100"/>
                <w:position w:val="0"/>
                <w:sz w:val="24"/>
                <w:szCs w:val="24"/>
                <w:highlight w:val="none"/>
                <w:lang w:val="en-US" w:eastAsia="zh-CN" w:bidi="zh-CN"/>
              </w:rPr>
              <w:t>0.0152</w:t>
            </w:r>
            <w:r>
              <w:rPr>
                <w:rFonts w:hint="default" w:ascii="Times New Roman" w:hAnsi="Times New Roman" w:eastAsia="宋体" w:cs="Times New Roman"/>
                <w:b w:val="0"/>
                <w:bCs w:val="0"/>
                <w:color w:val="000000"/>
                <w:spacing w:val="0"/>
                <w:w w:val="100"/>
                <w:position w:val="0"/>
                <w:sz w:val="24"/>
                <w:szCs w:val="24"/>
                <w:highlight w:val="none"/>
                <w:lang w:val="zh-CN" w:eastAsia="zh-CN" w:bidi="zh-CN"/>
              </w:rPr>
              <w:t>＜1，所以项目不构成危险化学品重大危险源，风险潜势为I</w:t>
            </w:r>
            <w:r>
              <w:rPr>
                <w:rFonts w:hint="eastAsia" w:ascii="Times New Roman" w:hAnsi="Times New Roman" w:eastAsia="宋体" w:cs="Times New Roman"/>
                <w:b w:val="0"/>
                <w:bCs w:val="0"/>
                <w:color w:val="000000"/>
                <w:spacing w:val="0"/>
                <w:w w:val="100"/>
                <w:position w:val="0"/>
                <w:sz w:val="24"/>
                <w:szCs w:val="24"/>
                <w:highlight w:val="none"/>
                <w:lang w:val="zh-CN" w:eastAsia="zh-CN" w:bidi="zh-CN"/>
              </w:rPr>
              <w:t>。</w:t>
            </w:r>
          </w:p>
          <w:p>
            <w:pPr>
              <w:pStyle w:val="12"/>
              <w:bidi w:val="0"/>
              <w:rPr>
                <w:rFonts w:hint="default" w:ascii="Times New Roman" w:hAnsi="Times New Roman" w:eastAsia="宋体" w:cs="Times New Roman"/>
                <w:b w:val="0"/>
                <w:bCs w:val="0"/>
                <w:color w:val="000000"/>
                <w:spacing w:val="0"/>
                <w:w w:val="100"/>
                <w:position w:val="0"/>
                <w:sz w:val="24"/>
                <w:szCs w:val="24"/>
                <w:highlight w:val="none"/>
                <w:lang w:val="zh-CN" w:eastAsia="zh-CN" w:bidi="zh-CN"/>
              </w:rPr>
            </w:pPr>
            <w:r>
              <w:rPr>
                <w:rFonts w:hint="default" w:ascii="Times New Roman" w:hAnsi="Times New Roman" w:eastAsia="宋体" w:cs="Times New Roman"/>
                <w:b w:val="0"/>
                <w:bCs w:val="0"/>
                <w:color w:val="000000"/>
                <w:spacing w:val="0"/>
                <w:w w:val="100"/>
                <w:position w:val="0"/>
                <w:sz w:val="24"/>
                <w:szCs w:val="24"/>
                <w:highlight w:val="none"/>
                <w:lang w:val="zh-CN" w:eastAsia="zh-CN" w:bidi="zh-CN"/>
              </w:rPr>
              <w:t>评价等级的划分见</w:t>
            </w:r>
            <w:r>
              <w:rPr>
                <w:rFonts w:hint="eastAsia" w:cs="Times New Roman"/>
                <w:b w:val="0"/>
                <w:bCs w:val="0"/>
                <w:color w:val="000000"/>
                <w:spacing w:val="0"/>
                <w:w w:val="100"/>
                <w:position w:val="0"/>
                <w:sz w:val="24"/>
                <w:szCs w:val="24"/>
                <w:highlight w:val="none"/>
                <w:lang w:val="zh-CN" w:eastAsia="zh-CN" w:bidi="zh-CN"/>
              </w:rPr>
              <w:t>下</w:t>
            </w:r>
            <w:r>
              <w:rPr>
                <w:rFonts w:hint="default" w:ascii="Times New Roman" w:hAnsi="Times New Roman" w:eastAsia="宋体" w:cs="Times New Roman"/>
                <w:b w:val="0"/>
                <w:bCs w:val="0"/>
                <w:color w:val="000000"/>
                <w:spacing w:val="0"/>
                <w:w w:val="100"/>
                <w:position w:val="0"/>
                <w:sz w:val="24"/>
                <w:szCs w:val="24"/>
                <w:highlight w:val="none"/>
                <w:lang w:val="zh-CN" w:eastAsia="zh-CN" w:bidi="zh-CN"/>
              </w:rPr>
              <w:t>表。</w:t>
            </w:r>
          </w:p>
          <w:p>
            <w:pPr>
              <w:pStyle w:val="29"/>
              <w:bidi w:val="0"/>
              <w:rPr>
                <w:rFonts w:hint="default"/>
                <w:lang w:val="zh-CN" w:eastAsia="zh-CN"/>
              </w:rPr>
            </w:pPr>
            <w:r>
              <w:rPr>
                <w:rFonts w:hint="default"/>
                <w:lang w:val="zh-CN" w:eastAsia="zh-CN"/>
              </w:rPr>
              <w:t xml:space="preserve">表 </w:t>
            </w:r>
            <w:r>
              <w:rPr>
                <w:rFonts w:hint="eastAsia"/>
                <w:lang w:val="en-US" w:eastAsia="zh-CN"/>
              </w:rPr>
              <w:t>4.2-25</w:t>
            </w:r>
            <w:r>
              <w:rPr>
                <w:rFonts w:hint="default"/>
                <w:lang w:val="en-US" w:eastAsia="zh-CN"/>
              </w:rPr>
              <w:t xml:space="preserve"> </w:t>
            </w:r>
            <w:r>
              <w:rPr>
                <w:rFonts w:hint="default"/>
                <w:lang w:val="zh-CN" w:eastAsia="zh-CN"/>
              </w:rPr>
              <w:t>评价工作等级划分</w:t>
            </w:r>
          </w:p>
          <w:tbl>
            <w:tblPr>
              <w:tblStyle w:val="27"/>
              <w:tblW w:w="8672" w:type="dxa"/>
              <w:jc w:val="center"/>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731"/>
              <w:gridCol w:w="1733"/>
              <w:gridCol w:w="1734"/>
              <w:gridCol w:w="1734"/>
              <w:gridCol w:w="1740"/>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731" w:type="dxa"/>
                  <w:tcBorders>
                    <w:tl2br w:val="nil"/>
                    <w:tr2bl w:val="nil"/>
                  </w:tcBorders>
                  <w:noWrap w:val="0"/>
                  <w:vAlign w:val="center"/>
                </w:tcPr>
                <w:p>
                  <w:pPr>
                    <w:pStyle w:val="30"/>
                    <w:bidi w:val="0"/>
                    <w:rPr>
                      <w:rFonts w:hint="default"/>
                    </w:rPr>
                  </w:pPr>
                  <w:r>
                    <w:rPr>
                      <w:rFonts w:hint="default"/>
                    </w:rPr>
                    <w:t>环境风险潜势</w:t>
                  </w:r>
                </w:p>
              </w:tc>
              <w:tc>
                <w:tcPr>
                  <w:tcW w:w="1733" w:type="dxa"/>
                  <w:tcBorders>
                    <w:tl2br w:val="nil"/>
                    <w:tr2bl w:val="nil"/>
                  </w:tcBorders>
                  <w:noWrap w:val="0"/>
                  <w:vAlign w:val="center"/>
                </w:tcPr>
                <w:p>
                  <w:pPr>
                    <w:pStyle w:val="30"/>
                    <w:bidi w:val="0"/>
                    <w:rPr>
                      <w:rFonts w:hint="default"/>
                    </w:rPr>
                  </w:pPr>
                  <w:r>
                    <w:rPr>
                      <w:rFonts w:hint="default"/>
                    </w:rPr>
                    <w:t>Ⅳ</w:t>
                  </w:r>
                  <w:r>
                    <w:rPr>
                      <w:rFonts w:hint="default"/>
                      <w:lang w:eastAsia="zh-CN"/>
                    </w:rPr>
                    <w:t>、</w:t>
                  </w:r>
                  <w:r>
                    <w:rPr>
                      <w:rFonts w:hint="default"/>
                    </w:rPr>
                    <w:t>Ⅳ+</w:t>
                  </w:r>
                </w:p>
              </w:tc>
              <w:tc>
                <w:tcPr>
                  <w:tcW w:w="1734" w:type="dxa"/>
                  <w:tcBorders>
                    <w:tl2br w:val="nil"/>
                    <w:tr2bl w:val="nil"/>
                  </w:tcBorders>
                  <w:noWrap w:val="0"/>
                  <w:vAlign w:val="center"/>
                </w:tcPr>
                <w:p>
                  <w:pPr>
                    <w:pStyle w:val="30"/>
                    <w:bidi w:val="0"/>
                    <w:rPr>
                      <w:rFonts w:hint="default"/>
                    </w:rPr>
                  </w:pPr>
                  <w:r>
                    <w:rPr>
                      <w:rFonts w:hint="default"/>
                    </w:rPr>
                    <w:t>Ⅲ</w:t>
                  </w:r>
                </w:p>
              </w:tc>
              <w:tc>
                <w:tcPr>
                  <w:tcW w:w="1734" w:type="dxa"/>
                  <w:tcBorders>
                    <w:tl2br w:val="nil"/>
                    <w:tr2bl w:val="nil"/>
                  </w:tcBorders>
                  <w:noWrap w:val="0"/>
                  <w:vAlign w:val="center"/>
                </w:tcPr>
                <w:p>
                  <w:pPr>
                    <w:pStyle w:val="30"/>
                    <w:bidi w:val="0"/>
                    <w:rPr>
                      <w:rFonts w:hint="default"/>
                    </w:rPr>
                  </w:pPr>
                  <w:r>
                    <w:rPr>
                      <w:rFonts w:hint="default"/>
                    </w:rPr>
                    <w:t>Ⅱ</w:t>
                  </w:r>
                </w:p>
              </w:tc>
              <w:tc>
                <w:tcPr>
                  <w:tcW w:w="1740" w:type="dxa"/>
                  <w:tcBorders>
                    <w:tl2br w:val="nil"/>
                    <w:tr2bl w:val="nil"/>
                  </w:tcBorders>
                  <w:noWrap w:val="0"/>
                  <w:vAlign w:val="center"/>
                </w:tcPr>
                <w:p>
                  <w:pPr>
                    <w:pStyle w:val="30"/>
                    <w:bidi w:val="0"/>
                    <w:rPr>
                      <w:rFonts w:hint="default"/>
                    </w:rPr>
                  </w:pPr>
                  <w:r>
                    <w:rPr>
                      <w:rFonts w:hint="default"/>
                    </w:rPr>
                    <w:t>Ⅰ</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731" w:type="dxa"/>
                  <w:tcBorders>
                    <w:tl2br w:val="nil"/>
                    <w:tr2bl w:val="nil"/>
                  </w:tcBorders>
                  <w:noWrap w:val="0"/>
                  <w:vAlign w:val="center"/>
                </w:tcPr>
                <w:p>
                  <w:pPr>
                    <w:pStyle w:val="30"/>
                    <w:bidi w:val="0"/>
                    <w:rPr>
                      <w:rFonts w:hint="default"/>
                    </w:rPr>
                  </w:pPr>
                  <w:r>
                    <w:rPr>
                      <w:rFonts w:hint="default"/>
                    </w:rPr>
                    <w:t>评价工作等级</w:t>
                  </w:r>
                </w:p>
              </w:tc>
              <w:tc>
                <w:tcPr>
                  <w:tcW w:w="1733" w:type="dxa"/>
                  <w:tcBorders>
                    <w:tl2br w:val="nil"/>
                    <w:tr2bl w:val="nil"/>
                  </w:tcBorders>
                  <w:noWrap w:val="0"/>
                  <w:vAlign w:val="center"/>
                </w:tcPr>
                <w:p>
                  <w:pPr>
                    <w:pStyle w:val="30"/>
                    <w:bidi w:val="0"/>
                    <w:rPr>
                      <w:rFonts w:hint="default"/>
                    </w:rPr>
                  </w:pPr>
                  <w:r>
                    <w:rPr>
                      <w:rFonts w:hint="default"/>
                    </w:rPr>
                    <w:t>一</w:t>
                  </w:r>
                </w:p>
              </w:tc>
              <w:tc>
                <w:tcPr>
                  <w:tcW w:w="1734" w:type="dxa"/>
                  <w:tcBorders>
                    <w:tl2br w:val="nil"/>
                    <w:tr2bl w:val="nil"/>
                  </w:tcBorders>
                  <w:noWrap w:val="0"/>
                  <w:vAlign w:val="center"/>
                </w:tcPr>
                <w:p>
                  <w:pPr>
                    <w:pStyle w:val="30"/>
                    <w:bidi w:val="0"/>
                    <w:rPr>
                      <w:rFonts w:hint="default"/>
                    </w:rPr>
                  </w:pPr>
                  <w:r>
                    <w:rPr>
                      <w:rFonts w:hint="default"/>
                    </w:rPr>
                    <w:t>二</w:t>
                  </w:r>
                </w:p>
              </w:tc>
              <w:tc>
                <w:tcPr>
                  <w:tcW w:w="1734" w:type="dxa"/>
                  <w:tcBorders>
                    <w:tl2br w:val="nil"/>
                    <w:tr2bl w:val="nil"/>
                  </w:tcBorders>
                  <w:noWrap w:val="0"/>
                  <w:vAlign w:val="center"/>
                </w:tcPr>
                <w:p>
                  <w:pPr>
                    <w:pStyle w:val="30"/>
                    <w:bidi w:val="0"/>
                    <w:rPr>
                      <w:rFonts w:hint="default"/>
                    </w:rPr>
                  </w:pPr>
                  <w:r>
                    <w:rPr>
                      <w:rFonts w:hint="default"/>
                    </w:rPr>
                    <w:t>三</w:t>
                  </w:r>
                </w:p>
              </w:tc>
              <w:tc>
                <w:tcPr>
                  <w:tcW w:w="1740" w:type="dxa"/>
                  <w:tcBorders>
                    <w:tl2br w:val="nil"/>
                    <w:tr2bl w:val="nil"/>
                  </w:tcBorders>
                  <w:noWrap w:val="0"/>
                  <w:vAlign w:val="center"/>
                </w:tcPr>
                <w:p>
                  <w:pPr>
                    <w:pStyle w:val="30"/>
                    <w:bidi w:val="0"/>
                    <w:rPr>
                      <w:rFonts w:hint="default"/>
                    </w:rPr>
                  </w:pPr>
                  <w:r>
                    <w:rPr>
                      <w:rFonts w:hint="default"/>
                    </w:rPr>
                    <w:t>简单分析 a</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8672" w:type="dxa"/>
                  <w:gridSpan w:val="5"/>
                  <w:tcBorders>
                    <w:tl2br w:val="nil"/>
                    <w:tr2bl w:val="nil"/>
                  </w:tcBorders>
                  <w:noWrap w:val="0"/>
                  <w:vAlign w:val="center"/>
                </w:tcPr>
                <w:p>
                  <w:pPr>
                    <w:pStyle w:val="30"/>
                    <w:bidi w:val="0"/>
                    <w:rPr>
                      <w:rFonts w:hint="default"/>
                    </w:rPr>
                  </w:pPr>
                  <w:r>
                    <w:rPr>
                      <w:rFonts w:hint="default"/>
                    </w:rPr>
                    <w:t>a 是相对于详细评价工作内容而言，在描述危险物质、环境影响途径、环境危害后果、风险防范</w:t>
                  </w:r>
                  <w:r>
                    <w:rPr>
                      <w:rFonts w:hint="eastAsia"/>
                      <w:lang w:val="en-US" w:eastAsia="zh-CN"/>
                    </w:rPr>
                    <w:t>措施</w:t>
                  </w:r>
                  <w:r>
                    <w:rPr>
                      <w:rFonts w:hint="default"/>
                    </w:rPr>
                    <w:t>等方面给出定性的说明</w:t>
                  </w:r>
                </w:p>
              </w:tc>
            </w:tr>
          </w:tbl>
          <w:p>
            <w:pPr>
              <w:pStyle w:val="12"/>
              <w:bidi w:val="0"/>
              <w:rPr>
                <w:rFonts w:hint="default"/>
              </w:rPr>
            </w:pPr>
            <w:r>
              <w:rPr>
                <w:rFonts w:hint="default"/>
              </w:rPr>
              <w:t>本项目评价环境风险评价工作等级为简单分析。</w:t>
            </w:r>
          </w:p>
          <w:bookmarkEnd w:id="75"/>
          <w:bookmarkEnd w:id="76"/>
          <w:bookmarkEnd w:id="77"/>
          <w:p>
            <w:pPr>
              <w:pStyle w:val="12"/>
              <w:bidi w:val="0"/>
              <w:rPr>
                <w:rFonts w:hint="eastAsia"/>
                <w:lang w:val="en-US" w:eastAsia="zh-CN"/>
              </w:rPr>
            </w:pPr>
            <w:r>
              <w:rPr>
                <w:rFonts w:hint="eastAsia"/>
                <w:lang w:val="en-US" w:eastAsia="zh-CN"/>
              </w:rPr>
              <w:t>6.2环境风险识别</w:t>
            </w:r>
          </w:p>
          <w:p>
            <w:pPr>
              <w:pStyle w:val="12"/>
              <w:bidi w:val="0"/>
              <w:rPr>
                <w:rFonts w:hint="eastAsia"/>
                <w:lang w:val="en-US" w:eastAsia="zh-CN"/>
              </w:rPr>
            </w:pPr>
            <w:r>
              <w:rPr>
                <w:rFonts w:hint="eastAsia"/>
                <w:lang w:val="en-US" w:eastAsia="zh-CN"/>
              </w:rPr>
              <w:t>项目物质风险识别情况见下表：</w:t>
            </w:r>
          </w:p>
          <w:p>
            <w:pPr>
              <w:pStyle w:val="29"/>
              <w:bidi w:val="0"/>
              <w:rPr>
                <w:rFonts w:hint="default"/>
                <w:lang w:val="zh-CN" w:eastAsia="zh-CN"/>
              </w:rPr>
            </w:pPr>
            <w:r>
              <w:rPr>
                <w:rFonts w:hint="default"/>
                <w:lang w:val="zh-CN" w:eastAsia="zh-CN"/>
              </w:rPr>
              <w:t>表</w:t>
            </w:r>
            <w:r>
              <w:rPr>
                <w:rFonts w:hint="eastAsia"/>
                <w:lang w:val="en-US" w:eastAsia="zh-CN"/>
              </w:rPr>
              <w:t>4.2-26</w:t>
            </w:r>
            <w:r>
              <w:rPr>
                <w:rFonts w:hint="default"/>
                <w:lang w:val="en-US" w:eastAsia="zh-CN"/>
              </w:rPr>
              <w:t xml:space="preserve"> </w:t>
            </w:r>
            <w:r>
              <w:rPr>
                <w:rFonts w:hint="default"/>
                <w:lang w:val="zh-CN" w:eastAsia="zh-CN"/>
              </w:rPr>
              <w:t>本项目主要危险物料特性表</w:t>
            </w:r>
          </w:p>
          <w:tbl>
            <w:tblPr>
              <w:tblStyle w:val="27"/>
              <w:tblW w:w="867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05"/>
              <w:gridCol w:w="4349"/>
              <w:gridCol w:w="510"/>
              <w:gridCol w:w="578"/>
              <w:gridCol w:w="493"/>
              <w:gridCol w:w="493"/>
              <w:gridCol w:w="154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705" w:type="dxa"/>
                  <w:tcBorders>
                    <w:tl2br w:val="nil"/>
                    <w:tr2bl w:val="nil"/>
                  </w:tcBorders>
                  <w:noWrap w:val="0"/>
                  <w:vAlign w:val="center"/>
                </w:tcPr>
                <w:p>
                  <w:pPr>
                    <w:pStyle w:val="30"/>
                    <w:bidi w:val="0"/>
                  </w:pPr>
                  <w:r>
                    <w:t>名称</w:t>
                  </w:r>
                </w:p>
              </w:tc>
              <w:tc>
                <w:tcPr>
                  <w:tcW w:w="4349" w:type="dxa"/>
                  <w:tcBorders>
                    <w:tl2br w:val="nil"/>
                    <w:tr2bl w:val="nil"/>
                  </w:tcBorders>
                  <w:noWrap w:val="0"/>
                  <w:vAlign w:val="center"/>
                </w:tcPr>
                <w:p>
                  <w:pPr>
                    <w:pStyle w:val="30"/>
                    <w:bidi w:val="0"/>
                  </w:pPr>
                  <w:r>
                    <w:t>理化性质</w:t>
                  </w:r>
                </w:p>
              </w:tc>
              <w:tc>
                <w:tcPr>
                  <w:tcW w:w="510" w:type="dxa"/>
                  <w:tcBorders>
                    <w:tl2br w:val="nil"/>
                    <w:tr2bl w:val="nil"/>
                  </w:tcBorders>
                  <w:noWrap w:val="0"/>
                  <w:vAlign w:val="center"/>
                </w:tcPr>
                <w:p>
                  <w:pPr>
                    <w:pStyle w:val="30"/>
                    <w:bidi w:val="0"/>
                  </w:pPr>
                  <w:r>
                    <w:t>燃烧性</w:t>
                  </w:r>
                </w:p>
              </w:tc>
              <w:tc>
                <w:tcPr>
                  <w:tcW w:w="578" w:type="dxa"/>
                  <w:tcBorders>
                    <w:tl2br w:val="nil"/>
                    <w:tr2bl w:val="nil"/>
                  </w:tcBorders>
                  <w:noWrap w:val="0"/>
                  <w:vAlign w:val="center"/>
                </w:tcPr>
                <w:p>
                  <w:pPr>
                    <w:pStyle w:val="30"/>
                    <w:bidi w:val="0"/>
                  </w:pPr>
                  <w:r>
                    <w:t>爆炸性</w:t>
                  </w:r>
                </w:p>
              </w:tc>
              <w:tc>
                <w:tcPr>
                  <w:tcW w:w="493" w:type="dxa"/>
                  <w:tcBorders>
                    <w:tl2br w:val="nil"/>
                    <w:tr2bl w:val="nil"/>
                  </w:tcBorders>
                  <w:noWrap w:val="0"/>
                  <w:vAlign w:val="center"/>
                </w:tcPr>
                <w:p>
                  <w:pPr>
                    <w:pStyle w:val="30"/>
                    <w:bidi w:val="0"/>
                  </w:pPr>
                  <w:r>
                    <w:t>毒性</w:t>
                  </w:r>
                </w:p>
              </w:tc>
              <w:tc>
                <w:tcPr>
                  <w:tcW w:w="493" w:type="dxa"/>
                  <w:tcBorders>
                    <w:tl2br w:val="nil"/>
                    <w:tr2bl w:val="nil"/>
                  </w:tcBorders>
                  <w:noWrap w:val="0"/>
                  <w:vAlign w:val="center"/>
                </w:tcPr>
                <w:p>
                  <w:pPr>
                    <w:pStyle w:val="30"/>
                    <w:bidi w:val="0"/>
                  </w:pPr>
                  <w:r>
                    <w:t>腐蚀性</w:t>
                  </w:r>
                </w:p>
              </w:tc>
              <w:tc>
                <w:tcPr>
                  <w:tcW w:w="1542" w:type="dxa"/>
                  <w:tcBorders>
                    <w:tl2br w:val="nil"/>
                    <w:tr2bl w:val="nil"/>
                  </w:tcBorders>
                  <w:noWrap w:val="0"/>
                  <w:vAlign w:val="center"/>
                </w:tcPr>
                <w:p>
                  <w:pPr>
                    <w:pStyle w:val="30"/>
                    <w:bidi w:val="0"/>
                  </w:pPr>
                  <w:r>
                    <w:t>判定结果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705" w:type="dxa"/>
                  <w:tcBorders>
                    <w:tl2br w:val="nil"/>
                    <w:tr2bl w:val="nil"/>
                  </w:tcBorders>
                  <w:noWrap w:val="0"/>
                  <w:vAlign w:val="center"/>
                </w:tcPr>
                <w:p>
                  <w:pPr>
                    <w:pStyle w:val="30"/>
                    <w:bidi w:val="0"/>
                    <w:rPr>
                      <w:rFonts w:hint="eastAsia"/>
                      <w:lang w:eastAsia="zh-CN"/>
                    </w:rPr>
                  </w:pPr>
                  <w:r>
                    <w:rPr>
                      <w:rFonts w:hint="eastAsia"/>
                      <w:lang w:val="en-US" w:eastAsia="zh-CN"/>
                    </w:rPr>
                    <w:t>乙醇</w:t>
                  </w:r>
                </w:p>
              </w:tc>
              <w:tc>
                <w:tcPr>
                  <w:tcW w:w="4349" w:type="dxa"/>
                  <w:tcBorders>
                    <w:tl2br w:val="nil"/>
                    <w:tr2bl w:val="nil"/>
                  </w:tcBorders>
                  <w:noWrap w:val="0"/>
                  <w:vAlign w:val="center"/>
                </w:tcPr>
                <w:p>
                  <w:pPr>
                    <w:pStyle w:val="30"/>
                    <w:bidi w:val="0"/>
                  </w:pPr>
                  <w:r>
                    <w:t>乙醇（ethanol）是一种</w:t>
                  </w:r>
                  <w:r>
                    <w:fldChar w:fldCharType="begin"/>
                  </w:r>
                  <w:r>
                    <w:instrText xml:space="preserve"> HYPERLINK "https://baike.baidu.com/item/%E6%9C%89%E6%9C%BA%E5%8C%96%E5%90%88%E7%89%A9/2950156" \t "https://baike.baidu.com/item/%E4%B9%99%E9%86%87/_blank" </w:instrText>
                  </w:r>
                  <w:r>
                    <w:fldChar w:fldCharType="separate"/>
                  </w:r>
                  <w:r>
                    <w:rPr>
                      <w:rStyle w:val="25"/>
                      <w:color w:val="000000"/>
                      <w:highlight w:val="none"/>
                      <w:u w:val="none" w:color="auto"/>
                      <w:shd w:val="clear" w:color="auto" w:fill="FFFFFF"/>
                    </w:rPr>
                    <w:t>有机化合物</w:t>
                  </w:r>
                  <w:r>
                    <w:fldChar w:fldCharType="end"/>
                  </w:r>
                  <w:r>
                    <w:t>，结构简式为CH3CH2OH或C2H5OH，分子式为C2H6O，俗称酒精，乙醇在常温常压下是一种无色透明、易挥发、易燃烧、不导电的液体，它的水溶液具有酒香的气味，味甘。在20 ℃常温下，乙醇液体密度是0.789 g/cm³。乙醇的熔点是-114.1 ℃，沸点是78.3 ℃。乙醇蒸气能与空气形成</w:t>
                  </w:r>
                  <w:r>
                    <w:fldChar w:fldCharType="begin"/>
                  </w:r>
                  <w:r>
                    <w:instrText xml:space="preserve"> HYPERLINK "https://baike.baidu.com/item/%E7%88%86%E7%82%B8%E6%80%A7%E6%B7%B7%E5%90%88%E7%89%A9/5537872" \t "https://baike.baidu.com/item/%E4%B9%99%E9%86%87/_blank" </w:instrText>
                  </w:r>
                  <w:r>
                    <w:fldChar w:fldCharType="separate"/>
                  </w:r>
                  <w:r>
                    <w:t>爆炸性混合物</w:t>
                  </w:r>
                  <w:r>
                    <w:fldChar w:fldCharType="end"/>
                  </w:r>
                </w:p>
              </w:tc>
              <w:tc>
                <w:tcPr>
                  <w:tcW w:w="510" w:type="dxa"/>
                  <w:tcBorders>
                    <w:tl2br w:val="nil"/>
                    <w:tr2bl w:val="nil"/>
                  </w:tcBorders>
                  <w:noWrap w:val="0"/>
                  <w:vAlign w:val="center"/>
                </w:tcPr>
                <w:p>
                  <w:pPr>
                    <w:pStyle w:val="30"/>
                    <w:bidi w:val="0"/>
                  </w:pPr>
                  <w:r>
                    <w:t>易燃</w:t>
                  </w:r>
                </w:p>
              </w:tc>
              <w:tc>
                <w:tcPr>
                  <w:tcW w:w="578" w:type="dxa"/>
                  <w:tcBorders>
                    <w:tl2br w:val="nil"/>
                    <w:tr2bl w:val="nil"/>
                  </w:tcBorders>
                  <w:noWrap w:val="0"/>
                  <w:vAlign w:val="center"/>
                </w:tcPr>
                <w:p>
                  <w:pPr>
                    <w:pStyle w:val="30"/>
                    <w:bidi w:val="0"/>
                  </w:pPr>
                  <w:r>
                    <w:t>/</w:t>
                  </w:r>
                </w:p>
              </w:tc>
              <w:tc>
                <w:tcPr>
                  <w:tcW w:w="493" w:type="dxa"/>
                  <w:tcBorders>
                    <w:tl2br w:val="nil"/>
                    <w:tr2bl w:val="nil"/>
                  </w:tcBorders>
                  <w:noWrap w:val="0"/>
                  <w:vAlign w:val="center"/>
                </w:tcPr>
                <w:p>
                  <w:pPr>
                    <w:pStyle w:val="30"/>
                    <w:bidi w:val="0"/>
                  </w:pPr>
                  <w:r>
                    <w:t>低毒</w:t>
                  </w:r>
                </w:p>
              </w:tc>
              <w:tc>
                <w:tcPr>
                  <w:tcW w:w="493" w:type="dxa"/>
                  <w:tcBorders>
                    <w:tl2br w:val="nil"/>
                    <w:tr2bl w:val="nil"/>
                  </w:tcBorders>
                  <w:noWrap w:val="0"/>
                  <w:vAlign w:val="center"/>
                </w:tcPr>
                <w:p>
                  <w:pPr>
                    <w:pStyle w:val="30"/>
                    <w:bidi w:val="0"/>
                    <w:rPr>
                      <w:rFonts w:hint="eastAsia"/>
                      <w:lang w:eastAsia="zh-CN"/>
                    </w:rPr>
                  </w:pPr>
                  <w:r>
                    <w:t>/</w:t>
                  </w:r>
                </w:p>
              </w:tc>
              <w:tc>
                <w:tcPr>
                  <w:tcW w:w="1542" w:type="dxa"/>
                  <w:tcBorders>
                    <w:tl2br w:val="nil"/>
                    <w:tr2bl w:val="nil"/>
                  </w:tcBorders>
                  <w:noWrap w:val="0"/>
                  <w:vAlign w:val="center"/>
                </w:tcPr>
                <w:p>
                  <w:pPr>
                    <w:pStyle w:val="30"/>
                    <w:bidi w:val="0"/>
                  </w:pPr>
                  <w:r>
                    <w:t>是低毒物质*</w:t>
                  </w:r>
                </w:p>
                <w:p>
                  <w:pPr>
                    <w:pStyle w:val="30"/>
                    <w:bidi w:val="0"/>
                  </w:pPr>
                  <w:r>
                    <w:t>2类可燃物质</w:t>
                  </w:r>
                </w:p>
                <w:p>
                  <w:pPr>
                    <w:pStyle w:val="30"/>
                    <w:bidi w:val="0"/>
                  </w:pPr>
                  <w:r>
                    <w:t>不是爆炸性物质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705" w:type="dxa"/>
                  <w:tcBorders>
                    <w:tl2br w:val="nil"/>
                    <w:tr2bl w:val="nil"/>
                  </w:tcBorders>
                  <w:noWrap w:val="0"/>
                  <w:vAlign w:val="center"/>
                </w:tcPr>
                <w:p>
                  <w:pPr>
                    <w:pStyle w:val="30"/>
                    <w:bidi w:val="0"/>
                    <w:rPr>
                      <w:rFonts w:hint="default"/>
                    </w:rPr>
                  </w:pPr>
                  <w:r>
                    <w:rPr>
                      <w:rFonts w:hint="default"/>
                    </w:rPr>
                    <w:t>盐酸</w:t>
                  </w:r>
                </w:p>
              </w:tc>
              <w:tc>
                <w:tcPr>
                  <w:tcW w:w="4349" w:type="dxa"/>
                  <w:tcBorders>
                    <w:tl2br w:val="nil"/>
                    <w:tr2bl w:val="nil"/>
                  </w:tcBorders>
                  <w:noWrap w:val="0"/>
                  <w:vAlign w:val="center"/>
                </w:tcPr>
                <w:p>
                  <w:pPr>
                    <w:pStyle w:val="30"/>
                    <w:bidi w:val="0"/>
                    <w:rPr>
                      <w:rFonts w:hint="default"/>
                    </w:rPr>
                  </w:pPr>
                  <w:r>
                    <w:rPr>
                      <w:rFonts w:hint="default"/>
                    </w:rPr>
                    <w:t>是氯化氢(HCl)气体的水溶液，为无色透明的一元强酸。盐酸具有极强的挥发性，因此打开盛有浓盐酸的容器后能在其上方看到白雾，实际为氯化氢挥发后与空气中的水蒸气结合产生的盐酸小液滴。接触其蒸气或烟雾，可引起急性中毒:出现眼结膜炎，鼻及口腔粘膜有烧灼感，鼻出血、齿龈出血，气管炎等。误服可引起消化道灼伤、溃疡形成，有可能引起胃穿孔、腹膜炎等。眼和皮肤接触可致灼伤。</w:t>
                  </w:r>
                </w:p>
              </w:tc>
              <w:tc>
                <w:tcPr>
                  <w:tcW w:w="510" w:type="dxa"/>
                  <w:tcBorders>
                    <w:tl2br w:val="nil"/>
                    <w:tr2bl w:val="nil"/>
                  </w:tcBorders>
                  <w:noWrap w:val="0"/>
                  <w:vAlign w:val="center"/>
                </w:tcPr>
                <w:p>
                  <w:pPr>
                    <w:pStyle w:val="30"/>
                    <w:bidi w:val="0"/>
                    <w:rPr>
                      <w:rFonts w:hint="default"/>
                    </w:rPr>
                  </w:pPr>
                  <w:r>
                    <w:rPr>
                      <w:rFonts w:hint="default"/>
                    </w:rPr>
                    <w:t>/</w:t>
                  </w:r>
                </w:p>
              </w:tc>
              <w:tc>
                <w:tcPr>
                  <w:tcW w:w="578" w:type="dxa"/>
                  <w:tcBorders>
                    <w:tl2br w:val="nil"/>
                    <w:tr2bl w:val="nil"/>
                  </w:tcBorders>
                  <w:noWrap w:val="0"/>
                  <w:vAlign w:val="center"/>
                </w:tcPr>
                <w:p>
                  <w:pPr>
                    <w:pStyle w:val="30"/>
                    <w:bidi w:val="0"/>
                    <w:rPr>
                      <w:rFonts w:hint="default"/>
                    </w:rPr>
                  </w:pPr>
                  <w:r>
                    <w:rPr>
                      <w:rFonts w:hint="default"/>
                    </w:rPr>
                    <w:t>/</w:t>
                  </w:r>
                </w:p>
              </w:tc>
              <w:tc>
                <w:tcPr>
                  <w:tcW w:w="493" w:type="dxa"/>
                  <w:tcBorders>
                    <w:tl2br w:val="nil"/>
                    <w:tr2bl w:val="nil"/>
                  </w:tcBorders>
                  <w:noWrap w:val="0"/>
                  <w:vAlign w:val="center"/>
                </w:tcPr>
                <w:p>
                  <w:pPr>
                    <w:pStyle w:val="30"/>
                    <w:bidi w:val="0"/>
                    <w:rPr>
                      <w:rFonts w:hint="default"/>
                    </w:rPr>
                  </w:pPr>
                  <w:r>
                    <w:rPr>
                      <w:rFonts w:hint="default"/>
                    </w:rPr>
                    <w:t>有毒</w:t>
                  </w:r>
                </w:p>
              </w:tc>
              <w:tc>
                <w:tcPr>
                  <w:tcW w:w="493" w:type="dxa"/>
                  <w:tcBorders>
                    <w:tl2br w:val="nil"/>
                    <w:tr2bl w:val="nil"/>
                  </w:tcBorders>
                  <w:noWrap w:val="0"/>
                  <w:vAlign w:val="center"/>
                </w:tcPr>
                <w:p>
                  <w:pPr>
                    <w:pStyle w:val="30"/>
                    <w:bidi w:val="0"/>
                    <w:rPr>
                      <w:rFonts w:hint="default"/>
                    </w:rPr>
                  </w:pPr>
                  <w:r>
                    <w:rPr>
                      <w:rFonts w:hint="default"/>
                    </w:rPr>
                    <w:t>易腐蚀性</w:t>
                  </w:r>
                </w:p>
              </w:tc>
              <w:tc>
                <w:tcPr>
                  <w:tcW w:w="1542" w:type="dxa"/>
                  <w:tcBorders>
                    <w:tl2br w:val="nil"/>
                    <w:tr2bl w:val="nil"/>
                  </w:tcBorders>
                  <w:noWrap w:val="0"/>
                  <w:vAlign w:val="center"/>
                </w:tcPr>
                <w:p>
                  <w:pPr>
                    <w:pStyle w:val="30"/>
                    <w:bidi w:val="0"/>
                    <w:rPr>
                      <w:rFonts w:hint="default"/>
                    </w:rPr>
                  </w:pPr>
                  <w:r>
                    <w:rPr>
                      <w:rFonts w:hint="default"/>
                    </w:rPr>
                    <w:t>是有毒物质*</w:t>
                  </w:r>
                </w:p>
                <w:p>
                  <w:pPr>
                    <w:pStyle w:val="30"/>
                    <w:bidi w:val="0"/>
                    <w:rPr>
                      <w:rFonts w:hint="default"/>
                    </w:rPr>
                  </w:pPr>
                  <w:r>
                    <w:rPr>
                      <w:rFonts w:hint="default"/>
                    </w:rPr>
                    <w:t>不是易燃易爆物质</w:t>
                  </w:r>
                </w:p>
              </w:tc>
            </w:tr>
          </w:tbl>
          <w:p>
            <w:pPr>
              <w:spacing w:line="360" w:lineRule="auto"/>
              <w:ind w:firstLine="480" w:firstLineChars="200"/>
              <w:rPr>
                <w:color w:val="000000"/>
                <w:sz w:val="24"/>
                <w:highlight w:val="none"/>
                <w:u w:val="none" w:color="auto"/>
              </w:rPr>
            </w:pPr>
            <w:r>
              <w:rPr>
                <w:rFonts w:hint="eastAsia"/>
                <w:color w:val="000000"/>
                <w:sz w:val="24"/>
                <w:highlight w:val="none"/>
                <w:u w:val="none" w:color="auto"/>
              </w:rPr>
              <w:t>项目各功能单元的潜在环境风险事故分析见表。</w:t>
            </w:r>
          </w:p>
          <w:p>
            <w:pPr>
              <w:pStyle w:val="29"/>
              <w:bidi w:val="0"/>
              <w:rPr>
                <w:rFonts w:hint="default"/>
                <w:lang w:val="zh-CN" w:eastAsia="zh-CN"/>
              </w:rPr>
            </w:pPr>
            <w:r>
              <w:rPr>
                <w:rFonts w:hint="default"/>
                <w:lang w:val="zh-CN" w:eastAsia="zh-CN"/>
              </w:rPr>
              <w:t>表</w:t>
            </w:r>
            <w:r>
              <w:rPr>
                <w:rFonts w:hint="eastAsia"/>
                <w:lang w:val="en-US" w:eastAsia="zh-CN"/>
              </w:rPr>
              <w:t>4.2-27</w:t>
            </w:r>
            <w:r>
              <w:rPr>
                <w:rFonts w:hint="default"/>
                <w:lang w:val="zh-CN" w:eastAsia="zh-CN"/>
              </w:rPr>
              <w:t xml:space="preserve"> 项目各功能单元潜在的环境风险事故一览表</w:t>
            </w:r>
          </w:p>
          <w:tbl>
            <w:tblPr>
              <w:tblStyle w:val="27"/>
              <w:tblW w:w="86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4"/>
              <w:gridCol w:w="1902"/>
              <w:gridCol w:w="2675"/>
              <w:gridCol w:w="2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94" w:type="dxa"/>
                  <w:tcBorders>
                    <w:tl2br w:val="nil"/>
                    <w:tr2bl w:val="nil"/>
                  </w:tcBorders>
                  <w:noWrap w:val="0"/>
                  <w:vAlign w:val="center"/>
                </w:tcPr>
                <w:p>
                  <w:pPr>
                    <w:pStyle w:val="30"/>
                    <w:bidi w:val="0"/>
                  </w:pPr>
                  <w:r>
                    <w:t>事故类型</w:t>
                  </w:r>
                </w:p>
              </w:tc>
              <w:tc>
                <w:tcPr>
                  <w:tcW w:w="1902" w:type="dxa"/>
                  <w:tcBorders>
                    <w:tl2br w:val="nil"/>
                    <w:tr2bl w:val="nil"/>
                  </w:tcBorders>
                  <w:noWrap w:val="0"/>
                  <w:vAlign w:val="center"/>
                </w:tcPr>
                <w:p>
                  <w:pPr>
                    <w:pStyle w:val="30"/>
                    <w:bidi w:val="0"/>
                  </w:pPr>
                  <w:r>
                    <w:t>事故原因</w:t>
                  </w:r>
                </w:p>
              </w:tc>
              <w:tc>
                <w:tcPr>
                  <w:tcW w:w="2675" w:type="dxa"/>
                  <w:tcBorders>
                    <w:tl2br w:val="nil"/>
                    <w:tr2bl w:val="nil"/>
                  </w:tcBorders>
                  <w:noWrap w:val="0"/>
                  <w:vAlign w:val="center"/>
                </w:tcPr>
                <w:p>
                  <w:pPr>
                    <w:pStyle w:val="30"/>
                    <w:bidi w:val="0"/>
                  </w:pPr>
                  <w:r>
                    <w:t>危险物质向环境转移的可能途径</w:t>
                  </w:r>
                </w:p>
              </w:tc>
              <w:tc>
                <w:tcPr>
                  <w:tcW w:w="2311" w:type="dxa"/>
                  <w:tcBorders>
                    <w:tl2br w:val="nil"/>
                    <w:tr2bl w:val="nil"/>
                  </w:tcBorders>
                  <w:noWrap w:val="0"/>
                  <w:vAlign w:val="center"/>
                </w:tcPr>
                <w:p>
                  <w:pPr>
                    <w:pStyle w:val="30"/>
                    <w:bidi w:val="0"/>
                  </w:pPr>
                  <w:r>
                    <w:t>影响程度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94" w:type="dxa"/>
                  <w:tcBorders>
                    <w:tl2br w:val="nil"/>
                    <w:tr2bl w:val="nil"/>
                  </w:tcBorders>
                  <w:noWrap w:val="0"/>
                  <w:vAlign w:val="center"/>
                </w:tcPr>
                <w:p>
                  <w:pPr>
                    <w:pStyle w:val="30"/>
                    <w:bidi w:val="0"/>
                    <w:rPr>
                      <w:rFonts w:hint="default"/>
                      <w:lang w:val="en-US" w:eastAsia="zh-CN"/>
                    </w:rPr>
                  </w:pPr>
                  <w:r>
                    <w:rPr>
                      <w:rFonts w:hint="eastAsia"/>
                      <w:lang w:val="en-US" w:eastAsia="zh-CN"/>
                    </w:rPr>
                    <w:t>泄漏事件</w:t>
                  </w:r>
                </w:p>
              </w:tc>
              <w:tc>
                <w:tcPr>
                  <w:tcW w:w="1902" w:type="dxa"/>
                  <w:tcBorders>
                    <w:tl2br w:val="nil"/>
                    <w:tr2bl w:val="nil"/>
                  </w:tcBorders>
                  <w:noWrap w:val="0"/>
                  <w:vAlign w:val="center"/>
                </w:tcPr>
                <w:p>
                  <w:pPr>
                    <w:pStyle w:val="30"/>
                    <w:bidi w:val="0"/>
                    <w:rPr>
                      <w:rFonts w:hint="default"/>
                      <w:lang w:val="en-US" w:eastAsia="zh-CN"/>
                    </w:rPr>
                  </w:pPr>
                  <w:r>
                    <w:rPr>
                      <w:rFonts w:hint="eastAsia"/>
                      <w:lang w:val="en-US" w:eastAsia="zh-CN"/>
                    </w:rPr>
                    <w:t>危险化学品、医疗危废泄漏</w:t>
                  </w:r>
                </w:p>
              </w:tc>
              <w:tc>
                <w:tcPr>
                  <w:tcW w:w="2675" w:type="dxa"/>
                  <w:tcBorders>
                    <w:tl2br w:val="nil"/>
                    <w:tr2bl w:val="nil"/>
                  </w:tcBorders>
                  <w:noWrap w:val="0"/>
                  <w:vAlign w:val="center"/>
                </w:tcPr>
                <w:p>
                  <w:pPr>
                    <w:pStyle w:val="30"/>
                    <w:bidi w:val="0"/>
                    <w:rPr>
                      <w:rFonts w:hint="default"/>
                      <w:lang w:val="en-US" w:eastAsia="zh-CN"/>
                    </w:rPr>
                  </w:pPr>
                  <w:r>
                    <w:rPr>
                      <w:rFonts w:hint="eastAsia"/>
                      <w:lang w:val="en-US" w:eastAsia="zh-CN"/>
                    </w:rPr>
                    <w:t>泄漏物直接进入地表水、地下水、土壤</w:t>
                  </w:r>
                </w:p>
              </w:tc>
              <w:tc>
                <w:tcPr>
                  <w:tcW w:w="2311" w:type="dxa"/>
                  <w:tcBorders>
                    <w:tl2br w:val="nil"/>
                    <w:tr2bl w:val="nil"/>
                  </w:tcBorders>
                  <w:noWrap w:val="0"/>
                  <w:vAlign w:val="center"/>
                </w:tcPr>
                <w:p>
                  <w:pPr>
                    <w:pStyle w:val="30"/>
                    <w:bidi w:val="0"/>
                    <w:rPr>
                      <w:rFonts w:hint="default"/>
                      <w:lang w:val="en-US" w:eastAsia="zh-CN"/>
                    </w:rPr>
                  </w:pPr>
                  <w:r>
                    <w:rPr>
                      <w:rFonts w:hint="eastAsia"/>
                      <w:lang w:val="en-US" w:eastAsia="zh-CN"/>
                    </w:rPr>
                    <w:t>影响周边地表水、土壤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94" w:type="dxa"/>
                  <w:tcBorders>
                    <w:tl2br w:val="nil"/>
                    <w:tr2bl w:val="nil"/>
                  </w:tcBorders>
                  <w:noWrap w:val="0"/>
                  <w:vAlign w:val="center"/>
                </w:tcPr>
                <w:p>
                  <w:pPr>
                    <w:pStyle w:val="30"/>
                    <w:bidi w:val="0"/>
                  </w:pPr>
                  <w:r>
                    <w:t>火灾引发的次生环境事件</w:t>
                  </w:r>
                </w:p>
              </w:tc>
              <w:tc>
                <w:tcPr>
                  <w:tcW w:w="1902" w:type="dxa"/>
                  <w:tcBorders>
                    <w:tl2br w:val="nil"/>
                    <w:tr2bl w:val="nil"/>
                  </w:tcBorders>
                  <w:noWrap w:val="0"/>
                  <w:vAlign w:val="center"/>
                </w:tcPr>
                <w:p>
                  <w:pPr>
                    <w:pStyle w:val="30"/>
                    <w:bidi w:val="0"/>
                  </w:pPr>
                  <w:r>
                    <w:t>存在高温、明火</w:t>
                  </w:r>
                </w:p>
              </w:tc>
              <w:tc>
                <w:tcPr>
                  <w:tcW w:w="2675" w:type="dxa"/>
                  <w:tcBorders>
                    <w:tl2br w:val="nil"/>
                    <w:tr2bl w:val="nil"/>
                  </w:tcBorders>
                  <w:noWrap w:val="0"/>
                  <w:vAlign w:val="center"/>
                </w:tcPr>
                <w:p>
                  <w:pPr>
                    <w:pStyle w:val="30"/>
                    <w:bidi w:val="0"/>
                  </w:pPr>
                  <w:r>
                    <w:t>燃烧后产物进入大气、消防废水外排进入地表水</w:t>
                  </w:r>
                </w:p>
              </w:tc>
              <w:tc>
                <w:tcPr>
                  <w:tcW w:w="2311" w:type="dxa"/>
                  <w:tcBorders>
                    <w:tl2br w:val="nil"/>
                    <w:tr2bl w:val="nil"/>
                  </w:tcBorders>
                  <w:noWrap w:val="0"/>
                  <w:vAlign w:val="center"/>
                </w:tcPr>
                <w:p>
                  <w:pPr>
                    <w:pStyle w:val="30"/>
                    <w:bidi w:val="0"/>
                  </w:pPr>
                  <w:r>
                    <w:t>遇明火，燃烧引发火灾事故，对外界影响较大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94" w:type="dxa"/>
                  <w:tcBorders>
                    <w:tl2br w:val="nil"/>
                    <w:tr2bl w:val="nil"/>
                  </w:tcBorders>
                  <w:noWrap w:val="0"/>
                  <w:vAlign w:val="center"/>
                </w:tcPr>
                <w:p>
                  <w:pPr>
                    <w:pStyle w:val="30"/>
                    <w:bidi w:val="0"/>
                  </w:pPr>
                  <w:r>
                    <w:rPr>
                      <w:rFonts w:hint="eastAsia"/>
                    </w:rPr>
                    <w:t>废</w:t>
                  </w:r>
                  <w:r>
                    <w:rPr>
                      <w:rFonts w:hint="eastAsia"/>
                      <w:lang w:val="en-US" w:eastAsia="zh-CN"/>
                    </w:rPr>
                    <w:t>水</w:t>
                  </w:r>
                  <w:r>
                    <w:rPr>
                      <w:rFonts w:hint="eastAsia"/>
                    </w:rPr>
                    <w:t>事故排放</w:t>
                  </w:r>
                </w:p>
              </w:tc>
              <w:tc>
                <w:tcPr>
                  <w:tcW w:w="1902" w:type="dxa"/>
                  <w:tcBorders>
                    <w:tl2br w:val="nil"/>
                    <w:tr2bl w:val="nil"/>
                  </w:tcBorders>
                  <w:noWrap w:val="0"/>
                  <w:vAlign w:val="center"/>
                </w:tcPr>
                <w:p>
                  <w:pPr>
                    <w:pStyle w:val="30"/>
                    <w:bidi w:val="0"/>
                  </w:pPr>
                  <w:r>
                    <w:rPr>
                      <w:rFonts w:hint="eastAsia"/>
                    </w:rPr>
                    <w:t>因设备或操作原因造成废</w:t>
                  </w:r>
                  <w:r>
                    <w:rPr>
                      <w:rFonts w:hint="eastAsia"/>
                      <w:lang w:val="en-US" w:eastAsia="zh-CN"/>
                    </w:rPr>
                    <w:t>气</w:t>
                  </w:r>
                  <w:r>
                    <w:rPr>
                      <w:rFonts w:hint="eastAsia"/>
                    </w:rPr>
                    <w:t>未经处理直接排放</w:t>
                  </w:r>
                </w:p>
              </w:tc>
              <w:tc>
                <w:tcPr>
                  <w:tcW w:w="2675" w:type="dxa"/>
                  <w:tcBorders>
                    <w:tl2br w:val="nil"/>
                    <w:tr2bl w:val="nil"/>
                  </w:tcBorders>
                  <w:noWrap w:val="0"/>
                  <w:vAlign w:val="center"/>
                </w:tcPr>
                <w:p>
                  <w:pPr>
                    <w:pStyle w:val="30"/>
                    <w:bidi w:val="0"/>
                    <w:rPr>
                      <w:rFonts w:hint="default"/>
                      <w:lang w:val="en-US" w:eastAsia="zh-CN"/>
                    </w:rPr>
                  </w:pPr>
                  <w:r>
                    <w:t>废</w:t>
                  </w:r>
                  <w:r>
                    <w:rPr>
                      <w:rFonts w:hint="eastAsia"/>
                      <w:lang w:val="en-US" w:eastAsia="zh-CN"/>
                    </w:rPr>
                    <w:t>水</w:t>
                  </w:r>
                  <w:r>
                    <w:t>将直接进入到周边</w:t>
                  </w:r>
                  <w:r>
                    <w:rPr>
                      <w:rFonts w:hint="eastAsia"/>
                      <w:lang w:val="en-US" w:eastAsia="zh-CN"/>
                    </w:rPr>
                    <w:t>地表水中</w:t>
                  </w:r>
                </w:p>
              </w:tc>
              <w:tc>
                <w:tcPr>
                  <w:tcW w:w="2311" w:type="dxa"/>
                  <w:tcBorders>
                    <w:tl2br w:val="nil"/>
                    <w:tr2bl w:val="nil"/>
                  </w:tcBorders>
                  <w:noWrap w:val="0"/>
                  <w:vAlign w:val="center"/>
                </w:tcPr>
                <w:p>
                  <w:pPr>
                    <w:pStyle w:val="30"/>
                    <w:bidi w:val="0"/>
                  </w:pPr>
                  <w:r>
                    <w:t>影响周边</w:t>
                  </w:r>
                  <w:r>
                    <w:rPr>
                      <w:rFonts w:hint="eastAsia"/>
                      <w:lang w:val="en-US" w:eastAsia="zh-CN"/>
                    </w:rPr>
                    <w:t>水</w:t>
                  </w:r>
                  <w:r>
                    <w:t>环境</w:t>
                  </w:r>
                </w:p>
              </w:tc>
            </w:tr>
          </w:tbl>
          <w:p>
            <w:pPr>
              <w:pStyle w:val="12"/>
              <w:bidi w:val="0"/>
              <w:rPr>
                <w:rFonts w:hint="eastAsia"/>
                <w:lang w:val="en-US" w:eastAsia="zh-CN"/>
              </w:rPr>
            </w:pPr>
            <w:r>
              <w:rPr>
                <w:rFonts w:hint="eastAsia"/>
                <w:lang w:val="en-US" w:eastAsia="zh-CN"/>
              </w:rPr>
              <w:t>6.3环境风险分析</w:t>
            </w:r>
          </w:p>
          <w:p>
            <w:pPr>
              <w:pStyle w:val="12"/>
              <w:numPr>
                <w:ilvl w:val="0"/>
                <w:numId w:val="7"/>
              </w:numPr>
              <w:bidi w:val="0"/>
              <w:rPr>
                <w:rFonts w:hint="default"/>
                <w:lang w:val="en-US" w:eastAsia="zh-CN"/>
              </w:rPr>
            </w:pPr>
            <w:r>
              <w:rPr>
                <w:rFonts w:hint="default"/>
                <w:lang w:val="en-US" w:eastAsia="zh-CN"/>
              </w:rPr>
              <w:t>化学品泄漏环境风险分析</w:t>
            </w:r>
          </w:p>
          <w:p>
            <w:pPr>
              <w:pStyle w:val="12"/>
              <w:bidi w:val="0"/>
              <w:rPr>
                <w:rFonts w:hint="default"/>
                <w:lang w:val="en-US" w:eastAsia="zh-CN"/>
              </w:rPr>
            </w:pPr>
            <w:r>
              <w:rPr>
                <w:rFonts w:hint="default"/>
                <w:lang w:val="en-US" w:eastAsia="zh-CN"/>
              </w:rPr>
              <w:t>本项目泄漏主要包括化学品（盐酸、</w:t>
            </w:r>
            <w:r>
              <w:rPr>
                <w:rFonts w:hint="eastAsia"/>
                <w:lang w:val="en-US" w:eastAsia="zh-CN"/>
              </w:rPr>
              <w:t>乙醇</w:t>
            </w:r>
            <w:r>
              <w:rPr>
                <w:rFonts w:hint="default"/>
                <w:lang w:val="en-US" w:eastAsia="zh-CN"/>
              </w:rPr>
              <w:t xml:space="preserve">等）发生泄漏，上述物质发生泄漏可能会进入雨水管道、地表水等，对地表水环境产生一定影响，甚至通过下渗对地下水造成影响。 </w:t>
            </w:r>
          </w:p>
          <w:p>
            <w:pPr>
              <w:pStyle w:val="12"/>
              <w:numPr>
                <w:ilvl w:val="0"/>
                <w:numId w:val="7"/>
              </w:numPr>
              <w:bidi w:val="0"/>
              <w:rPr>
                <w:rFonts w:hint="default"/>
                <w:lang w:val="en-US" w:eastAsia="zh-CN"/>
              </w:rPr>
            </w:pPr>
            <w:r>
              <w:rPr>
                <w:rFonts w:hint="default"/>
                <w:lang w:val="en-US" w:eastAsia="zh-CN"/>
              </w:rPr>
              <w:t>火灾事故的伴生/次生污染物排放</w:t>
            </w:r>
          </w:p>
          <w:p>
            <w:pPr>
              <w:pStyle w:val="12"/>
              <w:bidi w:val="0"/>
              <w:rPr>
                <w:rFonts w:hint="default"/>
                <w:lang w:val="en-US" w:eastAsia="zh-CN"/>
              </w:rPr>
            </w:pPr>
            <w:r>
              <w:rPr>
                <w:rFonts w:hint="default"/>
                <w:lang w:val="en-US" w:eastAsia="zh-CN"/>
              </w:rPr>
              <w:t>本项目涉及的易燃品主要为</w:t>
            </w:r>
            <w:r>
              <w:rPr>
                <w:rFonts w:hint="eastAsia"/>
                <w:lang w:val="en-US" w:eastAsia="zh-CN"/>
              </w:rPr>
              <w:t>乙醇</w:t>
            </w:r>
            <w:r>
              <w:rPr>
                <w:rFonts w:hint="default"/>
                <w:lang w:val="en-US" w:eastAsia="zh-CN"/>
              </w:rPr>
              <w:t>，发生火灾/爆炸事故同时会产生NOx、CO 进入大气，对周围环境和人群产生影响。</w:t>
            </w:r>
          </w:p>
          <w:p>
            <w:pPr>
              <w:pStyle w:val="12"/>
              <w:numPr>
                <w:ilvl w:val="0"/>
                <w:numId w:val="7"/>
              </w:numPr>
              <w:bidi w:val="0"/>
              <w:rPr>
                <w:rFonts w:hint="default"/>
                <w:lang w:val="en-US" w:eastAsia="zh-CN"/>
              </w:rPr>
            </w:pPr>
            <w:r>
              <w:rPr>
                <w:rFonts w:hint="default"/>
                <w:lang w:val="en-US" w:eastAsia="zh-CN"/>
              </w:rPr>
              <w:t>医疗废水事故排放风险分析</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ascii="Times New Roman" w:hAnsi="Times New Roman" w:eastAsia="宋体" w:cs="Times New Roman"/>
                <w:color w:val="000000"/>
                <w:sz w:val="24"/>
                <w:szCs w:val="24"/>
                <w:highlight w:val="none"/>
                <w:u w:val="none" w:color="auto"/>
                <w:lang w:val="en-US" w:eastAsia="zh-CN"/>
              </w:rPr>
            </w:pPr>
            <w:r>
              <w:rPr>
                <w:rFonts w:hint="default" w:ascii="Times New Roman" w:hAnsi="Times New Roman" w:eastAsia="宋体" w:cs="Times New Roman"/>
                <w:color w:val="000000"/>
                <w:sz w:val="24"/>
                <w:szCs w:val="24"/>
                <w:highlight w:val="none"/>
                <w:u w:val="none" w:color="auto"/>
                <w:lang w:val="en-US" w:eastAsia="zh-CN"/>
              </w:rPr>
              <w:t>本项目运营期废水平均日污水排放量</w:t>
            </w:r>
            <w:r>
              <w:rPr>
                <w:rFonts w:hint="eastAsia" w:cs="Times New Roman"/>
                <w:color w:val="000000"/>
                <w:sz w:val="24"/>
                <w:szCs w:val="24"/>
                <w:highlight w:val="none"/>
                <w:u w:val="none" w:color="auto"/>
                <w:lang w:val="en-US" w:eastAsia="zh-CN"/>
              </w:rPr>
              <w:t>140.6</w:t>
            </w:r>
            <w:r>
              <w:rPr>
                <w:rFonts w:hint="default" w:ascii="Times New Roman" w:hAnsi="Times New Roman" w:eastAsia="宋体" w:cs="Times New Roman"/>
                <w:color w:val="000000"/>
                <w:sz w:val="24"/>
                <w:szCs w:val="24"/>
                <w:highlight w:val="none"/>
                <w:u w:val="none" w:color="auto"/>
                <w:lang w:val="en-US" w:eastAsia="zh-CN"/>
              </w:rPr>
              <w:t>m</w:t>
            </w:r>
            <w:r>
              <w:rPr>
                <w:rFonts w:hint="eastAsia" w:ascii="Times New Roman" w:hAnsi="Times New Roman" w:eastAsia="宋体" w:cs="Times New Roman"/>
                <w:color w:val="000000"/>
                <w:sz w:val="24"/>
                <w:szCs w:val="24"/>
                <w:highlight w:val="none"/>
                <w:u w:val="none" w:color="auto"/>
                <w:vertAlign w:val="superscript"/>
                <w:lang w:val="en-US" w:eastAsia="zh-CN"/>
              </w:rPr>
              <w:t>3</w:t>
            </w:r>
            <w:r>
              <w:rPr>
                <w:rFonts w:hint="default" w:ascii="Times New Roman" w:hAnsi="Times New Roman" w:eastAsia="宋体" w:cs="Times New Roman"/>
                <w:color w:val="000000"/>
                <w:sz w:val="24"/>
                <w:szCs w:val="24"/>
                <w:highlight w:val="none"/>
                <w:u w:val="none" w:color="auto"/>
                <w:lang w:val="en-US" w:eastAsia="zh-CN"/>
              </w:rPr>
              <w:t xml:space="preserve"> /d（</w:t>
            </w:r>
            <w:r>
              <w:rPr>
                <w:rFonts w:hint="eastAsia" w:cs="Times New Roman"/>
                <w:color w:val="000000"/>
                <w:sz w:val="24"/>
                <w:szCs w:val="24"/>
                <w:highlight w:val="none"/>
                <w:u w:val="none" w:color="auto"/>
                <w:lang w:val="en-US" w:eastAsia="zh-CN"/>
              </w:rPr>
              <w:t>51318.27</w:t>
            </w:r>
            <w:r>
              <w:rPr>
                <w:rFonts w:hint="default" w:ascii="Times New Roman" w:hAnsi="Times New Roman" w:eastAsia="宋体" w:cs="Times New Roman"/>
                <w:color w:val="000000"/>
                <w:sz w:val="24"/>
                <w:szCs w:val="24"/>
                <w:highlight w:val="none"/>
                <w:u w:val="none" w:color="auto"/>
                <w:lang w:val="en-US" w:eastAsia="zh-CN"/>
              </w:rPr>
              <w:t>m</w:t>
            </w:r>
            <w:r>
              <w:rPr>
                <w:rFonts w:hint="eastAsia" w:ascii="Times New Roman" w:hAnsi="Times New Roman" w:eastAsia="宋体" w:cs="Times New Roman"/>
                <w:color w:val="000000"/>
                <w:sz w:val="24"/>
                <w:szCs w:val="24"/>
                <w:highlight w:val="none"/>
                <w:u w:val="none" w:color="auto"/>
                <w:vertAlign w:val="superscript"/>
                <w:lang w:val="en-US" w:eastAsia="zh-CN"/>
              </w:rPr>
              <w:t>3</w:t>
            </w:r>
            <w:r>
              <w:rPr>
                <w:rFonts w:hint="default" w:ascii="Times New Roman" w:hAnsi="Times New Roman" w:eastAsia="宋体" w:cs="Times New Roman"/>
                <w:color w:val="000000"/>
                <w:sz w:val="24"/>
                <w:szCs w:val="24"/>
                <w:highlight w:val="none"/>
                <w:u w:val="none" w:color="auto"/>
                <w:lang w:val="en-US" w:eastAsia="zh-CN"/>
              </w:rPr>
              <w:t>/a），其中医疗废水主要污染物是有机污染物和致病菌，水质复杂程度为中等，经污水处理站处理达到《医疗机构水污染物排放标准》（GB18466-2005）中表2预处理标准、</w:t>
            </w:r>
            <w:r>
              <w:rPr>
                <w:rFonts w:hint="eastAsia" w:ascii="Times New Roman" w:hAnsi="Times New Roman" w:eastAsia="宋体" w:cs="Times New Roman"/>
                <w:color w:val="000000"/>
                <w:sz w:val="24"/>
                <w:szCs w:val="24"/>
                <w:highlight w:val="none"/>
                <w:u w:val="none" w:color="auto"/>
                <w:lang w:val="en-US" w:eastAsia="zh-CN"/>
              </w:rPr>
              <w:t>向家亭污水处理厂</w:t>
            </w:r>
            <w:r>
              <w:rPr>
                <w:rFonts w:hint="default" w:ascii="Times New Roman" w:hAnsi="Times New Roman" w:eastAsia="宋体" w:cs="Times New Roman"/>
                <w:color w:val="000000"/>
                <w:sz w:val="24"/>
                <w:szCs w:val="24"/>
                <w:highlight w:val="none"/>
                <w:u w:val="none" w:color="auto"/>
                <w:lang w:val="en-US" w:eastAsia="zh-CN"/>
              </w:rPr>
              <w:t>进水水质要求后，通过市政管网排入</w:t>
            </w:r>
            <w:r>
              <w:rPr>
                <w:rFonts w:hint="eastAsia" w:ascii="Times New Roman" w:hAnsi="Times New Roman" w:eastAsia="宋体" w:cs="Times New Roman"/>
                <w:color w:val="000000"/>
                <w:sz w:val="24"/>
                <w:szCs w:val="24"/>
                <w:highlight w:val="none"/>
                <w:u w:val="none" w:color="auto"/>
                <w:lang w:val="en-US" w:eastAsia="zh-CN"/>
              </w:rPr>
              <w:t>向家亭污水处理厂</w:t>
            </w:r>
            <w:r>
              <w:rPr>
                <w:rFonts w:hint="default" w:ascii="Times New Roman" w:hAnsi="Times New Roman" w:eastAsia="宋体" w:cs="Times New Roman"/>
                <w:color w:val="000000"/>
                <w:sz w:val="24"/>
                <w:szCs w:val="24"/>
                <w:highlight w:val="none"/>
                <w:u w:val="none" w:color="auto"/>
                <w:lang w:val="en-US" w:eastAsia="zh-CN"/>
              </w:rPr>
              <w:t>处理，出水排</w:t>
            </w:r>
            <w:r>
              <w:rPr>
                <w:rFonts w:hint="eastAsia" w:ascii="Times New Roman" w:hAnsi="Times New Roman" w:eastAsia="宋体" w:cs="Times New Roman"/>
                <w:color w:val="000000"/>
                <w:sz w:val="24"/>
                <w:szCs w:val="24"/>
                <w:highlight w:val="none"/>
                <w:u w:val="none" w:color="auto"/>
                <w:lang w:val="en-US" w:eastAsia="zh-CN"/>
              </w:rPr>
              <w:t>入湘</w:t>
            </w:r>
            <w:r>
              <w:rPr>
                <w:rFonts w:hint="default" w:ascii="Times New Roman" w:hAnsi="Times New Roman" w:eastAsia="宋体" w:cs="Times New Roman"/>
                <w:color w:val="000000"/>
                <w:sz w:val="24"/>
                <w:szCs w:val="24"/>
                <w:highlight w:val="none"/>
                <w:u w:val="none" w:color="auto"/>
                <w:lang w:val="en-US" w:eastAsia="zh-CN"/>
              </w:rPr>
              <w:t>江。事故排放情况下，即视为经污水处理站处理后不达标或者处理效果完全失效情况下直接排入管网。废水中病原性微生物和寄生虫卵具有致病性，可以诱发疾病或造成伤害，它们在环境中具有一定的适应力，有的甚至在污水中存活较长，危害性较大。同时，废水中过高浓度的CODCr、SS、BOD</w:t>
            </w:r>
            <w:r>
              <w:rPr>
                <w:rFonts w:hint="default" w:ascii="Times New Roman" w:hAnsi="Times New Roman" w:eastAsia="宋体" w:cs="Times New Roman"/>
                <w:color w:val="000000"/>
                <w:sz w:val="24"/>
                <w:szCs w:val="24"/>
                <w:highlight w:val="none"/>
                <w:u w:val="none" w:color="auto"/>
                <w:vertAlign w:val="subscript"/>
                <w:lang w:val="en-US" w:eastAsia="zh-CN"/>
              </w:rPr>
              <w:t>5</w:t>
            </w:r>
            <w:r>
              <w:rPr>
                <w:rFonts w:hint="default" w:ascii="Times New Roman" w:hAnsi="Times New Roman" w:eastAsia="宋体" w:cs="Times New Roman"/>
                <w:color w:val="000000"/>
                <w:sz w:val="24"/>
                <w:szCs w:val="24"/>
                <w:highlight w:val="none"/>
                <w:u w:val="none" w:color="auto"/>
                <w:lang w:val="en-US" w:eastAsia="zh-CN"/>
              </w:rPr>
              <w:t>和粪大肠菌群等污染因子，会对</w:t>
            </w:r>
            <w:r>
              <w:rPr>
                <w:rFonts w:hint="eastAsia" w:ascii="Times New Roman" w:hAnsi="Times New Roman" w:eastAsia="宋体" w:cs="Times New Roman"/>
                <w:color w:val="000000"/>
                <w:sz w:val="24"/>
                <w:szCs w:val="24"/>
                <w:highlight w:val="none"/>
                <w:u w:val="none" w:color="auto"/>
                <w:lang w:val="en-US" w:eastAsia="zh-CN"/>
              </w:rPr>
              <w:t>向家亭污水处理厂</w:t>
            </w:r>
            <w:r>
              <w:rPr>
                <w:rFonts w:hint="default" w:ascii="Times New Roman" w:hAnsi="Times New Roman" w:eastAsia="宋体" w:cs="Times New Roman"/>
                <w:color w:val="000000"/>
                <w:sz w:val="24"/>
                <w:szCs w:val="24"/>
                <w:highlight w:val="none"/>
                <w:u w:val="none" w:color="auto"/>
                <w:lang w:val="en-US" w:eastAsia="zh-CN"/>
              </w:rPr>
              <w:t xml:space="preserve">产生冲击。 </w:t>
            </w:r>
          </w:p>
          <w:p>
            <w:pPr>
              <w:pStyle w:val="12"/>
              <w:numPr>
                <w:ilvl w:val="0"/>
                <w:numId w:val="7"/>
              </w:numPr>
              <w:bidi w:val="0"/>
              <w:rPr>
                <w:rFonts w:hint="default"/>
                <w:lang w:val="en-US" w:eastAsia="zh-CN"/>
              </w:rPr>
            </w:pPr>
            <w:r>
              <w:rPr>
                <w:rFonts w:hint="default"/>
                <w:lang w:val="en-US" w:eastAsia="zh-CN"/>
              </w:rPr>
              <w:t>危险废物在收集、贮存、运送过程中的风险分析</w:t>
            </w:r>
          </w:p>
          <w:p>
            <w:pPr>
              <w:pStyle w:val="12"/>
              <w:bidi w:val="0"/>
              <w:rPr>
                <w:rFonts w:hint="default"/>
                <w:lang w:val="en-US" w:eastAsia="zh-CN"/>
              </w:rPr>
            </w:pPr>
            <w:r>
              <w:rPr>
                <w:rFonts w:hint="default"/>
                <w:lang w:val="en-US" w:eastAsia="zh-CN"/>
              </w:rPr>
              <w:t xml:space="preserve">医疗废物中可能存在传染性病菌、病毒、化学污染物等有害物质，如果不经分类收集毁形等有效处理的话，很容易引起各种疾病的传播和蔓延。例如，如果医疗废物和生活垃圾混合一起的话，城市生活垃圾处置中心可能会将医疗废物与生活垃圾一起处置，可能导致致病菌的大范围传播和造成土壤环境污染。 </w:t>
            </w:r>
          </w:p>
          <w:p>
            <w:pPr>
              <w:pStyle w:val="12"/>
              <w:bidi w:val="0"/>
              <w:rPr>
                <w:rFonts w:hint="default"/>
                <w:lang w:val="en-US" w:eastAsia="zh-CN"/>
              </w:rPr>
            </w:pPr>
            <w:r>
              <w:rPr>
                <w:rFonts w:hint="eastAsia"/>
                <w:lang w:val="en-US" w:eastAsia="zh-CN"/>
              </w:rPr>
              <w:t>6.4环境风险防范措施</w:t>
            </w:r>
          </w:p>
          <w:p>
            <w:pPr>
              <w:pStyle w:val="12"/>
              <w:bidi w:val="0"/>
              <w:rPr>
                <w:rFonts w:hint="default"/>
                <w:lang w:val="en-US" w:eastAsia="zh-CN"/>
              </w:rPr>
            </w:pPr>
            <w:r>
              <w:rPr>
                <w:rFonts w:hint="eastAsia"/>
                <w:lang w:val="en-US" w:eastAsia="zh-CN"/>
              </w:rPr>
              <w:t>根据现场踏勘，目前本项目已采取以下处理措施：</w:t>
            </w:r>
          </w:p>
          <w:p>
            <w:pPr>
              <w:pStyle w:val="12"/>
              <w:bidi w:val="0"/>
              <w:rPr>
                <w:rFonts w:hint="eastAsia"/>
              </w:rPr>
            </w:pPr>
            <w:r>
              <w:rPr>
                <w:rFonts w:hint="eastAsia"/>
              </w:rPr>
              <w:t>①加强各原辅材料的管理。</w:t>
            </w:r>
          </w:p>
          <w:p>
            <w:pPr>
              <w:pStyle w:val="12"/>
              <w:bidi w:val="0"/>
              <w:rPr>
                <w:rFonts w:hint="eastAsia"/>
              </w:rPr>
            </w:pPr>
            <w:r>
              <w:rPr>
                <w:rFonts w:hint="eastAsia"/>
              </w:rPr>
              <w:t>②项目根据《医疗废物分类目录要求》，对废物实施分类管理。</w:t>
            </w:r>
          </w:p>
          <w:p>
            <w:pPr>
              <w:pStyle w:val="12"/>
              <w:bidi w:val="0"/>
              <w:rPr>
                <w:rFonts w:hint="eastAsia"/>
              </w:rPr>
            </w:pPr>
            <w:r>
              <w:rPr>
                <w:rFonts w:hint="eastAsia"/>
              </w:rPr>
              <w:t>③项目内医疗废物产生地点应当有医疗废物分类收集方法的示意图或者文字说明。</w:t>
            </w:r>
          </w:p>
          <w:p>
            <w:pPr>
              <w:pStyle w:val="12"/>
              <w:bidi w:val="0"/>
              <w:rPr>
                <w:rFonts w:hint="eastAsia"/>
              </w:rPr>
            </w:pPr>
            <w:r>
              <w:rPr>
                <w:rFonts w:hint="eastAsia"/>
              </w:rPr>
              <w:t>④建立健全安全规程及值勤制度，设置通讯、报警装置，确保其处于完好状态；对储存危险物质的容器，设置明显的标识及警示牌，进行严格登记。</w:t>
            </w:r>
          </w:p>
          <w:p>
            <w:pPr>
              <w:pStyle w:val="12"/>
              <w:bidi w:val="0"/>
              <w:rPr>
                <w:rFonts w:hint="eastAsia"/>
              </w:rPr>
            </w:pPr>
            <w:r>
              <w:rPr>
                <w:rFonts w:hint="eastAsia"/>
              </w:rPr>
              <w:t>⑤运送医疗废物使用防渗漏、防遗撒、无锐利边角、易于装卸和清洁的专用运送工具，每天运送工作结束后，对运送工具进行清洁和消毒。</w:t>
            </w:r>
          </w:p>
          <w:p>
            <w:pPr>
              <w:pStyle w:val="12"/>
              <w:bidi w:val="0"/>
              <w:rPr>
                <w:rFonts w:hint="eastAsia"/>
              </w:rPr>
            </w:pPr>
            <w:r>
              <w:rPr>
                <w:rFonts w:hint="eastAsia"/>
              </w:rPr>
              <w:t>⑥项目建立医疗废物暂时贮存设施、设备，医疗废物暂时贮存的时间</w:t>
            </w:r>
            <w:r>
              <w:rPr>
                <w:rFonts w:hint="eastAsia"/>
                <w:lang w:val="en-US" w:eastAsia="zh-CN"/>
              </w:rPr>
              <w:t>不</w:t>
            </w:r>
            <w:r>
              <w:rPr>
                <w:rFonts w:hint="eastAsia"/>
              </w:rPr>
              <w:t>超过2天；医疗废物交由</w:t>
            </w:r>
            <w:r>
              <w:rPr>
                <w:rFonts w:hint="eastAsia"/>
                <w:lang w:val="en-US" w:eastAsia="zh-CN"/>
              </w:rPr>
              <w:t>有资质单位</w:t>
            </w:r>
            <w:r>
              <w:rPr>
                <w:rFonts w:hint="eastAsia"/>
              </w:rPr>
              <w:t>处置，</w:t>
            </w:r>
            <w:r>
              <w:rPr>
                <w:rFonts w:hint="eastAsia"/>
                <w:lang w:val="en-US" w:eastAsia="zh-CN"/>
              </w:rPr>
              <w:t>并</w:t>
            </w:r>
            <w:r>
              <w:rPr>
                <w:rFonts w:hint="eastAsia"/>
              </w:rPr>
              <w:t>依照危险废物转移联单制度填写和保存转移联单。</w:t>
            </w:r>
          </w:p>
          <w:p>
            <w:pPr>
              <w:pStyle w:val="12"/>
              <w:bidi w:val="0"/>
              <w:rPr>
                <w:rFonts w:hint="eastAsia"/>
                <w:lang w:val="en-US" w:eastAsia="zh-CN"/>
              </w:rPr>
            </w:pPr>
            <w:r>
              <w:rPr>
                <w:rFonts w:hint="eastAsia"/>
              </w:rPr>
              <w:t>⑦加强设备的保养维护，特别是关键设备应备齐易损零部件及配件；加强对污水处理站技术人员操作工作的培训，熟练掌握污水处理工艺技术原理，运行经验及设备的操作说明，加强工作人员的岗位责任管理，减少人为因素产生的故障。</w:t>
            </w:r>
            <w:r>
              <w:rPr>
                <w:rFonts w:hint="eastAsia"/>
                <w:lang w:val="en-US" w:eastAsia="zh-CN"/>
              </w:rPr>
              <w:t>同时建议项目</w:t>
            </w:r>
            <w:r>
              <w:rPr>
                <w:rFonts w:hint="eastAsia"/>
              </w:rPr>
              <w:t>污水处理站风机、泵等主要关键设备应有备用，污水处理供电系统应实行双回路控制，确保污水处理站的运行率；保持各处理单元工况正常，保证各环节的平衡与协调</w:t>
            </w:r>
            <w:r>
              <w:rPr>
                <w:rFonts w:hint="eastAsia"/>
                <w:lang w:eastAsia="zh-CN"/>
              </w:rPr>
              <w:t>。</w:t>
            </w:r>
          </w:p>
          <w:p>
            <w:pPr>
              <w:pStyle w:val="12"/>
              <w:bidi w:val="0"/>
            </w:pPr>
            <w:r>
              <w:rPr>
                <w:rFonts w:hint="eastAsia"/>
              </w:rPr>
              <w:t>⑧</w:t>
            </w:r>
            <w:r>
              <w:rPr>
                <w:rFonts w:hint="eastAsia"/>
                <w:lang w:val="en-US" w:eastAsia="zh-CN"/>
              </w:rPr>
              <w:t>项目</w:t>
            </w:r>
            <w:r>
              <w:rPr>
                <w:rFonts w:hint="eastAsia"/>
              </w:rPr>
              <w:t>应制订突发环境事件的应急预案。</w:t>
            </w:r>
          </w:p>
          <w:p>
            <w:pPr>
              <w:pStyle w:val="12"/>
              <w:bidi w:val="0"/>
            </w:pPr>
            <w:r>
              <w:rPr>
                <w:rFonts w:hint="eastAsia"/>
              </w:rPr>
              <w:t>⑨</w:t>
            </w:r>
            <w:r>
              <w:t>发生异常时，立即通知医院内各用水科室，采取停止用水的措施，项目污水处理站应设有事故应急池。根据《医院污水处理工程技术规范》（HJ2029-2013），非传染医院污水处理工程应急池不小于日排放量的30%，</w:t>
            </w:r>
            <w:r>
              <w:rPr>
                <w:rFonts w:hint="eastAsia"/>
              </w:rPr>
              <w:t>项目</w:t>
            </w:r>
            <w:r>
              <w:rPr>
                <w:lang w:val="zh-CN"/>
              </w:rPr>
              <w:t>医疗废水产生量为</w:t>
            </w:r>
            <w:r>
              <w:rPr>
                <w:rFonts w:hint="eastAsia"/>
                <w:lang w:val="en-US" w:eastAsia="zh-CN"/>
              </w:rPr>
              <w:t>140.6</w:t>
            </w:r>
            <w:r>
              <w:rPr>
                <w:lang w:val="zh-CN"/>
              </w:rPr>
              <w:t>m³/</w:t>
            </w:r>
            <w:r>
              <w:rPr>
                <w:rFonts w:hint="eastAsia"/>
                <w:lang w:val="en-US" w:eastAsia="zh-CN"/>
              </w:rPr>
              <w:t>d</w:t>
            </w:r>
            <w:r>
              <w:rPr>
                <w:lang w:val="zh-CN"/>
              </w:rPr>
              <w:t>，</w:t>
            </w:r>
            <w:r>
              <w:t>故环评建议医院污水处理站</w:t>
            </w:r>
            <w:r>
              <w:rPr>
                <w:rFonts w:hint="eastAsia"/>
                <w:lang w:val="en-US" w:eastAsia="zh-CN"/>
              </w:rPr>
              <w:t>东南侧</w:t>
            </w:r>
            <w:r>
              <w:t>设置一个不小于</w:t>
            </w:r>
            <w:r>
              <w:rPr>
                <w:rFonts w:hint="eastAsia"/>
                <w:lang w:val="en-US" w:eastAsia="zh-CN"/>
              </w:rPr>
              <w:t>50</w:t>
            </w:r>
            <w:r>
              <w:t>m</w:t>
            </w:r>
            <w:r>
              <w:rPr>
                <w:rFonts w:hint="default" w:ascii="Times New Roman" w:hAnsi="Times New Roman" w:cs="Times New Roman"/>
              </w:rPr>
              <w:t>³</w:t>
            </w:r>
            <w:r>
              <w:t>的应急事故池。项目营运期应加强污水处理站的日常管理及监测，如果在运行过程中发现污水处理站出水水质超标，应立即将污水排入事故池中，并对污水处理设备进行维修，待污水处理站回复运行后，再将事故池的污水泵入污水处理站进行处理。</w:t>
            </w:r>
          </w:p>
          <w:p>
            <w:pPr>
              <w:pStyle w:val="12"/>
              <w:bidi w:val="0"/>
            </w:pPr>
            <w:r>
              <w:rPr>
                <w:rFonts w:hint="eastAsia"/>
                <w:lang w:val="en-US" w:eastAsia="zh-CN"/>
              </w:rPr>
              <w:t>因此，本项目通过落实上述风险防范措施，其发生概率可进一步降低，其影响可以进一步减轻，环境风险是可控的。</w:t>
            </w:r>
          </w:p>
          <w:p>
            <w:pPr>
              <w:pStyle w:val="12"/>
              <w:bidi w:val="0"/>
            </w:pPr>
            <w:r>
              <w:rPr>
                <w:rFonts w:hint="eastAsia"/>
                <w:lang w:val="en-US" w:eastAsia="zh-CN"/>
              </w:rPr>
              <w:t>8.</w:t>
            </w:r>
            <w:r>
              <w:rPr>
                <w:rFonts w:hint="eastAsia"/>
              </w:rPr>
              <w:t>环保投资</w:t>
            </w:r>
          </w:p>
          <w:p>
            <w:pPr>
              <w:pStyle w:val="12"/>
              <w:bidi w:val="0"/>
            </w:pPr>
            <w:r>
              <w:rPr>
                <w:lang w:val="en-US" w:eastAsia="zh-CN"/>
              </w:rPr>
              <w:t>项目总投资</w:t>
            </w:r>
            <w:r>
              <w:rPr>
                <w:rFonts w:hint="eastAsia"/>
                <w:lang w:val="en-US" w:eastAsia="zh-CN"/>
              </w:rPr>
              <w:t>9000</w:t>
            </w:r>
            <w:r>
              <w:rPr>
                <w:lang w:val="en-US" w:eastAsia="zh-CN"/>
              </w:rPr>
              <w:t>万元，其中环保投资</w:t>
            </w:r>
            <w:r>
              <w:rPr>
                <w:rFonts w:hint="eastAsia"/>
                <w:lang w:val="en-US" w:eastAsia="zh-CN"/>
              </w:rPr>
              <w:t>169.5</w:t>
            </w:r>
            <w:r>
              <w:rPr>
                <w:lang w:val="en-US" w:eastAsia="zh-CN"/>
              </w:rPr>
              <w:t>万元，环保投资占总投资的</w:t>
            </w:r>
            <w:r>
              <w:rPr>
                <w:rFonts w:hint="eastAsia"/>
                <w:lang w:val="en-US" w:eastAsia="zh-CN"/>
              </w:rPr>
              <w:t>1.88</w:t>
            </w:r>
            <w:r>
              <w:rPr>
                <w:lang w:val="en-US" w:eastAsia="zh-CN"/>
              </w:rPr>
              <w:t>%。</w:t>
            </w:r>
            <w:r>
              <w:t>项目环保投资分项估算见</w:t>
            </w:r>
            <w:r>
              <w:rPr>
                <w:rFonts w:hint="eastAsia"/>
                <w:lang w:eastAsia="zh-CN"/>
              </w:rPr>
              <w:t>下</w:t>
            </w:r>
            <w:r>
              <w:t>表</w:t>
            </w:r>
            <w:r>
              <w:rPr>
                <w:rFonts w:hint="eastAsia"/>
              </w:rPr>
              <w:t>。</w:t>
            </w:r>
          </w:p>
          <w:p>
            <w:pPr>
              <w:pStyle w:val="29"/>
              <w:bidi w:val="0"/>
              <w:rPr>
                <w:rFonts w:hint="eastAsia"/>
                <w:lang w:val="zh-CN" w:eastAsia="zh-CN"/>
              </w:rPr>
            </w:pPr>
            <w:r>
              <w:rPr>
                <w:rFonts w:hint="eastAsia"/>
                <w:lang w:val="zh-CN" w:eastAsia="zh-CN"/>
              </w:rPr>
              <w:t>表</w:t>
            </w:r>
            <w:r>
              <w:rPr>
                <w:rFonts w:hint="eastAsia"/>
                <w:lang w:val="en-US" w:eastAsia="zh-CN"/>
              </w:rPr>
              <w:t>4.2-28</w:t>
            </w:r>
            <w:r>
              <w:rPr>
                <w:rFonts w:hint="eastAsia"/>
                <w:lang w:val="zh-CN" w:eastAsia="zh-CN"/>
              </w:rPr>
              <w:t xml:space="preserve"> 项目环保投资一览表  单位：万元</w:t>
            </w:r>
          </w:p>
          <w:tbl>
            <w:tblPr>
              <w:tblStyle w:val="27"/>
              <w:tblW w:w="8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01"/>
              <w:gridCol w:w="1676"/>
              <w:gridCol w:w="4218"/>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201" w:type="dxa"/>
                  <w:vAlign w:val="center"/>
                </w:tcPr>
                <w:p>
                  <w:pPr>
                    <w:pStyle w:val="30"/>
                    <w:bidi w:val="0"/>
                  </w:pPr>
                  <w:r>
                    <w:t>项目</w:t>
                  </w:r>
                </w:p>
              </w:tc>
              <w:tc>
                <w:tcPr>
                  <w:tcW w:w="1676" w:type="dxa"/>
                  <w:vAlign w:val="center"/>
                </w:tcPr>
                <w:p>
                  <w:pPr>
                    <w:pStyle w:val="30"/>
                    <w:bidi w:val="0"/>
                  </w:pPr>
                  <w:r>
                    <w:t>污染源</w:t>
                  </w:r>
                </w:p>
              </w:tc>
              <w:tc>
                <w:tcPr>
                  <w:tcW w:w="4218" w:type="dxa"/>
                  <w:vAlign w:val="center"/>
                </w:tcPr>
                <w:p>
                  <w:pPr>
                    <w:pStyle w:val="30"/>
                    <w:bidi w:val="0"/>
                  </w:pPr>
                  <w:r>
                    <w:t>环保措施</w:t>
                  </w:r>
                </w:p>
              </w:tc>
              <w:tc>
                <w:tcPr>
                  <w:tcW w:w="1585" w:type="dxa"/>
                  <w:vAlign w:val="center"/>
                </w:tcPr>
                <w:p>
                  <w:pPr>
                    <w:pStyle w:val="30"/>
                    <w:bidi w:val="0"/>
                  </w:pPr>
                  <w: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3" w:hRule="atLeast"/>
              </w:trPr>
              <w:tc>
                <w:tcPr>
                  <w:tcW w:w="1201" w:type="dxa"/>
                  <w:vMerge w:val="restart"/>
                  <w:vAlign w:val="center"/>
                </w:tcPr>
                <w:p>
                  <w:pPr>
                    <w:pStyle w:val="30"/>
                    <w:bidi w:val="0"/>
                  </w:pPr>
                  <w:r>
                    <w:t>废水治理</w:t>
                  </w:r>
                </w:p>
              </w:tc>
              <w:tc>
                <w:tcPr>
                  <w:tcW w:w="1676" w:type="dxa"/>
                  <w:vMerge w:val="restart"/>
                  <w:vAlign w:val="center"/>
                </w:tcPr>
                <w:p>
                  <w:pPr>
                    <w:pStyle w:val="30"/>
                    <w:bidi w:val="0"/>
                    <w:rPr>
                      <w:rFonts w:hint="eastAsia"/>
                      <w:lang w:eastAsia="zh-CN"/>
                    </w:rPr>
                  </w:pPr>
                  <w:r>
                    <w:rPr>
                      <w:rFonts w:hint="eastAsia"/>
                      <w:lang w:eastAsia="zh-CN"/>
                    </w:rPr>
                    <w:t>废水</w:t>
                  </w:r>
                </w:p>
              </w:tc>
              <w:tc>
                <w:tcPr>
                  <w:tcW w:w="4218" w:type="dxa"/>
                  <w:vAlign w:val="center"/>
                </w:tcPr>
                <w:p>
                  <w:pPr>
                    <w:pStyle w:val="30"/>
                    <w:bidi w:val="0"/>
                    <w:rPr>
                      <w:rFonts w:hint="default"/>
                      <w:lang w:val="en-US" w:eastAsia="zh-CN"/>
                    </w:rPr>
                  </w:pPr>
                  <w:r>
                    <w:t>化粪池</w:t>
                  </w:r>
                </w:p>
              </w:tc>
              <w:tc>
                <w:tcPr>
                  <w:tcW w:w="1585" w:type="dxa"/>
                  <w:vAlign w:val="center"/>
                </w:tcPr>
                <w:p>
                  <w:pPr>
                    <w:pStyle w:val="30"/>
                    <w:bidi w:val="0"/>
                    <w:rPr>
                      <w:rFonts w:hint="default"/>
                      <w:lang w:val="en-US" w:eastAsia="zh-CN"/>
                    </w:rPr>
                  </w:pPr>
                  <w:r>
                    <w:rPr>
                      <w:rFonts w:hint="eastAsia"/>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9" w:hRule="atLeast"/>
              </w:trPr>
              <w:tc>
                <w:tcPr>
                  <w:tcW w:w="1201" w:type="dxa"/>
                  <w:vMerge w:val="continue"/>
                  <w:vAlign w:val="center"/>
                </w:tcPr>
                <w:p>
                  <w:pPr>
                    <w:pStyle w:val="30"/>
                    <w:bidi w:val="0"/>
                  </w:pPr>
                </w:p>
              </w:tc>
              <w:tc>
                <w:tcPr>
                  <w:tcW w:w="1676" w:type="dxa"/>
                  <w:vMerge w:val="continue"/>
                  <w:vAlign w:val="center"/>
                </w:tcPr>
                <w:p>
                  <w:pPr>
                    <w:pStyle w:val="30"/>
                    <w:bidi w:val="0"/>
                    <w:rPr>
                      <w:rFonts w:hint="eastAsia"/>
                      <w:lang w:eastAsia="zh-CN"/>
                    </w:rPr>
                  </w:pPr>
                </w:p>
              </w:tc>
              <w:tc>
                <w:tcPr>
                  <w:tcW w:w="4218" w:type="dxa"/>
                  <w:vAlign w:val="center"/>
                </w:tcPr>
                <w:p>
                  <w:pPr>
                    <w:pStyle w:val="30"/>
                    <w:bidi w:val="0"/>
                    <w:rPr>
                      <w:rFonts w:hint="eastAsia"/>
                      <w:lang w:val="en-US" w:eastAsia="zh-CN"/>
                    </w:rPr>
                  </w:pPr>
                  <w:r>
                    <w:rPr>
                      <w:rFonts w:hint="eastAsia"/>
                      <w:lang w:eastAsia="zh-CN"/>
                    </w:rPr>
                    <w:t>配套</w:t>
                  </w:r>
                  <w:r>
                    <w:rPr>
                      <w:rFonts w:hint="eastAsia"/>
                      <w:lang w:val="en-US" w:eastAsia="zh-CN"/>
                    </w:rPr>
                    <w:t>污水处理站</w:t>
                  </w:r>
                </w:p>
              </w:tc>
              <w:tc>
                <w:tcPr>
                  <w:tcW w:w="1585" w:type="dxa"/>
                  <w:vAlign w:val="center"/>
                </w:tcPr>
                <w:p>
                  <w:pPr>
                    <w:pStyle w:val="30"/>
                    <w:bidi w:val="0"/>
                    <w:rPr>
                      <w:rFonts w:hint="default"/>
                      <w:lang w:val="en-US" w:eastAsia="zh-CN"/>
                    </w:rPr>
                  </w:pPr>
                  <w:r>
                    <w:rPr>
                      <w:rFonts w:hint="eastAsia"/>
                      <w:lang w:val="en-US" w:eastAsia="zh-CN"/>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201" w:type="dxa"/>
                  <w:vMerge w:val="restart"/>
                  <w:vAlign w:val="center"/>
                </w:tcPr>
                <w:p>
                  <w:pPr>
                    <w:pStyle w:val="30"/>
                    <w:bidi w:val="0"/>
                  </w:pPr>
                  <w:r>
                    <w:t>废气治理</w:t>
                  </w:r>
                </w:p>
              </w:tc>
              <w:tc>
                <w:tcPr>
                  <w:tcW w:w="1676" w:type="dxa"/>
                  <w:vAlign w:val="center"/>
                </w:tcPr>
                <w:p>
                  <w:pPr>
                    <w:pStyle w:val="30"/>
                    <w:bidi w:val="0"/>
                  </w:pPr>
                  <w:r>
                    <w:rPr>
                      <w:rFonts w:hint="eastAsia"/>
                      <w:lang w:val="en-US" w:eastAsia="zh-CN"/>
                    </w:rPr>
                    <w:t xml:space="preserve">恶臭 </w:t>
                  </w:r>
                </w:p>
              </w:tc>
              <w:tc>
                <w:tcPr>
                  <w:tcW w:w="4218" w:type="dxa"/>
                  <w:vAlign w:val="center"/>
                </w:tcPr>
                <w:p>
                  <w:pPr>
                    <w:pStyle w:val="30"/>
                    <w:bidi w:val="0"/>
                  </w:pPr>
                  <w:r>
                    <w:rPr>
                      <w:rFonts w:hint="eastAsia"/>
                      <w:lang w:val="en-US" w:eastAsia="zh-CN"/>
                    </w:rPr>
                    <w:t>污水处理站密闭、绿化</w:t>
                  </w:r>
                </w:p>
              </w:tc>
              <w:tc>
                <w:tcPr>
                  <w:tcW w:w="1585" w:type="dxa"/>
                  <w:vAlign w:val="center"/>
                </w:tcPr>
                <w:p>
                  <w:pPr>
                    <w:pStyle w:val="30"/>
                    <w:bidi w:val="0"/>
                    <w:rPr>
                      <w:rFonts w:hint="eastAsia"/>
                      <w:lang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201" w:type="dxa"/>
                  <w:vMerge w:val="continue"/>
                  <w:vAlign w:val="center"/>
                </w:tcPr>
                <w:p>
                  <w:pPr>
                    <w:pStyle w:val="30"/>
                    <w:bidi w:val="0"/>
                  </w:pPr>
                </w:p>
              </w:tc>
              <w:tc>
                <w:tcPr>
                  <w:tcW w:w="1676" w:type="dxa"/>
                  <w:vAlign w:val="center"/>
                </w:tcPr>
                <w:p>
                  <w:pPr>
                    <w:pStyle w:val="30"/>
                    <w:bidi w:val="0"/>
                    <w:rPr>
                      <w:rFonts w:hint="eastAsia"/>
                      <w:lang w:val="en-US" w:eastAsia="zh-CN"/>
                    </w:rPr>
                  </w:pPr>
                  <w:r>
                    <w:rPr>
                      <w:rFonts w:hint="eastAsia"/>
                      <w:lang w:val="en-US" w:eastAsia="zh-CN"/>
                    </w:rPr>
                    <w:t>柴油发电机废气</w:t>
                  </w:r>
                </w:p>
              </w:tc>
              <w:tc>
                <w:tcPr>
                  <w:tcW w:w="4218" w:type="dxa"/>
                  <w:vAlign w:val="center"/>
                </w:tcPr>
                <w:p>
                  <w:pPr>
                    <w:pStyle w:val="30"/>
                    <w:bidi w:val="0"/>
                    <w:rPr>
                      <w:rFonts w:hint="eastAsia" w:eastAsia="宋体"/>
                      <w:lang w:val="en-US" w:eastAsia="zh-CN"/>
                    </w:rPr>
                  </w:pPr>
                  <w:r>
                    <w:rPr>
                      <w:lang w:val="en-US" w:eastAsia="zh-CN"/>
                    </w:rPr>
                    <w:t>专用烟道</w:t>
                  </w:r>
                </w:p>
              </w:tc>
              <w:tc>
                <w:tcPr>
                  <w:tcW w:w="1585" w:type="dxa"/>
                  <w:vAlign w:val="center"/>
                </w:tcPr>
                <w:p>
                  <w:pPr>
                    <w:pStyle w:val="30"/>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201" w:type="dxa"/>
                  <w:vMerge w:val="continue"/>
                  <w:vAlign w:val="center"/>
                </w:tcPr>
                <w:p>
                  <w:pPr>
                    <w:pStyle w:val="30"/>
                    <w:bidi w:val="0"/>
                  </w:pPr>
                </w:p>
              </w:tc>
              <w:tc>
                <w:tcPr>
                  <w:tcW w:w="1676" w:type="dxa"/>
                  <w:vAlign w:val="center"/>
                </w:tcPr>
                <w:p>
                  <w:pPr>
                    <w:pStyle w:val="30"/>
                    <w:bidi w:val="0"/>
                    <w:rPr>
                      <w:rFonts w:hint="eastAsia"/>
                      <w:lang w:eastAsia="zh-CN"/>
                    </w:rPr>
                  </w:pPr>
                  <w:r>
                    <w:rPr>
                      <w:rFonts w:hint="eastAsia"/>
                      <w:lang w:eastAsia="zh-CN"/>
                    </w:rPr>
                    <w:t>食堂油烟</w:t>
                  </w:r>
                </w:p>
              </w:tc>
              <w:tc>
                <w:tcPr>
                  <w:tcW w:w="4218" w:type="dxa"/>
                  <w:vAlign w:val="center"/>
                </w:tcPr>
                <w:p>
                  <w:pPr>
                    <w:pStyle w:val="30"/>
                    <w:bidi w:val="0"/>
                  </w:pPr>
                  <w:r>
                    <w:rPr>
                      <w:rFonts w:hint="eastAsia"/>
                      <w:lang w:val="en-US" w:eastAsia="zh-CN"/>
                    </w:rPr>
                    <w:t>油烟净化器</w:t>
                  </w:r>
                </w:p>
              </w:tc>
              <w:tc>
                <w:tcPr>
                  <w:tcW w:w="1585" w:type="dxa"/>
                  <w:vAlign w:val="center"/>
                </w:tcPr>
                <w:p>
                  <w:pPr>
                    <w:pStyle w:val="30"/>
                    <w:bidi w:val="0"/>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201" w:type="dxa"/>
                  <w:vAlign w:val="center"/>
                </w:tcPr>
                <w:p>
                  <w:pPr>
                    <w:pStyle w:val="30"/>
                    <w:bidi w:val="0"/>
                  </w:pPr>
                  <w:r>
                    <w:t>噪声治理</w:t>
                  </w:r>
                </w:p>
              </w:tc>
              <w:tc>
                <w:tcPr>
                  <w:tcW w:w="1676" w:type="dxa"/>
                  <w:vAlign w:val="center"/>
                </w:tcPr>
                <w:p>
                  <w:pPr>
                    <w:pStyle w:val="30"/>
                    <w:bidi w:val="0"/>
                  </w:pPr>
                  <w:r>
                    <w:t>设备噪声</w:t>
                  </w:r>
                </w:p>
              </w:tc>
              <w:tc>
                <w:tcPr>
                  <w:tcW w:w="4218" w:type="dxa"/>
                  <w:vAlign w:val="center"/>
                </w:tcPr>
                <w:p>
                  <w:pPr>
                    <w:pStyle w:val="30"/>
                    <w:bidi w:val="0"/>
                  </w:pPr>
                  <w:r>
                    <w:rPr>
                      <w:rFonts w:hint="eastAsia"/>
                      <w:lang w:val="en-US" w:eastAsia="zh-CN"/>
                    </w:rPr>
                    <w:t>隔声、减振处理，首选低噪设备，并进行合理放置，严格生产作业管理</w:t>
                  </w:r>
                </w:p>
              </w:tc>
              <w:tc>
                <w:tcPr>
                  <w:tcW w:w="1585" w:type="dxa"/>
                  <w:vAlign w:val="center"/>
                </w:tcPr>
                <w:p>
                  <w:pPr>
                    <w:pStyle w:val="30"/>
                    <w:bidi w:val="0"/>
                    <w:rPr>
                      <w:rFonts w:hint="eastAsia" w:eastAsia="宋体"/>
                      <w:lang w:eastAsia="zh-CN"/>
                    </w:rPr>
                  </w:pPr>
                  <w:r>
                    <w:rPr>
                      <w:rFonts w:hint="eastAsia"/>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201" w:type="dxa"/>
                  <w:vMerge w:val="restart"/>
                  <w:vAlign w:val="center"/>
                </w:tcPr>
                <w:p>
                  <w:pPr>
                    <w:pStyle w:val="30"/>
                    <w:bidi w:val="0"/>
                  </w:pPr>
                  <w:r>
                    <w:t>固废治理</w:t>
                  </w:r>
                </w:p>
              </w:tc>
              <w:tc>
                <w:tcPr>
                  <w:tcW w:w="1676" w:type="dxa"/>
                  <w:vAlign w:val="center"/>
                </w:tcPr>
                <w:p>
                  <w:pPr>
                    <w:pStyle w:val="30"/>
                    <w:bidi w:val="0"/>
                  </w:pPr>
                  <w:r>
                    <w:t>生活垃圾</w:t>
                  </w:r>
                </w:p>
              </w:tc>
              <w:tc>
                <w:tcPr>
                  <w:tcW w:w="4218" w:type="dxa"/>
                  <w:vAlign w:val="center"/>
                </w:tcPr>
                <w:p>
                  <w:pPr>
                    <w:pStyle w:val="30"/>
                    <w:bidi w:val="0"/>
                    <w:rPr>
                      <w:rFonts w:hint="eastAsia"/>
                      <w:lang w:eastAsia="zh-CN"/>
                    </w:rPr>
                  </w:pPr>
                  <w:r>
                    <w:t>生活垃圾收集箱</w:t>
                  </w:r>
                </w:p>
              </w:tc>
              <w:tc>
                <w:tcPr>
                  <w:tcW w:w="1585" w:type="dxa"/>
                  <w:vAlign w:val="center"/>
                </w:tcPr>
                <w:p>
                  <w:pPr>
                    <w:pStyle w:val="30"/>
                    <w:bidi w:val="0"/>
                    <w:rPr>
                      <w:rFonts w:hint="default" w:eastAsia="宋体"/>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201" w:type="dxa"/>
                  <w:vMerge w:val="continue"/>
                  <w:vAlign w:val="center"/>
                </w:tcPr>
                <w:p>
                  <w:pPr>
                    <w:pStyle w:val="30"/>
                    <w:bidi w:val="0"/>
                  </w:pPr>
                </w:p>
              </w:tc>
              <w:tc>
                <w:tcPr>
                  <w:tcW w:w="1676" w:type="dxa"/>
                  <w:vAlign w:val="center"/>
                </w:tcPr>
                <w:p>
                  <w:pPr>
                    <w:pStyle w:val="30"/>
                    <w:bidi w:val="0"/>
                  </w:pPr>
                  <w:r>
                    <w:t>一般性固废</w:t>
                  </w:r>
                </w:p>
              </w:tc>
              <w:tc>
                <w:tcPr>
                  <w:tcW w:w="4218" w:type="dxa"/>
                  <w:vAlign w:val="center"/>
                </w:tcPr>
                <w:p>
                  <w:pPr>
                    <w:pStyle w:val="30"/>
                    <w:bidi w:val="0"/>
                  </w:pPr>
                  <w:r>
                    <w:t>一般固废暂存间</w:t>
                  </w:r>
                  <w:r>
                    <w:rPr>
                      <w:rFonts w:hint="eastAsia"/>
                      <w:lang w:val="en-US" w:eastAsia="zh-CN"/>
                    </w:rPr>
                    <w:t>5</w:t>
                  </w:r>
                  <w:r>
                    <w:t>m</w:t>
                  </w:r>
                  <w:r>
                    <w:rPr>
                      <w:rFonts w:hint="default"/>
                    </w:rPr>
                    <w:t>²</w:t>
                  </w:r>
                </w:p>
              </w:tc>
              <w:tc>
                <w:tcPr>
                  <w:tcW w:w="1585" w:type="dxa"/>
                  <w:vAlign w:val="center"/>
                </w:tcPr>
                <w:p>
                  <w:pPr>
                    <w:pStyle w:val="30"/>
                    <w:bidi w:val="0"/>
                    <w:rPr>
                      <w:rFonts w:hint="eastAsia" w:eastAsia="宋体"/>
                      <w:lang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201" w:type="dxa"/>
                  <w:vMerge w:val="continue"/>
                  <w:vAlign w:val="center"/>
                </w:tcPr>
                <w:p>
                  <w:pPr>
                    <w:pStyle w:val="30"/>
                    <w:bidi w:val="0"/>
                  </w:pPr>
                </w:p>
              </w:tc>
              <w:tc>
                <w:tcPr>
                  <w:tcW w:w="1676" w:type="dxa"/>
                  <w:vAlign w:val="center"/>
                </w:tcPr>
                <w:p>
                  <w:pPr>
                    <w:pStyle w:val="30"/>
                    <w:bidi w:val="0"/>
                  </w:pPr>
                  <w:r>
                    <w:t>危险废物</w:t>
                  </w:r>
                </w:p>
              </w:tc>
              <w:tc>
                <w:tcPr>
                  <w:tcW w:w="4218" w:type="dxa"/>
                  <w:vAlign w:val="center"/>
                </w:tcPr>
                <w:p>
                  <w:pPr>
                    <w:pStyle w:val="30"/>
                    <w:bidi w:val="0"/>
                  </w:pPr>
                  <w:r>
                    <w:t xml:space="preserve">危险废物暂存间 </w:t>
                  </w:r>
                  <w:r>
                    <w:rPr>
                      <w:rFonts w:hint="eastAsia"/>
                      <w:lang w:val="en-US" w:eastAsia="zh-CN"/>
                    </w:rPr>
                    <w:t>10</w:t>
                  </w:r>
                  <w:r>
                    <w:t>m</w:t>
                  </w:r>
                  <w:r>
                    <w:rPr>
                      <w:rFonts w:hint="default"/>
                    </w:rPr>
                    <w:t>²</w:t>
                  </w:r>
                </w:p>
              </w:tc>
              <w:tc>
                <w:tcPr>
                  <w:tcW w:w="1585" w:type="dxa"/>
                  <w:vAlign w:val="center"/>
                </w:tcPr>
                <w:p>
                  <w:pPr>
                    <w:pStyle w:val="30"/>
                    <w:bidi w:val="0"/>
                    <w:rPr>
                      <w:rFonts w:hint="default"/>
                      <w:lang w:val="en-US" w:eastAsia="zh-CN"/>
                    </w:rPr>
                  </w:pPr>
                  <w:r>
                    <w:rPr>
                      <w:rFonts w:hint="eastAsia"/>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4" w:hRule="atLeast"/>
              </w:trPr>
              <w:tc>
                <w:tcPr>
                  <w:tcW w:w="2877" w:type="dxa"/>
                  <w:gridSpan w:val="2"/>
                  <w:vMerge w:val="restart"/>
                  <w:vAlign w:val="center"/>
                </w:tcPr>
                <w:p>
                  <w:pPr>
                    <w:pStyle w:val="30"/>
                    <w:bidi w:val="0"/>
                  </w:pPr>
                  <w:r>
                    <w:rPr>
                      <w:rFonts w:hint="eastAsia"/>
                      <w:lang w:val="en-US" w:eastAsia="zh-CN"/>
                    </w:rPr>
                    <w:t>环境风险防治措施</w:t>
                  </w:r>
                </w:p>
              </w:tc>
              <w:tc>
                <w:tcPr>
                  <w:tcW w:w="4218" w:type="dxa"/>
                  <w:shd w:val="clear" w:color="auto" w:fill="auto"/>
                  <w:vAlign w:val="center"/>
                </w:tcPr>
                <w:p>
                  <w:pPr>
                    <w:pStyle w:val="30"/>
                    <w:bidi w:val="0"/>
                    <w:rPr>
                      <w:rFonts w:hint="default" w:ascii="Times New Roman" w:hAnsi="Times New Roman" w:eastAsia="宋体" w:cstheme="minorBidi"/>
                      <w:snapToGrid w:val="0"/>
                      <w:spacing w:val="6"/>
                      <w:kern w:val="2"/>
                      <w:sz w:val="21"/>
                      <w:szCs w:val="21"/>
                      <w:lang w:val="en-US" w:eastAsia="zh-CN" w:bidi="ar-SA"/>
                    </w:rPr>
                  </w:pPr>
                  <w:r>
                    <w:rPr>
                      <w:lang w:val="en-US" w:eastAsia="zh-CN"/>
                    </w:rPr>
                    <w:t>加强</w:t>
                  </w:r>
                  <w:r>
                    <w:rPr>
                      <w:rFonts w:hint="eastAsia"/>
                      <w:lang w:val="en-US" w:eastAsia="zh-CN"/>
                    </w:rPr>
                    <w:t>设备</w:t>
                  </w:r>
                  <w:r>
                    <w:rPr>
                      <w:lang w:val="en-US" w:eastAsia="zh-CN"/>
                    </w:rPr>
                    <w:t>管理，定期维护，保养等，确保其正常运行</w:t>
                  </w:r>
                  <w:r>
                    <w:rPr>
                      <w:rFonts w:hint="eastAsia"/>
                      <w:lang w:val="en-US" w:eastAsia="zh-CN"/>
                    </w:rPr>
                    <w:t>；</w:t>
                  </w:r>
                  <w:r>
                    <w:rPr>
                      <w:lang w:val="en-US" w:eastAsia="zh-CN"/>
                    </w:rPr>
                    <w:t>危险化学品</w:t>
                  </w:r>
                  <w:r>
                    <w:rPr>
                      <w:rFonts w:hint="eastAsia"/>
                      <w:lang w:val="en-US" w:eastAsia="zh-CN"/>
                    </w:rPr>
                    <w:t>贮存处设置围堰或者防泄漏托盘</w:t>
                  </w:r>
                </w:p>
              </w:tc>
              <w:tc>
                <w:tcPr>
                  <w:tcW w:w="1585" w:type="dxa"/>
                  <w:vAlign w:val="center"/>
                </w:tcPr>
                <w:p>
                  <w:pPr>
                    <w:pStyle w:val="30"/>
                    <w:bidi w:val="0"/>
                    <w:rPr>
                      <w:rFonts w:hint="default"/>
                      <w:lang w:val="en-US"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2877" w:type="dxa"/>
                  <w:gridSpan w:val="2"/>
                  <w:vMerge w:val="continue"/>
                  <w:vAlign w:val="center"/>
                </w:tcPr>
                <w:p>
                  <w:pPr>
                    <w:pStyle w:val="30"/>
                    <w:bidi w:val="0"/>
                  </w:pPr>
                </w:p>
              </w:tc>
              <w:tc>
                <w:tcPr>
                  <w:tcW w:w="4218" w:type="dxa"/>
                  <w:shd w:val="clear" w:color="auto" w:fill="auto"/>
                  <w:vAlign w:val="center"/>
                </w:tcPr>
                <w:p>
                  <w:pPr>
                    <w:pStyle w:val="30"/>
                    <w:bidi w:val="0"/>
                    <w:rPr>
                      <w:rFonts w:hint="eastAsia" w:ascii="Times New Roman" w:hAnsi="Times New Roman" w:eastAsia="宋体" w:cstheme="minorBidi"/>
                      <w:snapToGrid w:val="0"/>
                      <w:spacing w:val="6"/>
                      <w:kern w:val="2"/>
                      <w:sz w:val="21"/>
                      <w:szCs w:val="21"/>
                      <w:lang w:val="en-US" w:eastAsia="zh-CN" w:bidi="ar-SA"/>
                    </w:rPr>
                  </w:pPr>
                  <w:r>
                    <w:rPr>
                      <w:rFonts w:hint="eastAsia"/>
                      <w:lang w:val="en-US" w:eastAsia="zh-CN"/>
                    </w:rPr>
                    <w:t>应急事故池（50m</w:t>
                  </w:r>
                  <w:r>
                    <w:rPr>
                      <w:rFonts w:hint="default" w:ascii="Times New Roman" w:hAnsi="Times New Roman" w:cs="Times New Roman"/>
                      <w:lang w:val="en-US" w:eastAsia="zh-CN"/>
                    </w:rPr>
                    <w:t>³</w:t>
                  </w:r>
                  <w:r>
                    <w:rPr>
                      <w:rFonts w:hint="eastAsia"/>
                      <w:lang w:val="en-US" w:eastAsia="zh-CN"/>
                    </w:rPr>
                    <w:t>）</w:t>
                  </w:r>
                </w:p>
              </w:tc>
              <w:tc>
                <w:tcPr>
                  <w:tcW w:w="1585" w:type="dxa"/>
                  <w:vAlign w:val="center"/>
                </w:tcPr>
                <w:p>
                  <w:pPr>
                    <w:pStyle w:val="30"/>
                    <w:bidi w:val="0"/>
                    <w:rPr>
                      <w:rFonts w:hint="default"/>
                      <w:lang w:val="en-US" w:eastAsia="zh-CN"/>
                    </w:rPr>
                  </w:pPr>
                  <w:r>
                    <w:rPr>
                      <w:rFonts w:hint="eastAsia"/>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095" w:type="dxa"/>
                  <w:gridSpan w:val="3"/>
                  <w:vAlign w:val="center"/>
                </w:tcPr>
                <w:p>
                  <w:pPr>
                    <w:pStyle w:val="30"/>
                    <w:bidi w:val="0"/>
                  </w:pPr>
                  <w:r>
                    <w:rPr>
                      <w:rFonts w:hint="eastAsia"/>
                      <w:lang w:eastAsia="zh-CN"/>
                    </w:rPr>
                    <w:t>合计</w:t>
                  </w:r>
                </w:p>
              </w:tc>
              <w:tc>
                <w:tcPr>
                  <w:tcW w:w="1585" w:type="dxa"/>
                  <w:vAlign w:val="center"/>
                </w:tcPr>
                <w:p>
                  <w:pPr>
                    <w:pStyle w:val="30"/>
                    <w:bidi w:val="0"/>
                    <w:rPr>
                      <w:rFonts w:hint="default"/>
                      <w:lang w:val="en-US" w:eastAsia="zh-CN"/>
                    </w:rPr>
                  </w:pPr>
                  <w:r>
                    <w:rPr>
                      <w:rFonts w:hint="eastAsia"/>
                      <w:lang w:val="en-US" w:eastAsia="zh-CN"/>
                    </w:rPr>
                    <w:t>169.5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Cs/>
                <w:color w:val="auto"/>
                <w:spacing w:val="-10"/>
                <w:sz w:val="24"/>
                <w:szCs w:val="24"/>
                <w:highlight w:val="none"/>
              </w:rPr>
            </w:pPr>
          </w:p>
        </w:tc>
      </w:tr>
    </w:tbl>
    <w:p>
      <w:pPr>
        <w:bidi w:val="0"/>
        <w:sectPr>
          <w:pgSz w:w="11906" w:h="16838"/>
          <w:pgMar w:top="1440" w:right="1800" w:bottom="1440" w:left="1800" w:header="851" w:footer="992" w:gutter="0"/>
          <w:pgNumType w:fmt="decimal"/>
          <w:cols w:space="425" w:num="1"/>
          <w:docGrid w:type="lines" w:linePitch="312" w:charSpace="0"/>
        </w:sectPr>
      </w:pPr>
    </w:p>
    <w:p>
      <w:pPr>
        <w:pStyle w:val="2"/>
        <w:bidi w:val="0"/>
        <w:rPr>
          <w:rFonts w:hint="eastAsia"/>
        </w:rPr>
      </w:pPr>
      <w:bookmarkStart w:id="78" w:name="_Toc32153"/>
      <w:bookmarkStart w:id="79" w:name="_Toc25826"/>
      <w:bookmarkStart w:id="80" w:name="_Toc25041"/>
      <w:bookmarkStart w:id="81" w:name="_Toc10478"/>
      <w:bookmarkStart w:id="82" w:name="_Toc10311"/>
      <w:bookmarkStart w:id="83" w:name="_Toc9978"/>
      <w:bookmarkStart w:id="84" w:name="_Toc31874"/>
      <w:bookmarkStart w:id="85" w:name="_Toc362"/>
      <w:bookmarkStart w:id="86" w:name="_Toc10090"/>
      <w:bookmarkStart w:id="87" w:name="_Toc17017"/>
      <w:bookmarkStart w:id="88" w:name="_Toc26912"/>
      <w:bookmarkStart w:id="89" w:name="_Toc10814"/>
      <w:bookmarkStart w:id="90" w:name="_Toc32735"/>
      <w:bookmarkStart w:id="91" w:name="_Hlk54167917"/>
      <w:bookmarkStart w:id="92" w:name="_Toc30681"/>
      <w:bookmarkStart w:id="93" w:name="_Toc11472"/>
      <w:r>
        <w:rPr>
          <w:rFonts w:hint="eastAsia"/>
          <w:lang w:eastAsia="zh-CN"/>
        </w:rPr>
        <w:t>五、</w:t>
      </w:r>
      <w:r>
        <w:rPr>
          <w:rFonts w:hint="eastAsia"/>
        </w:rPr>
        <w:t>环境保护措施监督检查清单</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tbl>
      <w:tblPr>
        <w:tblStyle w:val="27"/>
        <w:tblW w:w="85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410"/>
        <w:gridCol w:w="1544"/>
        <w:gridCol w:w="1890"/>
        <w:gridCol w:w="28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7" w:type="dxa"/>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内容</w:t>
            </w:r>
          </w:p>
          <w:p>
            <w:pPr>
              <w:pStyle w:val="30"/>
              <w:spacing w:line="360" w:lineRule="auto"/>
              <w:jc w:val="center"/>
              <w:rPr>
                <w:rFonts w:hint="default" w:ascii="Times New Roman" w:hAnsi="Times New Roman" w:cs="Times New Roman"/>
                <w:sz w:val="24"/>
                <w:szCs w:val="24"/>
              </w:rPr>
            </w:pPr>
          </w:p>
          <w:p>
            <w:pPr>
              <w:pStyle w:val="3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要素</w:t>
            </w:r>
          </w:p>
        </w:tc>
        <w:tc>
          <w:tcPr>
            <w:tcW w:w="1410" w:type="dxa"/>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排放口(编号、名称)/污染源</w:t>
            </w:r>
          </w:p>
        </w:tc>
        <w:tc>
          <w:tcPr>
            <w:tcW w:w="1544" w:type="dxa"/>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污染物项目</w:t>
            </w:r>
          </w:p>
        </w:tc>
        <w:tc>
          <w:tcPr>
            <w:tcW w:w="1890" w:type="dxa"/>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环境保护措施</w:t>
            </w:r>
          </w:p>
        </w:tc>
        <w:tc>
          <w:tcPr>
            <w:tcW w:w="2821" w:type="dxa"/>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7" w:type="dxa"/>
            <w:vMerge w:val="restart"/>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大气环境</w:t>
            </w:r>
          </w:p>
        </w:tc>
        <w:tc>
          <w:tcPr>
            <w:tcW w:w="1410" w:type="dxa"/>
            <w:tcBorders>
              <w:tl2br w:val="nil"/>
              <w:tr2bl w:val="nil"/>
            </w:tcBorders>
            <w:noWrap/>
            <w:vAlign w:val="center"/>
          </w:tcPr>
          <w:p>
            <w:pPr>
              <w:keepNext w:val="0"/>
              <w:keepLines w:val="0"/>
              <w:widowControl/>
              <w:suppressLineNumbers w:val="0"/>
              <w:jc w:val="center"/>
              <w:rPr>
                <w:rFonts w:hint="default" w:ascii="Times New Roman" w:hAnsi="Times New Roman" w:cs="Times New Roman"/>
                <w:sz w:val="24"/>
                <w:szCs w:val="24"/>
                <w:lang w:val="en-US" w:eastAsia="zh-CN"/>
              </w:rPr>
            </w:pPr>
            <w:r>
              <w:rPr>
                <w:rFonts w:hint="default" w:ascii="Times New Roman" w:hAnsi="Times New Roman" w:eastAsia="宋体" w:cs="Times New Roman"/>
                <w:color w:val="000000"/>
                <w:kern w:val="0"/>
                <w:sz w:val="24"/>
                <w:szCs w:val="24"/>
                <w:lang w:val="en-US" w:eastAsia="zh-CN" w:bidi="ar"/>
              </w:rPr>
              <w:t>污水处理站</w:t>
            </w:r>
          </w:p>
        </w:tc>
        <w:tc>
          <w:tcPr>
            <w:tcW w:w="1544" w:type="dxa"/>
            <w:tcBorders>
              <w:tl2br w:val="nil"/>
              <w:tr2bl w:val="nil"/>
            </w:tcBorders>
            <w:noWrap/>
            <w:vAlign w:val="center"/>
          </w:tcPr>
          <w:p>
            <w:pPr>
              <w:pStyle w:val="30"/>
              <w:bidi w:val="0"/>
              <w:spacing w:line="360" w:lineRule="auto"/>
              <w:jc w:val="center"/>
              <w:rPr>
                <w:rFonts w:hint="default" w:ascii="Times New Roman" w:hAnsi="Times New Roman" w:cs="Times New Roman"/>
                <w:sz w:val="24"/>
                <w:szCs w:val="24"/>
              </w:rPr>
            </w:pPr>
            <w:r>
              <w:rPr>
                <w:rFonts w:hint="eastAsia"/>
                <w:sz w:val="24"/>
                <w:szCs w:val="24"/>
                <w:lang w:val="en-US" w:eastAsia="zh-CN"/>
              </w:rPr>
              <w:t>氨、硫化氢、臭气浓度、甲烷</w:t>
            </w:r>
          </w:p>
        </w:tc>
        <w:tc>
          <w:tcPr>
            <w:tcW w:w="1890" w:type="dxa"/>
            <w:tcBorders>
              <w:tl2br w:val="nil"/>
              <w:tr2bl w:val="nil"/>
            </w:tcBorders>
            <w:noWrap/>
            <w:vAlign w:val="center"/>
          </w:tcPr>
          <w:p>
            <w:pPr>
              <w:pStyle w:val="30"/>
              <w:bidi w:val="0"/>
              <w:spacing w:line="360"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污水处理站密闭+除臭剂等</w:t>
            </w:r>
          </w:p>
        </w:tc>
        <w:tc>
          <w:tcPr>
            <w:tcW w:w="2821" w:type="dxa"/>
            <w:tcBorders>
              <w:tl2br w:val="nil"/>
              <w:tr2bl w:val="nil"/>
            </w:tcBorders>
            <w:noWrap/>
            <w:vAlign w:val="center"/>
          </w:tcPr>
          <w:p>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《医疗机构水污染物排放标准》（GB18466-2005</w:t>
            </w:r>
          </w:p>
          <w:p>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）中污水处理站周边大气污染物控制标准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7" w:type="dxa"/>
            <w:vMerge w:val="continue"/>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p>
        </w:tc>
        <w:tc>
          <w:tcPr>
            <w:tcW w:w="1410" w:type="dxa"/>
            <w:tcBorders>
              <w:tl2br w:val="nil"/>
              <w:tr2bl w:val="nil"/>
            </w:tcBorders>
            <w:noWrap/>
            <w:vAlign w:val="center"/>
          </w:tcPr>
          <w:p>
            <w:pPr>
              <w:pStyle w:val="30"/>
              <w:bidi w:val="0"/>
              <w:spacing w:line="360" w:lineRule="auto"/>
              <w:jc w:val="center"/>
              <w:rPr>
                <w:rFonts w:hint="default"/>
                <w:sz w:val="24"/>
                <w:szCs w:val="24"/>
                <w:lang w:val="en-US" w:eastAsia="zh-CN"/>
              </w:rPr>
            </w:pPr>
            <w:r>
              <w:rPr>
                <w:rFonts w:hint="eastAsia"/>
                <w:sz w:val="24"/>
                <w:szCs w:val="24"/>
                <w:lang w:val="en-US" w:eastAsia="zh-CN"/>
              </w:rPr>
              <w:t>煎药室</w:t>
            </w:r>
          </w:p>
        </w:tc>
        <w:tc>
          <w:tcPr>
            <w:tcW w:w="1544" w:type="dxa"/>
            <w:tcBorders>
              <w:tl2br w:val="nil"/>
              <w:tr2bl w:val="nil"/>
            </w:tcBorders>
            <w:noWrap/>
            <w:vAlign w:val="center"/>
          </w:tcPr>
          <w:p>
            <w:pPr>
              <w:pStyle w:val="30"/>
              <w:bidi w:val="0"/>
              <w:spacing w:line="360" w:lineRule="auto"/>
              <w:jc w:val="center"/>
              <w:rPr>
                <w:rFonts w:hint="eastAsia"/>
                <w:sz w:val="24"/>
                <w:szCs w:val="24"/>
                <w:lang w:val="en-US" w:eastAsia="zh-CN"/>
              </w:rPr>
            </w:pPr>
            <w:r>
              <w:rPr>
                <w:rFonts w:hint="eastAsia"/>
                <w:sz w:val="24"/>
                <w:szCs w:val="24"/>
                <w:lang w:val="en-US" w:eastAsia="zh-CN"/>
              </w:rPr>
              <w:t>异味</w:t>
            </w:r>
          </w:p>
        </w:tc>
        <w:tc>
          <w:tcPr>
            <w:tcW w:w="1890" w:type="dxa"/>
            <w:tcBorders>
              <w:tl2br w:val="nil"/>
              <w:tr2bl w:val="nil"/>
            </w:tcBorders>
            <w:noWrap/>
            <w:vAlign w:val="center"/>
          </w:tcPr>
          <w:p>
            <w:pPr>
              <w:pStyle w:val="30"/>
              <w:bidi w:val="0"/>
              <w:spacing w:line="360" w:lineRule="auto"/>
              <w:jc w:val="center"/>
              <w:rPr>
                <w:rFonts w:hint="default"/>
                <w:sz w:val="24"/>
                <w:szCs w:val="24"/>
                <w:lang w:val="en-US" w:eastAsia="zh-CN"/>
              </w:rPr>
            </w:pPr>
            <w:r>
              <w:rPr>
                <w:rFonts w:hint="eastAsia"/>
                <w:sz w:val="24"/>
                <w:szCs w:val="24"/>
                <w:lang w:val="en-US" w:eastAsia="zh-CN"/>
              </w:rPr>
              <w:t>抽风系统将异味通过专用烟道引排至楼顶排放</w:t>
            </w:r>
          </w:p>
        </w:tc>
        <w:tc>
          <w:tcPr>
            <w:tcW w:w="2821" w:type="dxa"/>
            <w:vMerge w:val="restart"/>
            <w:tcBorders>
              <w:tl2br w:val="nil"/>
              <w:tr2bl w:val="nil"/>
            </w:tcBorders>
            <w:noWrap/>
            <w:vAlign w:val="center"/>
          </w:tcPr>
          <w:p>
            <w:pPr>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《大气污染物综合排放标准》（GB16297-1996）</w:t>
            </w:r>
          </w:p>
          <w:p>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表2二级标准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7" w:type="dxa"/>
            <w:vMerge w:val="continue"/>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p>
        </w:tc>
        <w:tc>
          <w:tcPr>
            <w:tcW w:w="1410" w:type="dxa"/>
            <w:tcBorders>
              <w:tl2br w:val="nil"/>
              <w:tr2bl w:val="nil"/>
            </w:tcBorders>
            <w:noWrap/>
            <w:vAlign w:val="center"/>
          </w:tcPr>
          <w:p>
            <w:pPr>
              <w:keepNext w:val="0"/>
              <w:keepLines w:val="0"/>
              <w:widowControl/>
              <w:suppressLineNumbers w:val="0"/>
              <w:jc w:val="center"/>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cs="Times New Roman"/>
                <w:color w:val="000000"/>
                <w:kern w:val="0"/>
                <w:sz w:val="24"/>
                <w:szCs w:val="24"/>
                <w:lang w:val="en-US" w:eastAsia="zh-CN" w:bidi="ar"/>
              </w:rPr>
              <w:t>汽车尾气</w:t>
            </w:r>
          </w:p>
        </w:tc>
        <w:tc>
          <w:tcPr>
            <w:tcW w:w="1544" w:type="dxa"/>
            <w:tcBorders>
              <w:tl2br w:val="nil"/>
              <w:tr2bl w:val="nil"/>
            </w:tcBorders>
            <w:noWrap/>
            <w:vAlign w:val="center"/>
          </w:tcPr>
          <w:p>
            <w:pPr>
              <w:pStyle w:val="30"/>
              <w:bidi w:val="0"/>
              <w:spacing w:line="360"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烟尘、HC、NOx</w:t>
            </w:r>
          </w:p>
        </w:tc>
        <w:tc>
          <w:tcPr>
            <w:tcW w:w="1890" w:type="dxa"/>
            <w:tcBorders>
              <w:tl2br w:val="nil"/>
              <w:tr2bl w:val="nil"/>
            </w:tcBorders>
            <w:noWrap/>
            <w:vAlign w:val="center"/>
          </w:tcPr>
          <w:p>
            <w:pPr>
              <w:pStyle w:val="30"/>
              <w:bidi w:val="0"/>
              <w:spacing w:line="360" w:lineRule="auto"/>
              <w:jc w:val="center"/>
              <w:rPr>
                <w:rFonts w:hint="default" w:ascii="Times New Roman" w:hAnsi="Times New Roman" w:cs="Times New Roman"/>
                <w:sz w:val="24"/>
                <w:szCs w:val="24"/>
                <w:lang w:val="en-US" w:eastAsia="zh-CN"/>
              </w:rPr>
            </w:pPr>
            <w:r>
              <w:rPr>
                <w:sz w:val="24"/>
                <w:szCs w:val="24"/>
                <w:lang w:val="en-US" w:eastAsia="zh-CN"/>
              </w:rPr>
              <w:t>通过地下车库排气</w:t>
            </w:r>
            <w:r>
              <w:rPr>
                <w:rFonts w:hint="eastAsia"/>
                <w:sz w:val="24"/>
                <w:szCs w:val="24"/>
                <w:lang w:val="en-US" w:eastAsia="zh-CN"/>
              </w:rPr>
              <w:t>系统</w:t>
            </w:r>
            <w:r>
              <w:rPr>
                <w:sz w:val="24"/>
                <w:szCs w:val="24"/>
                <w:lang w:val="en-US" w:eastAsia="zh-CN"/>
              </w:rPr>
              <w:t>引排至室外</w:t>
            </w:r>
          </w:p>
        </w:tc>
        <w:tc>
          <w:tcPr>
            <w:tcW w:w="2821" w:type="dxa"/>
            <w:vMerge w:val="continue"/>
            <w:tcBorders>
              <w:tl2br w:val="nil"/>
              <w:tr2bl w:val="nil"/>
            </w:tcBorders>
            <w:noWrap/>
            <w:vAlign w:val="center"/>
          </w:tcPr>
          <w:p>
            <w:pPr>
              <w:keepNext w:val="0"/>
              <w:keepLines w:val="0"/>
              <w:widowControl/>
              <w:suppressLineNumbers w:val="0"/>
              <w:jc w:val="center"/>
              <w:rPr>
                <w:rFonts w:hint="default" w:ascii="Times New Roman" w:hAnsi="Times New Roman"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7" w:type="dxa"/>
            <w:vMerge w:val="continue"/>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p>
        </w:tc>
        <w:tc>
          <w:tcPr>
            <w:tcW w:w="1410" w:type="dxa"/>
            <w:tcBorders>
              <w:tl2br w:val="nil"/>
              <w:tr2bl w:val="nil"/>
            </w:tcBorders>
            <w:noWrap/>
            <w:vAlign w:val="center"/>
          </w:tcPr>
          <w:p>
            <w:pPr>
              <w:keepNext w:val="0"/>
              <w:keepLines w:val="0"/>
              <w:widowControl/>
              <w:suppressLineNumbers w:val="0"/>
              <w:jc w:val="center"/>
              <w:rPr>
                <w:rFonts w:hint="default" w:ascii="Times New Roman" w:hAnsi="Times New Roman" w:cs="Times New Roman"/>
                <w:sz w:val="24"/>
                <w:szCs w:val="24"/>
                <w:lang w:val="en-US" w:eastAsia="zh-CN"/>
              </w:rPr>
            </w:pPr>
            <w:r>
              <w:rPr>
                <w:rFonts w:hint="default" w:ascii="Times New Roman" w:hAnsi="Times New Roman" w:eastAsia="宋体" w:cs="Times New Roman"/>
                <w:color w:val="000000"/>
                <w:kern w:val="0"/>
                <w:sz w:val="24"/>
                <w:szCs w:val="24"/>
                <w:lang w:val="en-US" w:eastAsia="zh-CN" w:bidi="ar"/>
              </w:rPr>
              <w:t>柴油发电机</w:t>
            </w:r>
          </w:p>
        </w:tc>
        <w:tc>
          <w:tcPr>
            <w:tcW w:w="1544" w:type="dxa"/>
            <w:tcBorders>
              <w:tl2br w:val="nil"/>
              <w:tr2bl w:val="nil"/>
            </w:tcBorders>
            <w:noWrap/>
            <w:vAlign w:val="center"/>
          </w:tcPr>
          <w:p>
            <w:pPr>
              <w:pStyle w:val="30"/>
              <w:bidi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eastAsia="zh-CN"/>
              </w:rPr>
              <w:t>烟尘、HC、SO</w:t>
            </w:r>
            <w:r>
              <w:rPr>
                <w:rFonts w:hint="default" w:ascii="Times New Roman" w:hAnsi="Times New Roman" w:cs="Times New Roman"/>
                <w:sz w:val="24"/>
                <w:szCs w:val="24"/>
                <w:vertAlign w:val="subscript"/>
                <w:lang w:val="en-US" w:eastAsia="zh-CN"/>
              </w:rPr>
              <w:t>2</w:t>
            </w:r>
            <w:r>
              <w:rPr>
                <w:rFonts w:hint="default" w:ascii="Times New Roman" w:hAnsi="Times New Roman" w:cs="Times New Roman"/>
                <w:sz w:val="24"/>
                <w:szCs w:val="24"/>
                <w:lang w:val="en-US" w:eastAsia="zh-CN"/>
              </w:rPr>
              <w:t>、NOx</w:t>
            </w:r>
          </w:p>
        </w:tc>
        <w:tc>
          <w:tcPr>
            <w:tcW w:w="1890" w:type="dxa"/>
            <w:tcBorders>
              <w:tl2br w:val="nil"/>
              <w:tr2bl w:val="nil"/>
            </w:tcBorders>
            <w:noWrap/>
            <w:vAlign w:val="center"/>
          </w:tcPr>
          <w:p>
            <w:pPr>
              <w:keepNext w:val="0"/>
              <w:keepLines w:val="0"/>
              <w:widowControl/>
              <w:suppressLineNumbers w:val="0"/>
              <w:jc w:val="center"/>
              <w:rPr>
                <w:rFonts w:hint="default" w:ascii="Times New Roman" w:hAnsi="Times New Roman" w:cs="Times New Roman"/>
                <w:sz w:val="24"/>
                <w:szCs w:val="24"/>
                <w:lang w:val="en-US" w:eastAsia="zh-CN"/>
              </w:rPr>
            </w:pPr>
            <w:r>
              <w:rPr>
                <w:sz w:val="24"/>
                <w:szCs w:val="24"/>
                <w:lang w:val="en-US" w:eastAsia="zh-CN"/>
              </w:rPr>
              <w:t>通过专用烟道引排至室外</w:t>
            </w:r>
          </w:p>
        </w:tc>
        <w:tc>
          <w:tcPr>
            <w:tcW w:w="2821" w:type="dxa"/>
            <w:vMerge w:val="continue"/>
            <w:tcBorders>
              <w:tl2br w:val="nil"/>
              <w:tr2bl w:val="nil"/>
            </w:tcBorders>
            <w:noWrap/>
            <w:vAlign w:val="center"/>
          </w:tcPr>
          <w:p>
            <w:pPr>
              <w:keepNext w:val="0"/>
              <w:keepLines w:val="0"/>
              <w:widowControl/>
              <w:suppressLineNumbers w:val="0"/>
              <w:jc w:val="center"/>
              <w:rPr>
                <w:rFonts w:hint="default" w:ascii="Times New Roman" w:hAnsi="Times New Roman"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7" w:type="dxa"/>
            <w:vMerge w:val="continue"/>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p>
        </w:tc>
        <w:tc>
          <w:tcPr>
            <w:tcW w:w="1410" w:type="dxa"/>
            <w:tcBorders>
              <w:tl2br w:val="nil"/>
              <w:tr2bl w:val="nil"/>
            </w:tcBorders>
            <w:noWrap/>
            <w:vAlign w:val="center"/>
          </w:tcPr>
          <w:p>
            <w:pPr>
              <w:keepNext w:val="0"/>
              <w:keepLines w:val="0"/>
              <w:widowControl/>
              <w:suppressLineNumbers w:val="0"/>
              <w:jc w:val="center"/>
              <w:rPr>
                <w:rFonts w:hint="default" w:ascii="Times New Roman" w:hAnsi="Times New Roman" w:cs="Times New Roman"/>
                <w:sz w:val="24"/>
                <w:szCs w:val="24"/>
                <w:lang w:val="en-US" w:eastAsia="zh-CN"/>
              </w:rPr>
            </w:pPr>
            <w:r>
              <w:rPr>
                <w:rFonts w:hint="default" w:ascii="Times New Roman" w:hAnsi="Times New Roman" w:eastAsia="宋体" w:cs="Times New Roman"/>
                <w:color w:val="000000"/>
                <w:kern w:val="0"/>
                <w:sz w:val="24"/>
                <w:szCs w:val="24"/>
                <w:lang w:val="en-US" w:eastAsia="zh-CN" w:bidi="ar"/>
              </w:rPr>
              <w:t>食堂</w:t>
            </w:r>
          </w:p>
        </w:tc>
        <w:tc>
          <w:tcPr>
            <w:tcW w:w="1544" w:type="dxa"/>
            <w:tcBorders>
              <w:tl2br w:val="nil"/>
              <w:tr2bl w:val="nil"/>
            </w:tcBorders>
            <w:noWrap/>
            <w:vAlign w:val="center"/>
          </w:tcPr>
          <w:p>
            <w:pPr>
              <w:keepNext w:val="0"/>
              <w:keepLines w:val="0"/>
              <w:widowControl/>
              <w:suppressLineNumbers w:val="0"/>
              <w:jc w:val="center"/>
              <w:rPr>
                <w:rFonts w:hint="default" w:ascii="Times New Roman" w:hAnsi="Times New Roman" w:cs="Times New Roman"/>
                <w:sz w:val="24"/>
                <w:szCs w:val="24"/>
                <w:lang w:val="en-US" w:eastAsia="zh-CN"/>
              </w:rPr>
            </w:pPr>
            <w:r>
              <w:rPr>
                <w:rFonts w:hint="default" w:ascii="Times New Roman" w:hAnsi="Times New Roman" w:eastAsia="宋体" w:cs="Times New Roman"/>
                <w:color w:val="000000"/>
                <w:kern w:val="0"/>
                <w:sz w:val="24"/>
                <w:szCs w:val="24"/>
                <w:lang w:val="en-US" w:eastAsia="zh-CN" w:bidi="ar"/>
              </w:rPr>
              <w:t>油烟</w:t>
            </w:r>
          </w:p>
        </w:tc>
        <w:tc>
          <w:tcPr>
            <w:tcW w:w="1890" w:type="dxa"/>
            <w:tcBorders>
              <w:tl2br w:val="nil"/>
              <w:tr2bl w:val="nil"/>
            </w:tcBorders>
            <w:noWrap/>
            <w:vAlign w:val="center"/>
          </w:tcPr>
          <w:p>
            <w:pPr>
              <w:keepNext w:val="0"/>
              <w:keepLines w:val="0"/>
              <w:widowControl/>
              <w:suppressLineNumbers w:val="0"/>
              <w:jc w:val="center"/>
              <w:rPr>
                <w:rFonts w:hint="default" w:ascii="Times New Roman" w:hAnsi="Times New Roman" w:cs="Times New Roman"/>
                <w:sz w:val="24"/>
                <w:szCs w:val="24"/>
                <w:lang w:eastAsia="zh-CN"/>
              </w:rPr>
            </w:pPr>
            <w:r>
              <w:rPr>
                <w:rFonts w:hint="default" w:ascii="Times New Roman" w:hAnsi="Times New Roman" w:cs="Times New Roman"/>
                <w:color w:val="000000"/>
                <w:szCs w:val="21"/>
                <w:lang w:eastAsia="zh-CN"/>
              </w:rPr>
              <w:t>经</w:t>
            </w:r>
            <w:r>
              <w:rPr>
                <w:rFonts w:hint="default" w:ascii="Times New Roman" w:hAnsi="Times New Roman" w:cs="Times New Roman"/>
                <w:color w:val="000000"/>
                <w:szCs w:val="21"/>
              </w:rPr>
              <w:t>油烟净化</w:t>
            </w:r>
            <w:r>
              <w:rPr>
                <w:rFonts w:hint="default" w:ascii="Times New Roman" w:hAnsi="Times New Roman" w:cs="Times New Roman"/>
                <w:color w:val="000000"/>
                <w:szCs w:val="21"/>
                <w:lang w:eastAsia="zh-CN"/>
              </w:rPr>
              <w:t>器处理</w:t>
            </w:r>
            <w:r>
              <w:rPr>
                <w:rFonts w:hint="default" w:ascii="Times New Roman" w:hAnsi="Times New Roman" w:cs="Times New Roman"/>
                <w:color w:val="000000"/>
                <w:szCs w:val="21"/>
              </w:rPr>
              <w:t>后经排烟道至屋顶排放</w:t>
            </w:r>
          </w:p>
        </w:tc>
        <w:tc>
          <w:tcPr>
            <w:tcW w:w="2821" w:type="dxa"/>
            <w:tcBorders>
              <w:tl2br w:val="nil"/>
              <w:tr2bl w:val="nil"/>
            </w:tcBorders>
            <w:noWrap/>
            <w:vAlign w:val="center"/>
          </w:tcPr>
          <w:p>
            <w:pPr>
              <w:keepNext w:val="0"/>
              <w:keepLines w:val="0"/>
              <w:widowControl/>
              <w:suppressLineNumbers w:val="0"/>
              <w:jc w:val="center"/>
              <w:rPr>
                <w:rFonts w:hint="default" w:ascii="Times New Roman" w:hAnsi="Times New Roman" w:cs="Times New Roman"/>
                <w:sz w:val="24"/>
                <w:szCs w:val="24"/>
                <w:lang w:eastAsia="zh-CN"/>
              </w:rPr>
            </w:pPr>
            <w:r>
              <w:rPr>
                <w:rFonts w:hint="default" w:ascii="Times New Roman" w:hAnsi="Times New Roman" w:eastAsia="宋体" w:cs="Times New Roman"/>
                <w:color w:val="000000"/>
                <w:kern w:val="0"/>
                <w:sz w:val="24"/>
                <w:szCs w:val="24"/>
                <w:lang w:val="en-US" w:eastAsia="zh-CN" w:bidi="ar"/>
              </w:rPr>
              <w:t>《饮食业油烟排放标准》（GB18483-2001）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7" w:type="dxa"/>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地表水环境</w:t>
            </w:r>
          </w:p>
        </w:tc>
        <w:tc>
          <w:tcPr>
            <w:tcW w:w="1410" w:type="dxa"/>
            <w:tcBorders>
              <w:tl2br w:val="nil"/>
              <w:tr2bl w:val="nil"/>
            </w:tcBorders>
            <w:noWrap/>
            <w:vAlign w:val="center"/>
          </w:tcPr>
          <w:p>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综合废水</w:t>
            </w:r>
          </w:p>
          <w:p>
            <w:pPr>
              <w:keepNext w:val="0"/>
              <w:keepLines w:val="0"/>
              <w:widowControl/>
              <w:suppressLineNumbers w:val="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(DW001)</w:t>
            </w:r>
          </w:p>
        </w:tc>
        <w:tc>
          <w:tcPr>
            <w:tcW w:w="1544" w:type="dxa"/>
            <w:tcBorders>
              <w:tl2br w:val="nil"/>
              <w:tr2bl w:val="nil"/>
            </w:tcBorders>
            <w:noWrap/>
            <w:vAlign w:val="center"/>
          </w:tcPr>
          <w:p>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pH、BOD</w:t>
            </w:r>
            <w:r>
              <w:rPr>
                <w:rFonts w:hint="default" w:ascii="Times New Roman" w:hAnsi="Times New Roman" w:eastAsia="宋体" w:cs="Times New Roman"/>
                <w:color w:val="000000"/>
                <w:kern w:val="0"/>
                <w:sz w:val="24"/>
                <w:szCs w:val="24"/>
                <w:vertAlign w:val="subscript"/>
                <w:lang w:val="en-US" w:eastAsia="zh-CN" w:bidi="ar"/>
              </w:rPr>
              <w:t>5</w:t>
            </w:r>
            <w:r>
              <w:rPr>
                <w:rFonts w:hint="default" w:ascii="Times New Roman" w:hAnsi="Times New Roman" w:eastAsia="宋体" w:cs="Times New Roman"/>
                <w:color w:val="000000"/>
                <w:kern w:val="0"/>
                <w:sz w:val="24"/>
                <w:szCs w:val="24"/>
                <w:lang w:val="en-US" w:eastAsia="zh-CN" w:bidi="ar"/>
              </w:rPr>
              <w:t>、</w:t>
            </w:r>
          </w:p>
          <w:p>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CODcr、SS、</w:t>
            </w:r>
          </w:p>
          <w:p>
            <w:pPr>
              <w:keepNext w:val="0"/>
              <w:keepLines w:val="0"/>
              <w:widowControl/>
              <w:suppressLineNumbers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color w:val="000000"/>
                <w:kern w:val="0"/>
                <w:sz w:val="24"/>
                <w:szCs w:val="24"/>
                <w:lang w:val="en-US" w:eastAsia="zh-CN" w:bidi="ar"/>
              </w:rPr>
              <w:t>氨氮</w:t>
            </w:r>
            <w:r>
              <w:rPr>
                <w:rFonts w:hint="default" w:ascii="Times New Roman" w:hAnsi="Times New Roman" w:eastAsia="宋体" w:cs="Times New Roman"/>
                <w:color w:val="000000"/>
                <w:kern w:val="0"/>
                <w:sz w:val="24"/>
                <w:szCs w:val="24"/>
                <w:lang w:val="en-US" w:eastAsia="zh-CN" w:bidi="ar"/>
              </w:rPr>
              <w:t>、粪大肠菌群</w:t>
            </w:r>
            <w:r>
              <w:rPr>
                <w:rFonts w:hint="eastAsia" w:ascii="Times New Roman" w:hAnsi="Times New Roman" w:eastAsia="宋体" w:cs="Times New Roman"/>
                <w:color w:val="000000"/>
                <w:kern w:val="0"/>
                <w:sz w:val="24"/>
                <w:szCs w:val="24"/>
                <w:lang w:val="en-US" w:eastAsia="zh-CN" w:bidi="ar"/>
              </w:rPr>
              <w:t>、</w:t>
            </w:r>
            <w:r>
              <w:rPr>
                <w:rFonts w:hint="eastAsia"/>
                <w:lang w:eastAsia="zh-CN"/>
              </w:rPr>
              <w:t>色度</w:t>
            </w:r>
            <w:r>
              <w:t>、石油类、挥发酚、动植物油、阴离子表面活性剂、总氰化物</w:t>
            </w:r>
          </w:p>
        </w:tc>
        <w:tc>
          <w:tcPr>
            <w:tcW w:w="1890" w:type="dxa"/>
            <w:tcBorders>
              <w:tl2br w:val="nil"/>
              <w:tr2bl w:val="nil"/>
            </w:tcBorders>
            <w:noWrap/>
            <w:vAlign w:val="center"/>
          </w:tcPr>
          <w:p>
            <w:pPr>
              <w:keepNext w:val="0"/>
              <w:keepLines w:val="0"/>
              <w:widowControl/>
              <w:suppressLineNumbers w:val="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val="en-US" w:eastAsia="zh-CN"/>
              </w:rPr>
              <w:t>地埋式污水处理站</w:t>
            </w:r>
            <w:r>
              <w:rPr>
                <w:rFonts w:hint="eastAsia"/>
                <w:bCs/>
                <w:color w:val="auto"/>
                <w:highlight w:val="none"/>
                <w:u w:val="none" w:color="auto"/>
                <w:lang w:val="en-US" w:eastAsia="zh-CN"/>
              </w:rPr>
              <w:t>（“格栅+调节池+AAO+二沉池+消毒”）</w:t>
            </w:r>
          </w:p>
          <w:p>
            <w:pPr>
              <w:keepNext w:val="0"/>
              <w:keepLines w:val="0"/>
              <w:widowControl/>
              <w:suppressLineNumbers w:val="0"/>
              <w:jc w:val="center"/>
              <w:rPr>
                <w:rFonts w:hint="default" w:ascii="Times New Roman" w:hAnsi="Times New Roman" w:eastAsia="宋体" w:cs="Times New Roman"/>
                <w:kern w:val="2"/>
                <w:sz w:val="24"/>
                <w:szCs w:val="24"/>
                <w:lang w:val="zh-CN" w:eastAsia="zh-CN" w:bidi="ar-SA"/>
              </w:rPr>
            </w:pPr>
          </w:p>
        </w:tc>
        <w:tc>
          <w:tcPr>
            <w:tcW w:w="2821" w:type="dxa"/>
            <w:tcBorders>
              <w:tl2br w:val="nil"/>
              <w:tr2bl w:val="nil"/>
            </w:tcBorders>
            <w:noWrap/>
            <w:vAlign w:val="center"/>
          </w:tcPr>
          <w:p>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宋体" w:cs="Times New Roman"/>
                <w:color w:val="000000"/>
                <w:szCs w:val="21"/>
                <w:lang w:val="en-US" w:eastAsia="zh-CN"/>
              </w:rPr>
              <w:t>《医疗机构水污染物排放标准》（GB18466-2005）表2预处理标准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7" w:type="dxa"/>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声环境</w:t>
            </w:r>
          </w:p>
        </w:tc>
        <w:tc>
          <w:tcPr>
            <w:tcW w:w="2954" w:type="dxa"/>
            <w:gridSpan w:val="2"/>
            <w:tcBorders>
              <w:tl2br w:val="nil"/>
              <w:tr2bl w:val="nil"/>
            </w:tcBorders>
            <w:noWrap/>
            <w:vAlign w:val="center"/>
          </w:tcPr>
          <w:p>
            <w:pPr>
              <w:pStyle w:val="30"/>
              <w:bidi w:val="0"/>
              <w:jc w:val="center"/>
              <w:rPr>
                <w:rFonts w:hint="default" w:ascii="Times New Roman" w:hAnsi="Times New Roman" w:cs="Times New Roman"/>
                <w:sz w:val="24"/>
                <w:szCs w:val="24"/>
              </w:rPr>
            </w:pPr>
            <w:r>
              <w:rPr>
                <w:rFonts w:hint="default" w:ascii="Times New Roman" w:hAnsi="Times New Roman" w:cs="Times New Roman"/>
                <w:sz w:val="24"/>
                <w:szCs w:val="24"/>
              </w:rPr>
              <w:t>设备噪声</w:t>
            </w:r>
          </w:p>
        </w:tc>
        <w:tc>
          <w:tcPr>
            <w:tcW w:w="1890" w:type="dxa"/>
            <w:tcBorders>
              <w:tl2br w:val="nil"/>
              <w:tr2bl w:val="nil"/>
            </w:tcBorders>
            <w:noWrap/>
            <w:vAlign w:val="center"/>
          </w:tcPr>
          <w:p>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选用低噪音设备、合理布局、隔声</w:t>
            </w:r>
            <w:r>
              <w:rPr>
                <w:rFonts w:hint="default" w:ascii="Times New Roman" w:hAnsi="Times New Roman" w:cs="Times New Roman"/>
                <w:sz w:val="24"/>
                <w:szCs w:val="24"/>
                <w:lang w:val="en-US" w:eastAsia="zh-CN"/>
              </w:rPr>
              <w:t>。</w:t>
            </w:r>
          </w:p>
        </w:tc>
        <w:tc>
          <w:tcPr>
            <w:tcW w:w="2821" w:type="dxa"/>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《工业企业厂界环境噪声排放标准》中2类标准限值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7" w:type="dxa"/>
            <w:vMerge w:val="restart"/>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固体废物</w:t>
            </w:r>
          </w:p>
        </w:tc>
        <w:tc>
          <w:tcPr>
            <w:tcW w:w="2954" w:type="dxa"/>
            <w:gridSpan w:val="2"/>
            <w:tcBorders>
              <w:tl2br w:val="nil"/>
              <w:tr2bl w:val="nil"/>
            </w:tcBorders>
            <w:noWrap/>
            <w:vAlign w:val="center"/>
          </w:tcPr>
          <w:p>
            <w:pPr>
              <w:pStyle w:val="30"/>
              <w:bidi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sz w:val="24"/>
                <w:szCs w:val="24"/>
                <w:lang w:val="en-US" w:eastAsia="zh-CN"/>
              </w:rPr>
              <w:t>生活垃圾</w:t>
            </w:r>
          </w:p>
        </w:tc>
        <w:tc>
          <w:tcPr>
            <w:tcW w:w="1890" w:type="dxa"/>
            <w:tcBorders>
              <w:tl2br w:val="nil"/>
              <w:tr2bl w:val="nil"/>
            </w:tcBorders>
            <w:noWrap/>
            <w:vAlign w:val="center"/>
          </w:tcPr>
          <w:p>
            <w:pPr>
              <w:keepNext w:val="0"/>
              <w:keepLines w:val="0"/>
              <w:widowControl/>
              <w:suppressLineNumbers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分类收集交环卫部门处理</w:t>
            </w:r>
          </w:p>
        </w:tc>
        <w:tc>
          <w:tcPr>
            <w:tcW w:w="2821" w:type="dxa"/>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《生活垃圾填埋场污染控制标准》（</w:t>
            </w:r>
            <w:r>
              <w:rPr>
                <w:rFonts w:hint="eastAsia" w:cs="Times New Roman"/>
                <w:sz w:val="24"/>
                <w:szCs w:val="24"/>
                <w:lang w:eastAsia="zh-CN"/>
              </w:rPr>
              <w:t>GB16889-2024</w:t>
            </w:r>
            <w:r>
              <w:rPr>
                <w:rFonts w:hint="default" w:ascii="Times New Roman" w:hAnsi="Times New Roman" w:cs="Times New Roman"/>
                <w:sz w:val="24"/>
                <w:szCs w:val="24"/>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7" w:type="dxa"/>
            <w:vMerge w:val="continue"/>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p>
        </w:tc>
        <w:tc>
          <w:tcPr>
            <w:tcW w:w="2954" w:type="dxa"/>
            <w:gridSpan w:val="2"/>
            <w:tcBorders>
              <w:tl2br w:val="nil"/>
              <w:tr2bl w:val="nil"/>
            </w:tcBorders>
            <w:noWrap/>
            <w:vAlign w:val="center"/>
          </w:tcPr>
          <w:p>
            <w:pPr>
              <w:pStyle w:val="30"/>
              <w:bidi w:val="0"/>
              <w:jc w:val="center"/>
              <w:rPr>
                <w:rFonts w:hint="default" w:ascii="Times New Roman" w:hAnsi="Times New Roman" w:cs="Times New Roman"/>
                <w:sz w:val="24"/>
                <w:szCs w:val="24"/>
                <w:lang w:val="en-US" w:eastAsia="zh-CN"/>
              </w:rPr>
            </w:pPr>
            <w:r>
              <w:rPr>
                <w:rFonts w:hint="eastAsia"/>
                <w:sz w:val="24"/>
                <w:szCs w:val="24"/>
                <w:lang w:val="en-US" w:eastAsia="zh-CN"/>
              </w:rPr>
              <w:t>中药渣</w:t>
            </w:r>
          </w:p>
        </w:tc>
        <w:tc>
          <w:tcPr>
            <w:tcW w:w="1890" w:type="dxa"/>
            <w:tcBorders>
              <w:tl2br w:val="nil"/>
              <w:tr2bl w:val="nil"/>
            </w:tcBorders>
            <w:noWrap/>
            <w:vAlign w:val="center"/>
          </w:tcPr>
          <w:p>
            <w:pPr>
              <w:keepNext w:val="0"/>
              <w:keepLines w:val="0"/>
              <w:widowControl/>
              <w:suppressLineNumbers w:val="0"/>
              <w:jc w:val="center"/>
              <w:rPr>
                <w:rFonts w:hint="default" w:ascii="Times New Roman" w:hAnsi="Times New Roman" w:eastAsia="宋体" w:cs="Times New Roman"/>
                <w:color w:val="000000"/>
                <w:kern w:val="0"/>
                <w:sz w:val="24"/>
                <w:szCs w:val="24"/>
                <w:lang w:val="en-US" w:eastAsia="zh-CN" w:bidi="ar"/>
              </w:rPr>
            </w:pPr>
            <w:r>
              <w:rPr>
                <w:rFonts w:hint="default"/>
                <w:sz w:val="24"/>
                <w:szCs w:val="24"/>
                <w:lang w:val="en-US" w:eastAsia="zh-CN"/>
              </w:rPr>
              <w:t>采用包装袋密封收集后暂存于密闭煎药室内垃圾桶，</w:t>
            </w:r>
            <w:r>
              <w:rPr>
                <w:rFonts w:hint="default" w:ascii="Times New Roman" w:hAnsi="Times New Roman" w:eastAsia="宋体" w:cs="Times New Roman"/>
                <w:color w:val="000000"/>
                <w:kern w:val="0"/>
                <w:sz w:val="24"/>
                <w:szCs w:val="24"/>
                <w:lang w:val="en-US" w:eastAsia="zh-CN" w:bidi="ar"/>
              </w:rPr>
              <w:t>交</w:t>
            </w:r>
            <w:r>
              <w:rPr>
                <w:rFonts w:hint="eastAsia" w:cs="Times New Roman"/>
                <w:color w:val="000000"/>
                <w:kern w:val="0"/>
                <w:sz w:val="24"/>
                <w:szCs w:val="24"/>
                <w:lang w:val="en-US" w:eastAsia="zh-CN" w:bidi="ar"/>
              </w:rPr>
              <w:t>专门机构</w:t>
            </w:r>
            <w:r>
              <w:rPr>
                <w:rFonts w:hint="default" w:ascii="Times New Roman" w:hAnsi="Times New Roman" w:eastAsia="宋体" w:cs="Times New Roman"/>
                <w:color w:val="000000"/>
                <w:kern w:val="0"/>
                <w:sz w:val="24"/>
                <w:szCs w:val="24"/>
                <w:lang w:val="en-US" w:eastAsia="zh-CN" w:bidi="ar"/>
              </w:rPr>
              <w:t>处理</w:t>
            </w:r>
          </w:p>
        </w:tc>
        <w:tc>
          <w:tcPr>
            <w:tcW w:w="2821" w:type="dxa"/>
            <w:vMerge w:val="restart"/>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《一般工业固体废物贮存</w:t>
            </w:r>
            <w:r>
              <w:rPr>
                <w:rFonts w:hint="default" w:ascii="Times New Roman" w:hAnsi="Times New Roman" w:cs="Times New Roman"/>
                <w:sz w:val="24"/>
                <w:szCs w:val="24"/>
                <w:lang w:eastAsia="zh-CN"/>
              </w:rPr>
              <w:t>和填埋</w:t>
            </w:r>
            <w:r>
              <w:rPr>
                <w:rFonts w:hint="default" w:ascii="Times New Roman" w:hAnsi="Times New Roman" w:cs="Times New Roman"/>
                <w:sz w:val="24"/>
                <w:szCs w:val="24"/>
              </w:rPr>
              <w:t>污染控制标准》（GB18599-20</w:t>
            </w:r>
            <w:r>
              <w:rPr>
                <w:rFonts w:hint="default" w:ascii="Times New Roman" w:hAnsi="Times New Roman" w:cs="Times New Roman"/>
                <w:sz w:val="24"/>
                <w:szCs w:val="24"/>
                <w:lang w:val="en-US" w:eastAsia="zh-CN"/>
              </w:rPr>
              <w:t>20</w:t>
            </w:r>
            <w:r>
              <w:rPr>
                <w:rFonts w:hint="default" w:ascii="Times New Roman" w:hAnsi="Times New Roman" w:cs="Times New Roman"/>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857" w:type="dxa"/>
            <w:vMerge w:val="continue"/>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p>
        </w:tc>
        <w:tc>
          <w:tcPr>
            <w:tcW w:w="2954" w:type="dxa"/>
            <w:gridSpan w:val="2"/>
            <w:tcBorders>
              <w:tl2br w:val="nil"/>
              <w:tr2bl w:val="nil"/>
            </w:tcBorders>
            <w:noWrap/>
            <w:vAlign w:val="center"/>
          </w:tcPr>
          <w:p>
            <w:pPr>
              <w:keepNext w:val="0"/>
              <w:keepLines w:val="0"/>
              <w:widowControl/>
              <w:suppressLineNumbers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废包装材料</w:t>
            </w:r>
          </w:p>
        </w:tc>
        <w:tc>
          <w:tcPr>
            <w:tcW w:w="1890" w:type="dxa"/>
            <w:tcBorders>
              <w:tl2br w:val="nil"/>
              <w:tr2bl w:val="nil"/>
            </w:tcBorders>
            <w:noWrap/>
            <w:vAlign w:val="center"/>
          </w:tcPr>
          <w:p>
            <w:pPr>
              <w:keepNext w:val="0"/>
              <w:keepLines w:val="0"/>
              <w:widowControl/>
              <w:suppressLineNumbers w:val="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收集后</w:t>
            </w:r>
            <w:r>
              <w:rPr>
                <w:rFonts w:hint="eastAsia" w:ascii="Times New Roman" w:hAnsi="Times New Roman" w:eastAsia="宋体" w:cs="Times New Roman"/>
                <w:color w:val="000000"/>
                <w:kern w:val="0"/>
                <w:sz w:val="24"/>
                <w:szCs w:val="24"/>
                <w:lang w:val="en-US" w:eastAsia="zh-CN" w:bidi="ar"/>
              </w:rPr>
              <w:t>外售</w:t>
            </w:r>
            <w:r>
              <w:rPr>
                <w:rFonts w:hint="default" w:ascii="Times New Roman" w:hAnsi="Times New Roman" w:eastAsia="宋体" w:cs="Times New Roman"/>
                <w:color w:val="000000"/>
                <w:kern w:val="0"/>
                <w:sz w:val="24"/>
                <w:szCs w:val="24"/>
                <w:lang w:val="en-US" w:eastAsia="zh-CN" w:bidi="ar"/>
              </w:rPr>
              <w:t>处理</w:t>
            </w:r>
          </w:p>
        </w:tc>
        <w:tc>
          <w:tcPr>
            <w:tcW w:w="2821" w:type="dxa"/>
            <w:vMerge w:val="continue"/>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26" w:hRule="atLeast"/>
        </w:trPr>
        <w:tc>
          <w:tcPr>
            <w:tcW w:w="857" w:type="dxa"/>
            <w:vMerge w:val="continue"/>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p>
        </w:tc>
        <w:tc>
          <w:tcPr>
            <w:tcW w:w="2954" w:type="dxa"/>
            <w:gridSpan w:val="2"/>
            <w:tcBorders>
              <w:tl2br w:val="nil"/>
              <w:tr2bl w:val="nil"/>
            </w:tcBorders>
            <w:noWrap/>
            <w:vAlign w:val="center"/>
          </w:tcPr>
          <w:p>
            <w:pPr>
              <w:pStyle w:val="30"/>
              <w:bidi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sz w:val="24"/>
                <w:szCs w:val="24"/>
                <w:lang w:val="en-US" w:eastAsia="zh-CN"/>
              </w:rPr>
              <w:t>医疗废物</w:t>
            </w:r>
          </w:p>
        </w:tc>
        <w:tc>
          <w:tcPr>
            <w:tcW w:w="1890" w:type="dxa"/>
            <w:tcBorders>
              <w:tl2br w:val="nil"/>
              <w:tr2bl w:val="nil"/>
            </w:tcBorders>
            <w:noWrap/>
            <w:vAlign w:val="center"/>
          </w:tcPr>
          <w:p>
            <w:pPr>
              <w:pStyle w:val="30"/>
              <w:bidi w:val="0"/>
              <w:spacing w:line="360" w:lineRule="auto"/>
              <w:jc w:val="center"/>
              <w:rPr>
                <w:rFonts w:hint="default" w:ascii="Times New Roman" w:hAnsi="Times New Roman" w:cs="Times New Roman"/>
                <w:kern w:val="2"/>
                <w:sz w:val="24"/>
                <w:szCs w:val="24"/>
              </w:rPr>
            </w:pPr>
            <w:r>
              <w:rPr>
                <w:rFonts w:hint="default" w:ascii="Times New Roman" w:hAnsi="Times New Roman" w:cs="Times New Roman"/>
                <w:sz w:val="24"/>
                <w:szCs w:val="24"/>
                <w:lang w:val="en-US" w:eastAsia="zh-CN"/>
              </w:rPr>
              <w:t>暂存于医疗废物暂存间</w:t>
            </w:r>
            <w:r>
              <w:rPr>
                <w:rFonts w:hint="eastAsia" w:ascii="Times New Roman" w:hAnsi="Times New Roman" w:cs="Times New Roman"/>
                <w:sz w:val="24"/>
                <w:szCs w:val="24"/>
                <w:lang w:val="en-US" w:eastAsia="zh-CN"/>
              </w:rPr>
              <w:t>，定期</w:t>
            </w:r>
            <w:r>
              <w:rPr>
                <w:rFonts w:hint="default" w:ascii="Times New Roman" w:hAnsi="Times New Roman" w:cs="Times New Roman"/>
                <w:sz w:val="24"/>
                <w:szCs w:val="24"/>
                <w:lang w:val="en-US" w:eastAsia="zh-CN"/>
              </w:rPr>
              <w:t>委托有资质单位处置</w:t>
            </w:r>
          </w:p>
        </w:tc>
        <w:tc>
          <w:tcPr>
            <w:tcW w:w="2821" w:type="dxa"/>
            <w:tcBorders>
              <w:tl2br w:val="nil"/>
              <w:tr2bl w:val="nil"/>
            </w:tcBorders>
            <w:noWrap/>
            <w:vAlign w:val="center"/>
          </w:tcPr>
          <w:p>
            <w:pPr>
              <w:pStyle w:val="30"/>
              <w:spacing w:line="360" w:lineRule="auto"/>
              <w:jc w:val="center"/>
              <w:rPr>
                <w:rFonts w:hint="default" w:ascii="Times New Roman" w:hAnsi="Times New Roman" w:eastAsia="宋体" w:cs="Times New Roman"/>
                <w:kern w:val="2"/>
                <w:sz w:val="24"/>
                <w:szCs w:val="24"/>
                <w:lang w:val="en-US" w:eastAsia="zh-CN"/>
              </w:rPr>
            </w:pPr>
            <w:r>
              <w:rPr>
                <w:rFonts w:hint="default" w:ascii="Times New Roman" w:hAnsi="Times New Roman" w:cs="Times New Roman"/>
                <w:sz w:val="24"/>
                <w:szCs w:val="24"/>
              </w:rPr>
              <w:t>《危险废物贮存污染控制标准》（GB18597-20</w:t>
            </w:r>
            <w:r>
              <w:rPr>
                <w:rFonts w:hint="default" w:ascii="Times New Roman" w:hAnsi="Times New Roman" w:cs="Times New Roman"/>
                <w:sz w:val="24"/>
                <w:szCs w:val="24"/>
                <w:lang w:val="en-US" w:eastAsia="zh-CN"/>
              </w:rPr>
              <w:t>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7" w:type="dxa"/>
            <w:vMerge w:val="continue"/>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p>
        </w:tc>
        <w:tc>
          <w:tcPr>
            <w:tcW w:w="2954" w:type="dxa"/>
            <w:gridSpan w:val="2"/>
            <w:tcBorders>
              <w:tl2br w:val="nil"/>
              <w:tr2bl w:val="nil"/>
            </w:tcBorders>
            <w:noWrap/>
            <w:vAlign w:val="center"/>
          </w:tcPr>
          <w:p>
            <w:pPr>
              <w:pStyle w:val="30"/>
              <w:bidi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sz w:val="24"/>
                <w:szCs w:val="24"/>
                <w:lang w:val="en-US"/>
              </w:rPr>
              <w:t>污泥</w:t>
            </w:r>
          </w:p>
        </w:tc>
        <w:tc>
          <w:tcPr>
            <w:tcW w:w="1890" w:type="dxa"/>
            <w:tcBorders>
              <w:tl2br w:val="nil"/>
              <w:tr2bl w:val="nil"/>
            </w:tcBorders>
            <w:noWrap/>
            <w:vAlign w:val="center"/>
          </w:tcPr>
          <w:p>
            <w:pPr>
              <w:pStyle w:val="30"/>
              <w:spacing w:line="360" w:lineRule="auto"/>
              <w:jc w:val="center"/>
              <w:rPr>
                <w:rFonts w:hint="default" w:ascii="Times New Roman" w:hAnsi="Times New Roman" w:cs="Times New Roman"/>
                <w:kern w:val="2"/>
                <w:sz w:val="24"/>
                <w:szCs w:val="24"/>
              </w:rPr>
            </w:pPr>
            <w:r>
              <w:rPr>
                <w:rFonts w:hint="default" w:ascii="Times New Roman" w:hAnsi="Times New Roman" w:cs="Times New Roman"/>
                <w:sz w:val="24"/>
                <w:szCs w:val="24"/>
                <w:lang w:val="en-US" w:eastAsia="zh-CN"/>
              </w:rPr>
              <w:t>委托有资质单位定期清运和处置</w:t>
            </w:r>
          </w:p>
        </w:tc>
        <w:tc>
          <w:tcPr>
            <w:tcW w:w="2821" w:type="dxa"/>
            <w:tcBorders>
              <w:tl2br w:val="nil"/>
              <w:tr2bl w:val="nil"/>
            </w:tcBorders>
            <w:noWrap/>
            <w:vAlign w:val="center"/>
          </w:tcPr>
          <w:p>
            <w:pPr>
              <w:pStyle w:val="30"/>
              <w:spacing w:line="360" w:lineRule="auto"/>
              <w:jc w:val="center"/>
              <w:rPr>
                <w:rFonts w:hint="default" w:ascii="Times New Roman" w:hAnsi="Times New Roman" w:cs="Times New Roman"/>
                <w:kern w:val="2"/>
                <w:sz w:val="24"/>
                <w:szCs w:val="24"/>
              </w:rPr>
            </w:pPr>
            <w:r>
              <w:rPr>
                <w:rFonts w:hint="default" w:ascii="Times New Roman" w:hAnsi="Times New Roman" w:eastAsia="宋体" w:cs="Times New Roman"/>
                <w:sz w:val="24"/>
                <w:szCs w:val="24"/>
                <w:lang w:val="en-US" w:eastAsia="zh-CN"/>
              </w:rPr>
              <w:t>《医疗机构水污染物排放标准》（GB18466-2005）中的相关规定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7" w:type="dxa"/>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电磁辐射</w:t>
            </w:r>
          </w:p>
        </w:tc>
        <w:tc>
          <w:tcPr>
            <w:tcW w:w="7665" w:type="dxa"/>
            <w:gridSpan w:val="4"/>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r>
              <w:rPr>
                <w:rFonts w:hint="eastAsia" w:ascii="Times New Roman" w:hAnsi="Times New Roman" w:eastAsia="宋体" w:cs="Times New Roman"/>
                <w:sz w:val="24"/>
                <w:szCs w:val="24"/>
                <w:lang w:val="en-US" w:eastAsia="zh-CN"/>
              </w:rPr>
              <w:t>另行评价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7" w:type="dxa"/>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土壤及地下水污染防治措施</w:t>
            </w:r>
          </w:p>
        </w:tc>
        <w:tc>
          <w:tcPr>
            <w:tcW w:w="7665" w:type="dxa"/>
            <w:gridSpan w:val="4"/>
            <w:tcBorders>
              <w:tl2br w:val="nil"/>
              <w:tr2bl w:val="nil"/>
            </w:tcBorders>
            <w:noWrap/>
            <w:vAlign w:val="center"/>
          </w:tcPr>
          <w:p>
            <w:pPr>
              <w:pStyle w:val="12"/>
              <w:bidi w:val="0"/>
              <w:jc w:val="center"/>
              <w:rPr>
                <w:rFonts w:hint="default" w:ascii="Times New Roman" w:hAnsi="Times New Roman" w:eastAsia="宋体" w:cs="Times New Roman"/>
                <w:sz w:val="24"/>
                <w:szCs w:val="24"/>
                <w:lang w:eastAsia="zh-CN"/>
              </w:rPr>
            </w:pPr>
            <w:r>
              <w:rPr>
                <w:rFonts w:hint="eastAsia" w:ascii="Times New Roman" w:hAnsi="Times New Roman" w:cs="Times New Roman"/>
                <w:lang w:val="en-US" w:eastAsia="zh-CN"/>
              </w:rPr>
              <w:t>采取分区防渗措施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7" w:type="dxa"/>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生态保护措施</w:t>
            </w:r>
          </w:p>
        </w:tc>
        <w:tc>
          <w:tcPr>
            <w:tcW w:w="7665" w:type="dxa"/>
            <w:gridSpan w:val="4"/>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7" w:type="dxa"/>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环境风险防范措施</w:t>
            </w:r>
          </w:p>
        </w:tc>
        <w:tc>
          <w:tcPr>
            <w:tcW w:w="7665" w:type="dxa"/>
            <w:gridSpan w:val="4"/>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①加强各原辅材料的管理。</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②项目根据《医疗废物分类目录要求》，对废物实施分类管理。</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③项目内医疗废物产生地点</w:t>
            </w:r>
            <w:r>
              <w:rPr>
                <w:rFonts w:hint="eastAsia" w:ascii="宋体" w:hAnsi="宋体" w:eastAsia="宋体" w:cs="宋体"/>
                <w:color w:val="auto"/>
                <w:szCs w:val="21"/>
                <w:highlight w:val="none"/>
                <w:lang w:val="en-US" w:eastAsia="zh-CN"/>
              </w:rPr>
              <w:t>设</w:t>
            </w:r>
            <w:r>
              <w:rPr>
                <w:rFonts w:hint="eastAsia" w:ascii="宋体" w:hAnsi="宋体" w:eastAsia="宋体" w:cs="宋体"/>
                <w:color w:val="auto"/>
                <w:szCs w:val="21"/>
                <w:highlight w:val="none"/>
              </w:rPr>
              <w:t>有医疗废物分类收集方法的文字说明。</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④建立健全安全规程及值勤制度，设置通讯、报警装置，确保其处于完好状态；对储存危险物质的容器，设置明显的标识及警示牌，进行严格登记。</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⑤运送医疗废物使用防渗漏、防遗撒、无锐利边角、易于装卸和清洁的专用运送工具，每天运送工作结束后，对运送工具进行清洁和消毒。</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⑥项目建立医疗废物暂时贮存设施、设备，医疗废物暂时贮存的时间</w:t>
            </w:r>
            <w:r>
              <w:rPr>
                <w:rFonts w:hint="default" w:ascii="Times New Roman" w:hAnsi="Times New Roman" w:cs="Times New Roman"/>
                <w:color w:val="auto"/>
                <w:szCs w:val="21"/>
                <w:highlight w:val="none"/>
                <w:lang w:val="en-US" w:eastAsia="zh-CN"/>
              </w:rPr>
              <w:t>不</w:t>
            </w:r>
            <w:r>
              <w:rPr>
                <w:rFonts w:hint="default" w:ascii="Times New Roman" w:hAnsi="Times New Roman" w:eastAsia="宋体" w:cs="Times New Roman"/>
                <w:color w:val="auto"/>
                <w:szCs w:val="21"/>
                <w:highlight w:val="none"/>
              </w:rPr>
              <w:t>超过2天；医疗废物交由</w:t>
            </w:r>
            <w:r>
              <w:rPr>
                <w:rFonts w:hint="default" w:ascii="Times New Roman" w:hAnsi="Times New Roman" w:cs="Times New Roman"/>
                <w:color w:val="auto"/>
                <w:szCs w:val="21"/>
                <w:highlight w:val="none"/>
                <w:lang w:val="en-US" w:eastAsia="zh-CN"/>
              </w:rPr>
              <w:t>有资质单位</w:t>
            </w:r>
            <w:r>
              <w:rPr>
                <w:rFonts w:hint="default" w:ascii="Times New Roman" w:hAnsi="Times New Roman" w:eastAsia="宋体" w:cs="Times New Roman"/>
                <w:color w:val="auto"/>
                <w:szCs w:val="21"/>
                <w:highlight w:val="none"/>
              </w:rPr>
              <w:t>处置，</w:t>
            </w:r>
            <w:r>
              <w:rPr>
                <w:rFonts w:hint="default" w:ascii="Times New Roman" w:hAnsi="Times New Roman" w:eastAsia="宋体" w:cs="Times New Roman"/>
                <w:color w:val="auto"/>
                <w:szCs w:val="21"/>
                <w:highlight w:val="none"/>
                <w:lang w:val="en-US" w:eastAsia="zh-CN"/>
              </w:rPr>
              <w:t>并</w:t>
            </w:r>
            <w:r>
              <w:rPr>
                <w:rFonts w:hint="default" w:ascii="Times New Roman" w:hAnsi="Times New Roman" w:eastAsia="宋体" w:cs="Times New Roman"/>
                <w:color w:val="auto"/>
                <w:szCs w:val="21"/>
                <w:highlight w:val="none"/>
              </w:rPr>
              <w:t>依照危险废物转移联单制度填写和保存转移联单。</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⑦加强设备的保养维护，特别是关键设备应备齐易损零部件及配件；加强对污水处理站技术人员操作工作的培训，熟练掌握污水处理工艺技术原理，运行经验及设备的操作说明，加强工作人员的岗位责任管理，减少人为因素产生的故障。</w:t>
            </w:r>
            <w:r>
              <w:rPr>
                <w:rFonts w:hint="eastAsia" w:ascii="宋体" w:hAnsi="宋体" w:eastAsia="宋体" w:cs="宋体"/>
                <w:color w:val="auto"/>
                <w:szCs w:val="21"/>
                <w:highlight w:val="none"/>
                <w:lang w:val="en-US" w:eastAsia="zh-CN"/>
              </w:rPr>
              <w:t>同时建议项目</w:t>
            </w:r>
            <w:r>
              <w:rPr>
                <w:rFonts w:hint="eastAsia" w:ascii="宋体" w:hAnsi="宋体" w:eastAsia="宋体" w:cs="宋体"/>
                <w:color w:val="auto"/>
                <w:szCs w:val="21"/>
                <w:highlight w:val="none"/>
              </w:rPr>
              <w:t>污水处理站风机、泵等主要关键设备应有备用，污水处理供电系统应实行双回路控制，确保污水处理站的运行率；保持各处理单元工况正常，保证各环节的平衡与协调</w:t>
            </w:r>
            <w:r>
              <w:rPr>
                <w:rFonts w:hint="eastAsia" w:ascii="宋体" w:hAnsi="宋体" w:eastAsia="宋体" w:cs="宋体"/>
                <w:color w:val="auto"/>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⑧</w:t>
            </w:r>
            <w:r>
              <w:rPr>
                <w:rFonts w:hint="eastAsia" w:ascii="宋体" w:hAnsi="宋体" w:eastAsia="宋体" w:cs="宋体"/>
                <w:color w:val="auto"/>
                <w:szCs w:val="21"/>
                <w:highlight w:val="none"/>
                <w:lang w:val="en-US" w:eastAsia="zh-CN"/>
              </w:rPr>
              <w:t>项目</w:t>
            </w:r>
            <w:r>
              <w:rPr>
                <w:rFonts w:hint="eastAsia" w:ascii="宋体" w:hAnsi="宋体" w:eastAsia="宋体" w:cs="宋体"/>
                <w:color w:val="auto"/>
                <w:szCs w:val="21"/>
                <w:highlight w:val="none"/>
              </w:rPr>
              <w:t>应制订突发环境事件的应急预案。</w:t>
            </w:r>
          </w:p>
          <w:p>
            <w:pPr>
              <w:pStyle w:val="12"/>
              <w:bidi w:val="0"/>
              <w:spacing w:line="360" w:lineRule="auto"/>
              <w:ind w:left="0" w:leftChars="0" w:firstLine="0" w:firstLineChars="0"/>
              <w:jc w:val="left"/>
              <w:rPr>
                <w:rFonts w:hint="default" w:ascii="Times New Roman" w:hAnsi="Times New Roman" w:cs="Times New Roman"/>
              </w:rPr>
            </w:pPr>
            <w:r>
              <w:rPr>
                <w:rFonts w:hint="eastAsia" w:ascii="宋体" w:hAnsi="宋体" w:eastAsia="宋体" w:cs="宋体"/>
                <w:color w:val="auto"/>
                <w:szCs w:val="21"/>
                <w:highlight w:val="none"/>
              </w:rPr>
              <w:t>⑨发生异常时，立即通知医院内各用水科室，采取停止用水的措施，项目污水处理站应设有事故应急池</w:t>
            </w:r>
            <w:r>
              <w:rPr>
                <w:rFonts w:hint="eastAsia" w:ascii="Times New Roman" w:hAnsi="Times New Roman" w:eastAsia="宋体" w:cs="Times New Roman"/>
                <w:color w:val="auto"/>
                <w:spacing w:val="0"/>
                <w:w w:val="100"/>
                <w:position w:val="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7" w:type="dxa"/>
            <w:tcBorders>
              <w:tl2br w:val="nil"/>
              <w:tr2bl w:val="nil"/>
            </w:tcBorders>
            <w:noWrap/>
            <w:vAlign w:val="center"/>
          </w:tcPr>
          <w:p>
            <w:pPr>
              <w:pStyle w:val="3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其他环境管理要求</w:t>
            </w:r>
          </w:p>
        </w:tc>
        <w:tc>
          <w:tcPr>
            <w:tcW w:w="7665" w:type="dxa"/>
            <w:gridSpan w:val="4"/>
            <w:tcBorders>
              <w:tl2br w:val="nil"/>
              <w:tr2bl w:val="nil"/>
            </w:tcBorders>
            <w:noWrap/>
            <w:vAlign w:val="center"/>
          </w:tcPr>
          <w:p>
            <w:pPr>
              <w:bidi w:val="0"/>
              <w:rPr>
                <w:u w:val="single"/>
              </w:rPr>
            </w:pPr>
            <w:r>
              <w:rPr>
                <w:u w:val="single"/>
              </w:rPr>
              <w:t>1、排污许可管理制度</w:t>
            </w:r>
          </w:p>
          <w:p>
            <w:pPr>
              <w:bidi w:val="0"/>
            </w:pPr>
            <w:r>
              <w:rPr>
                <w:rFonts w:hint="eastAsia"/>
                <w:lang w:val="en-US" w:eastAsia="zh-CN"/>
              </w:rPr>
              <w:t>根据《固定污染源排污许可分类管理名录》（</w:t>
            </w:r>
            <w:r>
              <w:rPr>
                <w:rFonts w:hint="default"/>
                <w:lang w:val="en-US" w:eastAsia="zh-CN"/>
              </w:rPr>
              <w:t>2019</w:t>
            </w:r>
            <w:r>
              <w:rPr>
                <w:rFonts w:hint="eastAsia"/>
                <w:lang w:val="en-US" w:eastAsia="zh-CN"/>
              </w:rPr>
              <w:t>年版），本项目属于简化管理。根据《排污单位自行监测技术指南 总则》</w:t>
            </w:r>
            <w:r>
              <w:rPr>
                <w:rFonts w:hint="default"/>
                <w:lang w:val="en-US" w:eastAsia="zh-CN"/>
              </w:rPr>
              <w:t xml:space="preserve"> </w:t>
            </w:r>
            <w:r>
              <w:rPr>
                <w:rFonts w:hint="eastAsia"/>
                <w:lang w:val="en-US" w:eastAsia="zh-CN"/>
              </w:rPr>
              <w:t>中的管理要求可知，建立环境管理台账制度，落实环境管理台账记录满足环境管理要求；定期提交排污许可执行报告，保证执行报告的规范性和真实性；按照自行监测方案开展自行监测。同时，衔接好排污许可工作，制定自行监测计划、环保竣工验收安排等。</w:t>
            </w:r>
          </w:p>
          <w:p>
            <w:pPr>
              <w:bidi w:val="0"/>
              <w:rPr>
                <w:u w:val="single"/>
              </w:rPr>
            </w:pPr>
            <w:r>
              <w:rPr>
                <w:u w:val="single"/>
              </w:rPr>
              <w:t>2、排污口规范化建设</w:t>
            </w:r>
          </w:p>
          <w:p>
            <w:pPr>
              <w:bidi w:val="0"/>
            </w:pPr>
            <w:r>
              <w:rPr>
                <w:rFonts w:hint="eastAsia"/>
                <w:lang w:val="en-US" w:eastAsia="zh-CN"/>
              </w:rPr>
              <w:t xml:space="preserve">废水排放口、固定噪声源、固体废物贮存和排气筒必须按照国家和湖南省的有关规定进行建设，应符合“一明显、二合理、三便于”的要求，即环保标志明显，排污口设置合理，便于采集样品、便于监测计量、便于公众参与和监督管理。同时要求按照国家环保部制定的《环境保护图形标志实施细则（试行）》的规定，设置与排污口相应的图形标志牌。 </w:t>
            </w:r>
          </w:p>
          <w:p>
            <w:pPr>
              <w:bidi w:val="0"/>
            </w:pPr>
            <w:r>
              <w:rPr>
                <w:rFonts w:hint="eastAsia"/>
                <w:lang w:val="en-US" w:eastAsia="zh-CN"/>
              </w:rPr>
              <w:t xml:space="preserve">①排气筒设置取样口，并具备采样监测条件，排放口附近树立图形标志牌。 </w:t>
            </w:r>
          </w:p>
          <w:p>
            <w:pPr>
              <w:bidi w:val="0"/>
            </w:pPr>
            <w:r>
              <w:rPr>
                <w:rFonts w:hint="eastAsia"/>
                <w:lang w:val="en-US" w:eastAsia="zh-CN"/>
              </w:rPr>
              <w:t xml:space="preserve">②排污口管理。建设单位应在各个排污口处树立标志牌，并如实填写《中华人民共和国规范化排污口标志登记证》，由环保部门签发。环保主管部门和建设单位可分别按以下内容建设排污口管理的专门档案；排污口性质和编号；位置；排放主要污染物种类、数量、浓度；排放去向；达标情况；治理设施运行情况及整改意见。 </w:t>
            </w:r>
          </w:p>
          <w:p>
            <w:pPr>
              <w:bidi w:val="0"/>
            </w:pPr>
            <w:r>
              <w:rPr>
                <w:rFonts w:hint="eastAsia"/>
                <w:lang w:val="en-US" w:eastAsia="zh-CN"/>
              </w:rPr>
              <w:t xml:space="preserve">③环保保护图形标志 </w:t>
            </w:r>
          </w:p>
          <w:p>
            <w:pPr>
              <w:bidi w:val="0"/>
              <w:rPr>
                <w:rFonts w:hint="eastAsia"/>
                <w:lang w:val="en-US" w:eastAsia="zh-CN"/>
              </w:rPr>
            </w:pPr>
            <w:r>
              <w:rPr>
                <w:rFonts w:hint="eastAsia"/>
                <w:lang w:val="en-US" w:eastAsia="zh-CN"/>
              </w:rPr>
              <w:t>在厂区的废水排放口、废气排放源、固体废物贮存处置场应设置环境保护图形标志，图形符号分为提示图形和警告图形符号两种，分别按G</w:t>
            </w:r>
            <w:r>
              <w:rPr>
                <w:rFonts w:hint="default"/>
                <w:lang w:val="en-US" w:eastAsia="zh-CN"/>
              </w:rPr>
              <w:t>B15562.1-1995</w:t>
            </w:r>
            <w:r>
              <w:rPr>
                <w:rFonts w:hint="eastAsia"/>
                <w:lang w:val="en-US" w:eastAsia="zh-CN"/>
              </w:rPr>
              <w:t>、</w:t>
            </w:r>
            <w:r>
              <w:rPr>
                <w:rFonts w:hint="default"/>
                <w:lang w:val="en-US" w:eastAsia="zh-CN"/>
              </w:rPr>
              <w:t xml:space="preserve">GB15562.2-1995 </w:t>
            </w:r>
            <w:r>
              <w:rPr>
                <w:rFonts w:hint="eastAsia"/>
                <w:lang w:val="en-US" w:eastAsia="zh-CN"/>
              </w:rPr>
              <w:t>执行。环境保护图形标志的形状及颜色、环境保护图形符号见下表。</w:t>
            </w:r>
          </w:p>
          <w:p>
            <w:pPr>
              <w:pStyle w:val="29"/>
              <w:bidi w:val="0"/>
            </w:pPr>
            <w:r>
              <w:t>表</w:t>
            </w:r>
            <w:r>
              <w:rPr>
                <w:rFonts w:hint="eastAsia"/>
                <w:lang w:val="en-US" w:eastAsia="zh-CN"/>
              </w:rPr>
              <w:t xml:space="preserve">5-1 </w:t>
            </w:r>
            <w:r>
              <w:t>环境保护图形标志的形状及颜色</w:t>
            </w:r>
          </w:p>
          <w:tbl>
            <w:tblPr>
              <w:tblStyle w:val="32"/>
              <w:tblW w:w="74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97"/>
              <w:gridCol w:w="1872"/>
              <w:gridCol w:w="1860"/>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797" w:type="dxa"/>
                  <w:vAlign w:val="center"/>
                </w:tcPr>
                <w:p>
                  <w:pPr>
                    <w:pStyle w:val="30"/>
                    <w:bidi w:val="0"/>
                    <w:jc w:val="center"/>
                  </w:pPr>
                  <w:r>
                    <w:t>标志名称</w:t>
                  </w:r>
                </w:p>
              </w:tc>
              <w:tc>
                <w:tcPr>
                  <w:tcW w:w="1872" w:type="dxa"/>
                  <w:vAlign w:val="center"/>
                </w:tcPr>
                <w:p>
                  <w:pPr>
                    <w:pStyle w:val="30"/>
                    <w:bidi w:val="0"/>
                    <w:jc w:val="center"/>
                  </w:pPr>
                  <w:r>
                    <w:t>形状</w:t>
                  </w:r>
                </w:p>
              </w:tc>
              <w:tc>
                <w:tcPr>
                  <w:tcW w:w="1860" w:type="dxa"/>
                  <w:vAlign w:val="center"/>
                </w:tcPr>
                <w:p>
                  <w:pPr>
                    <w:pStyle w:val="30"/>
                    <w:bidi w:val="0"/>
                    <w:jc w:val="center"/>
                  </w:pPr>
                  <w:r>
                    <w:t>背景颜色</w:t>
                  </w:r>
                </w:p>
              </w:tc>
              <w:tc>
                <w:tcPr>
                  <w:tcW w:w="1907" w:type="dxa"/>
                  <w:vAlign w:val="center"/>
                </w:tcPr>
                <w:p>
                  <w:pPr>
                    <w:pStyle w:val="30"/>
                    <w:bidi w:val="0"/>
                    <w:jc w:val="center"/>
                  </w:pPr>
                  <w:r>
                    <w:t>图形颜色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797" w:type="dxa"/>
                  <w:vAlign w:val="center"/>
                </w:tcPr>
                <w:p>
                  <w:pPr>
                    <w:pStyle w:val="30"/>
                    <w:bidi w:val="0"/>
                    <w:jc w:val="center"/>
                  </w:pPr>
                  <w:r>
                    <w:t>警告标志</w:t>
                  </w:r>
                </w:p>
              </w:tc>
              <w:tc>
                <w:tcPr>
                  <w:tcW w:w="1872" w:type="dxa"/>
                  <w:vAlign w:val="center"/>
                </w:tcPr>
                <w:p>
                  <w:pPr>
                    <w:pStyle w:val="30"/>
                    <w:bidi w:val="0"/>
                    <w:jc w:val="center"/>
                  </w:pPr>
                  <w:r>
                    <w:t>三角形边框</w:t>
                  </w:r>
                </w:p>
              </w:tc>
              <w:tc>
                <w:tcPr>
                  <w:tcW w:w="1860" w:type="dxa"/>
                  <w:vAlign w:val="center"/>
                </w:tcPr>
                <w:p>
                  <w:pPr>
                    <w:pStyle w:val="30"/>
                    <w:bidi w:val="0"/>
                    <w:jc w:val="center"/>
                  </w:pPr>
                  <w:r>
                    <w:t>黄色</w:t>
                  </w:r>
                </w:p>
              </w:tc>
              <w:tc>
                <w:tcPr>
                  <w:tcW w:w="1907" w:type="dxa"/>
                  <w:vAlign w:val="center"/>
                </w:tcPr>
                <w:p>
                  <w:pPr>
                    <w:pStyle w:val="30"/>
                    <w:bidi w:val="0"/>
                    <w:jc w:val="center"/>
                  </w:pPr>
                  <w: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797" w:type="dxa"/>
                  <w:vAlign w:val="center"/>
                </w:tcPr>
                <w:p>
                  <w:pPr>
                    <w:pStyle w:val="30"/>
                    <w:bidi w:val="0"/>
                    <w:jc w:val="center"/>
                  </w:pPr>
                  <w:r>
                    <w:t>提示标志</w:t>
                  </w:r>
                </w:p>
              </w:tc>
              <w:tc>
                <w:tcPr>
                  <w:tcW w:w="1872" w:type="dxa"/>
                  <w:vAlign w:val="center"/>
                </w:tcPr>
                <w:p>
                  <w:pPr>
                    <w:pStyle w:val="30"/>
                    <w:bidi w:val="0"/>
                    <w:jc w:val="center"/>
                  </w:pPr>
                  <w:r>
                    <w:t>正方形边框</w:t>
                  </w:r>
                </w:p>
              </w:tc>
              <w:tc>
                <w:tcPr>
                  <w:tcW w:w="1860" w:type="dxa"/>
                  <w:vAlign w:val="center"/>
                </w:tcPr>
                <w:p>
                  <w:pPr>
                    <w:pStyle w:val="30"/>
                    <w:bidi w:val="0"/>
                    <w:jc w:val="center"/>
                  </w:pPr>
                  <w:r>
                    <w:t>绿色</w:t>
                  </w:r>
                </w:p>
              </w:tc>
              <w:tc>
                <w:tcPr>
                  <w:tcW w:w="1907" w:type="dxa"/>
                  <w:vAlign w:val="center"/>
                </w:tcPr>
                <w:p>
                  <w:pPr>
                    <w:pStyle w:val="30"/>
                    <w:bidi w:val="0"/>
                    <w:jc w:val="center"/>
                  </w:pPr>
                  <w:r>
                    <w:t>白色</w:t>
                  </w:r>
                </w:p>
              </w:tc>
            </w:tr>
          </w:tbl>
          <w:p>
            <w:pPr>
              <w:pStyle w:val="29"/>
              <w:bidi w:val="0"/>
            </w:pPr>
            <w:r>
              <w:t>表</w:t>
            </w:r>
            <w:r>
              <w:rPr>
                <w:rFonts w:hint="eastAsia"/>
                <w:lang w:val="en-US" w:eastAsia="zh-CN"/>
              </w:rPr>
              <w:t xml:space="preserve">5-2 </w:t>
            </w:r>
            <w:r>
              <w:t>环境保护图形符号</w:t>
            </w:r>
          </w:p>
          <w:tbl>
            <w:tblPr>
              <w:tblStyle w:val="32"/>
              <w:tblW w:w="74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9"/>
              <w:gridCol w:w="442"/>
              <w:gridCol w:w="1218"/>
              <w:gridCol w:w="455"/>
              <w:gridCol w:w="1966"/>
              <w:gridCol w:w="1131"/>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49" w:type="dxa"/>
                  <w:vAlign w:val="center"/>
                </w:tcPr>
                <w:p>
                  <w:pPr>
                    <w:pStyle w:val="30"/>
                    <w:bidi w:val="0"/>
                    <w:jc w:val="center"/>
                  </w:pPr>
                  <w:r>
                    <w:t>序号</w:t>
                  </w:r>
                </w:p>
              </w:tc>
              <w:tc>
                <w:tcPr>
                  <w:tcW w:w="2115" w:type="dxa"/>
                  <w:gridSpan w:val="3"/>
                  <w:vAlign w:val="center"/>
                </w:tcPr>
                <w:p>
                  <w:pPr>
                    <w:pStyle w:val="30"/>
                    <w:bidi w:val="0"/>
                    <w:jc w:val="center"/>
                  </w:pPr>
                  <w:r>
                    <w:t>提示图形符号</w:t>
                  </w:r>
                </w:p>
              </w:tc>
              <w:tc>
                <w:tcPr>
                  <w:tcW w:w="1966" w:type="dxa"/>
                  <w:vAlign w:val="center"/>
                </w:tcPr>
                <w:p>
                  <w:pPr>
                    <w:pStyle w:val="30"/>
                    <w:bidi w:val="0"/>
                    <w:jc w:val="center"/>
                  </w:pPr>
                  <w:r>
                    <w:t>警告图形符号</w:t>
                  </w:r>
                </w:p>
              </w:tc>
              <w:tc>
                <w:tcPr>
                  <w:tcW w:w="1131" w:type="dxa"/>
                  <w:vAlign w:val="center"/>
                </w:tcPr>
                <w:p>
                  <w:pPr>
                    <w:pStyle w:val="30"/>
                    <w:bidi w:val="0"/>
                    <w:jc w:val="center"/>
                  </w:pPr>
                  <w:r>
                    <w:t>名称</w:t>
                  </w:r>
                </w:p>
              </w:tc>
              <w:tc>
                <w:tcPr>
                  <w:tcW w:w="1475" w:type="dxa"/>
                  <w:vAlign w:val="center"/>
                </w:tcPr>
                <w:p>
                  <w:pPr>
                    <w:pStyle w:val="30"/>
                    <w:bidi w:val="0"/>
                    <w:jc w:val="center"/>
                  </w:pPr>
                  <w: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49" w:type="dxa"/>
                  <w:vAlign w:val="center"/>
                </w:tcPr>
                <w:p>
                  <w:pPr>
                    <w:pStyle w:val="30"/>
                    <w:bidi w:val="0"/>
                    <w:jc w:val="center"/>
                  </w:pPr>
                </w:p>
                <w:p>
                  <w:pPr>
                    <w:pStyle w:val="30"/>
                    <w:bidi w:val="0"/>
                    <w:jc w:val="center"/>
                  </w:pPr>
                  <w:r>
                    <w:t>1</w:t>
                  </w:r>
                </w:p>
              </w:tc>
              <w:tc>
                <w:tcPr>
                  <w:tcW w:w="442" w:type="dxa"/>
                  <w:vAlign w:val="center"/>
                </w:tcPr>
                <w:p>
                  <w:pPr>
                    <w:pStyle w:val="30"/>
                    <w:bidi w:val="0"/>
                    <w:jc w:val="center"/>
                  </w:pPr>
                </w:p>
              </w:tc>
              <w:tc>
                <w:tcPr>
                  <w:tcW w:w="1218" w:type="dxa"/>
                  <w:vAlign w:val="center"/>
                </w:tcPr>
                <w:p>
                  <w:pPr>
                    <w:pStyle w:val="30"/>
                    <w:bidi w:val="0"/>
                    <w:jc w:val="center"/>
                  </w:pPr>
                  <w:r>
                    <w:drawing>
                      <wp:inline distT="0" distB="0" distL="0" distR="0">
                        <wp:extent cx="590550" cy="481965"/>
                        <wp:effectExtent l="0" t="0" r="0" b="13335"/>
                        <wp:docPr id="115" name="IM 2"/>
                        <wp:cNvGraphicFramePr/>
                        <a:graphic xmlns:a="http://schemas.openxmlformats.org/drawingml/2006/main">
                          <a:graphicData uri="http://schemas.openxmlformats.org/drawingml/2006/picture">
                            <pic:pic xmlns:pic="http://schemas.openxmlformats.org/drawingml/2006/picture">
                              <pic:nvPicPr>
                                <pic:cNvPr id="115" name="IM 2"/>
                                <pic:cNvPicPr/>
                              </pic:nvPicPr>
                              <pic:blipFill>
                                <a:blip r:embed="rId26"/>
                                <a:stretch>
                                  <a:fillRect/>
                                </a:stretch>
                              </pic:blipFill>
                              <pic:spPr>
                                <a:xfrm>
                                  <a:off x="0" y="0"/>
                                  <a:ext cx="590552" cy="482598"/>
                                </a:xfrm>
                                <a:prstGeom prst="rect">
                                  <a:avLst/>
                                </a:prstGeom>
                              </pic:spPr>
                            </pic:pic>
                          </a:graphicData>
                        </a:graphic>
                      </wp:inline>
                    </w:drawing>
                  </w:r>
                </w:p>
              </w:tc>
              <w:tc>
                <w:tcPr>
                  <w:tcW w:w="455" w:type="dxa"/>
                  <w:vAlign w:val="center"/>
                </w:tcPr>
                <w:p>
                  <w:pPr>
                    <w:pStyle w:val="30"/>
                    <w:bidi w:val="0"/>
                    <w:jc w:val="center"/>
                  </w:pPr>
                </w:p>
              </w:tc>
              <w:tc>
                <w:tcPr>
                  <w:tcW w:w="1966" w:type="dxa"/>
                  <w:vAlign w:val="center"/>
                </w:tcPr>
                <w:p>
                  <w:pPr>
                    <w:pStyle w:val="30"/>
                    <w:bidi w:val="0"/>
                    <w:jc w:val="center"/>
                  </w:pPr>
                  <w:r>
                    <w:drawing>
                      <wp:inline distT="0" distB="0" distL="0" distR="0">
                        <wp:extent cx="673100" cy="481965"/>
                        <wp:effectExtent l="0" t="0" r="12700" b="13335"/>
                        <wp:docPr id="116" name="IM 4"/>
                        <wp:cNvGraphicFramePr/>
                        <a:graphic xmlns:a="http://schemas.openxmlformats.org/drawingml/2006/main">
                          <a:graphicData uri="http://schemas.openxmlformats.org/drawingml/2006/picture">
                            <pic:pic xmlns:pic="http://schemas.openxmlformats.org/drawingml/2006/picture">
                              <pic:nvPicPr>
                                <pic:cNvPr id="116" name="IM 4"/>
                                <pic:cNvPicPr/>
                              </pic:nvPicPr>
                              <pic:blipFill>
                                <a:blip r:embed="rId27"/>
                                <a:stretch>
                                  <a:fillRect/>
                                </a:stretch>
                              </pic:blipFill>
                              <pic:spPr>
                                <a:xfrm>
                                  <a:off x="0" y="0"/>
                                  <a:ext cx="673116" cy="482598"/>
                                </a:xfrm>
                                <a:prstGeom prst="rect">
                                  <a:avLst/>
                                </a:prstGeom>
                              </pic:spPr>
                            </pic:pic>
                          </a:graphicData>
                        </a:graphic>
                      </wp:inline>
                    </w:drawing>
                  </w:r>
                </w:p>
              </w:tc>
              <w:tc>
                <w:tcPr>
                  <w:tcW w:w="1131" w:type="dxa"/>
                  <w:vAlign w:val="center"/>
                </w:tcPr>
                <w:p>
                  <w:pPr>
                    <w:pStyle w:val="30"/>
                    <w:bidi w:val="0"/>
                    <w:jc w:val="center"/>
                  </w:pPr>
                  <w:r>
                    <w:t>废水排放</w:t>
                  </w:r>
                </w:p>
                <w:p>
                  <w:pPr>
                    <w:pStyle w:val="30"/>
                    <w:bidi w:val="0"/>
                    <w:jc w:val="center"/>
                  </w:pPr>
                  <w:r>
                    <w:t>口</w:t>
                  </w:r>
                </w:p>
              </w:tc>
              <w:tc>
                <w:tcPr>
                  <w:tcW w:w="1475" w:type="dxa"/>
                  <w:vAlign w:val="center"/>
                </w:tcPr>
                <w:p>
                  <w:pPr>
                    <w:pStyle w:val="30"/>
                    <w:bidi w:val="0"/>
                    <w:jc w:val="center"/>
                  </w:pPr>
                  <w:r>
                    <w:t>表示废水向水 体排放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49" w:type="dxa"/>
                  <w:vAlign w:val="center"/>
                </w:tcPr>
                <w:p>
                  <w:pPr>
                    <w:pStyle w:val="30"/>
                    <w:bidi w:val="0"/>
                    <w:jc w:val="center"/>
                  </w:pPr>
                </w:p>
                <w:p>
                  <w:pPr>
                    <w:pStyle w:val="30"/>
                    <w:bidi w:val="0"/>
                    <w:jc w:val="center"/>
                  </w:pPr>
                  <w:r>
                    <w:t>2</w:t>
                  </w:r>
                </w:p>
              </w:tc>
              <w:tc>
                <w:tcPr>
                  <w:tcW w:w="442" w:type="dxa"/>
                  <w:vAlign w:val="center"/>
                </w:tcPr>
                <w:p>
                  <w:pPr>
                    <w:pStyle w:val="30"/>
                    <w:bidi w:val="0"/>
                    <w:jc w:val="center"/>
                  </w:pPr>
                </w:p>
              </w:tc>
              <w:tc>
                <w:tcPr>
                  <w:tcW w:w="1218" w:type="dxa"/>
                  <w:vAlign w:val="center"/>
                </w:tcPr>
                <w:p>
                  <w:pPr>
                    <w:pStyle w:val="30"/>
                    <w:bidi w:val="0"/>
                    <w:jc w:val="center"/>
                  </w:pPr>
                  <w:r>
                    <w:drawing>
                      <wp:inline distT="0" distB="0" distL="0" distR="0">
                        <wp:extent cx="590550" cy="424815"/>
                        <wp:effectExtent l="0" t="0" r="0" b="13335"/>
                        <wp:docPr id="117" name="IM 6"/>
                        <wp:cNvGraphicFramePr/>
                        <a:graphic xmlns:a="http://schemas.openxmlformats.org/drawingml/2006/main">
                          <a:graphicData uri="http://schemas.openxmlformats.org/drawingml/2006/picture">
                            <pic:pic xmlns:pic="http://schemas.openxmlformats.org/drawingml/2006/picture">
                              <pic:nvPicPr>
                                <pic:cNvPr id="117" name="IM 6"/>
                                <pic:cNvPicPr/>
                              </pic:nvPicPr>
                              <pic:blipFill>
                                <a:blip r:embed="rId28"/>
                                <a:stretch>
                                  <a:fillRect/>
                                </a:stretch>
                              </pic:blipFill>
                              <pic:spPr>
                                <a:xfrm>
                                  <a:off x="0" y="0"/>
                                  <a:ext cx="590552" cy="425449"/>
                                </a:xfrm>
                                <a:prstGeom prst="rect">
                                  <a:avLst/>
                                </a:prstGeom>
                              </pic:spPr>
                            </pic:pic>
                          </a:graphicData>
                        </a:graphic>
                      </wp:inline>
                    </w:drawing>
                  </w:r>
                </w:p>
              </w:tc>
              <w:tc>
                <w:tcPr>
                  <w:tcW w:w="455" w:type="dxa"/>
                  <w:vAlign w:val="center"/>
                </w:tcPr>
                <w:p>
                  <w:pPr>
                    <w:pStyle w:val="30"/>
                    <w:bidi w:val="0"/>
                    <w:jc w:val="center"/>
                  </w:pPr>
                </w:p>
              </w:tc>
              <w:tc>
                <w:tcPr>
                  <w:tcW w:w="1966" w:type="dxa"/>
                  <w:vAlign w:val="center"/>
                </w:tcPr>
                <w:p>
                  <w:pPr>
                    <w:pStyle w:val="30"/>
                    <w:bidi w:val="0"/>
                    <w:jc w:val="center"/>
                  </w:pPr>
                  <w:r>
                    <w:drawing>
                      <wp:inline distT="0" distB="0" distL="0" distR="0">
                        <wp:extent cx="691515" cy="419100"/>
                        <wp:effectExtent l="0" t="0" r="13335" b="0"/>
                        <wp:docPr id="118" name="IM 8"/>
                        <wp:cNvGraphicFramePr/>
                        <a:graphic xmlns:a="http://schemas.openxmlformats.org/drawingml/2006/main">
                          <a:graphicData uri="http://schemas.openxmlformats.org/drawingml/2006/picture">
                            <pic:pic xmlns:pic="http://schemas.openxmlformats.org/drawingml/2006/picture">
                              <pic:nvPicPr>
                                <pic:cNvPr id="118" name="IM 8"/>
                                <pic:cNvPicPr/>
                              </pic:nvPicPr>
                              <pic:blipFill>
                                <a:blip r:embed="rId29"/>
                                <a:stretch>
                                  <a:fillRect/>
                                </a:stretch>
                              </pic:blipFill>
                              <pic:spPr>
                                <a:xfrm>
                                  <a:off x="0" y="0"/>
                                  <a:ext cx="692142" cy="419107"/>
                                </a:xfrm>
                                <a:prstGeom prst="rect">
                                  <a:avLst/>
                                </a:prstGeom>
                              </pic:spPr>
                            </pic:pic>
                          </a:graphicData>
                        </a:graphic>
                      </wp:inline>
                    </w:drawing>
                  </w:r>
                </w:p>
              </w:tc>
              <w:tc>
                <w:tcPr>
                  <w:tcW w:w="1131" w:type="dxa"/>
                  <w:vAlign w:val="center"/>
                </w:tcPr>
                <w:p>
                  <w:pPr>
                    <w:pStyle w:val="30"/>
                    <w:bidi w:val="0"/>
                    <w:jc w:val="center"/>
                  </w:pPr>
                  <w:r>
                    <w:t>废气排放</w:t>
                  </w:r>
                </w:p>
                <w:p>
                  <w:pPr>
                    <w:pStyle w:val="30"/>
                    <w:bidi w:val="0"/>
                    <w:jc w:val="center"/>
                  </w:pPr>
                  <w:r>
                    <w:t>口</w:t>
                  </w:r>
                </w:p>
              </w:tc>
              <w:tc>
                <w:tcPr>
                  <w:tcW w:w="1475" w:type="dxa"/>
                  <w:vAlign w:val="center"/>
                </w:tcPr>
                <w:p>
                  <w:pPr>
                    <w:pStyle w:val="30"/>
                    <w:bidi w:val="0"/>
                    <w:jc w:val="center"/>
                  </w:pPr>
                  <w:r>
                    <w:t>表示废气向大 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49" w:type="dxa"/>
                  <w:vAlign w:val="center"/>
                </w:tcPr>
                <w:p>
                  <w:pPr>
                    <w:pStyle w:val="30"/>
                    <w:bidi w:val="0"/>
                    <w:jc w:val="center"/>
                  </w:pPr>
                </w:p>
                <w:p>
                  <w:pPr>
                    <w:pStyle w:val="30"/>
                    <w:bidi w:val="0"/>
                    <w:jc w:val="center"/>
                  </w:pPr>
                  <w:r>
                    <w:t>3</w:t>
                  </w:r>
                </w:p>
              </w:tc>
              <w:tc>
                <w:tcPr>
                  <w:tcW w:w="442" w:type="dxa"/>
                  <w:vAlign w:val="center"/>
                </w:tcPr>
                <w:p>
                  <w:pPr>
                    <w:pStyle w:val="30"/>
                    <w:bidi w:val="0"/>
                    <w:jc w:val="center"/>
                  </w:pPr>
                </w:p>
              </w:tc>
              <w:tc>
                <w:tcPr>
                  <w:tcW w:w="1218" w:type="dxa"/>
                  <w:vAlign w:val="center"/>
                </w:tcPr>
                <w:p>
                  <w:pPr>
                    <w:pStyle w:val="30"/>
                    <w:bidi w:val="0"/>
                    <w:jc w:val="center"/>
                  </w:pPr>
                  <w:r>
                    <w:drawing>
                      <wp:inline distT="0" distB="0" distL="0" distR="0">
                        <wp:extent cx="590550" cy="596265"/>
                        <wp:effectExtent l="0" t="0" r="0" b="13335"/>
                        <wp:docPr id="119" name="IM 10"/>
                        <wp:cNvGraphicFramePr/>
                        <a:graphic xmlns:a="http://schemas.openxmlformats.org/drawingml/2006/main">
                          <a:graphicData uri="http://schemas.openxmlformats.org/drawingml/2006/picture">
                            <pic:pic xmlns:pic="http://schemas.openxmlformats.org/drawingml/2006/picture">
                              <pic:nvPicPr>
                                <pic:cNvPr id="119" name="IM 10"/>
                                <pic:cNvPicPr/>
                              </pic:nvPicPr>
                              <pic:blipFill>
                                <a:blip r:embed="rId30"/>
                                <a:stretch>
                                  <a:fillRect/>
                                </a:stretch>
                              </pic:blipFill>
                              <pic:spPr>
                                <a:xfrm>
                                  <a:off x="0" y="0"/>
                                  <a:ext cx="590552" cy="596897"/>
                                </a:xfrm>
                                <a:prstGeom prst="rect">
                                  <a:avLst/>
                                </a:prstGeom>
                              </pic:spPr>
                            </pic:pic>
                          </a:graphicData>
                        </a:graphic>
                      </wp:inline>
                    </w:drawing>
                  </w:r>
                </w:p>
              </w:tc>
              <w:tc>
                <w:tcPr>
                  <w:tcW w:w="455" w:type="dxa"/>
                  <w:vAlign w:val="center"/>
                </w:tcPr>
                <w:p>
                  <w:pPr>
                    <w:pStyle w:val="30"/>
                    <w:bidi w:val="0"/>
                    <w:jc w:val="center"/>
                  </w:pPr>
                </w:p>
              </w:tc>
              <w:tc>
                <w:tcPr>
                  <w:tcW w:w="1966" w:type="dxa"/>
                  <w:vAlign w:val="center"/>
                </w:tcPr>
                <w:p>
                  <w:pPr>
                    <w:pStyle w:val="30"/>
                    <w:bidi w:val="0"/>
                    <w:jc w:val="center"/>
                  </w:pPr>
                  <w:r>
                    <w:drawing>
                      <wp:inline distT="0" distB="0" distL="0" distR="0">
                        <wp:extent cx="716915" cy="596265"/>
                        <wp:effectExtent l="0" t="0" r="6985" b="13335"/>
                        <wp:docPr id="120" name="IM 12"/>
                        <wp:cNvGraphicFramePr/>
                        <a:graphic xmlns:a="http://schemas.openxmlformats.org/drawingml/2006/main">
                          <a:graphicData uri="http://schemas.openxmlformats.org/drawingml/2006/picture">
                            <pic:pic xmlns:pic="http://schemas.openxmlformats.org/drawingml/2006/picture">
                              <pic:nvPicPr>
                                <pic:cNvPr id="120" name="IM 12"/>
                                <pic:cNvPicPr/>
                              </pic:nvPicPr>
                              <pic:blipFill>
                                <a:blip r:embed="rId31"/>
                                <a:stretch>
                                  <a:fillRect/>
                                </a:stretch>
                              </pic:blipFill>
                              <pic:spPr>
                                <a:xfrm>
                                  <a:off x="0" y="0"/>
                                  <a:ext cx="717549" cy="596897"/>
                                </a:xfrm>
                                <a:prstGeom prst="rect">
                                  <a:avLst/>
                                </a:prstGeom>
                              </pic:spPr>
                            </pic:pic>
                          </a:graphicData>
                        </a:graphic>
                      </wp:inline>
                    </w:drawing>
                  </w:r>
                </w:p>
              </w:tc>
              <w:tc>
                <w:tcPr>
                  <w:tcW w:w="1131" w:type="dxa"/>
                  <w:vAlign w:val="center"/>
                </w:tcPr>
                <w:p>
                  <w:pPr>
                    <w:pStyle w:val="30"/>
                    <w:bidi w:val="0"/>
                    <w:jc w:val="center"/>
                  </w:pPr>
                </w:p>
                <w:p>
                  <w:pPr>
                    <w:pStyle w:val="30"/>
                    <w:bidi w:val="0"/>
                    <w:jc w:val="center"/>
                  </w:pPr>
                  <w:r>
                    <w:t>一般固体 废物</w:t>
                  </w:r>
                </w:p>
              </w:tc>
              <w:tc>
                <w:tcPr>
                  <w:tcW w:w="1475" w:type="dxa"/>
                  <w:vAlign w:val="center"/>
                </w:tcPr>
                <w:p>
                  <w:pPr>
                    <w:pStyle w:val="30"/>
                    <w:bidi w:val="0"/>
                    <w:jc w:val="center"/>
                  </w:pPr>
                  <w:r>
                    <w:t>表示一般固体</w:t>
                  </w:r>
                </w:p>
                <w:p>
                  <w:pPr>
                    <w:pStyle w:val="30"/>
                    <w:bidi w:val="0"/>
                    <w:jc w:val="center"/>
                  </w:pPr>
                  <w:r>
                    <w:t>废物贮存、处置</w:t>
                  </w:r>
                </w:p>
                <w:p>
                  <w:pPr>
                    <w:pStyle w:val="30"/>
                    <w:bidi w:val="0"/>
                    <w:jc w:val="center"/>
                  </w:pPr>
                  <w:r>
                    <w:t>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49" w:type="dxa"/>
                  <w:vAlign w:val="center"/>
                </w:tcPr>
                <w:p>
                  <w:pPr>
                    <w:pStyle w:val="30"/>
                    <w:bidi w:val="0"/>
                    <w:jc w:val="center"/>
                  </w:pPr>
                </w:p>
                <w:p>
                  <w:pPr>
                    <w:pStyle w:val="30"/>
                    <w:bidi w:val="0"/>
                    <w:jc w:val="center"/>
                  </w:pPr>
                  <w:r>
                    <w:t>4</w:t>
                  </w:r>
                </w:p>
              </w:tc>
              <w:tc>
                <w:tcPr>
                  <w:tcW w:w="442" w:type="dxa"/>
                  <w:vAlign w:val="center"/>
                </w:tcPr>
                <w:p>
                  <w:pPr>
                    <w:pStyle w:val="30"/>
                    <w:bidi w:val="0"/>
                    <w:jc w:val="center"/>
                  </w:pPr>
                </w:p>
              </w:tc>
              <w:tc>
                <w:tcPr>
                  <w:tcW w:w="1218" w:type="dxa"/>
                  <w:vAlign w:val="center"/>
                </w:tcPr>
                <w:p>
                  <w:pPr>
                    <w:pStyle w:val="30"/>
                    <w:bidi w:val="0"/>
                    <w:jc w:val="center"/>
                  </w:pPr>
                  <w:r>
                    <w:drawing>
                      <wp:inline distT="0" distB="0" distL="0" distR="0">
                        <wp:extent cx="590550" cy="590550"/>
                        <wp:effectExtent l="0" t="0" r="0" b="0"/>
                        <wp:docPr id="121" name="IM 14"/>
                        <wp:cNvGraphicFramePr/>
                        <a:graphic xmlns:a="http://schemas.openxmlformats.org/drawingml/2006/main">
                          <a:graphicData uri="http://schemas.openxmlformats.org/drawingml/2006/picture">
                            <pic:pic xmlns:pic="http://schemas.openxmlformats.org/drawingml/2006/picture">
                              <pic:nvPicPr>
                                <pic:cNvPr id="121" name="IM 14"/>
                                <pic:cNvPicPr/>
                              </pic:nvPicPr>
                              <pic:blipFill>
                                <a:blip r:embed="rId32"/>
                                <a:stretch>
                                  <a:fillRect/>
                                </a:stretch>
                              </pic:blipFill>
                              <pic:spPr>
                                <a:xfrm>
                                  <a:off x="0" y="0"/>
                                  <a:ext cx="590552" cy="590556"/>
                                </a:xfrm>
                                <a:prstGeom prst="rect">
                                  <a:avLst/>
                                </a:prstGeom>
                              </pic:spPr>
                            </pic:pic>
                          </a:graphicData>
                        </a:graphic>
                      </wp:inline>
                    </w:drawing>
                  </w:r>
                </w:p>
              </w:tc>
              <w:tc>
                <w:tcPr>
                  <w:tcW w:w="455" w:type="dxa"/>
                  <w:vAlign w:val="center"/>
                </w:tcPr>
                <w:p>
                  <w:pPr>
                    <w:pStyle w:val="30"/>
                    <w:bidi w:val="0"/>
                    <w:jc w:val="center"/>
                  </w:pPr>
                </w:p>
              </w:tc>
              <w:tc>
                <w:tcPr>
                  <w:tcW w:w="1966" w:type="dxa"/>
                  <w:vAlign w:val="center"/>
                </w:tcPr>
                <w:p>
                  <w:pPr>
                    <w:pStyle w:val="30"/>
                    <w:bidi w:val="0"/>
                    <w:jc w:val="center"/>
                  </w:pPr>
                  <w:r>
                    <w:drawing>
                      <wp:inline distT="0" distB="0" distL="0" distR="0">
                        <wp:extent cx="742950" cy="590550"/>
                        <wp:effectExtent l="0" t="0" r="0" b="0"/>
                        <wp:docPr id="122" name="IM 16"/>
                        <wp:cNvGraphicFramePr/>
                        <a:graphic xmlns:a="http://schemas.openxmlformats.org/drawingml/2006/main">
                          <a:graphicData uri="http://schemas.openxmlformats.org/drawingml/2006/picture">
                            <pic:pic xmlns:pic="http://schemas.openxmlformats.org/drawingml/2006/picture">
                              <pic:nvPicPr>
                                <pic:cNvPr id="122" name="IM 16"/>
                                <pic:cNvPicPr/>
                              </pic:nvPicPr>
                              <pic:blipFill>
                                <a:blip r:embed="rId33"/>
                                <a:stretch>
                                  <a:fillRect/>
                                </a:stretch>
                              </pic:blipFill>
                              <pic:spPr>
                                <a:xfrm>
                                  <a:off x="0" y="0"/>
                                  <a:ext cx="742956" cy="590556"/>
                                </a:xfrm>
                                <a:prstGeom prst="rect">
                                  <a:avLst/>
                                </a:prstGeom>
                              </pic:spPr>
                            </pic:pic>
                          </a:graphicData>
                        </a:graphic>
                      </wp:inline>
                    </w:drawing>
                  </w:r>
                </w:p>
              </w:tc>
              <w:tc>
                <w:tcPr>
                  <w:tcW w:w="1131" w:type="dxa"/>
                  <w:vAlign w:val="center"/>
                </w:tcPr>
                <w:p>
                  <w:pPr>
                    <w:pStyle w:val="30"/>
                    <w:bidi w:val="0"/>
                    <w:jc w:val="center"/>
                  </w:pPr>
                </w:p>
                <w:p>
                  <w:pPr>
                    <w:pStyle w:val="30"/>
                    <w:bidi w:val="0"/>
                    <w:jc w:val="center"/>
                  </w:pPr>
                  <w:r>
                    <w:t>噪声排放 源</w:t>
                  </w:r>
                </w:p>
              </w:tc>
              <w:tc>
                <w:tcPr>
                  <w:tcW w:w="1475" w:type="dxa"/>
                  <w:vAlign w:val="center"/>
                </w:tcPr>
                <w:p>
                  <w:pPr>
                    <w:pStyle w:val="30"/>
                    <w:bidi w:val="0"/>
                    <w:jc w:val="center"/>
                  </w:pPr>
                </w:p>
                <w:p>
                  <w:pPr>
                    <w:pStyle w:val="30"/>
                    <w:bidi w:val="0"/>
                    <w:jc w:val="center"/>
                  </w:pPr>
                  <w:r>
                    <w:t>表示噪声向外 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49" w:type="dxa"/>
                  <w:vAlign w:val="center"/>
                </w:tcPr>
                <w:p>
                  <w:pPr>
                    <w:pStyle w:val="30"/>
                    <w:bidi w:val="0"/>
                    <w:jc w:val="center"/>
                  </w:pPr>
                </w:p>
                <w:p>
                  <w:pPr>
                    <w:pStyle w:val="30"/>
                    <w:bidi w:val="0"/>
                    <w:jc w:val="center"/>
                  </w:pPr>
                  <w:r>
                    <w:t>5</w:t>
                  </w:r>
                </w:p>
              </w:tc>
              <w:tc>
                <w:tcPr>
                  <w:tcW w:w="2115" w:type="dxa"/>
                  <w:gridSpan w:val="3"/>
                  <w:vAlign w:val="center"/>
                </w:tcPr>
                <w:p>
                  <w:pPr>
                    <w:pStyle w:val="30"/>
                    <w:bidi w:val="0"/>
                    <w:jc w:val="center"/>
                  </w:pPr>
                </w:p>
                <w:p>
                  <w:pPr>
                    <w:pStyle w:val="30"/>
                    <w:bidi w:val="0"/>
                    <w:jc w:val="center"/>
                  </w:pPr>
                  <w:r>
                    <w:t>/</w:t>
                  </w:r>
                </w:p>
              </w:tc>
              <w:tc>
                <w:tcPr>
                  <w:tcW w:w="1966" w:type="dxa"/>
                  <w:vAlign w:val="center"/>
                </w:tcPr>
                <w:p>
                  <w:pPr>
                    <w:pStyle w:val="30"/>
                    <w:bidi w:val="0"/>
                    <w:jc w:val="center"/>
                  </w:pPr>
                  <w:r>
                    <w:drawing>
                      <wp:inline distT="0" distB="0" distL="0" distR="0">
                        <wp:extent cx="551815" cy="469265"/>
                        <wp:effectExtent l="0" t="0" r="635" b="6985"/>
                        <wp:docPr id="123" name="IM 18"/>
                        <wp:cNvGraphicFramePr/>
                        <a:graphic xmlns:a="http://schemas.openxmlformats.org/drawingml/2006/main">
                          <a:graphicData uri="http://schemas.openxmlformats.org/drawingml/2006/picture">
                            <pic:pic xmlns:pic="http://schemas.openxmlformats.org/drawingml/2006/picture">
                              <pic:nvPicPr>
                                <pic:cNvPr id="123" name="IM 18"/>
                                <pic:cNvPicPr/>
                              </pic:nvPicPr>
                              <pic:blipFill>
                                <a:blip r:embed="rId34"/>
                                <a:stretch>
                                  <a:fillRect/>
                                </a:stretch>
                              </pic:blipFill>
                              <pic:spPr>
                                <a:xfrm>
                                  <a:off x="0" y="0"/>
                                  <a:ext cx="552422" cy="469877"/>
                                </a:xfrm>
                                <a:prstGeom prst="rect">
                                  <a:avLst/>
                                </a:prstGeom>
                              </pic:spPr>
                            </pic:pic>
                          </a:graphicData>
                        </a:graphic>
                      </wp:inline>
                    </w:drawing>
                  </w:r>
                </w:p>
              </w:tc>
              <w:tc>
                <w:tcPr>
                  <w:tcW w:w="1131" w:type="dxa"/>
                  <w:vAlign w:val="center"/>
                </w:tcPr>
                <w:p>
                  <w:pPr>
                    <w:pStyle w:val="30"/>
                    <w:bidi w:val="0"/>
                    <w:jc w:val="center"/>
                  </w:pPr>
                </w:p>
                <w:p>
                  <w:pPr>
                    <w:pStyle w:val="30"/>
                    <w:bidi w:val="0"/>
                    <w:jc w:val="center"/>
                  </w:pPr>
                  <w:r>
                    <w:t>危险废物</w:t>
                  </w:r>
                </w:p>
              </w:tc>
              <w:tc>
                <w:tcPr>
                  <w:tcW w:w="1475" w:type="dxa"/>
                  <w:vAlign w:val="center"/>
                </w:tcPr>
                <w:p>
                  <w:pPr>
                    <w:pStyle w:val="30"/>
                    <w:bidi w:val="0"/>
                    <w:jc w:val="center"/>
                  </w:pPr>
                  <w:r>
                    <w:t>表示危险废物 贮存、处置场</w:t>
                  </w:r>
                </w:p>
              </w:tc>
            </w:tr>
          </w:tbl>
          <w:p>
            <w:pPr>
              <w:bidi w:val="0"/>
              <w:rPr>
                <w:u w:val="single"/>
              </w:rPr>
            </w:pPr>
            <w:r>
              <w:rPr>
                <w:u w:val="single"/>
              </w:rPr>
              <w:t>3、项目竣工环境保护验收</w:t>
            </w:r>
          </w:p>
          <w:p>
            <w:pPr>
              <w:bidi w:val="0"/>
            </w:pPr>
            <w:r>
              <w:t>建设项目竣工环境保护企业自行验收工作程序：</w:t>
            </w:r>
          </w:p>
          <w:p>
            <w:pPr>
              <w:bidi w:val="0"/>
            </w:pPr>
            <w:r>
              <w:t>（1）在建设项目竣工后、正式投入生产或运行前，企业按照环境影响报告表及其批复文件要求，对与主体工程配套建设的环境保护设施落实情况进行 查验。</w:t>
            </w:r>
          </w:p>
          <w:p>
            <w:pPr>
              <w:bidi w:val="0"/>
            </w:pPr>
            <w:r>
              <w:t>（2）按照环境保护主管部门制定的竣工环境保护验收技术规范，企业自行编制或委托具备相应技术能力的机构，对建设项目环境保护设施落实情况进行调查，开展相关环境监测，编制竣工环境保护验收调查（监测）报告。企业、 验收调查（监测）机构及其相关人员对验收调查（监测）报告结论终身负责。</w:t>
            </w:r>
          </w:p>
          <w:p>
            <w:pPr>
              <w:bidi w:val="0"/>
            </w:pPr>
            <w:r>
              <w:t>（3）验收调查（监测）报告编制完成后，由企业法人组织对建设项目环境保护设施和环境保护措施进行验收，形成书面报告备查，并向社会公开。</w:t>
            </w:r>
          </w:p>
          <w:p>
            <w:pPr>
              <w:bidi w:val="0"/>
            </w:pPr>
            <w:r>
              <w:t>（4）企业自行组织竣工环境保护验收时，应成立验收组，对建设项目环境保护设施及其他环境保护措施进行资料审查、现场踏勘，形成验收意见，验收组成员名单附后。</w:t>
            </w:r>
          </w:p>
          <w:p>
            <w:pPr>
              <w:bidi w:val="0"/>
              <w:rPr>
                <w:u w:val="single"/>
              </w:rPr>
            </w:pPr>
            <w:r>
              <w:rPr>
                <w:u w:val="single"/>
              </w:rPr>
              <w:t>4、项目突发环境应急预案</w:t>
            </w:r>
          </w:p>
          <w:p>
            <w:pPr>
              <w:bidi w:val="0"/>
            </w:pPr>
            <w:r>
              <w:t>项目在正常生产后需尽快委托相关单位开展本企业的突发环境事件应急预案编制工作，并按要求到环保部门进行备案。</w:t>
            </w:r>
          </w:p>
          <w:p>
            <w:pPr>
              <w:pStyle w:val="15"/>
              <w:rPr>
                <w:rFonts w:hint="default"/>
              </w:rPr>
            </w:pPr>
          </w:p>
        </w:tc>
      </w:tr>
    </w:tbl>
    <w:p>
      <w:pPr>
        <w:rPr>
          <w:rFonts w:hint="eastAsia"/>
        </w:rPr>
      </w:pPr>
    </w:p>
    <w:p>
      <w:pPr>
        <w:rPr>
          <w:rFonts w:hint="eastAsia"/>
        </w:rPr>
        <w:sectPr>
          <w:pgSz w:w="11906" w:h="16838"/>
          <w:pgMar w:top="1440" w:right="1800" w:bottom="1440" w:left="1800" w:header="851" w:footer="992" w:gutter="0"/>
          <w:pgNumType w:fmt="decimal"/>
          <w:cols w:space="425" w:num="1"/>
          <w:docGrid w:type="lines" w:linePitch="312" w:charSpace="0"/>
        </w:sectPr>
      </w:pPr>
    </w:p>
    <w:p>
      <w:pPr>
        <w:pStyle w:val="2"/>
        <w:bidi w:val="0"/>
        <w:rPr>
          <w:rFonts w:hint="eastAsia"/>
        </w:rPr>
      </w:pPr>
      <w:bookmarkStart w:id="94" w:name="_Toc26363"/>
      <w:bookmarkStart w:id="95" w:name="_Toc20586"/>
      <w:bookmarkStart w:id="96" w:name="_Toc26221"/>
      <w:bookmarkStart w:id="97" w:name="_Toc30451"/>
      <w:bookmarkStart w:id="98" w:name="_Toc31532"/>
      <w:bookmarkStart w:id="99" w:name="_Toc1085"/>
      <w:bookmarkStart w:id="100" w:name="_Toc15470"/>
      <w:bookmarkStart w:id="101" w:name="_Toc1964"/>
      <w:bookmarkStart w:id="102" w:name="_Toc4923"/>
      <w:bookmarkStart w:id="103" w:name="_Toc3903"/>
      <w:bookmarkStart w:id="104" w:name="_Toc21680"/>
      <w:bookmarkStart w:id="105" w:name="_Toc7512"/>
      <w:bookmarkStart w:id="106" w:name="_Toc20818"/>
      <w:bookmarkStart w:id="107" w:name="_Toc27844"/>
      <w:bookmarkStart w:id="108" w:name="_Toc13842"/>
      <w:r>
        <w:rPr>
          <w:rFonts w:hint="eastAsia"/>
          <w:lang w:eastAsia="zh-CN"/>
        </w:rPr>
        <w:t>六、</w:t>
      </w:r>
      <w:r>
        <w:rPr>
          <w:rFonts w:hint="eastAsia"/>
        </w:rPr>
        <w:t>结论</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tbl>
      <w:tblPr>
        <w:tblStyle w:val="27"/>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865" w:type="dxa"/>
            <w:tcBorders>
              <w:top w:val="single" w:color="auto" w:sz="8" w:space="0"/>
              <w:left w:val="single" w:color="auto" w:sz="8" w:space="0"/>
              <w:bottom w:val="single" w:color="auto" w:sz="8" w:space="0"/>
              <w:right w:val="single" w:color="auto" w:sz="8" w:space="0"/>
            </w:tcBorders>
            <w:noWrap w:val="0"/>
            <w:vAlign w:val="center"/>
          </w:tcPr>
          <w:p>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本</w:t>
            </w:r>
            <w:r>
              <w:rPr>
                <w:rFonts w:hint="eastAsia" w:ascii="Times New Roman" w:hAnsi="Times New Roman" w:eastAsia="宋体" w:cs="Times New Roman"/>
                <w:color w:val="auto"/>
                <w:sz w:val="24"/>
                <w:szCs w:val="24"/>
                <w:highlight w:val="none"/>
                <w:lang w:val="en-US" w:eastAsia="zh-CN"/>
              </w:rPr>
              <w:t>建设项目</w:t>
            </w:r>
            <w:r>
              <w:rPr>
                <w:rFonts w:hint="eastAsia" w:ascii="Times New Roman" w:hAnsi="Times New Roman" w:eastAsia="宋体" w:cs="Times New Roman"/>
                <w:color w:val="auto"/>
                <w:sz w:val="24"/>
                <w:szCs w:val="24"/>
                <w:highlight w:val="none"/>
                <w:lang w:eastAsia="zh-CN"/>
              </w:rPr>
              <w:t>符合国家产业政策，选址合理，平面布局合理。项目建设和运营过程中，在严格落实环评中提出的各项污染治理措施的前提下，废气、废水、噪声等均可达标排放，固体废物能得到有效、安全的处置，项目产生的污染物对周围环境产生的影响在可接受的范围内。</w:t>
            </w:r>
          </w:p>
          <w:p>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因此，本评价认为该建设项目从环保角度出发是合理可行的。</w:t>
            </w:r>
          </w:p>
          <w:p>
            <w:pPr>
              <w:pStyle w:val="8"/>
              <w:rPr>
                <w:rFonts w:hint="eastAsia" w:ascii="Times New Roman" w:hAnsi="Times New Roman" w:eastAsia="宋体" w:cs="Times New Roman"/>
                <w:color w:val="auto"/>
                <w:sz w:val="24"/>
                <w:szCs w:val="24"/>
                <w:highlight w:val="none"/>
                <w:lang w:eastAsia="zh-CN"/>
              </w:rPr>
            </w:pPr>
          </w:p>
          <w:p>
            <w:pPr>
              <w:pStyle w:val="8"/>
              <w:rPr>
                <w:rFonts w:hint="eastAsia" w:ascii="Times New Roman" w:hAnsi="Times New Roman" w:eastAsia="宋体" w:cs="Times New Roman"/>
                <w:color w:val="auto"/>
                <w:sz w:val="24"/>
                <w:szCs w:val="24"/>
                <w:highlight w:val="none"/>
                <w:lang w:eastAsia="zh-CN"/>
              </w:rPr>
            </w:pPr>
          </w:p>
          <w:p>
            <w:pPr>
              <w:pStyle w:val="8"/>
              <w:rPr>
                <w:rFonts w:hint="eastAsia" w:ascii="Times New Roman" w:hAnsi="Times New Roman" w:eastAsia="宋体" w:cs="Times New Roman"/>
                <w:color w:val="auto"/>
                <w:sz w:val="24"/>
                <w:szCs w:val="24"/>
                <w:highlight w:val="none"/>
                <w:lang w:eastAsia="zh-CN"/>
              </w:rPr>
            </w:pPr>
          </w:p>
          <w:p>
            <w:pPr>
              <w:pStyle w:val="8"/>
              <w:rPr>
                <w:rFonts w:hint="eastAsia" w:ascii="Times New Roman" w:hAnsi="Times New Roman" w:eastAsia="宋体" w:cs="Times New Roman"/>
                <w:color w:val="auto"/>
                <w:sz w:val="24"/>
                <w:szCs w:val="24"/>
                <w:highlight w:val="none"/>
                <w:lang w:eastAsia="zh-CN"/>
              </w:rPr>
            </w:pPr>
          </w:p>
          <w:p>
            <w:pPr>
              <w:pStyle w:val="8"/>
              <w:rPr>
                <w:rFonts w:hint="eastAsia" w:ascii="Times New Roman" w:hAnsi="Times New Roman" w:eastAsia="宋体" w:cs="Times New Roman"/>
                <w:color w:val="auto"/>
                <w:sz w:val="24"/>
                <w:szCs w:val="24"/>
                <w:highlight w:val="none"/>
                <w:lang w:eastAsia="zh-CN"/>
              </w:rPr>
            </w:pPr>
          </w:p>
          <w:p>
            <w:pPr>
              <w:pStyle w:val="8"/>
              <w:rPr>
                <w:rFonts w:hint="eastAsia" w:ascii="Times New Roman" w:hAnsi="Times New Roman" w:eastAsia="宋体" w:cs="Times New Roman"/>
                <w:color w:val="auto"/>
                <w:sz w:val="24"/>
                <w:szCs w:val="24"/>
                <w:highlight w:val="none"/>
                <w:lang w:eastAsia="zh-CN"/>
              </w:rPr>
            </w:pPr>
          </w:p>
          <w:p>
            <w:pPr>
              <w:pStyle w:val="8"/>
              <w:rPr>
                <w:rFonts w:hint="eastAsia" w:ascii="Times New Roman" w:hAnsi="Times New Roman" w:eastAsia="宋体" w:cs="Times New Roman"/>
                <w:color w:val="auto"/>
                <w:sz w:val="24"/>
                <w:szCs w:val="24"/>
                <w:highlight w:val="none"/>
                <w:lang w:eastAsia="zh-CN"/>
              </w:rPr>
            </w:pPr>
          </w:p>
          <w:p>
            <w:pPr>
              <w:pStyle w:val="8"/>
              <w:rPr>
                <w:rFonts w:hint="eastAsia" w:ascii="Times New Roman" w:hAnsi="Times New Roman" w:eastAsia="宋体" w:cs="Times New Roman"/>
                <w:color w:val="auto"/>
                <w:sz w:val="24"/>
                <w:szCs w:val="24"/>
                <w:highlight w:val="none"/>
                <w:lang w:eastAsia="zh-CN"/>
              </w:rPr>
            </w:pPr>
          </w:p>
          <w:p>
            <w:pPr>
              <w:pStyle w:val="8"/>
              <w:rPr>
                <w:rFonts w:hint="eastAsia" w:ascii="Times New Roman" w:hAnsi="Times New Roman" w:eastAsia="宋体" w:cs="Times New Roman"/>
                <w:color w:val="auto"/>
                <w:sz w:val="24"/>
                <w:szCs w:val="24"/>
                <w:highlight w:val="none"/>
                <w:lang w:eastAsia="zh-CN"/>
              </w:rPr>
            </w:pPr>
          </w:p>
          <w:p>
            <w:pPr>
              <w:pStyle w:val="8"/>
              <w:rPr>
                <w:rFonts w:hint="eastAsia" w:ascii="Times New Roman" w:hAnsi="Times New Roman" w:eastAsia="宋体" w:cs="Times New Roman"/>
                <w:color w:val="auto"/>
                <w:sz w:val="24"/>
                <w:szCs w:val="24"/>
                <w:highlight w:val="none"/>
                <w:lang w:eastAsia="zh-CN"/>
              </w:rPr>
            </w:pPr>
          </w:p>
          <w:p>
            <w:pPr>
              <w:pStyle w:val="8"/>
              <w:rPr>
                <w:rFonts w:hint="eastAsia" w:ascii="Times New Roman" w:hAnsi="Times New Roman" w:eastAsia="宋体" w:cs="Times New Roman"/>
                <w:color w:val="auto"/>
                <w:sz w:val="24"/>
                <w:szCs w:val="24"/>
                <w:highlight w:val="none"/>
                <w:lang w:eastAsia="zh-CN"/>
              </w:rPr>
            </w:pPr>
          </w:p>
          <w:p>
            <w:pPr>
              <w:pStyle w:val="8"/>
              <w:rPr>
                <w:rFonts w:hint="eastAsia" w:ascii="Times New Roman" w:hAnsi="Times New Roman" w:eastAsia="宋体" w:cs="Times New Roman"/>
                <w:color w:val="auto"/>
                <w:sz w:val="24"/>
                <w:szCs w:val="24"/>
                <w:highlight w:val="none"/>
                <w:lang w:eastAsia="zh-CN"/>
              </w:rPr>
            </w:pPr>
          </w:p>
          <w:p>
            <w:pPr>
              <w:pStyle w:val="8"/>
              <w:rPr>
                <w:rFonts w:hint="eastAsia" w:ascii="Times New Roman" w:hAnsi="Times New Roman" w:eastAsia="宋体" w:cs="Times New Roman"/>
                <w:color w:val="auto"/>
                <w:sz w:val="24"/>
                <w:szCs w:val="24"/>
                <w:highlight w:val="none"/>
                <w:lang w:eastAsia="zh-CN"/>
              </w:rPr>
            </w:pPr>
          </w:p>
          <w:p>
            <w:pPr>
              <w:pStyle w:val="8"/>
              <w:rPr>
                <w:rFonts w:hint="eastAsia" w:ascii="Times New Roman" w:hAnsi="Times New Roman" w:eastAsia="宋体" w:cs="Times New Roman"/>
                <w:color w:val="auto"/>
                <w:sz w:val="24"/>
                <w:szCs w:val="24"/>
                <w:highlight w:val="none"/>
                <w:lang w:eastAsia="zh-CN"/>
              </w:rPr>
            </w:pPr>
          </w:p>
          <w:p>
            <w:pPr>
              <w:pStyle w:val="8"/>
              <w:rPr>
                <w:rFonts w:hint="eastAsia" w:ascii="Times New Roman" w:hAnsi="Times New Roman" w:eastAsia="宋体" w:cs="Times New Roman"/>
                <w:color w:val="auto"/>
                <w:sz w:val="24"/>
                <w:szCs w:val="24"/>
                <w:highlight w:val="none"/>
                <w:lang w:eastAsia="zh-CN"/>
              </w:rPr>
            </w:pPr>
          </w:p>
          <w:p>
            <w:pPr>
              <w:pStyle w:val="8"/>
              <w:rPr>
                <w:rFonts w:hint="eastAsia" w:ascii="Times New Roman" w:hAnsi="Times New Roman" w:eastAsia="宋体" w:cs="Times New Roman"/>
                <w:color w:val="auto"/>
                <w:sz w:val="24"/>
                <w:szCs w:val="24"/>
                <w:highlight w:val="none"/>
                <w:lang w:eastAsia="zh-CN"/>
              </w:rPr>
            </w:pPr>
          </w:p>
          <w:p>
            <w:pPr>
              <w:pStyle w:val="8"/>
              <w:rPr>
                <w:rFonts w:hint="eastAsia" w:ascii="Times New Roman" w:hAnsi="Times New Roman" w:eastAsia="宋体" w:cs="Times New Roman"/>
                <w:color w:val="auto"/>
                <w:sz w:val="24"/>
                <w:szCs w:val="24"/>
                <w:highlight w:val="none"/>
                <w:lang w:eastAsia="zh-CN"/>
              </w:rPr>
            </w:pPr>
          </w:p>
          <w:p>
            <w:pPr>
              <w:pStyle w:val="8"/>
              <w:rPr>
                <w:rFonts w:hint="eastAsia" w:ascii="Times New Roman" w:hAnsi="Times New Roman" w:eastAsia="宋体" w:cs="Times New Roman"/>
                <w:color w:val="auto"/>
                <w:sz w:val="24"/>
                <w:szCs w:val="24"/>
                <w:highlight w:val="none"/>
                <w:lang w:eastAsia="zh-CN"/>
              </w:rPr>
            </w:pPr>
          </w:p>
          <w:p>
            <w:pPr>
              <w:pStyle w:val="8"/>
              <w:rPr>
                <w:rFonts w:hint="eastAsia" w:ascii="Times New Roman" w:hAnsi="Times New Roman" w:eastAsia="宋体" w:cs="Times New Roman"/>
                <w:color w:val="auto"/>
                <w:sz w:val="24"/>
                <w:szCs w:val="24"/>
                <w:highlight w:val="none"/>
                <w:lang w:eastAsia="zh-CN"/>
              </w:rPr>
            </w:pPr>
          </w:p>
          <w:p>
            <w:pPr>
              <w:pStyle w:val="8"/>
              <w:rPr>
                <w:rFonts w:hint="eastAsia" w:ascii="Times New Roman" w:hAnsi="Times New Roman" w:eastAsia="宋体" w:cs="Times New Roman"/>
                <w:color w:val="auto"/>
                <w:sz w:val="24"/>
                <w:szCs w:val="24"/>
                <w:highlight w:val="none"/>
                <w:lang w:eastAsia="zh-CN"/>
              </w:rPr>
            </w:pPr>
          </w:p>
          <w:p>
            <w:pPr>
              <w:pStyle w:val="8"/>
              <w:rPr>
                <w:rFonts w:hint="eastAsia" w:ascii="Times New Roman" w:hAnsi="Times New Roman" w:eastAsia="宋体" w:cs="Times New Roman"/>
                <w:color w:val="auto"/>
                <w:sz w:val="24"/>
                <w:szCs w:val="24"/>
                <w:highlight w:val="none"/>
                <w:lang w:eastAsia="zh-CN"/>
              </w:rPr>
            </w:pPr>
          </w:p>
          <w:p>
            <w:pPr>
              <w:pStyle w:val="8"/>
              <w:rPr>
                <w:rFonts w:hint="eastAsia" w:ascii="Times New Roman" w:hAnsi="Times New Roman" w:eastAsia="宋体" w:cs="Times New Roman"/>
                <w:color w:val="auto"/>
                <w:sz w:val="24"/>
                <w:szCs w:val="24"/>
                <w:highlight w:val="none"/>
                <w:lang w:eastAsia="zh-CN"/>
              </w:rPr>
            </w:pPr>
          </w:p>
          <w:p>
            <w:pPr>
              <w:pStyle w:val="8"/>
              <w:rPr>
                <w:rFonts w:hint="eastAsia" w:ascii="Times New Roman" w:hAnsi="Times New Roman" w:eastAsia="宋体" w:cs="Times New Roman"/>
                <w:color w:val="auto"/>
                <w:sz w:val="24"/>
                <w:szCs w:val="24"/>
                <w:highlight w:val="none"/>
                <w:lang w:eastAsia="zh-CN"/>
              </w:rPr>
            </w:pPr>
          </w:p>
        </w:tc>
      </w:tr>
    </w:tbl>
    <w:p>
      <w:pPr>
        <w:numPr>
          <w:ilvl w:val="0"/>
          <w:numId w:val="0"/>
        </w:numPr>
        <w:ind w:leftChars="0"/>
      </w:pPr>
    </w:p>
    <w:p>
      <w:pPr>
        <w:pStyle w:val="15"/>
        <w:sectPr>
          <w:pgSz w:w="11906" w:h="16838"/>
          <w:pgMar w:top="1440" w:right="1800" w:bottom="1440" w:left="1800" w:header="851" w:footer="992" w:gutter="0"/>
          <w:pgNumType w:fmt="decimal"/>
          <w:cols w:space="425" w:num="1"/>
          <w:docGrid w:type="lines" w:linePitch="312" w:charSpace="0"/>
        </w:sectPr>
      </w:pPr>
    </w:p>
    <w:p>
      <w:pPr>
        <w:pStyle w:val="2"/>
        <w:bidi w:val="0"/>
        <w:rPr>
          <w:rFonts w:hint="eastAsia"/>
        </w:rPr>
      </w:pPr>
      <w:bookmarkStart w:id="109" w:name="_Toc22362"/>
      <w:bookmarkStart w:id="110" w:name="_Toc4602"/>
      <w:bookmarkStart w:id="111" w:name="_Toc28086"/>
      <w:bookmarkStart w:id="112" w:name="_Toc27668"/>
      <w:bookmarkStart w:id="113" w:name="_Toc1651"/>
      <w:bookmarkStart w:id="114" w:name="_Toc6376"/>
      <w:bookmarkStart w:id="115" w:name="_Toc32091"/>
      <w:bookmarkStart w:id="116" w:name="_Toc16605"/>
      <w:bookmarkStart w:id="117" w:name="_Toc292"/>
      <w:bookmarkStart w:id="118" w:name="_Toc31409"/>
      <w:bookmarkStart w:id="119" w:name="_Toc21363"/>
      <w:bookmarkStart w:id="120" w:name="_Toc17176"/>
      <w:bookmarkStart w:id="121" w:name="_Toc11038"/>
      <w:bookmarkStart w:id="122" w:name="_Toc4710"/>
      <w:bookmarkStart w:id="123" w:name="_Toc24229"/>
      <w:bookmarkStart w:id="124" w:name="_Toc29189"/>
      <w:bookmarkStart w:id="125" w:name="_Toc21650"/>
      <w:r>
        <w:rPr>
          <w:rFonts w:hint="eastAsia"/>
        </w:rPr>
        <w:t>附表</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pPr>
        <w:bidi w:val="0"/>
        <w:jc w:val="center"/>
        <w:rPr>
          <w:rFonts w:hint="default"/>
          <w:b/>
          <w:bCs/>
          <w:sz w:val="28"/>
          <w:szCs w:val="28"/>
        </w:rPr>
      </w:pPr>
      <w:bookmarkStart w:id="126" w:name="_Toc12337"/>
      <w:bookmarkStart w:id="127" w:name="_Toc32495_WPSOffice_Level1"/>
      <w:r>
        <w:rPr>
          <w:rFonts w:hint="default"/>
          <w:b/>
          <w:bCs/>
          <w:sz w:val="28"/>
          <w:szCs w:val="28"/>
        </w:rPr>
        <w:t>建设项目污染物排放量汇总表</w:t>
      </w:r>
      <w:bookmarkEnd w:id="126"/>
      <w:bookmarkEnd w:id="127"/>
    </w:p>
    <w:tbl>
      <w:tblPr>
        <w:tblStyle w:val="28"/>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1253"/>
        <w:gridCol w:w="1375"/>
        <w:gridCol w:w="1052"/>
        <w:gridCol w:w="1763"/>
        <w:gridCol w:w="1996"/>
        <w:gridCol w:w="1684"/>
        <w:gridCol w:w="2415"/>
        <w:gridCol w:w="1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84" w:type="dxa"/>
            <w:noWrap w:val="0"/>
            <w:vAlign w:val="center"/>
          </w:tcPr>
          <w:p>
            <w:pPr>
              <w:pStyle w:val="30"/>
              <w:bidi w:val="0"/>
              <w:rPr>
                <w:sz w:val="21"/>
                <w:szCs w:val="21"/>
              </w:rPr>
            </w:pPr>
            <w:r>
              <w:rPr>
                <w:sz w:val="21"/>
                <w:szCs w:val="21"/>
              </w:rPr>
              <w:t>分类</w:t>
            </w:r>
          </w:p>
          <w:p>
            <w:pPr>
              <w:pStyle w:val="30"/>
              <w:bidi w:val="0"/>
              <w:rPr>
                <w:sz w:val="21"/>
                <w:szCs w:val="21"/>
              </w:rPr>
            </w:pPr>
            <w:r>
              <w:rPr>
                <w:sz w:val="21"/>
                <w:szCs w:val="21"/>
              </w:rPr>
              <w:t>项目</w:t>
            </w:r>
          </w:p>
        </w:tc>
        <w:tc>
          <w:tcPr>
            <w:tcW w:w="1253" w:type="dxa"/>
            <w:noWrap w:val="0"/>
            <w:vAlign w:val="center"/>
          </w:tcPr>
          <w:p>
            <w:pPr>
              <w:pStyle w:val="30"/>
              <w:bidi w:val="0"/>
              <w:rPr>
                <w:sz w:val="21"/>
                <w:szCs w:val="21"/>
              </w:rPr>
            </w:pPr>
            <w:r>
              <w:rPr>
                <w:sz w:val="21"/>
                <w:szCs w:val="21"/>
              </w:rPr>
              <w:t>污染物名称</w:t>
            </w:r>
          </w:p>
        </w:tc>
        <w:tc>
          <w:tcPr>
            <w:tcW w:w="1375" w:type="dxa"/>
            <w:noWrap w:val="0"/>
            <w:vAlign w:val="center"/>
          </w:tcPr>
          <w:p>
            <w:pPr>
              <w:pStyle w:val="30"/>
              <w:bidi w:val="0"/>
              <w:rPr>
                <w:sz w:val="21"/>
                <w:szCs w:val="21"/>
              </w:rPr>
            </w:pPr>
            <w:r>
              <w:rPr>
                <w:sz w:val="21"/>
                <w:szCs w:val="21"/>
              </w:rPr>
              <w:t>现有工程排放量（固体废物产生量）①</w:t>
            </w:r>
          </w:p>
        </w:tc>
        <w:tc>
          <w:tcPr>
            <w:tcW w:w="1052" w:type="dxa"/>
            <w:noWrap w:val="0"/>
            <w:vAlign w:val="center"/>
          </w:tcPr>
          <w:p>
            <w:pPr>
              <w:pStyle w:val="30"/>
              <w:bidi w:val="0"/>
              <w:rPr>
                <w:sz w:val="21"/>
                <w:szCs w:val="21"/>
              </w:rPr>
            </w:pPr>
            <w:r>
              <w:rPr>
                <w:sz w:val="21"/>
                <w:szCs w:val="21"/>
              </w:rPr>
              <w:t>现有工程许可排放量②</w:t>
            </w:r>
          </w:p>
        </w:tc>
        <w:tc>
          <w:tcPr>
            <w:tcW w:w="1763" w:type="dxa"/>
            <w:noWrap w:val="0"/>
            <w:vAlign w:val="center"/>
          </w:tcPr>
          <w:p>
            <w:pPr>
              <w:pStyle w:val="30"/>
              <w:bidi w:val="0"/>
              <w:rPr>
                <w:sz w:val="21"/>
                <w:szCs w:val="21"/>
              </w:rPr>
            </w:pPr>
            <w:r>
              <w:rPr>
                <w:sz w:val="21"/>
                <w:szCs w:val="21"/>
              </w:rPr>
              <w:t>在建工程排放量（固体废物产生量）③</w:t>
            </w:r>
          </w:p>
        </w:tc>
        <w:tc>
          <w:tcPr>
            <w:tcW w:w="1996" w:type="dxa"/>
            <w:noWrap w:val="0"/>
            <w:vAlign w:val="center"/>
          </w:tcPr>
          <w:p>
            <w:pPr>
              <w:pStyle w:val="30"/>
              <w:bidi w:val="0"/>
              <w:rPr>
                <w:sz w:val="21"/>
                <w:szCs w:val="21"/>
              </w:rPr>
            </w:pPr>
            <w:r>
              <w:rPr>
                <w:sz w:val="21"/>
                <w:szCs w:val="21"/>
              </w:rPr>
              <w:t>本项目排放量（固体废物产生量）④</w:t>
            </w:r>
          </w:p>
        </w:tc>
        <w:tc>
          <w:tcPr>
            <w:tcW w:w="1684" w:type="dxa"/>
            <w:noWrap w:val="0"/>
            <w:vAlign w:val="center"/>
          </w:tcPr>
          <w:p>
            <w:pPr>
              <w:pStyle w:val="30"/>
              <w:bidi w:val="0"/>
              <w:rPr>
                <w:sz w:val="21"/>
                <w:szCs w:val="21"/>
              </w:rPr>
            </w:pPr>
            <w:r>
              <w:rPr>
                <w:sz w:val="21"/>
                <w:szCs w:val="21"/>
              </w:rPr>
              <w:t>以新带老削减量（新建项目不填）⑤</w:t>
            </w:r>
          </w:p>
        </w:tc>
        <w:tc>
          <w:tcPr>
            <w:tcW w:w="2415" w:type="dxa"/>
            <w:noWrap w:val="0"/>
            <w:vAlign w:val="center"/>
          </w:tcPr>
          <w:p>
            <w:pPr>
              <w:pStyle w:val="30"/>
              <w:bidi w:val="0"/>
              <w:rPr>
                <w:sz w:val="21"/>
                <w:szCs w:val="21"/>
              </w:rPr>
            </w:pPr>
            <w:r>
              <w:rPr>
                <w:sz w:val="21"/>
                <w:szCs w:val="21"/>
              </w:rPr>
              <w:t>本项目建成后全厂排放量（固体废物产生量）⑥</w:t>
            </w:r>
          </w:p>
        </w:tc>
        <w:tc>
          <w:tcPr>
            <w:tcW w:w="1752" w:type="dxa"/>
            <w:noWrap w:val="0"/>
            <w:vAlign w:val="center"/>
          </w:tcPr>
          <w:p>
            <w:pPr>
              <w:pStyle w:val="30"/>
              <w:bidi w:val="0"/>
              <w:rPr>
                <w:sz w:val="21"/>
                <w:szCs w:val="21"/>
              </w:rPr>
            </w:pPr>
            <w:r>
              <w:rPr>
                <w:sz w:val="21"/>
                <w:szCs w:val="21"/>
              </w:rPr>
              <w:t>变化量⑦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84" w:type="dxa"/>
            <w:vMerge w:val="restart"/>
            <w:noWrap w:val="0"/>
            <w:vAlign w:val="center"/>
          </w:tcPr>
          <w:p>
            <w:pPr>
              <w:pStyle w:val="30"/>
              <w:bidi w:val="0"/>
              <w:rPr>
                <w:sz w:val="21"/>
                <w:szCs w:val="21"/>
              </w:rPr>
            </w:pPr>
            <w:r>
              <w:rPr>
                <w:sz w:val="21"/>
                <w:szCs w:val="21"/>
              </w:rPr>
              <w:t>废气</w:t>
            </w:r>
          </w:p>
        </w:tc>
        <w:tc>
          <w:tcPr>
            <w:tcW w:w="1253" w:type="dxa"/>
            <w:noWrap w:val="0"/>
            <w:vAlign w:val="center"/>
          </w:tcPr>
          <w:p>
            <w:pPr>
              <w:pStyle w:val="30"/>
              <w:bidi w:val="0"/>
              <w:rPr>
                <w:sz w:val="21"/>
                <w:szCs w:val="21"/>
              </w:rPr>
            </w:pPr>
            <w:r>
              <w:rPr>
                <w:sz w:val="21"/>
                <w:szCs w:val="21"/>
              </w:rPr>
              <w:t>硫化氢</w:t>
            </w:r>
          </w:p>
        </w:tc>
        <w:tc>
          <w:tcPr>
            <w:tcW w:w="1375" w:type="dxa"/>
            <w:noWrap w:val="0"/>
            <w:vAlign w:val="center"/>
          </w:tcPr>
          <w:p>
            <w:pPr>
              <w:pStyle w:val="30"/>
              <w:bidi w:val="0"/>
              <w:rPr>
                <w:sz w:val="21"/>
                <w:szCs w:val="21"/>
              </w:rPr>
            </w:pPr>
            <w:r>
              <w:rPr>
                <w:sz w:val="21"/>
                <w:szCs w:val="21"/>
              </w:rPr>
              <w:t>/</w:t>
            </w:r>
          </w:p>
        </w:tc>
        <w:tc>
          <w:tcPr>
            <w:tcW w:w="1052" w:type="dxa"/>
            <w:noWrap w:val="0"/>
            <w:vAlign w:val="center"/>
          </w:tcPr>
          <w:p>
            <w:pPr>
              <w:pStyle w:val="30"/>
              <w:bidi w:val="0"/>
              <w:rPr>
                <w:sz w:val="21"/>
                <w:szCs w:val="21"/>
              </w:rPr>
            </w:pPr>
            <w:r>
              <w:rPr>
                <w:sz w:val="21"/>
                <w:szCs w:val="21"/>
              </w:rPr>
              <w:t>/</w:t>
            </w:r>
          </w:p>
        </w:tc>
        <w:tc>
          <w:tcPr>
            <w:tcW w:w="1763" w:type="dxa"/>
            <w:noWrap w:val="0"/>
            <w:vAlign w:val="center"/>
          </w:tcPr>
          <w:p>
            <w:pPr>
              <w:pStyle w:val="30"/>
              <w:bidi w:val="0"/>
              <w:rPr>
                <w:sz w:val="21"/>
                <w:szCs w:val="21"/>
              </w:rPr>
            </w:pPr>
            <w:r>
              <w:rPr>
                <w:sz w:val="21"/>
                <w:szCs w:val="21"/>
              </w:rPr>
              <w:t>/</w:t>
            </w:r>
          </w:p>
        </w:tc>
        <w:tc>
          <w:tcPr>
            <w:tcW w:w="1996" w:type="dxa"/>
            <w:noWrap w:val="0"/>
            <w:vAlign w:val="center"/>
          </w:tcPr>
          <w:p>
            <w:pPr>
              <w:pStyle w:val="30"/>
              <w:bidi w:val="0"/>
              <w:rPr>
                <w:sz w:val="21"/>
                <w:szCs w:val="21"/>
              </w:rPr>
            </w:pPr>
            <w:r>
              <w:rPr>
                <w:rFonts w:hint="eastAsia"/>
                <w:sz w:val="21"/>
                <w:szCs w:val="21"/>
              </w:rPr>
              <w:t>0.000</w:t>
            </w:r>
            <w:r>
              <w:rPr>
                <w:rFonts w:hint="eastAsia"/>
                <w:sz w:val="21"/>
                <w:szCs w:val="21"/>
                <w:lang w:val="en-US" w:eastAsia="zh-CN"/>
              </w:rPr>
              <w:t>8</w:t>
            </w:r>
            <w:r>
              <w:rPr>
                <w:rFonts w:hint="eastAsia"/>
                <w:sz w:val="21"/>
                <w:szCs w:val="21"/>
              </w:rPr>
              <w:t>t</w:t>
            </w:r>
            <w:r>
              <w:rPr>
                <w:sz w:val="21"/>
                <w:szCs w:val="21"/>
              </w:rPr>
              <w:t>/a</w:t>
            </w:r>
          </w:p>
        </w:tc>
        <w:tc>
          <w:tcPr>
            <w:tcW w:w="1684" w:type="dxa"/>
            <w:noWrap w:val="0"/>
            <w:vAlign w:val="center"/>
          </w:tcPr>
          <w:p>
            <w:pPr>
              <w:pStyle w:val="30"/>
              <w:bidi w:val="0"/>
              <w:rPr>
                <w:sz w:val="21"/>
                <w:szCs w:val="21"/>
              </w:rPr>
            </w:pPr>
            <w:r>
              <w:rPr>
                <w:sz w:val="21"/>
                <w:szCs w:val="21"/>
              </w:rPr>
              <w:t>/</w:t>
            </w:r>
          </w:p>
        </w:tc>
        <w:tc>
          <w:tcPr>
            <w:tcW w:w="2415" w:type="dxa"/>
            <w:shd w:val="clear" w:color="auto" w:fill="auto"/>
            <w:noWrap w:val="0"/>
            <w:vAlign w:val="center"/>
          </w:tcPr>
          <w:p>
            <w:pPr>
              <w:pStyle w:val="30"/>
              <w:bidi w:val="0"/>
              <w:rPr>
                <w:rFonts w:ascii="Times New Roman" w:hAnsi="Times New Roman" w:eastAsia="宋体" w:cstheme="minorBidi"/>
                <w:snapToGrid w:val="0"/>
                <w:spacing w:val="6"/>
                <w:kern w:val="2"/>
                <w:sz w:val="21"/>
                <w:szCs w:val="21"/>
                <w:lang w:val="en-US" w:eastAsia="zh-CN" w:bidi="ar-SA"/>
              </w:rPr>
            </w:pPr>
            <w:r>
              <w:rPr>
                <w:rFonts w:hint="eastAsia"/>
                <w:sz w:val="21"/>
                <w:szCs w:val="21"/>
              </w:rPr>
              <w:t>0.000</w:t>
            </w:r>
            <w:r>
              <w:rPr>
                <w:rFonts w:hint="eastAsia"/>
                <w:sz w:val="21"/>
                <w:szCs w:val="21"/>
                <w:lang w:val="en-US" w:eastAsia="zh-CN"/>
              </w:rPr>
              <w:t>8</w:t>
            </w:r>
            <w:r>
              <w:rPr>
                <w:rFonts w:hint="eastAsia"/>
                <w:sz w:val="21"/>
                <w:szCs w:val="21"/>
              </w:rPr>
              <w:t>t</w:t>
            </w:r>
            <w:r>
              <w:rPr>
                <w:sz w:val="21"/>
                <w:szCs w:val="21"/>
              </w:rPr>
              <w:t>/a</w:t>
            </w:r>
          </w:p>
        </w:tc>
        <w:tc>
          <w:tcPr>
            <w:tcW w:w="1752" w:type="dxa"/>
            <w:noWrap w:val="0"/>
            <w:vAlign w:val="center"/>
          </w:tcPr>
          <w:p>
            <w:pPr>
              <w:pStyle w:val="30"/>
              <w:bidi w:val="0"/>
              <w:rPr>
                <w:rFonts w:hint="eastAsia" w:eastAsia="宋体"/>
                <w:sz w:val="21"/>
                <w:szCs w:val="21"/>
                <w:lang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84" w:type="dxa"/>
            <w:vMerge w:val="continue"/>
            <w:noWrap w:val="0"/>
            <w:vAlign w:val="center"/>
          </w:tcPr>
          <w:p>
            <w:pPr>
              <w:pStyle w:val="30"/>
              <w:bidi w:val="0"/>
              <w:rPr>
                <w:sz w:val="21"/>
                <w:szCs w:val="21"/>
              </w:rPr>
            </w:pPr>
          </w:p>
        </w:tc>
        <w:tc>
          <w:tcPr>
            <w:tcW w:w="1253" w:type="dxa"/>
            <w:noWrap w:val="0"/>
            <w:vAlign w:val="center"/>
          </w:tcPr>
          <w:p>
            <w:pPr>
              <w:pStyle w:val="30"/>
              <w:bidi w:val="0"/>
              <w:rPr>
                <w:rFonts w:hint="eastAsia"/>
                <w:sz w:val="21"/>
                <w:szCs w:val="21"/>
              </w:rPr>
            </w:pPr>
            <w:r>
              <w:rPr>
                <w:sz w:val="21"/>
                <w:szCs w:val="21"/>
              </w:rPr>
              <w:t>氨气</w:t>
            </w:r>
          </w:p>
        </w:tc>
        <w:tc>
          <w:tcPr>
            <w:tcW w:w="1375" w:type="dxa"/>
            <w:noWrap w:val="0"/>
            <w:vAlign w:val="center"/>
          </w:tcPr>
          <w:p>
            <w:pPr>
              <w:pStyle w:val="30"/>
              <w:bidi w:val="0"/>
              <w:rPr>
                <w:sz w:val="21"/>
                <w:szCs w:val="21"/>
              </w:rPr>
            </w:pPr>
            <w:r>
              <w:rPr>
                <w:sz w:val="21"/>
                <w:szCs w:val="21"/>
              </w:rPr>
              <w:t>/</w:t>
            </w:r>
          </w:p>
        </w:tc>
        <w:tc>
          <w:tcPr>
            <w:tcW w:w="1052" w:type="dxa"/>
            <w:noWrap w:val="0"/>
            <w:vAlign w:val="center"/>
          </w:tcPr>
          <w:p>
            <w:pPr>
              <w:pStyle w:val="30"/>
              <w:bidi w:val="0"/>
              <w:rPr>
                <w:sz w:val="21"/>
                <w:szCs w:val="21"/>
              </w:rPr>
            </w:pPr>
            <w:r>
              <w:rPr>
                <w:sz w:val="21"/>
                <w:szCs w:val="21"/>
              </w:rPr>
              <w:t>/</w:t>
            </w:r>
          </w:p>
        </w:tc>
        <w:tc>
          <w:tcPr>
            <w:tcW w:w="1763" w:type="dxa"/>
            <w:noWrap w:val="0"/>
            <w:vAlign w:val="center"/>
          </w:tcPr>
          <w:p>
            <w:pPr>
              <w:pStyle w:val="30"/>
              <w:bidi w:val="0"/>
              <w:rPr>
                <w:sz w:val="21"/>
                <w:szCs w:val="21"/>
              </w:rPr>
            </w:pPr>
            <w:r>
              <w:rPr>
                <w:sz w:val="21"/>
                <w:szCs w:val="21"/>
              </w:rPr>
              <w:t>/</w:t>
            </w:r>
          </w:p>
        </w:tc>
        <w:tc>
          <w:tcPr>
            <w:tcW w:w="1996" w:type="dxa"/>
            <w:noWrap w:val="0"/>
            <w:vAlign w:val="center"/>
          </w:tcPr>
          <w:p>
            <w:pPr>
              <w:pStyle w:val="30"/>
              <w:bidi w:val="0"/>
              <w:rPr>
                <w:sz w:val="21"/>
                <w:szCs w:val="21"/>
              </w:rPr>
            </w:pPr>
            <w:r>
              <w:rPr>
                <w:rFonts w:hint="eastAsia"/>
                <w:sz w:val="21"/>
                <w:szCs w:val="21"/>
              </w:rPr>
              <w:t>0.0</w:t>
            </w:r>
            <w:r>
              <w:rPr>
                <w:rFonts w:hint="eastAsia"/>
                <w:sz w:val="21"/>
                <w:szCs w:val="21"/>
                <w:lang w:val="en-US" w:eastAsia="zh-CN"/>
              </w:rPr>
              <w:t>21</w:t>
            </w:r>
            <w:r>
              <w:rPr>
                <w:rFonts w:hint="eastAsia"/>
                <w:sz w:val="21"/>
                <w:szCs w:val="21"/>
              </w:rPr>
              <w:t>1</w:t>
            </w:r>
            <w:r>
              <w:rPr>
                <w:sz w:val="21"/>
                <w:szCs w:val="21"/>
              </w:rPr>
              <w:t>t/a</w:t>
            </w:r>
          </w:p>
        </w:tc>
        <w:tc>
          <w:tcPr>
            <w:tcW w:w="1684" w:type="dxa"/>
            <w:noWrap w:val="0"/>
            <w:vAlign w:val="center"/>
          </w:tcPr>
          <w:p>
            <w:pPr>
              <w:pStyle w:val="30"/>
              <w:bidi w:val="0"/>
              <w:rPr>
                <w:sz w:val="21"/>
                <w:szCs w:val="21"/>
              </w:rPr>
            </w:pPr>
            <w:r>
              <w:rPr>
                <w:sz w:val="21"/>
                <w:szCs w:val="21"/>
              </w:rPr>
              <w:t>/</w:t>
            </w:r>
          </w:p>
        </w:tc>
        <w:tc>
          <w:tcPr>
            <w:tcW w:w="2415" w:type="dxa"/>
            <w:shd w:val="clear" w:color="auto" w:fill="auto"/>
            <w:noWrap w:val="0"/>
            <w:vAlign w:val="center"/>
          </w:tcPr>
          <w:p>
            <w:pPr>
              <w:pStyle w:val="30"/>
              <w:bidi w:val="0"/>
              <w:rPr>
                <w:rFonts w:ascii="Times New Roman" w:hAnsi="Times New Roman" w:eastAsia="宋体" w:cstheme="minorBidi"/>
                <w:snapToGrid w:val="0"/>
                <w:spacing w:val="6"/>
                <w:kern w:val="2"/>
                <w:sz w:val="21"/>
                <w:szCs w:val="21"/>
                <w:lang w:val="en-US" w:eastAsia="zh-CN" w:bidi="ar-SA"/>
              </w:rPr>
            </w:pPr>
            <w:r>
              <w:rPr>
                <w:rFonts w:hint="eastAsia"/>
                <w:sz w:val="21"/>
                <w:szCs w:val="21"/>
              </w:rPr>
              <w:t>0.0</w:t>
            </w:r>
            <w:r>
              <w:rPr>
                <w:rFonts w:hint="eastAsia"/>
                <w:sz w:val="21"/>
                <w:szCs w:val="21"/>
                <w:lang w:val="en-US" w:eastAsia="zh-CN"/>
              </w:rPr>
              <w:t>21</w:t>
            </w:r>
            <w:r>
              <w:rPr>
                <w:rFonts w:hint="eastAsia"/>
                <w:sz w:val="21"/>
                <w:szCs w:val="21"/>
              </w:rPr>
              <w:t>1</w:t>
            </w:r>
            <w:r>
              <w:rPr>
                <w:sz w:val="21"/>
                <w:szCs w:val="21"/>
              </w:rPr>
              <w:t>t/a</w:t>
            </w:r>
          </w:p>
        </w:tc>
        <w:tc>
          <w:tcPr>
            <w:tcW w:w="1752" w:type="dxa"/>
            <w:noWrap w:val="0"/>
            <w:vAlign w:val="center"/>
          </w:tcPr>
          <w:p>
            <w:pPr>
              <w:pStyle w:val="30"/>
              <w:bidi w:val="0"/>
              <w:rPr>
                <w:rFonts w:hint="eastAsia" w:eastAsia="宋体"/>
                <w:sz w:val="21"/>
                <w:szCs w:val="21"/>
                <w:lang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84" w:type="dxa"/>
            <w:vMerge w:val="continue"/>
            <w:noWrap w:val="0"/>
            <w:vAlign w:val="center"/>
          </w:tcPr>
          <w:p>
            <w:pPr>
              <w:pStyle w:val="30"/>
              <w:bidi w:val="0"/>
              <w:rPr>
                <w:sz w:val="21"/>
                <w:szCs w:val="21"/>
              </w:rPr>
            </w:pPr>
          </w:p>
        </w:tc>
        <w:tc>
          <w:tcPr>
            <w:tcW w:w="1253" w:type="dxa"/>
            <w:noWrap w:val="0"/>
            <w:vAlign w:val="center"/>
          </w:tcPr>
          <w:p>
            <w:pPr>
              <w:pStyle w:val="30"/>
              <w:bidi w:val="0"/>
              <w:rPr>
                <w:sz w:val="21"/>
                <w:szCs w:val="21"/>
              </w:rPr>
            </w:pPr>
            <w:r>
              <w:rPr>
                <w:sz w:val="21"/>
                <w:szCs w:val="21"/>
              </w:rPr>
              <w:t>油烟</w:t>
            </w:r>
          </w:p>
        </w:tc>
        <w:tc>
          <w:tcPr>
            <w:tcW w:w="1375" w:type="dxa"/>
            <w:noWrap w:val="0"/>
            <w:vAlign w:val="center"/>
          </w:tcPr>
          <w:p>
            <w:pPr>
              <w:pStyle w:val="30"/>
              <w:bidi w:val="0"/>
              <w:rPr>
                <w:sz w:val="21"/>
                <w:szCs w:val="21"/>
              </w:rPr>
            </w:pPr>
          </w:p>
        </w:tc>
        <w:tc>
          <w:tcPr>
            <w:tcW w:w="1052" w:type="dxa"/>
            <w:noWrap w:val="0"/>
            <w:vAlign w:val="center"/>
          </w:tcPr>
          <w:p>
            <w:pPr>
              <w:pStyle w:val="30"/>
              <w:bidi w:val="0"/>
              <w:rPr>
                <w:sz w:val="21"/>
                <w:szCs w:val="21"/>
              </w:rPr>
            </w:pPr>
          </w:p>
        </w:tc>
        <w:tc>
          <w:tcPr>
            <w:tcW w:w="1763" w:type="dxa"/>
            <w:noWrap w:val="0"/>
            <w:vAlign w:val="center"/>
          </w:tcPr>
          <w:p>
            <w:pPr>
              <w:pStyle w:val="30"/>
              <w:bidi w:val="0"/>
              <w:rPr>
                <w:sz w:val="21"/>
                <w:szCs w:val="21"/>
              </w:rPr>
            </w:pPr>
          </w:p>
        </w:tc>
        <w:tc>
          <w:tcPr>
            <w:tcW w:w="1996" w:type="dxa"/>
            <w:noWrap w:val="0"/>
            <w:vAlign w:val="center"/>
          </w:tcPr>
          <w:p>
            <w:pPr>
              <w:pStyle w:val="30"/>
              <w:bidi w:val="0"/>
              <w:rPr>
                <w:rFonts w:hint="eastAsia"/>
                <w:sz w:val="21"/>
                <w:szCs w:val="21"/>
              </w:rPr>
            </w:pPr>
            <w:r>
              <w:rPr>
                <w:rFonts w:hint="eastAsia"/>
                <w:sz w:val="21"/>
                <w:szCs w:val="21"/>
              </w:rPr>
              <w:t>0.0</w:t>
            </w:r>
            <w:r>
              <w:rPr>
                <w:rFonts w:hint="eastAsia"/>
                <w:sz w:val="21"/>
                <w:szCs w:val="21"/>
                <w:lang w:val="en-US" w:eastAsia="zh-CN"/>
              </w:rPr>
              <w:t>23</w:t>
            </w:r>
            <w:r>
              <w:rPr>
                <w:sz w:val="21"/>
                <w:szCs w:val="21"/>
              </w:rPr>
              <w:t>t/a</w:t>
            </w:r>
          </w:p>
        </w:tc>
        <w:tc>
          <w:tcPr>
            <w:tcW w:w="1684" w:type="dxa"/>
            <w:noWrap w:val="0"/>
            <w:vAlign w:val="center"/>
          </w:tcPr>
          <w:p>
            <w:pPr>
              <w:pStyle w:val="30"/>
              <w:bidi w:val="0"/>
              <w:rPr>
                <w:sz w:val="21"/>
                <w:szCs w:val="21"/>
              </w:rPr>
            </w:pPr>
            <w:r>
              <w:rPr>
                <w:sz w:val="21"/>
                <w:szCs w:val="21"/>
              </w:rPr>
              <w:t>/</w:t>
            </w:r>
          </w:p>
        </w:tc>
        <w:tc>
          <w:tcPr>
            <w:tcW w:w="2415" w:type="dxa"/>
            <w:shd w:val="clear" w:color="auto" w:fill="auto"/>
            <w:noWrap w:val="0"/>
            <w:vAlign w:val="center"/>
          </w:tcPr>
          <w:p>
            <w:pPr>
              <w:pStyle w:val="30"/>
              <w:bidi w:val="0"/>
              <w:rPr>
                <w:rFonts w:hint="eastAsia" w:ascii="Times New Roman" w:hAnsi="Times New Roman" w:eastAsia="宋体" w:cstheme="minorBidi"/>
                <w:snapToGrid w:val="0"/>
                <w:spacing w:val="6"/>
                <w:kern w:val="2"/>
                <w:sz w:val="21"/>
                <w:szCs w:val="21"/>
                <w:lang w:val="en-US" w:eastAsia="zh-CN" w:bidi="ar-SA"/>
              </w:rPr>
            </w:pPr>
            <w:r>
              <w:rPr>
                <w:rFonts w:hint="eastAsia"/>
                <w:sz w:val="21"/>
                <w:szCs w:val="21"/>
              </w:rPr>
              <w:t>0.0</w:t>
            </w:r>
            <w:r>
              <w:rPr>
                <w:rFonts w:hint="eastAsia"/>
                <w:sz w:val="21"/>
                <w:szCs w:val="21"/>
                <w:lang w:val="en-US" w:eastAsia="zh-CN"/>
              </w:rPr>
              <w:t>23</w:t>
            </w:r>
            <w:r>
              <w:rPr>
                <w:sz w:val="21"/>
                <w:szCs w:val="21"/>
              </w:rPr>
              <w:t>t/a</w:t>
            </w:r>
          </w:p>
        </w:tc>
        <w:tc>
          <w:tcPr>
            <w:tcW w:w="1752" w:type="dxa"/>
            <w:noWrap w:val="0"/>
            <w:vAlign w:val="center"/>
          </w:tcPr>
          <w:p>
            <w:pPr>
              <w:pStyle w:val="30"/>
              <w:bidi w:val="0"/>
              <w:rPr>
                <w:rFonts w:hint="eastAsia" w:eastAsia="宋体"/>
                <w:sz w:val="21"/>
                <w:szCs w:val="21"/>
                <w:lang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84" w:type="dxa"/>
            <w:vMerge w:val="restart"/>
            <w:noWrap w:val="0"/>
            <w:vAlign w:val="center"/>
          </w:tcPr>
          <w:p>
            <w:pPr>
              <w:pStyle w:val="30"/>
              <w:bidi w:val="0"/>
              <w:rPr>
                <w:sz w:val="21"/>
                <w:szCs w:val="21"/>
              </w:rPr>
            </w:pPr>
            <w:r>
              <w:rPr>
                <w:sz w:val="21"/>
                <w:szCs w:val="21"/>
              </w:rPr>
              <w:t>废水</w:t>
            </w:r>
          </w:p>
        </w:tc>
        <w:tc>
          <w:tcPr>
            <w:tcW w:w="1253" w:type="dxa"/>
            <w:noWrap w:val="0"/>
            <w:vAlign w:val="center"/>
          </w:tcPr>
          <w:p>
            <w:pPr>
              <w:pStyle w:val="30"/>
              <w:bidi w:val="0"/>
              <w:rPr>
                <w:sz w:val="21"/>
                <w:szCs w:val="21"/>
              </w:rPr>
            </w:pPr>
            <w:r>
              <w:rPr>
                <w:sz w:val="21"/>
                <w:szCs w:val="21"/>
              </w:rPr>
              <w:t>废水量</w:t>
            </w:r>
          </w:p>
        </w:tc>
        <w:tc>
          <w:tcPr>
            <w:tcW w:w="1375" w:type="dxa"/>
            <w:noWrap w:val="0"/>
            <w:vAlign w:val="center"/>
          </w:tcPr>
          <w:p>
            <w:pPr>
              <w:pStyle w:val="30"/>
              <w:bidi w:val="0"/>
              <w:rPr>
                <w:sz w:val="21"/>
                <w:szCs w:val="21"/>
              </w:rPr>
            </w:pPr>
            <w:r>
              <w:rPr>
                <w:sz w:val="21"/>
                <w:szCs w:val="21"/>
              </w:rPr>
              <w:t>/</w:t>
            </w:r>
          </w:p>
        </w:tc>
        <w:tc>
          <w:tcPr>
            <w:tcW w:w="1052" w:type="dxa"/>
            <w:noWrap w:val="0"/>
            <w:vAlign w:val="center"/>
          </w:tcPr>
          <w:p>
            <w:pPr>
              <w:pStyle w:val="30"/>
              <w:bidi w:val="0"/>
              <w:rPr>
                <w:sz w:val="21"/>
                <w:szCs w:val="21"/>
              </w:rPr>
            </w:pPr>
            <w:r>
              <w:rPr>
                <w:sz w:val="21"/>
                <w:szCs w:val="21"/>
              </w:rPr>
              <w:t>/</w:t>
            </w:r>
          </w:p>
        </w:tc>
        <w:tc>
          <w:tcPr>
            <w:tcW w:w="1763" w:type="dxa"/>
            <w:noWrap w:val="0"/>
            <w:vAlign w:val="center"/>
          </w:tcPr>
          <w:p>
            <w:pPr>
              <w:pStyle w:val="30"/>
              <w:bidi w:val="0"/>
              <w:rPr>
                <w:sz w:val="21"/>
                <w:szCs w:val="21"/>
              </w:rPr>
            </w:pPr>
            <w:r>
              <w:rPr>
                <w:sz w:val="21"/>
                <w:szCs w:val="21"/>
              </w:rPr>
              <w:t>/</w:t>
            </w:r>
          </w:p>
        </w:tc>
        <w:tc>
          <w:tcPr>
            <w:tcW w:w="1996" w:type="dxa"/>
            <w:noWrap w:val="0"/>
            <w:vAlign w:val="center"/>
          </w:tcPr>
          <w:p>
            <w:pPr>
              <w:pStyle w:val="30"/>
              <w:bidi w:val="0"/>
              <w:rPr>
                <w:sz w:val="21"/>
                <w:szCs w:val="21"/>
              </w:rPr>
            </w:pPr>
            <w:r>
              <w:rPr>
                <w:rFonts w:hint="eastAsia"/>
                <w:sz w:val="21"/>
                <w:szCs w:val="21"/>
                <w:lang w:val="en-US" w:eastAsia="zh-CN"/>
              </w:rPr>
              <w:t>51318.27</w:t>
            </w:r>
            <w:r>
              <w:rPr>
                <w:sz w:val="21"/>
                <w:szCs w:val="21"/>
              </w:rPr>
              <w:t>t/a</w:t>
            </w:r>
          </w:p>
        </w:tc>
        <w:tc>
          <w:tcPr>
            <w:tcW w:w="1684" w:type="dxa"/>
            <w:noWrap w:val="0"/>
            <w:vAlign w:val="center"/>
          </w:tcPr>
          <w:p>
            <w:pPr>
              <w:pStyle w:val="30"/>
              <w:bidi w:val="0"/>
              <w:rPr>
                <w:sz w:val="21"/>
                <w:szCs w:val="21"/>
              </w:rPr>
            </w:pPr>
            <w:r>
              <w:rPr>
                <w:sz w:val="21"/>
                <w:szCs w:val="21"/>
              </w:rPr>
              <w:t>/</w:t>
            </w:r>
          </w:p>
        </w:tc>
        <w:tc>
          <w:tcPr>
            <w:tcW w:w="2415" w:type="dxa"/>
            <w:shd w:val="clear" w:color="auto" w:fill="auto"/>
            <w:noWrap w:val="0"/>
            <w:vAlign w:val="center"/>
          </w:tcPr>
          <w:p>
            <w:pPr>
              <w:pStyle w:val="30"/>
              <w:bidi w:val="0"/>
              <w:rPr>
                <w:rFonts w:ascii="Times New Roman" w:hAnsi="Times New Roman" w:eastAsia="宋体" w:cstheme="minorBidi"/>
                <w:snapToGrid w:val="0"/>
                <w:spacing w:val="6"/>
                <w:kern w:val="2"/>
                <w:sz w:val="21"/>
                <w:szCs w:val="21"/>
                <w:lang w:val="en-US" w:eastAsia="zh-CN" w:bidi="ar-SA"/>
              </w:rPr>
            </w:pPr>
            <w:r>
              <w:rPr>
                <w:rFonts w:hint="eastAsia"/>
                <w:sz w:val="21"/>
                <w:szCs w:val="21"/>
                <w:lang w:val="en-US" w:eastAsia="zh-CN"/>
              </w:rPr>
              <w:t>51318.27</w:t>
            </w:r>
            <w:r>
              <w:rPr>
                <w:sz w:val="21"/>
                <w:szCs w:val="21"/>
              </w:rPr>
              <w:t>t/a</w:t>
            </w:r>
          </w:p>
        </w:tc>
        <w:tc>
          <w:tcPr>
            <w:tcW w:w="1752" w:type="dxa"/>
            <w:noWrap w:val="0"/>
            <w:vAlign w:val="center"/>
          </w:tcPr>
          <w:p>
            <w:pPr>
              <w:pStyle w:val="30"/>
              <w:bidi w:val="0"/>
              <w:rPr>
                <w:rFonts w:hint="eastAsia" w:eastAsia="宋体"/>
                <w:sz w:val="21"/>
                <w:szCs w:val="21"/>
                <w:lang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84" w:type="dxa"/>
            <w:vMerge w:val="continue"/>
            <w:noWrap w:val="0"/>
            <w:vAlign w:val="center"/>
          </w:tcPr>
          <w:p>
            <w:pPr>
              <w:pStyle w:val="30"/>
              <w:bidi w:val="0"/>
              <w:rPr>
                <w:sz w:val="21"/>
                <w:szCs w:val="21"/>
              </w:rPr>
            </w:pPr>
          </w:p>
        </w:tc>
        <w:tc>
          <w:tcPr>
            <w:tcW w:w="1253" w:type="dxa"/>
            <w:noWrap w:val="0"/>
            <w:vAlign w:val="center"/>
          </w:tcPr>
          <w:p>
            <w:pPr>
              <w:pStyle w:val="30"/>
              <w:bidi w:val="0"/>
              <w:rPr>
                <w:sz w:val="21"/>
                <w:szCs w:val="21"/>
              </w:rPr>
            </w:pPr>
            <w:r>
              <w:rPr>
                <w:sz w:val="21"/>
                <w:szCs w:val="21"/>
              </w:rPr>
              <w:t>CODCr</w:t>
            </w:r>
          </w:p>
        </w:tc>
        <w:tc>
          <w:tcPr>
            <w:tcW w:w="1375" w:type="dxa"/>
            <w:noWrap w:val="0"/>
            <w:vAlign w:val="center"/>
          </w:tcPr>
          <w:p>
            <w:pPr>
              <w:pStyle w:val="30"/>
              <w:bidi w:val="0"/>
              <w:rPr>
                <w:sz w:val="21"/>
                <w:szCs w:val="21"/>
              </w:rPr>
            </w:pPr>
            <w:r>
              <w:rPr>
                <w:sz w:val="21"/>
                <w:szCs w:val="21"/>
              </w:rPr>
              <w:t>/</w:t>
            </w:r>
          </w:p>
        </w:tc>
        <w:tc>
          <w:tcPr>
            <w:tcW w:w="1052" w:type="dxa"/>
            <w:noWrap w:val="0"/>
            <w:vAlign w:val="center"/>
          </w:tcPr>
          <w:p>
            <w:pPr>
              <w:pStyle w:val="30"/>
              <w:bidi w:val="0"/>
              <w:rPr>
                <w:sz w:val="21"/>
                <w:szCs w:val="21"/>
              </w:rPr>
            </w:pPr>
            <w:r>
              <w:rPr>
                <w:sz w:val="21"/>
                <w:szCs w:val="21"/>
              </w:rPr>
              <w:t>/</w:t>
            </w:r>
          </w:p>
        </w:tc>
        <w:tc>
          <w:tcPr>
            <w:tcW w:w="1763" w:type="dxa"/>
            <w:noWrap w:val="0"/>
            <w:vAlign w:val="center"/>
          </w:tcPr>
          <w:p>
            <w:pPr>
              <w:pStyle w:val="30"/>
              <w:bidi w:val="0"/>
              <w:rPr>
                <w:sz w:val="21"/>
                <w:szCs w:val="21"/>
              </w:rPr>
            </w:pPr>
            <w:r>
              <w:rPr>
                <w:sz w:val="21"/>
                <w:szCs w:val="21"/>
              </w:rPr>
              <w:t>/</w:t>
            </w:r>
          </w:p>
        </w:tc>
        <w:tc>
          <w:tcPr>
            <w:tcW w:w="1996" w:type="dxa"/>
            <w:noWrap w:val="0"/>
            <w:vAlign w:val="center"/>
          </w:tcPr>
          <w:p>
            <w:pPr>
              <w:pStyle w:val="30"/>
              <w:bidi w:val="0"/>
              <w:rPr>
                <w:rFonts w:hint="default" w:eastAsia="宋体"/>
                <w:sz w:val="21"/>
                <w:szCs w:val="21"/>
                <w:lang w:val="en-US" w:eastAsia="zh-CN"/>
              </w:rPr>
            </w:pPr>
            <w:r>
              <w:rPr>
                <w:rFonts w:hint="eastAsia"/>
                <w:sz w:val="21"/>
                <w:szCs w:val="21"/>
                <w:lang w:val="en-US" w:eastAsia="zh-CN"/>
              </w:rPr>
              <w:t>2.56</w:t>
            </w:r>
            <w:r>
              <w:rPr>
                <w:sz w:val="21"/>
                <w:szCs w:val="21"/>
              </w:rPr>
              <w:t>t/a</w:t>
            </w:r>
          </w:p>
        </w:tc>
        <w:tc>
          <w:tcPr>
            <w:tcW w:w="1684" w:type="dxa"/>
            <w:noWrap w:val="0"/>
            <w:vAlign w:val="center"/>
          </w:tcPr>
          <w:p>
            <w:pPr>
              <w:pStyle w:val="30"/>
              <w:bidi w:val="0"/>
              <w:rPr>
                <w:sz w:val="21"/>
                <w:szCs w:val="21"/>
              </w:rPr>
            </w:pPr>
            <w:r>
              <w:rPr>
                <w:sz w:val="21"/>
                <w:szCs w:val="21"/>
              </w:rPr>
              <w:t>/</w:t>
            </w:r>
          </w:p>
        </w:tc>
        <w:tc>
          <w:tcPr>
            <w:tcW w:w="2415" w:type="dxa"/>
            <w:shd w:val="clear" w:color="auto" w:fill="auto"/>
            <w:noWrap w:val="0"/>
            <w:vAlign w:val="center"/>
          </w:tcPr>
          <w:p>
            <w:pPr>
              <w:pStyle w:val="30"/>
              <w:bidi w:val="0"/>
              <w:rPr>
                <w:rFonts w:hint="eastAsia" w:ascii="Times New Roman" w:hAnsi="Times New Roman" w:eastAsia="宋体" w:cstheme="minorBidi"/>
                <w:snapToGrid w:val="0"/>
                <w:spacing w:val="6"/>
                <w:kern w:val="2"/>
                <w:sz w:val="21"/>
                <w:szCs w:val="21"/>
                <w:lang w:val="en-US" w:eastAsia="zh-CN" w:bidi="ar-SA"/>
              </w:rPr>
            </w:pPr>
            <w:r>
              <w:rPr>
                <w:rFonts w:hint="eastAsia"/>
                <w:sz w:val="21"/>
                <w:szCs w:val="21"/>
                <w:lang w:val="en-US" w:eastAsia="zh-CN"/>
              </w:rPr>
              <w:t>2.56</w:t>
            </w:r>
            <w:r>
              <w:rPr>
                <w:sz w:val="21"/>
                <w:szCs w:val="21"/>
              </w:rPr>
              <w:t>t/a</w:t>
            </w:r>
          </w:p>
        </w:tc>
        <w:tc>
          <w:tcPr>
            <w:tcW w:w="1752" w:type="dxa"/>
            <w:noWrap w:val="0"/>
            <w:vAlign w:val="center"/>
          </w:tcPr>
          <w:p>
            <w:pPr>
              <w:pStyle w:val="30"/>
              <w:bidi w:val="0"/>
              <w:rPr>
                <w:rFonts w:hint="eastAsia" w:eastAsia="宋体"/>
                <w:sz w:val="21"/>
                <w:szCs w:val="21"/>
                <w:lang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84" w:type="dxa"/>
            <w:vMerge w:val="continue"/>
            <w:noWrap w:val="0"/>
            <w:vAlign w:val="center"/>
          </w:tcPr>
          <w:p>
            <w:pPr>
              <w:pStyle w:val="30"/>
              <w:bidi w:val="0"/>
              <w:rPr>
                <w:sz w:val="21"/>
                <w:szCs w:val="21"/>
              </w:rPr>
            </w:pPr>
          </w:p>
        </w:tc>
        <w:tc>
          <w:tcPr>
            <w:tcW w:w="1253" w:type="dxa"/>
            <w:noWrap w:val="0"/>
            <w:vAlign w:val="center"/>
          </w:tcPr>
          <w:p>
            <w:pPr>
              <w:pStyle w:val="30"/>
              <w:bidi w:val="0"/>
              <w:rPr>
                <w:sz w:val="21"/>
                <w:szCs w:val="21"/>
              </w:rPr>
            </w:pPr>
            <w:r>
              <w:rPr>
                <w:sz w:val="21"/>
                <w:szCs w:val="21"/>
              </w:rPr>
              <w:t>NH</w:t>
            </w:r>
            <w:r>
              <w:rPr>
                <w:sz w:val="21"/>
                <w:szCs w:val="21"/>
                <w:vertAlign w:val="subscript"/>
              </w:rPr>
              <w:t>3</w:t>
            </w:r>
            <w:r>
              <w:rPr>
                <w:sz w:val="21"/>
                <w:szCs w:val="21"/>
              </w:rPr>
              <w:t>-N</w:t>
            </w:r>
          </w:p>
        </w:tc>
        <w:tc>
          <w:tcPr>
            <w:tcW w:w="1375" w:type="dxa"/>
            <w:noWrap w:val="0"/>
            <w:vAlign w:val="center"/>
          </w:tcPr>
          <w:p>
            <w:pPr>
              <w:pStyle w:val="30"/>
              <w:bidi w:val="0"/>
              <w:rPr>
                <w:sz w:val="21"/>
                <w:szCs w:val="21"/>
              </w:rPr>
            </w:pPr>
            <w:r>
              <w:rPr>
                <w:sz w:val="21"/>
                <w:szCs w:val="21"/>
              </w:rPr>
              <w:t>/</w:t>
            </w:r>
          </w:p>
        </w:tc>
        <w:tc>
          <w:tcPr>
            <w:tcW w:w="1052" w:type="dxa"/>
            <w:noWrap w:val="0"/>
            <w:vAlign w:val="center"/>
          </w:tcPr>
          <w:p>
            <w:pPr>
              <w:pStyle w:val="30"/>
              <w:bidi w:val="0"/>
              <w:rPr>
                <w:sz w:val="21"/>
                <w:szCs w:val="21"/>
              </w:rPr>
            </w:pPr>
            <w:r>
              <w:rPr>
                <w:sz w:val="21"/>
                <w:szCs w:val="21"/>
              </w:rPr>
              <w:t>/</w:t>
            </w:r>
          </w:p>
        </w:tc>
        <w:tc>
          <w:tcPr>
            <w:tcW w:w="1763" w:type="dxa"/>
            <w:noWrap w:val="0"/>
            <w:vAlign w:val="center"/>
          </w:tcPr>
          <w:p>
            <w:pPr>
              <w:pStyle w:val="30"/>
              <w:bidi w:val="0"/>
              <w:rPr>
                <w:sz w:val="21"/>
                <w:szCs w:val="21"/>
              </w:rPr>
            </w:pPr>
            <w:r>
              <w:rPr>
                <w:sz w:val="21"/>
                <w:szCs w:val="21"/>
              </w:rPr>
              <w:t>/</w:t>
            </w:r>
          </w:p>
        </w:tc>
        <w:tc>
          <w:tcPr>
            <w:tcW w:w="1996" w:type="dxa"/>
            <w:noWrap w:val="0"/>
            <w:vAlign w:val="center"/>
          </w:tcPr>
          <w:p>
            <w:pPr>
              <w:pStyle w:val="30"/>
              <w:bidi w:val="0"/>
              <w:rPr>
                <w:rFonts w:hint="default" w:eastAsia="宋体"/>
                <w:sz w:val="21"/>
                <w:szCs w:val="21"/>
                <w:lang w:val="en-US" w:eastAsia="zh-CN"/>
              </w:rPr>
            </w:pPr>
            <w:r>
              <w:rPr>
                <w:rFonts w:hint="eastAsia"/>
                <w:sz w:val="21"/>
                <w:szCs w:val="21"/>
                <w:lang w:val="en-US" w:eastAsia="zh-CN"/>
              </w:rPr>
              <w:t>0.256</w:t>
            </w:r>
            <w:r>
              <w:rPr>
                <w:sz w:val="21"/>
                <w:szCs w:val="21"/>
              </w:rPr>
              <w:t>t/a</w:t>
            </w:r>
          </w:p>
        </w:tc>
        <w:tc>
          <w:tcPr>
            <w:tcW w:w="1684" w:type="dxa"/>
            <w:noWrap w:val="0"/>
            <w:vAlign w:val="center"/>
          </w:tcPr>
          <w:p>
            <w:pPr>
              <w:pStyle w:val="30"/>
              <w:bidi w:val="0"/>
              <w:rPr>
                <w:sz w:val="21"/>
                <w:szCs w:val="21"/>
              </w:rPr>
            </w:pPr>
            <w:r>
              <w:rPr>
                <w:sz w:val="21"/>
                <w:szCs w:val="21"/>
              </w:rPr>
              <w:t>/</w:t>
            </w:r>
          </w:p>
        </w:tc>
        <w:tc>
          <w:tcPr>
            <w:tcW w:w="2415" w:type="dxa"/>
            <w:shd w:val="clear" w:color="auto" w:fill="auto"/>
            <w:noWrap w:val="0"/>
            <w:vAlign w:val="center"/>
          </w:tcPr>
          <w:p>
            <w:pPr>
              <w:pStyle w:val="30"/>
              <w:bidi w:val="0"/>
              <w:rPr>
                <w:rFonts w:hint="eastAsia" w:ascii="Times New Roman" w:hAnsi="Times New Roman" w:eastAsia="宋体" w:cstheme="minorBidi"/>
                <w:snapToGrid w:val="0"/>
                <w:spacing w:val="6"/>
                <w:kern w:val="2"/>
                <w:sz w:val="21"/>
                <w:szCs w:val="21"/>
                <w:lang w:val="en-US" w:eastAsia="zh-CN" w:bidi="ar-SA"/>
              </w:rPr>
            </w:pPr>
            <w:r>
              <w:rPr>
                <w:rFonts w:hint="eastAsia"/>
                <w:sz w:val="21"/>
                <w:szCs w:val="21"/>
                <w:lang w:val="en-US" w:eastAsia="zh-CN"/>
              </w:rPr>
              <w:t>0.256</w:t>
            </w:r>
            <w:r>
              <w:rPr>
                <w:sz w:val="21"/>
                <w:szCs w:val="21"/>
              </w:rPr>
              <w:t>t/a</w:t>
            </w:r>
          </w:p>
        </w:tc>
        <w:tc>
          <w:tcPr>
            <w:tcW w:w="1752" w:type="dxa"/>
            <w:noWrap w:val="0"/>
            <w:vAlign w:val="center"/>
          </w:tcPr>
          <w:p>
            <w:pPr>
              <w:pStyle w:val="30"/>
              <w:bidi w:val="0"/>
              <w:rPr>
                <w:rFonts w:hint="eastAsia" w:eastAsia="宋体"/>
                <w:sz w:val="21"/>
                <w:szCs w:val="21"/>
                <w:lang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84" w:type="dxa"/>
            <w:vMerge w:val="restart"/>
            <w:noWrap w:val="0"/>
            <w:vAlign w:val="center"/>
          </w:tcPr>
          <w:p>
            <w:pPr>
              <w:pStyle w:val="30"/>
              <w:bidi w:val="0"/>
              <w:rPr>
                <w:sz w:val="21"/>
                <w:szCs w:val="21"/>
              </w:rPr>
            </w:pPr>
            <w:r>
              <w:rPr>
                <w:sz w:val="21"/>
                <w:szCs w:val="21"/>
              </w:rPr>
              <w:t>一般固体废物</w:t>
            </w:r>
          </w:p>
        </w:tc>
        <w:tc>
          <w:tcPr>
            <w:tcW w:w="1253" w:type="dxa"/>
            <w:noWrap w:val="0"/>
            <w:vAlign w:val="center"/>
          </w:tcPr>
          <w:p>
            <w:pPr>
              <w:pStyle w:val="30"/>
              <w:bidi w:val="0"/>
              <w:rPr>
                <w:sz w:val="21"/>
                <w:szCs w:val="21"/>
              </w:rPr>
            </w:pPr>
            <w:r>
              <w:rPr>
                <w:sz w:val="21"/>
                <w:szCs w:val="21"/>
              </w:rPr>
              <w:t>生活垃圾</w:t>
            </w:r>
          </w:p>
        </w:tc>
        <w:tc>
          <w:tcPr>
            <w:tcW w:w="1375" w:type="dxa"/>
            <w:noWrap w:val="0"/>
            <w:vAlign w:val="center"/>
          </w:tcPr>
          <w:p>
            <w:pPr>
              <w:pStyle w:val="30"/>
              <w:bidi w:val="0"/>
              <w:rPr>
                <w:sz w:val="21"/>
                <w:szCs w:val="21"/>
              </w:rPr>
            </w:pPr>
          </w:p>
        </w:tc>
        <w:tc>
          <w:tcPr>
            <w:tcW w:w="1052" w:type="dxa"/>
            <w:noWrap w:val="0"/>
            <w:vAlign w:val="center"/>
          </w:tcPr>
          <w:p>
            <w:pPr>
              <w:pStyle w:val="30"/>
              <w:bidi w:val="0"/>
              <w:rPr>
                <w:sz w:val="21"/>
                <w:szCs w:val="21"/>
              </w:rPr>
            </w:pPr>
            <w:r>
              <w:rPr>
                <w:sz w:val="21"/>
                <w:szCs w:val="21"/>
              </w:rPr>
              <w:t>/</w:t>
            </w:r>
          </w:p>
        </w:tc>
        <w:tc>
          <w:tcPr>
            <w:tcW w:w="1763" w:type="dxa"/>
            <w:noWrap w:val="0"/>
            <w:vAlign w:val="center"/>
          </w:tcPr>
          <w:p>
            <w:pPr>
              <w:pStyle w:val="30"/>
              <w:bidi w:val="0"/>
              <w:rPr>
                <w:sz w:val="21"/>
                <w:szCs w:val="21"/>
              </w:rPr>
            </w:pPr>
            <w:r>
              <w:rPr>
                <w:sz w:val="21"/>
                <w:szCs w:val="21"/>
              </w:rPr>
              <w:t>/</w:t>
            </w:r>
          </w:p>
        </w:tc>
        <w:tc>
          <w:tcPr>
            <w:tcW w:w="1996" w:type="dxa"/>
            <w:noWrap w:val="0"/>
            <w:vAlign w:val="center"/>
          </w:tcPr>
          <w:p>
            <w:pPr>
              <w:pStyle w:val="30"/>
              <w:bidi w:val="0"/>
              <w:rPr>
                <w:sz w:val="21"/>
                <w:szCs w:val="21"/>
              </w:rPr>
            </w:pPr>
            <w:r>
              <w:rPr>
                <w:rFonts w:hint="eastAsia"/>
                <w:sz w:val="21"/>
                <w:szCs w:val="21"/>
                <w:lang w:val="en-US" w:eastAsia="zh-CN"/>
              </w:rPr>
              <w:t>419.75</w:t>
            </w:r>
            <w:r>
              <w:rPr>
                <w:sz w:val="21"/>
                <w:szCs w:val="21"/>
              </w:rPr>
              <w:t>t/a</w:t>
            </w:r>
          </w:p>
        </w:tc>
        <w:tc>
          <w:tcPr>
            <w:tcW w:w="1684" w:type="dxa"/>
            <w:noWrap w:val="0"/>
            <w:vAlign w:val="center"/>
          </w:tcPr>
          <w:p>
            <w:pPr>
              <w:pStyle w:val="30"/>
              <w:bidi w:val="0"/>
              <w:rPr>
                <w:sz w:val="21"/>
                <w:szCs w:val="21"/>
              </w:rPr>
            </w:pPr>
            <w:r>
              <w:rPr>
                <w:sz w:val="21"/>
                <w:szCs w:val="21"/>
              </w:rPr>
              <w:t>/</w:t>
            </w:r>
          </w:p>
        </w:tc>
        <w:tc>
          <w:tcPr>
            <w:tcW w:w="2415" w:type="dxa"/>
            <w:noWrap w:val="0"/>
            <w:vAlign w:val="center"/>
          </w:tcPr>
          <w:p>
            <w:pPr>
              <w:pStyle w:val="30"/>
              <w:bidi w:val="0"/>
              <w:rPr>
                <w:sz w:val="21"/>
                <w:szCs w:val="21"/>
              </w:rPr>
            </w:pPr>
            <w:r>
              <w:rPr>
                <w:rFonts w:hint="eastAsia"/>
                <w:sz w:val="21"/>
                <w:szCs w:val="21"/>
                <w:lang w:val="en-US" w:eastAsia="zh-CN"/>
              </w:rPr>
              <w:t>419.75</w:t>
            </w:r>
            <w:r>
              <w:rPr>
                <w:sz w:val="21"/>
                <w:szCs w:val="21"/>
              </w:rPr>
              <w:t>t/a</w:t>
            </w:r>
          </w:p>
        </w:tc>
        <w:tc>
          <w:tcPr>
            <w:tcW w:w="1752" w:type="dxa"/>
            <w:noWrap w:val="0"/>
            <w:vAlign w:val="center"/>
          </w:tcPr>
          <w:p>
            <w:pPr>
              <w:pStyle w:val="30"/>
              <w:bidi w:val="0"/>
              <w:rPr>
                <w:rFonts w:hint="eastAsia" w:eastAsia="宋体"/>
                <w:sz w:val="21"/>
                <w:szCs w:val="21"/>
                <w:lang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84" w:type="dxa"/>
            <w:vMerge w:val="continue"/>
            <w:noWrap w:val="0"/>
            <w:vAlign w:val="center"/>
          </w:tcPr>
          <w:p>
            <w:pPr>
              <w:pStyle w:val="30"/>
              <w:bidi w:val="0"/>
              <w:rPr>
                <w:sz w:val="21"/>
                <w:szCs w:val="21"/>
              </w:rPr>
            </w:pPr>
          </w:p>
        </w:tc>
        <w:tc>
          <w:tcPr>
            <w:tcW w:w="1253" w:type="dxa"/>
            <w:noWrap w:val="0"/>
            <w:vAlign w:val="center"/>
          </w:tcPr>
          <w:p>
            <w:pPr>
              <w:pStyle w:val="30"/>
              <w:bidi w:val="0"/>
              <w:rPr>
                <w:sz w:val="21"/>
                <w:szCs w:val="21"/>
              </w:rPr>
            </w:pPr>
            <w:r>
              <w:rPr>
                <w:rFonts w:hint="eastAsia"/>
                <w:sz w:val="21"/>
                <w:szCs w:val="21"/>
                <w:lang w:val="en-US" w:eastAsia="zh-CN"/>
              </w:rPr>
              <w:t>中药渣</w:t>
            </w:r>
          </w:p>
        </w:tc>
        <w:tc>
          <w:tcPr>
            <w:tcW w:w="1375" w:type="dxa"/>
            <w:noWrap w:val="0"/>
            <w:vAlign w:val="center"/>
          </w:tcPr>
          <w:p>
            <w:pPr>
              <w:pStyle w:val="30"/>
              <w:bidi w:val="0"/>
              <w:rPr>
                <w:rFonts w:hint="eastAsia" w:eastAsia="宋体"/>
                <w:sz w:val="21"/>
                <w:szCs w:val="21"/>
                <w:lang w:val="en-US" w:eastAsia="zh-CN"/>
              </w:rPr>
            </w:pPr>
            <w:r>
              <w:rPr>
                <w:rFonts w:hint="eastAsia"/>
                <w:sz w:val="21"/>
                <w:szCs w:val="21"/>
                <w:lang w:val="en-US" w:eastAsia="zh-CN"/>
              </w:rPr>
              <w:t>/</w:t>
            </w:r>
          </w:p>
        </w:tc>
        <w:tc>
          <w:tcPr>
            <w:tcW w:w="1052" w:type="dxa"/>
            <w:noWrap w:val="0"/>
            <w:vAlign w:val="center"/>
          </w:tcPr>
          <w:p>
            <w:pPr>
              <w:pStyle w:val="30"/>
              <w:bidi w:val="0"/>
              <w:rPr>
                <w:rFonts w:hint="eastAsia" w:eastAsia="宋体"/>
                <w:sz w:val="21"/>
                <w:szCs w:val="21"/>
                <w:lang w:val="en-US" w:eastAsia="zh-CN"/>
              </w:rPr>
            </w:pPr>
            <w:r>
              <w:rPr>
                <w:rFonts w:hint="eastAsia"/>
                <w:sz w:val="21"/>
                <w:szCs w:val="21"/>
                <w:lang w:val="en-US" w:eastAsia="zh-CN"/>
              </w:rPr>
              <w:t>/</w:t>
            </w:r>
          </w:p>
        </w:tc>
        <w:tc>
          <w:tcPr>
            <w:tcW w:w="1763" w:type="dxa"/>
            <w:noWrap w:val="0"/>
            <w:vAlign w:val="center"/>
          </w:tcPr>
          <w:p>
            <w:pPr>
              <w:pStyle w:val="30"/>
              <w:bidi w:val="0"/>
              <w:rPr>
                <w:rFonts w:hint="eastAsia" w:eastAsia="宋体"/>
                <w:sz w:val="21"/>
                <w:szCs w:val="21"/>
                <w:lang w:val="en-US" w:eastAsia="zh-CN"/>
              </w:rPr>
            </w:pPr>
            <w:r>
              <w:rPr>
                <w:rFonts w:hint="eastAsia"/>
                <w:sz w:val="21"/>
                <w:szCs w:val="21"/>
                <w:lang w:val="en-US" w:eastAsia="zh-CN"/>
              </w:rPr>
              <w:t>/</w:t>
            </w:r>
          </w:p>
        </w:tc>
        <w:tc>
          <w:tcPr>
            <w:tcW w:w="1996" w:type="dxa"/>
            <w:noWrap w:val="0"/>
            <w:vAlign w:val="center"/>
          </w:tcPr>
          <w:p>
            <w:pPr>
              <w:pStyle w:val="30"/>
              <w:bidi w:val="0"/>
              <w:rPr>
                <w:rFonts w:hint="eastAsia"/>
                <w:sz w:val="21"/>
                <w:szCs w:val="21"/>
                <w:lang w:val="en-US" w:eastAsia="zh-CN"/>
              </w:rPr>
            </w:pPr>
            <w:r>
              <w:rPr>
                <w:rFonts w:hint="eastAsia"/>
                <w:sz w:val="21"/>
                <w:szCs w:val="21"/>
                <w:lang w:val="en-US" w:eastAsia="zh-CN"/>
              </w:rPr>
              <w:t>10.95</w:t>
            </w:r>
            <w:r>
              <w:rPr>
                <w:sz w:val="21"/>
                <w:szCs w:val="21"/>
              </w:rPr>
              <w:t>t/a</w:t>
            </w:r>
          </w:p>
        </w:tc>
        <w:tc>
          <w:tcPr>
            <w:tcW w:w="1684" w:type="dxa"/>
            <w:noWrap w:val="0"/>
            <w:vAlign w:val="center"/>
          </w:tcPr>
          <w:p>
            <w:pPr>
              <w:pStyle w:val="30"/>
              <w:bidi w:val="0"/>
              <w:rPr>
                <w:rFonts w:hint="eastAsia" w:eastAsia="宋体"/>
                <w:sz w:val="21"/>
                <w:szCs w:val="21"/>
                <w:lang w:val="en-US" w:eastAsia="zh-CN"/>
              </w:rPr>
            </w:pPr>
            <w:r>
              <w:rPr>
                <w:rFonts w:hint="eastAsia"/>
                <w:sz w:val="21"/>
                <w:szCs w:val="21"/>
                <w:lang w:val="en-US" w:eastAsia="zh-CN"/>
              </w:rPr>
              <w:t>/</w:t>
            </w:r>
          </w:p>
        </w:tc>
        <w:tc>
          <w:tcPr>
            <w:tcW w:w="2415" w:type="dxa"/>
            <w:noWrap w:val="0"/>
            <w:vAlign w:val="center"/>
          </w:tcPr>
          <w:p>
            <w:pPr>
              <w:pStyle w:val="30"/>
              <w:bidi w:val="0"/>
              <w:rPr>
                <w:rFonts w:hint="default"/>
                <w:sz w:val="21"/>
                <w:szCs w:val="21"/>
                <w:lang w:val="en-US" w:eastAsia="zh-CN"/>
              </w:rPr>
            </w:pPr>
            <w:r>
              <w:rPr>
                <w:rFonts w:hint="eastAsia"/>
                <w:sz w:val="21"/>
                <w:szCs w:val="21"/>
                <w:lang w:val="en-US" w:eastAsia="zh-CN"/>
              </w:rPr>
              <w:t>10.95</w:t>
            </w:r>
            <w:r>
              <w:rPr>
                <w:sz w:val="21"/>
                <w:szCs w:val="21"/>
              </w:rPr>
              <w:t>t/a</w:t>
            </w:r>
          </w:p>
        </w:tc>
        <w:tc>
          <w:tcPr>
            <w:tcW w:w="1752" w:type="dxa"/>
            <w:noWrap w:val="0"/>
            <w:vAlign w:val="center"/>
          </w:tcPr>
          <w:p>
            <w:pPr>
              <w:pStyle w:val="30"/>
              <w:bidi w:val="0"/>
              <w:rPr>
                <w:rFonts w:hint="default"/>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84" w:type="dxa"/>
            <w:vMerge w:val="continue"/>
            <w:noWrap w:val="0"/>
            <w:vAlign w:val="center"/>
          </w:tcPr>
          <w:p>
            <w:pPr>
              <w:pStyle w:val="30"/>
              <w:bidi w:val="0"/>
              <w:rPr>
                <w:sz w:val="21"/>
                <w:szCs w:val="21"/>
              </w:rPr>
            </w:pPr>
          </w:p>
        </w:tc>
        <w:tc>
          <w:tcPr>
            <w:tcW w:w="1253" w:type="dxa"/>
            <w:noWrap w:val="0"/>
            <w:vAlign w:val="center"/>
          </w:tcPr>
          <w:p>
            <w:pPr>
              <w:pStyle w:val="30"/>
              <w:bidi w:val="0"/>
              <w:rPr>
                <w:rFonts w:hint="eastAsia"/>
                <w:sz w:val="21"/>
                <w:szCs w:val="21"/>
              </w:rPr>
            </w:pPr>
            <w:r>
              <w:rPr>
                <w:sz w:val="21"/>
                <w:szCs w:val="21"/>
              </w:rPr>
              <w:t>包装材料</w:t>
            </w:r>
          </w:p>
        </w:tc>
        <w:tc>
          <w:tcPr>
            <w:tcW w:w="1375" w:type="dxa"/>
            <w:noWrap w:val="0"/>
            <w:vAlign w:val="center"/>
          </w:tcPr>
          <w:p>
            <w:pPr>
              <w:pStyle w:val="30"/>
              <w:bidi w:val="0"/>
              <w:rPr>
                <w:sz w:val="21"/>
                <w:szCs w:val="21"/>
              </w:rPr>
            </w:pPr>
          </w:p>
        </w:tc>
        <w:tc>
          <w:tcPr>
            <w:tcW w:w="1052" w:type="dxa"/>
            <w:noWrap w:val="0"/>
            <w:vAlign w:val="center"/>
          </w:tcPr>
          <w:p>
            <w:pPr>
              <w:pStyle w:val="30"/>
              <w:bidi w:val="0"/>
              <w:rPr>
                <w:sz w:val="21"/>
                <w:szCs w:val="21"/>
              </w:rPr>
            </w:pPr>
            <w:r>
              <w:rPr>
                <w:sz w:val="21"/>
                <w:szCs w:val="21"/>
              </w:rPr>
              <w:t>/</w:t>
            </w:r>
          </w:p>
        </w:tc>
        <w:tc>
          <w:tcPr>
            <w:tcW w:w="1763" w:type="dxa"/>
            <w:noWrap w:val="0"/>
            <w:vAlign w:val="center"/>
          </w:tcPr>
          <w:p>
            <w:pPr>
              <w:pStyle w:val="30"/>
              <w:bidi w:val="0"/>
              <w:rPr>
                <w:sz w:val="21"/>
                <w:szCs w:val="21"/>
              </w:rPr>
            </w:pPr>
            <w:r>
              <w:rPr>
                <w:sz w:val="21"/>
                <w:szCs w:val="21"/>
              </w:rPr>
              <w:t>/</w:t>
            </w:r>
          </w:p>
        </w:tc>
        <w:tc>
          <w:tcPr>
            <w:tcW w:w="1996" w:type="dxa"/>
            <w:noWrap w:val="0"/>
            <w:vAlign w:val="center"/>
          </w:tcPr>
          <w:p>
            <w:pPr>
              <w:pStyle w:val="30"/>
              <w:bidi w:val="0"/>
              <w:rPr>
                <w:sz w:val="21"/>
                <w:szCs w:val="21"/>
              </w:rPr>
            </w:pPr>
            <w:r>
              <w:rPr>
                <w:rFonts w:hint="eastAsia"/>
                <w:sz w:val="21"/>
                <w:szCs w:val="21"/>
                <w:lang w:val="en-US" w:eastAsia="zh-CN"/>
              </w:rPr>
              <w:t>3.6</w:t>
            </w:r>
            <w:r>
              <w:rPr>
                <w:sz w:val="21"/>
                <w:szCs w:val="21"/>
              </w:rPr>
              <w:t>t/a</w:t>
            </w:r>
          </w:p>
        </w:tc>
        <w:tc>
          <w:tcPr>
            <w:tcW w:w="1684" w:type="dxa"/>
            <w:noWrap w:val="0"/>
            <w:vAlign w:val="center"/>
          </w:tcPr>
          <w:p>
            <w:pPr>
              <w:pStyle w:val="30"/>
              <w:bidi w:val="0"/>
              <w:rPr>
                <w:sz w:val="21"/>
                <w:szCs w:val="21"/>
              </w:rPr>
            </w:pPr>
            <w:r>
              <w:rPr>
                <w:sz w:val="21"/>
                <w:szCs w:val="21"/>
              </w:rPr>
              <w:t>/</w:t>
            </w:r>
          </w:p>
        </w:tc>
        <w:tc>
          <w:tcPr>
            <w:tcW w:w="2415" w:type="dxa"/>
            <w:noWrap w:val="0"/>
            <w:vAlign w:val="center"/>
          </w:tcPr>
          <w:p>
            <w:pPr>
              <w:pStyle w:val="30"/>
              <w:bidi w:val="0"/>
              <w:rPr>
                <w:sz w:val="21"/>
                <w:szCs w:val="21"/>
              </w:rPr>
            </w:pPr>
            <w:r>
              <w:rPr>
                <w:rFonts w:hint="eastAsia"/>
                <w:sz w:val="21"/>
                <w:szCs w:val="21"/>
                <w:lang w:val="en-US" w:eastAsia="zh-CN"/>
              </w:rPr>
              <w:t>3.6</w:t>
            </w:r>
            <w:r>
              <w:rPr>
                <w:sz w:val="21"/>
                <w:szCs w:val="21"/>
              </w:rPr>
              <w:t>t/a</w:t>
            </w:r>
          </w:p>
        </w:tc>
        <w:tc>
          <w:tcPr>
            <w:tcW w:w="1752" w:type="dxa"/>
            <w:noWrap w:val="0"/>
            <w:vAlign w:val="center"/>
          </w:tcPr>
          <w:p>
            <w:pPr>
              <w:pStyle w:val="30"/>
              <w:bidi w:val="0"/>
              <w:rPr>
                <w:rFonts w:hint="eastAsia" w:eastAsia="宋体"/>
                <w:sz w:val="21"/>
                <w:szCs w:val="21"/>
                <w:lang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84" w:type="dxa"/>
            <w:vMerge w:val="restart"/>
            <w:noWrap w:val="0"/>
            <w:vAlign w:val="center"/>
          </w:tcPr>
          <w:p>
            <w:pPr>
              <w:pStyle w:val="30"/>
              <w:bidi w:val="0"/>
              <w:rPr>
                <w:sz w:val="21"/>
                <w:szCs w:val="21"/>
              </w:rPr>
            </w:pPr>
            <w:r>
              <w:rPr>
                <w:sz w:val="21"/>
                <w:szCs w:val="21"/>
              </w:rPr>
              <w:t>危险废物</w:t>
            </w:r>
          </w:p>
        </w:tc>
        <w:tc>
          <w:tcPr>
            <w:tcW w:w="1253" w:type="dxa"/>
            <w:noWrap w:val="0"/>
            <w:vAlign w:val="center"/>
          </w:tcPr>
          <w:p>
            <w:pPr>
              <w:pStyle w:val="30"/>
              <w:bidi w:val="0"/>
              <w:rPr>
                <w:sz w:val="21"/>
                <w:szCs w:val="21"/>
              </w:rPr>
            </w:pPr>
            <w:r>
              <w:rPr>
                <w:sz w:val="21"/>
                <w:szCs w:val="21"/>
              </w:rPr>
              <w:t>医疗废物</w:t>
            </w:r>
          </w:p>
        </w:tc>
        <w:tc>
          <w:tcPr>
            <w:tcW w:w="1375" w:type="dxa"/>
            <w:noWrap w:val="0"/>
            <w:vAlign w:val="center"/>
          </w:tcPr>
          <w:p>
            <w:pPr>
              <w:pStyle w:val="30"/>
              <w:bidi w:val="0"/>
              <w:rPr>
                <w:sz w:val="21"/>
                <w:szCs w:val="21"/>
              </w:rPr>
            </w:pPr>
            <w:r>
              <w:rPr>
                <w:sz w:val="21"/>
                <w:szCs w:val="21"/>
              </w:rPr>
              <w:t>/</w:t>
            </w:r>
          </w:p>
        </w:tc>
        <w:tc>
          <w:tcPr>
            <w:tcW w:w="1052" w:type="dxa"/>
            <w:noWrap w:val="0"/>
            <w:vAlign w:val="center"/>
          </w:tcPr>
          <w:p>
            <w:pPr>
              <w:pStyle w:val="30"/>
              <w:bidi w:val="0"/>
              <w:rPr>
                <w:sz w:val="21"/>
                <w:szCs w:val="21"/>
              </w:rPr>
            </w:pPr>
            <w:r>
              <w:rPr>
                <w:sz w:val="21"/>
                <w:szCs w:val="21"/>
              </w:rPr>
              <w:t>/</w:t>
            </w:r>
          </w:p>
        </w:tc>
        <w:tc>
          <w:tcPr>
            <w:tcW w:w="1763" w:type="dxa"/>
            <w:noWrap w:val="0"/>
            <w:vAlign w:val="center"/>
          </w:tcPr>
          <w:p>
            <w:pPr>
              <w:pStyle w:val="30"/>
              <w:bidi w:val="0"/>
              <w:rPr>
                <w:sz w:val="21"/>
                <w:szCs w:val="21"/>
              </w:rPr>
            </w:pPr>
            <w:r>
              <w:rPr>
                <w:sz w:val="21"/>
                <w:szCs w:val="21"/>
              </w:rPr>
              <w:t>/</w:t>
            </w:r>
          </w:p>
        </w:tc>
        <w:tc>
          <w:tcPr>
            <w:tcW w:w="1996" w:type="dxa"/>
            <w:noWrap w:val="0"/>
            <w:vAlign w:val="center"/>
          </w:tcPr>
          <w:p>
            <w:pPr>
              <w:pStyle w:val="30"/>
              <w:bidi w:val="0"/>
              <w:rPr>
                <w:sz w:val="21"/>
                <w:szCs w:val="21"/>
                <w:lang w:val="zh-TW" w:eastAsia="zh-TW"/>
              </w:rPr>
            </w:pPr>
            <w:r>
              <w:rPr>
                <w:rFonts w:hint="eastAsia"/>
                <w:sz w:val="21"/>
                <w:szCs w:val="21"/>
                <w:lang w:val="en-US" w:eastAsia="zh-CN"/>
              </w:rPr>
              <w:t>36.464</w:t>
            </w:r>
            <w:r>
              <w:rPr>
                <w:sz w:val="21"/>
                <w:szCs w:val="21"/>
              </w:rPr>
              <w:t>t/a</w:t>
            </w:r>
          </w:p>
        </w:tc>
        <w:tc>
          <w:tcPr>
            <w:tcW w:w="1684" w:type="dxa"/>
            <w:noWrap w:val="0"/>
            <w:vAlign w:val="center"/>
          </w:tcPr>
          <w:p>
            <w:pPr>
              <w:pStyle w:val="30"/>
              <w:bidi w:val="0"/>
              <w:rPr>
                <w:sz w:val="21"/>
                <w:szCs w:val="21"/>
              </w:rPr>
            </w:pPr>
            <w:r>
              <w:rPr>
                <w:sz w:val="21"/>
                <w:szCs w:val="21"/>
              </w:rPr>
              <w:t>/</w:t>
            </w:r>
          </w:p>
        </w:tc>
        <w:tc>
          <w:tcPr>
            <w:tcW w:w="2415" w:type="dxa"/>
            <w:noWrap w:val="0"/>
            <w:vAlign w:val="center"/>
          </w:tcPr>
          <w:p>
            <w:pPr>
              <w:pStyle w:val="30"/>
              <w:bidi w:val="0"/>
              <w:rPr>
                <w:sz w:val="21"/>
                <w:szCs w:val="21"/>
              </w:rPr>
            </w:pPr>
            <w:r>
              <w:rPr>
                <w:rFonts w:hint="eastAsia"/>
                <w:sz w:val="21"/>
                <w:szCs w:val="21"/>
                <w:lang w:val="en-US" w:eastAsia="zh-CN"/>
              </w:rPr>
              <w:t>36.464</w:t>
            </w:r>
            <w:r>
              <w:rPr>
                <w:sz w:val="21"/>
                <w:szCs w:val="21"/>
              </w:rPr>
              <w:t>t/a</w:t>
            </w:r>
          </w:p>
        </w:tc>
        <w:tc>
          <w:tcPr>
            <w:tcW w:w="1752" w:type="dxa"/>
            <w:noWrap w:val="0"/>
            <w:vAlign w:val="center"/>
          </w:tcPr>
          <w:p>
            <w:pPr>
              <w:pStyle w:val="30"/>
              <w:bidi w:val="0"/>
              <w:rPr>
                <w:rFonts w:hint="eastAsia" w:eastAsia="宋体"/>
                <w:sz w:val="21"/>
                <w:szCs w:val="21"/>
                <w:lang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84" w:type="dxa"/>
            <w:vMerge w:val="continue"/>
            <w:noWrap w:val="0"/>
            <w:vAlign w:val="center"/>
          </w:tcPr>
          <w:p>
            <w:pPr>
              <w:pStyle w:val="30"/>
              <w:bidi w:val="0"/>
              <w:rPr>
                <w:sz w:val="21"/>
                <w:szCs w:val="21"/>
              </w:rPr>
            </w:pPr>
          </w:p>
        </w:tc>
        <w:tc>
          <w:tcPr>
            <w:tcW w:w="1253" w:type="dxa"/>
            <w:noWrap w:val="0"/>
            <w:vAlign w:val="center"/>
          </w:tcPr>
          <w:p>
            <w:pPr>
              <w:pStyle w:val="30"/>
              <w:bidi w:val="0"/>
              <w:rPr>
                <w:rFonts w:hint="eastAsia"/>
                <w:sz w:val="21"/>
                <w:szCs w:val="21"/>
              </w:rPr>
            </w:pPr>
            <w:r>
              <w:rPr>
                <w:rFonts w:hint="eastAsia"/>
                <w:sz w:val="21"/>
                <w:szCs w:val="21"/>
              </w:rPr>
              <w:t>污泥</w:t>
            </w:r>
          </w:p>
        </w:tc>
        <w:tc>
          <w:tcPr>
            <w:tcW w:w="1375" w:type="dxa"/>
            <w:noWrap w:val="0"/>
            <w:vAlign w:val="center"/>
          </w:tcPr>
          <w:p>
            <w:pPr>
              <w:pStyle w:val="30"/>
              <w:bidi w:val="0"/>
              <w:rPr>
                <w:sz w:val="21"/>
                <w:szCs w:val="21"/>
              </w:rPr>
            </w:pPr>
            <w:r>
              <w:rPr>
                <w:sz w:val="21"/>
                <w:szCs w:val="21"/>
              </w:rPr>
              <w:t>/</w:t>
            </w:r>
          </w:p>
        </w:tc>
        <w:tc>
          <w:tcPr>
            <w:tcW w:w="1052" w:type="dxa"/>
            <w:noWrap w:val="0"/>
            <w:vAlign w:val="center"/>
          </w:tcPr>
          <w:p>
            <w:pPr>
              <w:pStyle w:val="30"/>
              <w:bidi w:val="0"/>
              <w:rPr>
                <w:sz w:val="21"/>
                <w:szCs w:val="21"/>
              </w:rPr>
            </w:pPr>
            <w:r>
              <w:rPr>
                <w:sz w:val="21"/>
                <w:szCs w:val="21"/>
              </w:rPr>
              <w:t>/</w:t>
            </w:r>
          </w:p>
        </w:tc>
        <w:tc>
          <w:tcPr>
            <w:tcW w:w="1763" w:type="dxa"/>
            <w:noWrap w:val="0"/>
            <w:vAlign w:val="center"/>
          </w:tcPr>
          <w:p>
            <w:pPr>
              <w:pStyle w:val="30"/>
              <w:bidi w:val="0"/>
              <w:rPr>
                <w:sz w:val="21"/>
                <w:szCs w:val="21"/>
              </w:rPr>
            </w:pPr>
            <w:r>
              <w:rPr>
                <w:sz w:val="21"/>
                <w:szCs w:val="21"/>
              </w:rPr>
              <w:t>/</w:t>
            </w:r>
          </w:p>
        </w:tc>
        <w:tc>
          <w:tcPr>
            <w:tcW w:w="1996" w:type="dxa"/>
            <w:noWrap w:val="0"/>
            <w:vAlign w:val="center"/>
          </w:tcPr>
          <w:p>
            <w:pPr>
              <w:pStyle w:val="30"/>
              <w:bidi w:val="0"/>
              <w:rPr>
                <w:sz w:val="21"/>
                <w:szCs w:val="21"/>
              </w:rPr>
            </w:pPr>
            <w:r>
              <w:rPr>
                <w:rFonts w:hint="eastAsia"/>
                <w:sz w:val="21"/>
                <w:szCs w:val="21"/>
                <w:lang w:val="en-US" w:eastAsia="zh-CN"/>
              </w:rPr>
              <w:t>1.28</w:t>
            </w:r>
            <w:r>
              <w:rPr>
                <w:sz w:val="21"/>
                <w:szCs w:val="21"/>
              </w:rPr>
              <w:t>t/a</w:t>
            </w:r>
          </w:p>
        </w:tc>
        <w:tc>
          <w:tcPr>
            <w:tcW w:w="1684" w:type="dxa"/>
            <w:noWrap w:val="0"/>
            <w:vAlign w:val="center"/>
          </w:tcPr>
          <w:p>
            <w:pPr>
              <w:pStyle w:val="30"/>
              <w:bidi w:val="0"/>
              <w:rPr>
                <w:sz w:val="21"/>
                <w:szCs w:val="21"/>
              </w:rPr>
            </w:pPr>
            <w:r>
              <w:rPr>
                <w:sz w:val="21"/>
                <w:szCs w:val="21"/>
              </w:rPr>
              <w:t>/</w:t>
            </w:r>
          </w:p>
        </w:tc>
        <w:tc>
          <w:tcPr>
            <w:tcW w:w="2415" w:type="dxa"/>
            <w:noWrap w:val="0"/>
            <w:vAlign w:val="center"/>
          </w:tcPr>
          <w:p>
            <w:pPr>
              <w:pStyle w:val="30"/>
              <w:bidi w:val="0"/>
              <w:rPr>
                <w:sz w:val="21"/>
                <w:szCs w:val="21"/>
              </w:rPr>
            </w:pPr>
            <w:r>
              <w:rPr>
                <w:rFonts w:hint="eastAsia"/>
                <w:sz w:val="21"/>
                <w:szCs w:val="21"/>
                <w:lang w:val="en-US" w:eastAsia="zh-CN"/>
              </w:rPr>
              <w:t>1.28</w:t>
            </w:r>
            <w:r>
              <w:rPr>
                <w:sz w:val="21"/>
                <w:szCs w:val="21"/>
              </w:rPr>
              <w:t>t/a</w:t>
            </w:r>
          </w:p>
        </w:tc>
        <w:tc>
          <w:tcPr>
            <w:tcW w:w="1752" w:type="dxa"/>
            <w:noWrap w:val="0"/>
            <w:vAlign w:val="center"/>
          </w:tcPr>
          <w:p>
            <w:pPr>
              <w:pStyle w:val="30"/>
              <w:bidi w:val="0"/>
              <w:rPr>
                <w:rFonts w:hint="eastAsia" w:eastAsia="宋体"/>
                <w:sz w:val="21"/>
                <w:szCs w:val="21"/>
                <w:lang w:eastAsia="zh-CN"/>
              </w:rPr>
            </w:pPr>
            <w:r>
              <w:rPr>
                <w:rFonts w:hint="eastAsia"/>
                <w:sz w:val="21"/>
                <w:szCs w:val="21"/>
                <w:lang w:val="en-US" w:eastAsia="zh-CN"/>
              </w:rPr>
              <w:t>/</w:t>
            </w:r>
          </w:p>
        </w:tc>
      </w:tr>
    </w:tbl>
    <w:p>
      <w:pPr>
        <w:pStyle w:val="15"/>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449BF40C-1F8E-4A35-B7A0-A22B5C308BF1}"/>
  </w:font>
  <w:font w:name="方正小标宋_GBK">
    <w:panose1 w:val="02000000000000000000"/>
    <w:charset w:val="86"/>
    <w:family w:val="script"/>
    <w:pitch w:val="default"/>
    <w:sig w:usb0="00000000" w:usb1="00000000" w:usb2="00000000" w:usb3="00000000" w:csb0="00000000" w:csb1="00000000"/>
    <w:embedRegular r:id="rId2" w:fontKey="{74D99072-809F-45D1-B723-233456206FEA}"/>
  </w:font>
  <w:font w:name="楷体_GB2312">
    <w:panose1 w:val="02010609030101010101"/>
    <w:charset w:val="86"/>
    <w:family w:val="modern"/>
    <w:pitch w:val="default"/>
    <w:sig w:usb0="00000000" w:usb1="00000000" w:usb2="00000000" w:usb3="00000000" w:csb0="00000000" w:csb1="00000000"/>
    <w:embedRegular r:id="rId3" w:fontKey="{FCAC9B62-1BDF-4CE4-8684-C47D638E5DED}"/>
  </w:font>
  <w:font w:name="仿宋">
    <w:panose1 w:val="02010609060101010101"/>
    <w:charset w:val="86"/>
    <w:family w:val="auto"/>
    <w:pitch w:val="default"/>
    <w:sig w:usb0="800002BF" w:usb1="38CF7CFA" w:usb2="00000016" w:usb3="00000000" w:csb0="00040001" w:csb1="00000000"/>
    <w:embedRegular r:id="rId4" w:fontKey="{9B193166-F592-42E9-8E20-F117F1D87ABF}"/>
  </w:font>
  <w:font w:name="仿宋_GB2312">
    <w:panose1 w:val="02010609030101010101"/>
    <w:charset w:val="86"/>
    <w:family w:val="modern"/>
    <w:pitch w:val="default"/>
    <w:sig w:usb0="00000000" w:usb1="00000000" w:usb2="00000000" w:usb3="00000000" w:csb0="00000000" w:csb1="00000000"/>
    <w:embedRegular r:id="rId5" w:fontKey="{65EBED0A-0B7E-4529-BF24-169127EFAEE8}"/>
  </w:font>
  <w:font w:name="微软雅黑">
    <w:panose1 w:val="020B0503020204020204"/>
    <w:charset w:val="86"/>
    <w:family w:val="auto"/>
    <w:pitch w:val="default"/>
    <w:sig w:usb0="80000287" w:usb1="2ACF3C50" w:usb2="00000016" w:usb3="00000000" w:csb0="0004001F" w:csb1="00000000"/>
    <w:embedRegular r:id="rId6" w:fontKey="{AC7C067E-A0E6-43FD-9387-0C8EAFBF43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24"/>
      </w:rPr>
    </w:pPr>
    <w:r>
      <w:fldChar w:fldCharType="begin"/>
    </w:r>
    <w:r>
      <w:rPr>
        <w:rStyle w:val="24"/>
      </w:rPr>
      <w:instrText xml:space="preserve">PAGE  </w:instrText>
    </w:r>
    <w:r>
      <w:fldChar w:fldCharType="end"/>
    </w:r>
  </w:p>
  <w:p>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TG5w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dMbnBQCAAAVBAAADgAAAAAAAAAB&#10;ACAAAAAfAQAAZHJzL2Uyb0RvYy54bWxQSwUGAAAAAAYABgBZAQAApQ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39B49D"/>
    <w:multiLevelType w:val="singleLevel"/>
    <w:tmpl w:val="9039B49D"/>
    <w:lvl w:ilvl="0" w:tentative="0">
      <w:start w:val="1"/>
      <w:numFmt w:val="decimal"/>
      <w:suff w:val="nothing"/>
      <w:lvlText w:val="%1、"/>
      <w:lvlJc w:val="left"/>
    </w:lvl>
  </w:abstractNum>
  <w:abstractNum w:abstractNumId="1">
    <w:nsid w:val="96767FB2"/>
    <w:multiLevelType w:val="singleLevel"/>
    <w:tmpl w:val="96767FB2"/>
    <w:lvl w:ilvl="0" w:tentative="0">
      <w:start w:val="2"/>
      <w:numFmt w:val="decimal"/>
      <w:suff w:val="nothing"/>
      <w:lvlText w:val="%1、"/>
      <w:lvlJc w:val="left"/>
    </w:lvl>
  </w:abstractNum>
  <w:abstractNum w:abstractNumId="2">
    <w:nsid w:val="96D6E50A"/>
    <w:multiLevelType w:val="singleLevel"/>
    <w:tmpl w:val="96D6E50A"/>
    <w:lvl w:ilvl="0" w:tentative="0">
      <w:start w:val="1"/>
      <w:numFmt w:val="chineseCounting"/>
      <w:suff w:val="nothing"/>
      <w:lvlText w:val="%1、"/>
      <w:lvlJc w:val="left"/>
      <w:rPr>
        <w:rFonts w:hint="eastAsia"/>
      </w:rPr>
    </w:lvl>
  </w:abstractNum>
  <w:abstractNum w:abstractNumId="3">
    <w:nsid w:val="CB85458C"/>
    <w:multiLevelType w:val="singleLevel"/>
    <w:tmpl w:val="CB85458C"/>
    <w:lvl w:ilvl="0" w:tentative="0">
      <w:start w:val="1"/>
      <w:numFmt w:val="decimal"/>
      <w:suff w:val="nothing"/>
      <w:lvlText w:val="（%1）"/>
      <w:lvlJc w:val="left"/>
    </w:lvl>
  </w:abstractNum>
  <w:abstractNum w:abstractNumId="4">
    <w:nsid w:val="2F88AFD8"/>
    <w:multiLevelType w:val="singleLevel"/>
    <w:tmpl w:val="2F88AFD8"/>
    <w:lvl w:ilvl="0" w:tentative="0">
      <w:start w:val="2"/>
      <w:numFmt w:val="decimal"/>
      <w:suff w:val="nothing"/>
      <w:lvlText w:val="%1）"/>
      <w:lvlJc w:val="left"/>
    </w:lvl>
  </w:abstractNum>
  <w:abstractNum w:abstractNumId="5">
    <w:nsid w:val="3942D1C9"/>
    <w:multiLevelType w:val="singleLevel"/>
    <w:tmpl w:val="3942D1C9"/>
    <w:lvl w:ilvl="0" w:tentative="0">
      <w:start w:val="3"/>
      <w:numFmt w:val="decimal"/>
      <w:suff w:val="nothing"/>
      <w:lvlText w:val="%1、"/>
      <w:lvlJc w:val="left"/>
    </w:lvl>
  </w:abstractNum>
  <w:abstractNum w:abstractNumId="6">
    <w:nsid w:val="5010DE7B"/>
    <w:multiLevelType w:val="singleLevel"/>
    <w:tmpl w:val="5010DE7B"/>
    <w:lvl w:ilvl="0" w:tentative="0">
      <w:start w:val="1"/>
      <w:numFmt w:val="decimal"/>
      <w:suff w:val="nothing"/>
      <w:lvlText w:val="表 1-%1"/>
      <w:lvlJc w:val="left"/>
      <w:pPr>
        <w:ind w:left="-193" w:firstLine="403"/>
      </w:pPr>
      <w:rPr>
        <w:rFonts w:hint="default"/>
      </w:rPr>
    </w:lvl>
  </w:abstractNum>
  <w:num w:numId="1">
    <w:abstractNumId w:val="2"/>
  </w:num>
  <w:num w:numId="2">
    <w:abstractNumId w:val="6"/>
  </w:num>
  <w:num w:numId="3">
    <w:abstractNumId w:val="3"/>
  </w:num>
  <w:num w:numId="4">
    <w:abstractNumId w:val="1"/>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xNDNhOWJjMWVlODE4OTA5MDVkMDA2ZjEwNmRhYjYifQ=="/>
  </w:docVars>
  <w:rsids>
    <w:rsidRoot w:val="115E240E"/>
    <w:rsid w:val="0A02702E"/>
    <w:rsid w:val="0B542123"/>
    <w:rsid w:val="0E436F73"/>
    <w:rsid w:val="11E164E5"/>
    <w:rsid w:val="15556D47"/>
    <w:rsid w:val="18FC210A"/>
    <w:rsid w:val="19640835"/>
    <w:rsid w:val="1B2262AF"/>
    <w:rsid w:val="1F7652AC"/>
    <w:rsid w:val="282E547B"/>
    <w:rsid w:val="2C7B2207"/>
    <w:rsid w:val="2F541874"/>
    <w:rsid w:val="3137414F"/>
    <w:rsid w:val="339437E9"/>
    <w:rsid w:val="3A1F71E3"/>
    <w:rsid w:val="41E356A7"/>
    <w:rsid w:val="45116E25"/>
    <w:rsid w:val="48AB1167"/>
    <w:rsid w:val="49D86574"/>
    <w:rsid w:val="4FFB11C5"/>
    <w:rsid w:val="55502006"/>
    <w:rsid w:val="5E8B6A47"/>
    <w:rsid w:val="6265028C"/>
    <w:rsid w:val="632F7F49"/>
    <w:rsid w:val="67A9489F"/>
    <w:rsid w:val="7107596E"/>
    <w:rsid w:val="726856D1"/>
    <w:rsid w:val="76666155"/>
    <w:rsid w:val="778A61D6"/>
    <w:rsid w:val="78DA18D4"/>
    <w:rsid w:val="7AC24D10"/>
    <w:rsid w:val="7D2D0569"/>
    <w:rsid w:val="7F4779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qFormat="1" w:unhideWhenUsed="0" w:uiPriority="99"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left"/>
    </w:pPr>
    <w:rPr>
      <w:rFonts w:ascii="Times New Roman" w:hAnsi="Times New Roman" w:eastAsia="宋体" w:cstheme="minorBidi"/>
      <w:kern w:val="2"/>
      <w:sz w:val="24"/>
      <w:szCs w:val="24"/>
      <w:lang w:val="en-US" w:eastAsia="zh-CN" w:bidi="ar-SA"/>
    </w:rPr>
  </w:style>
  <w:style w:type="paragraph" w:styleId="2">
    <w:name w:val="heading 1"/>
    <w:basedOn w:val="1"/>
    <w:next w:val="1"/>
    <w:qFormat/>
    <w:uiPriority w:val="0"/>
    <w:pPr>
      <w:keepNext/>
      <w:keepLines/>
      <w:spacing w:beforeLines="0" w:beforeAutospacing="0" w:afterLines="0" w:afterAutospacing="0" w:line="360" w:lineRule="auto"/>
      <w:jc w:val="center"/>
      <w:outlineLvl w:val="0"/>
    </w:pPr>
    <w:rPr>
      <w:rFonts w:ascii="Times New Roman" w:hAnsi="Times New Roman" w:eastAsia="宋体"/>
      <w:b/>
      <w:kern w:val="44"/>
      <w:sz w:val="30"/>
      <w:szCs w:val="30"/>
    </w:rPr>
  </w:style>
  <w:style w:type="paragraph" w:styleId="3">
    <w:name w:val="heading 2"/>
    <w:basedOn w:val="1"/>
    <w:next w:val="1"/>
    <w:unhideWhenUsed/>
    <w:qFormat/>
    <w:uiPriority w:val="0"/>
    <w:pPr>
      <w:keepNext/>
      <w:keepLines/>
      <w:spacing w:beforeLines="0" w:beforeAutospacing="0" w:afterLines="0" w:afterAutospacing="0" w:line="360" w:lineRule="auto"/>
      <w:jc w:val="left"/>
      <w:outlineLvl w:val="1"/>
    </w:pPr>
    <w:rPr>
      <w:rFonts w:ascii="Times New Roman" w:hAnsi="Times New Roman" w:eastAsia="宋体"/>
      <w:b/>
      <w:sz w:val="24"/>
    </w:rPr>
  </w:style>
  <w:style w:type="paragraph" w:styleId="4">
    <w:name w:val="heading 4"/>
    <w:basedOn w:val="1"/>
    <w:next w:val="1"/>
    <w:qFormat/>
    <w:uiPriority w:val="99"/>
    <w:pPr>
      <w:outlineLvl w:val="3"/>
    </w:pPr>
    <w:rPr>
      <w:rFonts w:ascii="宋体" w:hAnsi="宋体" w:cs="宋体"/>
      <w:b/>
      <w:bCs/>
      <w:sz w:val="24"/>
    </w:rPr>
  </w:style>
  <w:style w:type="character" w:default="1" w:styleId="23">
    <w:name w:val="Default Paragraph Font"/>
    <w:semiHidden/>
    <w:qFormat/>
    <w:uiPriority w:val="0"/>
  </w:style>
  <w:style w:type="table" w:default="1" w:styleId="27">
    <w:name w:val="Normal Table"/>
    <w:semiHidden/>
    <w:qFormat/>
    <w:uiPriority w:val="0"/>
    <w:tblPr>
      <w:tblLayout w:type="fixed"/>
      <w:tblCellMar>
        <w:top w:w="0" w:type="dxa"/>
        <w:left w:w="108" w:type="dxa"/>
        <w:bottom w:w="0" w:type="dxa"/>
        <w:right w:w="108" w:type="dxa"/>
      </w:tblCellMar>
    </w:tblPr>
  </w:style>
  <w:style w:type="paragraph" w:styleId="5">
    <w:name w:val="annotation subject"/>
    <w:basedOn w:val="6"/>
    <w:next w:val="6"/>
    <w:semiHidden/>
    <w:qFormat/>
    <w:uiPriority w:val="0"/>
    <w:rPr>
      <w:b/>
      <w:kern w:val="2"/>
    </w:rPr>
  </w:style>
  <w:style w:type="paragraph" w:styleId="6">
    <w:name w:val="annotation text"/>
    <w:basedOn w:val="1"/>
    <w:semiHidden/>
    <w:qFormat/>
    <w:uiPriority w:val="0"/>
    <w:pPr>
      <w:jc w:val="left"/>
    </w:pPr>
    <w:rPr>
      <w:kern w:val="0"/>
      <w:sz w:val="24"/>
      <w:szCs w:val="20"/>
    </w:rPr>
  </w:style>
  <w:style w:type="paragraph" w:styleId="7">
    <w:name w:val="Body Text First Indent"/>
    <w:basedOn w:val="1"/>
    <w:next w:val="8"/>
    <w:qFormat/>
    <w:uiPriority w:val="0"/>
    <w:pPr>
      <w:spacing w:after="120"/>
      <w:ind w:firstLine="420" w:firstLineChars="100"/>
    </w:pPr>
    <w:rPr>
      <w:sz w:val="21"/>
    </w:rPr>
  </w:style>
  <w:style w:type="paragraph" w:styleId="8">
    <w:name w:val="Body Text First Indent 2"/>
    <w:basedOn w:val="9"/>
    <w:next w:val="1"/>
    <w:qFormat/>
    <w:uiPriority w:val="0"/>
    <w:pPr>
      <w:spacing w:after="120" w:afterLines="0" w:line="240" w:lineRule="auto"/>
      <w:ind w:left="420" w:leftChars="200" w:firstLine="420" w:firstLineChars="200"/>
    </w:pPr>
    <w:rPr>
      <w:sz w:val="21"/>
      <w:szCs w:val="24"/>
    </w:rPr>
  </w:style>
  <w:style w:type="paragraph" w:styleId="9">
    <w:name w:val="Body Text Indent"/>
    <w:basedOn w:val="1"/>
    <w:next w:val="10"/>
    <w:qFormat/>
    <w:uiPriority w:val="0"/>
    <w:pPr>
      <w:spacing w:after="120"/>
      <w:ind w:left="420" w:leftChars="200"/>
    </w:pPr>
    <w:rPr>
      <w:kern w:val="0"/>
      <w:sz w:val="24"/>
      <w:szCs w:val="20"/>
    </w:rPr>
  </w:style>
  <w:style w:type="paragraph" w:styleId="10">
    <w:name w:val="envelope return"/>
    <w:basedOn w:val="1"/>
    <w:qFormat/>
    <w:uiPriority w:val="0"/>
    <w:pPr>
      <w:snapToGrid w:val="0"/>
    </w:pPr>
    <w:rPr>
      <w:rFonts w:ascii="Arial" w:hAnsi="Arial"/>
    </w:rPr>
  </w:style>
  <w:style w:type="paragraph" w:styleId="11">
    <w:name w:val="table of authorities"/>
    <w:basedOn w:val="1"/>
    <w:next w:val="1"/>
    <w:qFormat/>
    <w:uiPriority w:val="0"/>
    <w:pPr>
      <w:ind w:left="420" w:leftChars="200"/>
    </w:pPr>
  </w:style>
  <w:style w:type="paragraph" w:styleId="12">
    <w:name w:val="Normal Indent"/>
    <w:basedOn w:val="1"/>
    <w:next w:val="8"/>
    <w:qFormat/>
    <w:uiPriority w:val="0"/>
    <w:pPr>
      <w:ind w:firstLine="420" w:firstLineChars="200"/>
    </w:pPr>
  </w:style>
  <w:style w:type="paragraph" w:styleId="13">
    <w:name w:val="caption"/>
    <w:basedOn w:val="1"/>
    <w:next w:val="1"/>
    <w:qFormat/>
    <w:uiPriority w:val="0"/>
    <w:pPr>
      <w:spacing w:line="360" w:lineRule="auto"/>
      <w:ind w:firstLine="200" w:firstLineChars="200"/>
    </w:pPr>
    <w:rPr>
      <w:rFonts w:ascii="Arial" w:hAnsi="Arial" w:eastAsia="黑体" w:cs="Arial"/>
      <w:sz w:val="20"/>
      <w:szCs w:val="20"/>
    </w:rPr>
  </w:style>
  <w:style w:type="paragraph" w:styleId="14">
    <w:name w:val="Closing"/>
    <w:basedOn w:val="1"/>
    <w:qFormat/>
    <w:uiPriority w:val="99"/>
    <w:pPr>
      <w:spacing w:line="480" w:lineRule="exact"/>
      <w:ind w:leftChars="2100" w:firstLine="200" w:firstLineChars="200"/>
    </w:pPr>
    <w:rPr>
      <w:rFonts w:ascii="宋体" w:hAnsi="宋体"/>
    </w:rPr>
  </w:style>
  <w:style w:type="paragraph" w:styleId="15">
    <w:name w:val="Body Text"/>
    <w:basedOn w:val="1"/>
    <w:qFormat/>
    <w:uiPriority w:val="0"/>
    <w:pPr>
      <w:spacing w:afterLines="0" w:afterAutospacing="0"/>
    </w:pPr>
    <w:rPr>
      <w:rFonts w:ascii="Times New Roman" w:hAnsi="Times New Roman" w:eastAsia="宋体"/>
    </w:rPr>
  </w:style>
  <w:style w:type="paragraph" w:styleId="16">
    <w:name w:val="Plain Text"/>
    <w:basedOn w:val="1"/>
    <w:next w:val="17"/>
    <w:qFormat/>
    <w:uiPriority w:val="99"/>
    <w:pPr>
      <w:adjustRightInd w:val="0"/>
      <w:spacing w:before="120" w:line="400" w:lineRule="exact"/>
    </w:pPr>
    <w:rPr>
      <w:rFonts w:ascii="宋体" w:hAnsi="Courier New"/>
      <w:spacing w:val="-2"/>
      <w:kern w:val="28"/>
      <w:szCs w:val="20"/>
    </w:rPr>
  </w:style>
  <w:style w:type="paragraph" w:styleId="17">
    <w:name w:val="toc 1"/>
    <w:basedOn w:val="1"/>
    <w:next w:val="1"/>
    <w:qFormat/>
    <w:uiPriority w:val="39"/>
    <w:pPr>
      <w:jc w:val="left"/>
    </w:pPr>
    <w:rPr>
      <w:rFonts w:ascii="Times New Roman" w:hAnsi="Times New Roman" w:eastAsia="宋体"/>
      <w:bCs/>
      <w:caps/>
      <w:sz w:val="24"/>
    </w:rPr>
  </w:style>
  <w:style w:type="paragraph" w:styleId="18">
    <w:name w:val="footer"/>
    <w:basedOn w:val="1"/>
    <w:qFormat/>
    <w:uiPriority w:val="99"/>
    <w:pPr>
      <w:tabs>
        <w:tab w:val="center" w:pos="4153"/>
        <w:tab w:val="right" w:pos="8306"/>
      </w:tabs>
      <w:snapToGrid w:val="0"/>
      <w:jc w:val="left"/>
    </w:pPr>
    <w:rPr>
      <w:kern w:val="0"/>
      <w:sz w:val="18"/>
      <w:szCs w:val="20"/>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toc 2"/>
    <w:basedOn w:val="1"/>
    <w:next w:val="1"/>
    <w:unhideWhenUsed/>
    <w:qFormat/>
    <w:uiPriority w:val="39"/>
    <w:pPr>
      <w:spacing w:line="360" w:lineRule="auto"/>
      <w:ind w:left="240" w:leftChars="100" w:firstLine="0" w:firstLineChars="0"/>
    </w:pPr>
    <w:rPr>
      <w:rFonts w:ascii="Times New Roman" w:hAnsi="Times New Roman" w:eastAsia="宋体"/>
      <w:sz w:val="24"/>
      <w:szCs w:val="24"/>
    </w:rPr>
  </w:style>
  <w:style w:type="paragraph" w:styleId="21">
    <w:name w:val="toc 9"/>
    <w:basedOn w:val="1"/>
    <w:next w:val="1"/>
    <w:qFormat/>
    <w:uiPriority w:val="0"/>
    <w:pPr>
      <w:widowControl/>
      <w:wordWrap w:val="0"/>
      <w:ind w:left="2975"/>
    </w:pPr>
    <w:rPr>
      <w:sz w:val="21"/>
      <w:szCs w:val="22"/>
    </w:rPr>
  </w:style>
  <w:style w:type="paragraph" w:styleId="22">
    <w:name w:val="Normal (Web)"/>
    <w:basedOn w:val="1"/>
    <w:qFormat/>
    <w:uiPriority w:val="0"/>
    <w:pPr>
      <w:widowControl/>
      <w:spacing w:before="100" w:beforeAutospacing="1" w:after="100" w:afterAutospacing="1"/>
      <w:jc w:val="left"/>
    </w:pPr>
    <w:rPr>
      <w:rFonts w:ascii="宋体" w:hAnsi="宋体"/>
      <w:kern w:val="0"/>
      <w:sz w:val="24"/>
      <w:szCs w:val="20"/>
    </w:rPr>
  </w:style>
  <w:style w:type="character" w:styleId="24">
    <w:name w:val="page number"/>
    <w:basedOn w:val="23"/>
    <w:qFormat/>
    <w:uiPriority w:val="0"/>
  </w:style>
  <w:style w:type="character" w:styleId="25">
    <w:name w:val="Hyperlink"/>
    <w:qFormat/>
    <w:uiPriority w:val="0"/>
    <w:rPr>
      <w:color w:val="4D4D4D"/>
      <w:u w:val="none"/>
    </w:rPr>
  </w:style>
  <w:style w:type="character" w:styleId="26">
    <w:name w:val="annotation reference"/>
    <w:semiHidden/>
    <w:qFormat/>
    <w:uiPriority w:val="0"/>
    <w:rPr>
      <w:sz w:val="21"/>
    </w:rPr>
  </w:style>
  <w:style w:type="table" w:styleId="28">
    <w:name w:val="Table Grid"/>
    <w:basedOn w:val="2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9">
    <w:name w:val="表头"/>
    <w:basedOn w:val="30"/>
    <w:next w:val="1"/>
    <w:link w:val="33"/>
    <w:qFormat/>
    <w:uiPriority w:val="0"/>
    <w:pPr>
      <w:spacing w:line="240" w:lineRule="auto"/>
      <w:jc w:val="center"/>
    </w:pPr>
    <w:rPr>
      <w:b/>
      <w:kern w:val="10"/>
      <w:sz w:val="21"/>
      <w:szCs w:val="21"/>
    </w:rPr>
  </w:style>
  <w:style w:type="paragraph" w:customStyle="1" w:styleId="30">
    <w:name w:val="表文字"/>
    <w:basedOn w:val="15"/>
    <w:next w:val="1"/>
    <w:qFormat/>
    <w:uiPriority w:val="0"/>
    <w:pPr>
      <w:snapToGrid w:val="0"/>
      <w:spacing w:line="240" w:lineRule="auto"/>
      <w:jc w:val="center"/>
    </w:pPr>
    <w:rPr>
      <w:rFonts w:ascii="Times New Roman" w:hAnsi="Times New Roman" w:eastAsia="宋体"/>
      <w:snapToGrid w:val="0"/>
      <w:spacing w:val="6"/>
      <w:sz w:val="21"/>
      <w:szCs w:val="21"/>
    </w:rPr>
  </w:style>
  <w:style w:type="paragraph" w:styleId="31">
    <w:name w:val="List Paragraph"/>
    <w:basedOn w:val="1"/>
    <w:qFormat/>
    <w:uiPriority w:val="1"/>
    <w:pPr>
      <w:ind w:left="780" w:hanging="601"/>
    </w:pPr>
    <w:rPr>
      <w:rFonts w:ascii="宋体" w:hAnsi="宋体" w:eastAsia="宋体" w:cs="宋体"/>
      <w:lang w:val="zh-CN" w:bidi="zh-CN"/>
    </w:rPr>
  </w:style>
  <w:style w:type="table" w:customStyle="1" w:styleId="32">
    <w:name w:val="Table Normal"/>
    <w:semiHidden/>
    <w:unhideWhenUsed/>
    <w:qFormat/>
    <w:uiPriority w:val="0"/>
    <w:tblPr>
      <w:tblLayout w:type="fixed"/>
      <w:tblCellMar>
        <w:top w:w="0" w:type="dxa"/>
        <w:left w:w="0" w:type="dxa"/>
        <w:bottom w:w="0" w:type="dxa"/>
        <w:right w:w="0" w:type="dxa"/>
      </w:tblCellMar>
    </w:tblPr>
  </w:style>
  <w:style w:type="character" w:customStyle="1" w:styleId="33">
    <w:name w:val="表头 Char"/>
    <w:link w:val="29"/>
    <w:qFormat/>
    <w:uiPriority w:val="0"/>
    <w:rPr>
      <w:b/>
      <w:kern w:val="10"/>
      <w:sz w:val="21"/>
      <w:szCs w:val="21"/>
    </w:rPr>
  </w:style>
  <w:style w:type="paragraph" w:customStyle="1" w:styleId="34">
    <w:name w:val="Table Text"/>
    <w:basedOn w:val="1"/>
    <w:semiHidden/>
    <w:qFormat/>
    <w:uiPriority w:val="0"/>
    <w:rPr>
      <w:rFonts w:ascii="宋体" w:hAnsi="宋体" w:eastAsia="宋体" w:cs="宋体"/>
      <w:sz w:val="19"/>
      <w:szCs w:val="19"/>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wmf"/><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e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75</Pages>
  <Words>42349</Words>
  <Characters>48700</Characters>
  <Lines>0</Lines>
  <Paragraphs>0</Paragraphs>
  <TotalTime>0</TotalTime>
  <ScaleCrop>false</ScaleCrop>
  <LinksUpToDate>false</LinksUpToDate>
  <CharactersWithSpaces>49116</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2024-08-18T08:06:00Z</dcterms:created>
  <dc:creator>pap</dc:creator>
  <cp:lastModifiedBy>Administrator</cp:lastModifiedBy>
  <dcterms:modified xsi:type="dcterms:W3CDTF">2024-09-20T01:49:10Z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C615C70B07334F5CBF601FE64B58CF10_13</vt:lpwstr>
  </property>
</Properties>
</file>