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505F">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default" w:ascii="方正小标宋简体" w:eastAsia="方正小标宋简体"/>
          <w:sz w:val="52"/>
          <w:szCs w:val="52"/>
          <w:lang w:val="e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零陵区信访局</w:t>
      </w:r>
      <w:r>
        <w:rPr>
          <w:rFonts w:hint="eastAsia" w:ascii="方正小标宋简体" w:eastAsia="方正小标宋简体"/>
          <w:sz w:val="52"/>
          <w:szCs w:val="52"/>
        </w:rPr>
        <w:t>整体支出</w:t>
      </w:r>
    </w:p>
    <w:p w14:paraId="6830A2B0">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14:paraId="4729BFB7">
      <w:pPr>
        <w:jc w:val="center"/>
        <w:rPr>
          <w:rFonts w:eastAsia="方正小标宋_GBK"/>
          <w:b/>
          <w:sz w:val="52"/>
          <w:szCs w:val="52"/>
        </w:rPr>
      </w:pPr>
    </w:p>
    <w:p w14:paraId="7416FAFE">
      <w:pPr>
        <w:jc w:val="center"/>
        <w:rPr>
          <w:rFonts w:eastAsia="楷体_GB2312"/>
          <w:b/>
          <w:sz w:val="32"/>
          <w:szCs w:val="32"/>
        </w:rPr>
      </w:pPr>
    </w:p>
    <w:p w14:paraId="75D0694D">
      <w:pPr>
        <w:jc w:val="both"/>
        <w:rPr>
          <w:rFonts w:eastAsia="楷体_GB2312"/>
          <w:b/>
          <w:sz w:val="32"/>
          <w:szCs w:val="32"/>
        </w:rPr>
      </w:pPr>
    </w:p>
    <w:p w14:paraId="6622FC00">
      <w:pPr>
        <w:jc w:val="center"/>
        <w:rPr>
          <w:rFonts w:eastAsia="黑体"/>
          <w:sz w:val="32"/>
          <w:szCs w:val="32"/>
        </w:rPr>
      </w:pPr>
    </w:p>
    <w:p w14:paraId="641E5800">
      <w:pPr>
        <w:jc w:val="center"/>
        <w:rPr>
          <w:rFonts w:eastAsia="黑体"/>
          <w:sz w:val="32"/>
          <w:szCs w:val="32"/>
        </w:rPr>
      </w:pPr>
    </w:p>
    <w:p w14:paraId="5863B82A">
      <w:pPr>
        <w:jc w:val="center"/>
        <w:rPr>
          <w:rFonts w:eastAsia="黑体"/>
          <w:sz w:val="32"/>
          <w:szCs w:val="32"/>
        </w:rPr>
      </w:pPr>
    </w:p>
    <w:p w14:paraId="384F269D">
      <w:pPr>
        <w:jc w:val="center"/>
        <w:rPr>
          <w:rFonts w:eastAsia="黑体"/>
          <w:sz w:val="32"/>
          <w:szCs w:val="32"/>
        </w:rPr>
      </w:pPr>
    </w:p>
    <w:p w14:paraId="2EFC0614">
      <w:pPr>
        <w:rPr>
          <w:rFonts w:eastAsia="黑体"/>
          <w:sz w:val="32"/>
          <w:szCs w:val="32"/>
        </w:rPr>
      </w:pPr>
    </w:p>
    <w:p w14:paraId="1E9DB7FE">
      <w:pPr>
        <w:jc w:val="center"/>
        <w:rPr>
          <w:rFonts w:eastAsia="黑体"/>
          <w:sz w:val="32"/>
          <w:szCs w:val="32"/>
        </w:rPr>
      </w:pPr>
    </w:p>
    <w:p w14:paraId="33FB035D">
      <w:pPr>
        <w:jc w:val="center"/>
        <w:rPr>
          <w:rFonts w:eastAsia="黑体"/>
          <w:sz w:val="32"/>
          <w:szCs w:val="32"/>
        </w:rPr>
      </w:pPr>
    </w:p>
    <w:p w14:paraId="6BDA0BBB">
      <w:pPr>
        <w:jc w:val="center"/>
        <w:rPr>
          <w:rFonts w:eastAsia="黑体"/>
          <w:sz w:val="32"/>
          <w:szCs w:val="32"/>
        </w:rPr>
      </w:pPr>
    </w:p>
    <w:p w14:paraId="1706B892">
      <w:pPr>
        <w:spacing w:line="600" w:lineRule="exact"/>
        <w:ind w:firstLine="1920" w:firstLineChars="600"/>
        <w:rPr>
          <w:rFonts w:eastAsia="仿宋_GB2312"/>
          <w:sz w:val="32"/>
          <w:szCs w:val="32"/>
          <w:u w:val="single"/>
        </w:rPr>
      </w:pPr>
      <w:r>
        <w:rPr>
          <w:rFonts w:eastAsia="仿宋_GB2312"/>
          <w:sz w:val="32"/>
          <w:szCs w:val="32"/>
        </w:rPr>
        <w:t>单位名称：</w:t>
      </w:r>
      <w:r>
        <w:rPr>
          <w:rFonts w:hint="eastAsia" w:eastAsia="仿宋_GB2312"/>
          <w:sz w:val="32"/>
          <w:szCs w:val="32"/>
          <w:u w:val="single"/>
          <w:lang w:eastAsia="zh-CN"/>
        </w:rPr>
        <w:t>永州市零陵信访局</w:t>
      </w:r>
      <w:r>
        <w:rPr>
          <w:rFonts w:eastAsia="仿宋_GB2312"/>
          <w:sz w:val="32"/>
          <w:szCs w:val="32"/>
          <w:u w:val="single"/>
        </w:rPr>
        <w:t>（盖章）</w:t>
      </w:r>
    </w:p>
    <w:p w14:paraId="1BED790A">
      <w:pPr>
        <w:spacing w:line="600" w:lineRule="exact"/>
        <w:ind w:firstLine="3520" w:firstLineChars="1100"/>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7</w:t>
      </w:r>
      <w:r>
        <w:rPr>
          <w:rFonts w:eastAsia="楷体_GB2312"/>
          <w:sz w:val="32"/>
          <w:szCs w:val="32"/>
        </w:rPr>
        <w:t>月</w:t>
      </w:r>
      <w:r>
        <w:rPr>
          <w:rFonts w:hint="eastAsia" w:eastAsia="楷体_GB2312"/>
          <w:sz w:val="32"/>
          <w:szCs w:val="32"/>
          <w:lang w:val="en-US" w:eastAsia="zh-CN"/>
        </w:rPr>
        <w:t>17</w:t>
      </w:r>
      <w:r>
        <w:rPr>
          <w:rFonts w:eastAsia="楷体_GB2312"/>
          <w:sz w:val="32"/>
          <w:szCs w:val="32"/>
        </w:rPr>
        <w:t>日</w:t>
      </w:r>
    </w:p>
    <w:p w14:paraId="1B9A5E69">
      <w:pPr>
        <w:jc w:val="center"/>
        <w:rPr>
          <w:rFonts w:eastAsia="黑体"/>
          <w:sz w:val="32"/>
          <w:szCs w:val="32"/>
        </w:rPr>
      </w:pPr>
    </w:p>
    <w:p w14:paraId="747CDCB7">
      <w:pPr>
        <w:jc w:val="center"/>
        <w:rPr>
          <w:rFonts w:eastAsia="仿宋_GB2312"/>
          <w:sz w:val="32"/>
          <w:szCs w:val="32"/>
        </w:rPr>
      </w:pPr>
      <w:r>
        <w:rPr>
          <w:rFonts w:eastAsia="仿宋_GB2312"/>
          <w:sz w:val="32"/>
          <w:szCs w:val="32"/>
        </w:rPr>
        <w:t>（此页为封面）</w:t>
      </w:r>
    </w:p>
    <w:p w14:paraId="368D5723">
      <w:pPr>
        <w:numPr>
          <w:ilvl w:val="0"/>
          <w:numId w:val="0"/>
        </w:numPr>
        <w:spacing w:line="57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011261D6">
      <w:pPr>
        <w:widowControl w:val="0"/>
        <w:shd w:val="clear" w:color="auto" w:fill="FFFFFF"/>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（一）部门（单位）职能职责、机构编制、人员构成等。</w:t>
      </w:r>
    </w:p>
    <w:p w14:paraId="5851AA76">
      <w:pPr>
        <w:widowControl w:val="0"/>
        <w:shd w:val="clear" w:color="auto" w:fill="FFFFFF"/>
        <w:spacing w:line="57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1.职能职责</w:t>
      </w:r>
    </w:p>
    <w:p w14:paraId="273E7155">
      <w:pPr>
        <w:widowControl w:val="0"/>
        <w:shd w:val="clear" w:color="auto" w:fill="FFFFFF"/>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负责处理中央、国家机关和省委、省政府及市委、市政府统转信件，负责处理人民群众和境外人士给区委、区政府及其领导同志来信，接待到区委、区政府来访的人民群众，走好区委、区政府领导同志接待上访群众的组织服务工作。</w:t>
      </w:r>
    </w:p>
    <w:p w14:paraId="0A014AB9">
      <w:pPr>
        <w:widowControl w:val="0"/>
        <w:shd w:val="clear" w:color="auto" w:fill="FFFFFF"/>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承办中央和国家机关、省委和省政府、市委和市政府、区委和区政府交办的信访事项。督促检查领导同志批示件的落实情况，向各乡镇、办事处、农林场和区直部门交办信访事项，督促检查交办事项的处理情况。</w:t>
      </w:r>
    </w:p>
    <w:p w14:paraId="445C12EA">
      <w:pPr>
        <w:widowControl w:val="0"/>
        <w:shd w:val="clear" w:color="auto" w:fill="FFFFFF"/>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（3）综合反映人民群众来信来访中提出的重要意见、建议和问题，指导全区信访业务；研究、起草有关信访工作的规范性文件；总结、推广信访工作经验，提出改进和加强信访工作的意见。</w:t>
      </w:r>
    </w:p>
    <w:p w14:paraId="2EA4D4BA">
      <w:pPr>
        <w:widowControl w:val="0"/>
        <w:shd w:val="clear" w:color="auto" w:fill="FFFFFF"/>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（4）协同有关部门处理跨乡、镇、办事处和跨部门的重大信访问题；协调处理群众赴京到省市来区上访和异常突发性信访事项。</w:t>
      </w:r>
    </w:p>
    <w:p w14:paraId="3B1805FE">
      <w:pPr>
        <w:widowControl w:val="0"/>
        <w:shd w:val="clear" w:color="auto" w:fill="FFFFFF"/>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（5）掌控全区信访工作动态，提出加强信访工作队伍建设的措施，对信访工作中失职、渎职行为提出处理意见；组织信访干部的培训；开展调查研究，提供信访信息，为区委、区政府决策和指导工作服务。</w:t>
      </w:r>
    </w:p>
    <w:p w14:paraId="1080FBB2">
      <w:pPr>
        <w:widowControl w:val="0"/>
        <w:shd w:val="clear" w:color="auto" w:fill="FFFFFF"/>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（6）承办区委、区政府及区委办、区政府办交办的其他事项。</w:t>
      </w:r>
    </w:p>
    <w:p w14:paraId="06D4F5C9">
      <w:pPr>
        <w:widowControl w:val="0"/>
        <w:shd w:val="clear" w:color="auto" w:fill="FFFFFF"/>
        <w:spacing w:line="57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2.机构设置</w:t>
      </w:r>
    </w:p>
    <w:p w14:paraId="0074E600">
      <w:pPr>
        <w:widowControl w:val="0"/>
        <w:shd w:val="clear" w:color="auto" w:fill="FFFFFF"/>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零陵区信访局为正科级单位，内设3个股室，分别为办公室、信访室、调纠室。另下设区信访服务中心，为区信访局所属正股级全额拨款事业单位。</w:t>
      </w:r>
    </w:p>
    <w:p w14:paraId="6D66FCAF">
      <w:pPr>
        <w:widowControl w:val="0"/>
        <w:shd w:val="clear" w:color="auto" w:fill="FFFFFF"/>
        <w:spacing w:line="57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3.人员构成</w:t>
      </w:r>
    </w:p>
    <w:p w14:paraId="3D8F0259">
      <w:pPr>
        <w:widowControl w:val="0"/>
        <w:shd w:val="clear" w:color="auto" w:fill="FFFFFF"/>
        <w:spacing w:line="57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本部门核定编制24名，截止202</w:t>
      </w:r>
      <w:r>
        <w:rPr>
          <w:rFonts w:hint="eastAsia" w:ascii="仿宋_GB2312" w:eastAsia="仿宋_GB2312"/>
          <w:sz w:val="32"/>
          <w:szCs w:val="32"/>
          <w:lang w:val="en-US" w:eastAsia="zh-CN"/>
        </w:rPr>
        <w:t>4</w:t>
      </w:r>
      <w:r>
        <w:rPr>
          <w:rFonts w:hint="default" w:ascii="仿宋_GB2312" w:eastAsia="仿宋_GB2312"/>
          <w:sz w:val="32"/>
          <w:szCs w:val="32"/>
          <w:lang w:val="en-US" w:eastAsia="zh-CN"/>
        </w:rPr>
        <w:t>年底，实有人员2</w:t>
      </w:r>
      <w:r>
        <w:rPr>
          <w:rFonts w:hint="eastAsia" w:ascii="仿宋_GB2312" w:eastAsia="仿宋_GB2312"/>
          <w:sz w:val="32"/>
          <w:szCs w:val="32"/>
          <w:lang w:val="en-US" w:eastAsia="zh-CN"/>
        </w:rPr>
        <w:t>0</w:t>
      </w:r>
      <w:r>
        <w:rPr>
          <w:rFonts w:hint="default" w:ascii="仿宋_GB2312" w:eastAsia="仿宋_GB2312"/>
          <w:sz w:val="32"/>
          <w:szCs w:val="32"/>
          <w:lang w:val="en-US" w:eastAsia="zh-CN"/>
        </w:rPr>
        <w:t>名，其中：机关行政人员7人，事业编制1</w:t>
      </w:r>
      <w:r>
        <w:rPr>
          <w:rFonts w:hint="eastAsia" w:ascii="仿宋_GB2312" w:eastAsia="仿宋_GB2312"/>
          <w:sz w:val="32"/>
          <w:szCs w:val="32"/>
          <w:lang w:val="en-US" w:eastAsia="zh-CN"/>
        </w:rPr>
        <w:t>3</w:t>
      </w:r>
      <w:r>
        <w:rPr>
          <w:rFonts w:hint="default" w:ascii="仿宋_GB2312" w:eastAsia="仿宋_GB2312"/>
          <w:sz w:val="32"/>
          <w:szCs w:val="32"/>
          <w:lang w:val="en-US" w:eastAsia="zh-CN"/>
        </w:rPr>
        <w:t>人，退休人员4人。</w:t>
      </w:r>
    </w:p>
    <w:p w14:paraId="42E0028C">
      <w:pPr>
        <w:numPr>
          <w:ilvl w:val="0"/>
          <w:numId w:val="1"/>
        </w:numPr>
        <w:spacing w:line="570" w:lineRule="exact"/>
        <w:ind w:firstLine="640" w:firstLineChars="200"/>
        <w:rPr>
          <w:rFonts w:hint="eastAsia" w:eastAsia="仿宋_GB2312"/>
          <w:color w:val="000000"/>
          <w:sz w:val="32"/>
          <w:szCs w:val="32"/>
          <w:lang w:val="en-US" w:eastAsia="zh-CN"/>
        </w:rPr>
      </w:pPr>
      <w:r>
        <w:rPr>
          <w:rFonts w:hint="eastAsia" w:ascii="仿宋_GB2312" w:eastAsia="仿宋_GB2312"/>
          <w:sz w:val="32"/>
          <w:szCs w:val="32"/>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14:paraId="03BA4780">
      <w:pPr>
        <w:numPr>
          <w:ilvl w:val="0"/>
          <w:numId w:val="0"/>
        </w:numPr>
        <w:spacing w:line="570" w:lineRule="exact"/>
        <w:ind w:firstLine="960" w:firstLineChars="300"/>
        <w:rPr>
          <w:rFonts w:hint="eastAsia" w:eastAsia="仿宋_GB2312"/>
          <w:color w:val="000000"/>
          <w:sz w:val="32"/>
          <w:szCs w:val="32"/>
          <w:lang w:val="en-US" w:eastAsia="zh-CN"/>
        </w:rPr>
      </w:pPr>
      <w:r>
        <w:rPr>
          <w:rFonts w:hint="eastAsia" w:eastAsia="仿宋_GB2312"/>
          <w:color w:val="000000"/>
          <w:sz w:val="32"/>
          <w:szCs w:val="32"/>
          <w:lang w:val="en-US" w:eastAsia="zh-CN"/>
        </w:rPr>
        <w:t>1.部门整体支出情况</w:t>
      </w:r>
    </w:p>
    <w:p w14:paraId="287D20FD">
      <w:pPr>
        <w:numPr>
          <w:ilvl w:val="0"/>
          <w:numId w:val="0"/>
        </w:numPr>
        <w:spacing w:line="570" w:lineRule="exact"/>
        <w:ind w:firstLine="960" w:firstLineChars="300"/>
        <w:rPr>
          <w:rFonts w:hint="eastAsia" w:eastAsia="仿宋_GB2312"/>
          <w:color w:val="000000"/>
          <w:sz w:val="32"/>
          <w:szCs w:val="32"/>
          <w:lang w:val="en-US" w:eastAsia="zh-CN"/>
        </w:rPr>
      </w:pPr>
      <w:r>
        <w:rPr>
          <w:rFonts w:hint="eastAsia" w:eastAsia="仿宋_GB2312"/>
          <w:color w:val="000000"/>
          <w:sz w:val="32"/>
          <w:szCs w:val="32"/>
          <w:lang w:val="en-US" w:eastAsia="zh-CN"/>
        </w:rPr>
        <w:t>本部门2024年度决算总支出542.49万元。基本支出341万元，其中人员经费支出237.14万元，公用经费支出103.86万元。项目支出201.49万元，其中信访业务支出201.49万元。</w:t>
      </w:r>
    </w:p>
    <w:p w14:paraId="0CD4BACF">
      <w:pPr>
        <w:numPr>
          <w:ilvl w:val="0"/>
          <w:numId w:val="0"/>
        </w:numPr>
        <w:spacing w:line="570" w:lineRule="exact"/>
        <w:ind w:firstLine="960" w:firstLineChars="300"/>
        <w:rPr>
          <w:rFonts w:hint="eastAsia" w:eastAsia="仿宋_GB2312"/>
          <w:color w:val="000000"/>
          <w:sz w:val="32"/>
          <w:szCs w:val="32"/>
          <w:lang w:val="en-US" w:eastAsia="zh-CN"/>
        </w:rPr>
      </w:pPr>
      <w:r>
        <w:rPr>
          <w:rFonts w:hint="eastAsia" w:eastAsia="仿宋_GB2312"/>
          <w:color w:val="000000"/>
          <w:sz w:val="32"/>
          <w:szCs w:val="32"/>
          <w:lang w:val="en-US" w:eastAsia="zh-CN"/>
        </w:rPr>
        <w:t>2.部门预算收支决算情况</w:t>
      </w:r>
    </w:p>
    <w:p w14:paraId="264B69CE">
      <w:pPr>
        <w:numPr>
          <w:ilvl w:val="0"/>
          <w:numId w:val="0"/>
        </w:numPr>
        <w:spacing w:line="570" w:lineRule="exact"/>
        <w:ind w:firstLine="960" w:firstLineChars="300"/>
        <w:rPr>
          <w:rFonts w:hint="eastAsia" w:eastAsia="仿宋_GB2312"/>
          <w:color w:val="000000"/>
          <w:sz w:val="32"/>
          <w:szCs w:val="32"/>
          <w:lang w:val="en-US" w:eastAsia="zh-CN"/>
        </w:rPr>
      </w:pPr>
      <w:r>
        <w:rPr>
          <w:rFonts w:hint="eastAsia" w:eastAsia="仿宋_GB2312"/>
          <w:color w:val="000000"/>
          <w:sz w:val="32"/>
          <w:szCs w:val="32"/>
          <w:lang w:val="en-US" w:eastAsia="zh-CN"/>
        </w:rPr>
        <w:t>本部门2024年度收入决</w:t>
      </w:r>
      <w:bookmarkStart w:id="0" w:name="_GoBack"/>
      <w:bookmarkEnd w:id="0"/>
      <w:r>
        <w:rPr>
          <w:rFonts w:hint="eastAsia" w:eastAsia="仿宋_GB2312"/>
          <w:color w:val="000000"/>
          <w:sz w:val="32"/>
          <w:szCs w:val="32"/>
          <w:lang w:val="en-US" w:eastAsia="zh-CN"/>
        </w:rPr>
        <w:t>算数542.49万元，其中一般公共预算财政拨款收入536.93万元，其他收入5.56万元；支出决算数542.49万元，其中基本支出341万元，项目支出201.49万元。</w:t>
      </w:r>
    </w:p>
    <w:p w14:paraId="2E319F7B">
      <w:pPr>
        <w:numPr>
          <w:ilvl w:val="0"/>
          <w:numId w:val="0"/>
        </w:numPr>
        <w:spacing w:line="570" w:lineRule="exact"/>
        <w:ind w:firstLine="960" w:firstLineChars="300"/>
        <w:rPr>
          <w:rFonts w:hint="eastAsia" w:eastAsia="仿宋_GB2312"/>
          <w:color w:val="000000"/>
          <w:sz w:val="32"/>
          <w:szCs w:val="32"/>
          <w:lang w:val="en-US" w:eastAsia="zh-CN"/>
        </w:rPr>
      </w:pPr>
      <w:r>
        <w:rPr>
          <w:rFonts w:hint="eastAsia" w:eastAsia="仿宋_GB2312"/>
          <w:color w:val="000000"/>
          <w:sz w:val="32"/>
          <w:szCs w:val="32"/>
          <w:lang w:val="en-US" w:eastAsia="zh-CN"/>
        </w:rPr>
        <w:t>3.“三公经费”支出使用和管理情况</w:t>
      </w:r>
    </w:p>
    <w:p w14:paraId="351B5026">
      <w:pPr>
        <w:numPr>
          <w:ilvl w:val="0"/>
          <w:numId w:val="0"/>
        </w:numPr>
        <w:spacing w:line="570" w:lineRule="exact"/>
        <w:rPr>
          <w:rFonts w:hint="default" w:eastAsia="仿宋_GB2312"/>
          <w:color w:val="000000"/>
          <w:sz w:val="32"/>
          <w:szCs w:val="32"/>
          <w:lang w:val="en-US" w:eastAsia="zh-CN"/>
        </w:rPr>
      </w:pPr>
      <w:r>
        <w:rPr>
          <w:rFonts w:hint="eastAsia" w:eastAsia="仿宋_GB2312"/>
          <w:color w:val="000000"/>
          <w:sz w:val="32"/>
          <w:szCs w:val="32"/>
          <w:lang w:val="en-US" w:eastAsia="zh-CN"/>
        </w:rPr>
        <w:t xml:space="preserve">      2024年“三公经费”预算支出6.56万元，决算支出3.87万元，其中：因公出国（境）费支出0元，公务用车购置及运行维护费0元，公务接待支出3.87万元。</w:t>
      </w:r>
    </w:p>
    <w:p w14:paraId="2AD953BD">
      <w:pPr>
        <w:pStyle w:val="4"/>
        <w:spacing w:line="57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2A990F8F">
      <w:pPr>
        <w:pStyle w:val="4"/>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（一）基本支出情况</w:t>
      </w:r>
    </w:p>
    <w:p w14:paraId="5FDAF3FF">
      <w:pPr>
        <w:pStyle w:val="4"/>
        <w:spacing w:line="570" w:lineRule="exact"/>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年度本部门一般公共预算财政拨款基本支出</w:t>
      </w:r>
      <w:r>
        <w:rPr>
          <w:rFonts w:hint="eastAsia" w:ascii="Times New Roman" w:hAnsi="Times New Roman" w:eastAsia="仿宋_GB2312"/>
          <w:sz w:val="32"/>
          <w:szCs w:val="32"/>
          <w:lang w:val="en-US" w:eastAsia="zh-CN"/>
        </w:rPr>
        <w:t>335.44</w:t>
      </w:r>
      <w:r>
        <w:rPr>
          <w:rFonts w:hint="eastAsia" w:ascii="Times New Roman" w:hAnsi="Times New Roman" w:eastAsia="仿宋_GB2312"/>
          <w:sz w:val="32"/>
          <w:szCs w:val="32"/>
        </w:rPr>
        <w:t>万元，主要是为保障单位正常运转、完成日常工作任务而发生的各项支出，包括用于基本工资、津贴补贴等人员经费以及办公费、印刷费、水电费、办公设备购置等公用经费。其中：人员经费支出</w:t>
      </w:r>
      <w:r>
        <w:rPr>
          <w:rFonts w:hint="eastAsia" w:ascii="Times New Roman" w:hAnsi="Times New Roman" w:eastAsia="仿宋_GB2312"/>
          <w:sz w:val="32"/>
          <w:szCs w:val="32"/>
          <w:lang w:val="en-US" w:eastAsia="zh-CN"/>
        </w:rPr>
        <w:t>236.67</w:t>
      </w:r>
      <w:r>
        <w:rPr>
          <w:rFonts w:hint="eastAsia" w:ascii="Times New Roman" w:hAnsi="Times New Roman" w:eastAsia="仿宋_GB2312"/>
          <w:sz w:val="32"/>
          <w:szCs w:val="32"/>
        </w:rPr>
        <w:t>万元，公用经费支出</w:t>
      </w:r>
      <w:r>
        <w:rPr>
          <w:rFonts w:hint="eastAsia" w:ascii="Times New Roman" w:hAnsi="Times New Roman" w:eastAsia="仿宋_GB2312"/>
          <w:sz w:val="32"/>
          <w:szCs w:val="32"/>
          <w:lang w:val="en-US" w:eastAsia="zh-CN"/>
        </w:rPr>
        <w:t>98.77</w:t>
      </w:r>
      <w:r>
        <w:rPr>
          <w:rFonts w:hint="eastAsia" w:ascii="Times New Roman" w:hAnsi="Times New Roman" w:eastAsia="仿宋_GB2312"/>
          <w:sz w:val="32"/>
          <w:szCs w:val="32"/>
        </w:rPr>
        <w:t>万元。</w:t>
      </w:r>
    </w:p>
    <w:p w14:paraId="2E6AD250">
      <w:pPr>
        <w:pStyle w:val="4"/>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（二）项目支出情况</w:t>
      </w:r>
    </w:p>
    <w:p w14:paraId="406F5D33">
      <w:pPr>
        <w:pStyle w:val="4"/>
        <w:spacing w:line="570" w:lineRule="exact"/>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年度本部门一般公共预算财政拨款项目支出</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rPr>
        <w:t>4</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万元，其中信访</w:t>
      </w:r>
      <w:r>
        <w:rPr>
          <w:rFonts w:hint="eastAsia" w:ascii="Times New Roman" w:hAnsi="Times New Roman" w:eastAsia="仿宋_GB2312"/>
          <w:sz w:val="32"/>
          <w:szCs w:val="32"/>
          <w:lang w:eastAsia="zh-CN"/>
        </w:rPr>
        <w:t>业务</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201.49</w:t>
      </w:r>
      <w:r>
        <w:rPr>
          <w:rFonts w:hint="eastAsia" w:ascii="Times New Roman" w:hAnsi="Times New Roman" w:eastAsia="仿宋_GB2312"/>
          <w:sz w:val="32"/>
          <w:szCs w:val="32"/>
        </w:rPr>
        <w:t>万元。主要是单位为完成特定行政工作任务或事业发展目标而发生的支出。</w:t>
      </w:r>
    </w:p>
    <w:p w14:paraId="25B750E1">
      <w:pPr>
        <w:pStyle w:val="4"/>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25DF5C87">
      <w:pPr>
        <w:pStyle w:val="4"/>
        <w:spacing w:line="570" w:lineRule="exact"/>
        <w:ind w:firstLine="64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14:paraId="34CE0DE9">
      <w:pPr>
        <w:pStyle w:val="4"/>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四、国有资本经营预算支出情况</w:t>
      </w:r>
      <w:r>
        <w:rPr>
          <w:rFonts w:hint="eastAsia" w:ascii="Times New Roman" w:hAnsi="Times New Roman" w:eastAsia="黑体"/>
          <w:sz w:val="32"/>
          <w:szCs w:val="32"/>
        </w:rPr>
        <w:t>。</w:t>
      </w:r>
    </w:p>
    <w:p w14:paraId="26C901B2">
      <w:pPr>
        <w:pStyle w:val="4"/>
        <w:spacing w:line="570" w:lineRule="exact"/>
        <w:ind w:firstLine="640"/>
        <w:jc w:val="both"/>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我单位无国有资本经营预算支出情况</w:t>
      </w:r>
    </w:p>
    <w:p w14:paraId="76040B4D">
      <w:pPr>
        <w:pStyle w:val="4"/>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五、社会保险基金预算支出情况</w:t>
      </w:r>
      <w:r>
        <w:rPr>
          <w:rFonts w:hint="eastAsia" w:ascii="Times New Roman" w:hAnsi="Times New Roman" w:eastAsia="黑体"/>
          <w:sz w:val="32"/>
          <w:szCs w:val="32"/>
        </w:rPr>
        <w:t>。</w:t>
      </w:r>
    </w:p>
    <w:p w14:paraId="289D1779">
      <w:pPr>
        <w:pStyle w:val="4"/>
        <w:spacing w:line="570" w:lineRule="exact"/>
        <w:ind w:firstLine="640"/>
        <w:jc w:val="both"/>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我单位无社会保险基金预算支出情况</w:t>
      </w:r>
    </w:p>
    <w:p w14:paraId="0C5797A1">
      <w:pPr>
        <w:spacing w:line="570" w:lineRule="exact"/>
        <w:ind w:firstLine="640" w:firstLineChars="200"/>
        <w:jc w:val="both"/>
        <w:rPr>
          <w:rFonts w:eastAsia="黑体"/>
          <w:sz w:val="32"/>
          <w:szCs w:val="32"/>
        </w:rPr>
      </w:pPr>
      <w:r>
        <w:rPr>
          <w:rFonts w:eastAsia="黑体"/>
          <w:sz w:val="32"/>
          <w:szCs w:val="32"/>
        </w:rPr>
        <w:t>六、部门整体支出绩效情况</w:t>
      </w:r>
    </w:p>
    <w:p w14:paraId="4518A234">
      <w:pPr>
        <w:spacing w:line="570" w:lineRule="exact"/>
        <w:ind w:firstLine="640" w:firstLineChars="200"/>
        <w:jc w:val="both"/>
        <w:rPr>
          <w:rFonts w:hint="eastAsia" w:eastAsia="仿宋_GB2312"/>
          <w:color w:val="000000"/>
          <w:sz w:val="32"/>
          <w:szCs w:val="32"/>
        </w:rPr>
      </w:pPr>
      <w:r>
        <w:rPr>
          <w:rFonts w:hint="eastAsia" w:eastAsia="仿宋_GB2312"/>
          <w:color w:val="000000"/>
          <w:sz w:val="32"/>
          <w:szCs w:val="32"/>
        </w:rPr>
        <w:t>1.绩效目标完成情况</w:t>
      </w:r>
    </w:p>
    <w:p w14:paraId="580531B1">
      <w:pPr>
        <w:spacing w:line="570" w:lineRule="exact"/>
        <w:ind w:firstLine="640" w:firstLineChars="200"/>
        <w:jc w:val="both"/>
        <w:rPr>
          <w:rFonts w:hint="eastAsia" w:eastAsia="仿宋_GB2312"/>
          <w:color w:val="000000"/>
          <w:sz w:val="32"/>
          <w:szCs w:val="32"/>
        </w:rPr>
      </w:pPr>
      <w:r>
        <w:rPr>
          <w:rFonts w:hint="eastAsia" w:eastAsia="仿宋_GB2312"/>
          <w:color w:val="000000"/>
          <w:sz w:val="32"/>
          <w:szCs w:val="32"/>
        </w:rPr>
        <w:t>2024年</w:t>
      </w:r>
      <w:r>
        <w:rPr>
          <w:rFonts w:hint="eastAsia" w:eastAsia="仿宋_GB2312"/>
          <w:color w:val="000000"/>
          <w:sz w:val="32"/>
          <w:szCs w:val="32"/>
          <w:lang w:eastAsia="zh-CN"/>
        </w:rPr>
        <w:t>全年</w:t>
      </w:r>
      <w:r>
        <w:rPr>
          <w:rFonts w:hint="eastAsia" w:eastAsia="仿宋_GB2312"/>
          <w:color w:val="000000"/>
          <w:sz w:val="32"/>
          <w:szCs w:val="32"/>
        </w:rPr>
        <w:t>累计接待来访群众773批1875人次，反映信访事项663件，及时化解415件</w:t>
      </w:r>
      <w:r>
        <w:rPr>
          <w:rFonts w:hint="eastAsia" w:eastAsia="仿宋_GB2312"/>
          <w:color w:val="000000"/>
          <w:sz w:val="32"/>
          <w:szCs w:val="32"/>
          <w:lang w:eastAsia="zh-CN"/>
        </w:rPr>
        <w:t>；</w:t>
      </w:r>
      <w:r>
        <w:rPr>
          <w:rFonts w:hint="eastAsia" w:eastAsia="仿宋_GB2312"/>
          <w:color w:val="000000"/>
          <w:sz w:val="32"/>
          <w:szCs w:val="32"/>
        </w:rPr>
        <w:t>排查出各类矛盾纠纷785件，及时处理化解698件，初信初访量同比下降44.8%</w:t>
      </w:r>
      <w:r>
        <w:rPr>
          <w:rFonts w:hint="eastAsia" w:eastAsia="仿宋_GB2312"/>
          <w:color w:val="000000"/>
          <w:sz w:val="32"/>
          <w:szCs w:val="32"/>
          <w:lang w:eastAsia="zh-CN"/>
        </w:rPr>
        <w:t>；信访部门及时受理率、责任单位及时受理率、按期答复率均为100%；全系统申诉、求决信访程序一次性化解率为99.38%；到国家信访局和省信访局信访总量均同比下降；全年没有发生5人以上赴省进京集访，没有发生有影响的群访事件，没有发生有影响的网络舆情，信访法治化考核的各项指标均居全市前列。</w:t>
      </w:r>
      <w:r>
        <w:rPr>
          <w:rFonts w:hint="eastAsia" w:eastAsia="仿宋_GB2312"/>
          <w:color w:val="000000"/>
          <w:sz w:val="32"/>
          <w:szCs w:val="32"/>
        </w:rPr>
        <w:t>绩效管理情况较为理想，均达到了年初设定的各项绩效目标。</w:t>
      </w:r>
    </w:p>
    <w:p w14:paraId="220ADAE0">
      <w:pPr>
        <w:spacing w:line="570" w:lineRule="exact"/>
        <w:ind w:firstLine="640" w:firstLineChars="200"/>
        <w:jc w:val="both"/>
        <w:rPr>
          <w:rFonts w:hint="eastAsia" w:eastAsia="仿宋_GB2312"/>
          <w:color w:val="000000"/>
          <w:sz w:val="32"/>
          <w:szCs w:val="32"/>
        </w:rPr>
      </w:pPr>
      <w:r>
        <w:rPr>
          <w:rFonts w:hint="eastAsia" w:eastAsia="仿宋_GB2312"/>
          <w:color w:val="000000"/>
          <w:sz w:val="32"/>
          <w:szCs w:val="32"/>
        </w:rPr>
        <w:t>2.效益情况</w:t>
      </w:r>
    </w:p>
    <w:p w14:paraId="17D1ACA5">
      <w:pPr>
        <w:pStyle w:val="4"/>
        <w:spacing w:line="570" w:lineRule="exact"/>
        <w:ind w:firstLine="640"/>
        <w:jc w:val="both"/>
        <w:rPr>
          <w:rFonts w:hint="eastAsia" w:eastAsia="仿宋_GB2312"/>
          <w:color w:val="000000"/>
          <w:sz w:val="32"/>
          <w:szCs w:val="32"/>
        </w:rPr>
      </w:pPr>
      <w:r>
        <w:rPr>
          <w:rFonts w:hint="eastAsia" w:eastAsia="仿宋_GB2312"/>
          <w:color w:val="000000"/>
          <w:sz w:val="32"/>
          <w:szCs w:val="32"/>
        </w:rPr>
        <w:t>2024年，在区委、区政府的坚强领导和省市信访部门的关心指导下，全区信访系统深入学习贯彻习近平总书记关于加强和改进人民信访工作的重要思想，坚持“把信访工作融入群众工作，以群众工作统揽信访工作，构建大信访工作格局”的工作思路，努力在“稳”字上做文章，在“控”字上用好力，在“解”字上求实效，全面推进信访工作法治化，不断提升信访工作能力水平，全区信访形势总体平稳可控</w:t>
      </w:r>
      <w:r>
        <w:rPr>
          <w:rFonts w:hint="eastAsia" w:eastAsia="仿宋_GB2312"/>
          <w:color w:val="000000"/>
          <w:sz w:val="32"/>
          <w:szCs w:val="32"/>
          <w:lang w:eastAsia="zh-CN"/>
        </w:rPr>
        <w:t>，</w:t>
      </w:r>
      <w:r>
        <w:rPr>
          <w:rFonts w:hint="eastAsia" w:eastAsia="仿宋_GB2312"/>
          <w:color w:val="000000"/>
          <w:sz w:val="32"/>
          <w:szCs w:val="32"/>
        </w:rPr>
        <w:t>有力地维护了</w:t>
      </w:r>
      <w:r>
        <w:rPr>
          <w:rFonts w:hint="eastAsia" w:eastAsia="仿宋_GB2312"/>
          <w:color w:val="000000"/>
          <w:sz w:val="32"/>
          <w:szCs w:val="32"/>
          <w:lang w:eastAsia="zh-CN"/>
        </w:rPr>
        <w:t>全区</w:t>
      </w:r>
      <w:r>
        <w:rPr>
          <w:rFonts w:hint="eastAsia" w:eastAsia="仿宋_GB2312"/>
          <w:color w:val="000000"/>
          <w:sz w:val="32"/>
          <w:szCs w:val="32"/>
        </w:rPr>
        <w:t>社会大局的和谐稳定。</w:t>
      </w:r>
    </w:p>
    <w:p w14:paraId="79D77D12">
      <w:pPr>
        <w:pStyle w:val="4"/>
        <w:spacing w:line="570" w:lineRule="exact"/>
        <w:jc w:val="both"/>
        <w:rPr>
          <w:rFonts w:ascii="Times New Roman" w:hAnsi="Times New Roman" w:eastAsia="黑体"/>
          <w:sz w:val="32"/>
          <w:szCs w:val="32"/>
        </w:rPr>
      </w:pPr>
      <w:r>
        <w:rPr>
          <w:rFonts w:ascii="Times New Roman" w:hAnsi="Times New Roman" w:eastAsia="黑体"/>
          <w:sz w:val="32"/>
          <w:szCs w:val="32"/>
        </w:rPr>
        <w:t>七、存在的问题及原因分析</w:t>
      </w:r>
    </w:p>
    <w:p w14:paraId="2B1B3A64">
      <w:pPr>
        <w:spacing w:line="570" w:lineRule="exact"/>
        <w:ind w:firstLine="640" w:firstLineChars="200"/>
        <w:jc w:val="both"/>
        <w:rPr>
          <w:rFonts w:hint="eastAsia" w:eastAsia="仿宋_GB2312"/>
          <w:sz w:val="32"/>
          <w:szCs w:val="32"/>
          <w:lang w:eastAsia="zh-CN"/>
        </w:rPr>
      </w:pPr>
      <w:r>
        <w:rPr>
          <w:rFonts w:hint="eastAsia" w:eastAsia="仿宋_GB2312"/>
          <w:sz w:val="32"/>
          <w:szCs w:val="32"/>
          <w:lang w:eastAsia="zh-CN"/>
        </w:rPr>
        <w:t>绩效管理意识稍有薄弱，绩效评价专业度不强。</w:t>
      </w:r>
    </w:p>
    <w:p w14:paraId="3728EF4C">
      <w:pPr>
        <w:spacing w:line="570" w:lineRule="exact"/>
        <w:ind w:firstLine="640" w:firstLineChars="200"/>
        <w:jc w:val="both"/>
        <w:rPr>
          <w:rFonts w:eastAsia="黑体"/>
          <w:sz w:val="32"/>
          <w:szCs w:val="32"/>
        </w:rPr>
      </w:pPr>
      <w:r>
        <w:rPr>
          <w:rFonts w:eastAsia="黑体"/>
          <w:sz w:val="32"/>
          <w:szCs w:val="32"/>
        </w:rPr>
        <w:t>八、下一步改进措施</w:t>
      </w:r>
    </w:p>
    <w:p w14:paraId="1AD2E90A">
      <w:pPr>
        <w:spacing w:line="570" w:lineRule="exact"/>
        <w:ind w:firstLine="640" w:firstLineChars="200"/>
        <w:jc w:val="both"/>
        <w:rPr>
          <w:rFonts w:hint="eastAsia" w:ascii="Calibri" w:hAnsi="Calibri" w:eastAsia="仿宋_GB2312" w:cs="Times New Roman"/>
          <w:color w:val="000000"/>
          <w:kern w:val="0"/>
          <w:sz w:val="32"/>
          <w:szCs w:val="32"/>
          <w:lang w:val="en-US" w:eastAsia="zh-CN" w:bidi="ar-SA"/>
        </w:rPr>
      </w:pPr>
      <w:r>
        <w:rPr>
          <w:rFonts w:hint="eastAsia" w:ascii="Calibri" w:hAnsi="Calibri" w:eastAsia="仿宋_GB2312" w:cs="Times New Roman"/>
          <w:color w:val="000000"/>
          <w:kern w:val="0"/>
          <w:sz w:val="32"/>
          <w:szCs w:val="32"/>
          <w:lang w:val="en-US" w:eastAsia="zh-CN" w:bidi="ar-SA"/>
        </w:rPr>
        <w:t>强化绩效管理意识，提高对绩效评价与结果应用的重视程度，加强对绩效评价工作的业务学习，提升绩效评价工作的质效。</w:t>
      </w:r>
    </w:p>
    <w:p w14:paraId="1D42EAFB">
      <w:pPr>
        <w:spacing w:line="570" w:lineRule="exact"/>
        <w:ind w:firstLine="640" w:firstLineChars="200"/>
        <w:jc w:val="both"/>
        <w:rPr>
          <w:rFonts w:eastAsia="黑体"/>
          <w:sz w:val="32"/>
          <w:szCs w:val="32"/>
        </w:rPr>
      </w:pPr>
      <w:r>
        <w:rPr>
          <w:rFonts w:eastAsia="黑体"/>
          <w:sz w:val="32"/>
          <w:szCs w:val="32"/>
        </w:rPr>
        <w:t>九、部门整体支出绩效自评结果拟应用和公开情况</w:t>
      </w:r>
    </w:p>
    <w:p w14:paraId="3BF18AA1">
      <w:pPr>
        <w:spacing w:line="570" w:lineRule="exact"/>
        <w:ind w:firstLine="640" w:firstLineChars="200"/>
        <w:jc w:val="both"/>
        <w:rPr>
          <w:rFonts w:hint="eastAsia" w:ascii="Calibri" w:hAnsi="Calibri" w:eastAsia="仿宋_GB2312" w:cs="Times New Roman"/>
          <w:color w:val="000000"/>
          <w:kern w:val="0"/>
          <w:sz w:val="32"/>
          <w:szCs w:val="32"/>
          <w:lang w:val="en-US" w:eastAsia="zh-CN" w:bidi="ar-SA"/>
        </w:rPr>
      </w:pPr>
      <w:r>
        <w:rPr>
          <w:rFonts w:hint="eastAsia" w:ascii="Calibri" w:hAnsi="Calibri" w:eastAsia="仿宋_GB2312" w:cs="Times New Roman"/>
          <w:color w:val="000000"/>
          <w:kern w:val="0"/>
          <w:sz w:val="32"/>
          <w:szCs w:val="32"/>
          <w:lang w:val="en-US" w:eastAsia="zh-CN" w:bidi="ar-SA"/>
        </w:rPr>
        <w:t>绩效自评结果将报财政审核后，按要求及时公开。</w:t>
      </w:r>
    </w:p>
    <w:p w14:paraId="307F73FD">
      <w:pPr>
        <w:spacing w:line="570" w:lineRule="exact"/>
        <w:ind w:firstLine="640" w:firstLineChars="200"/>
        <w:jc w:val="both"/>
        <w:rPr>
          <w:rFonts w:eastAsia="黑体"/>
          <w:sz w:val="32"/>
          <w:szCs w:val="32"/>
        </w:rPr>
      </w:pPr>
      <w:r>
        <w:rPr>
          <w:rFonts w:hint="eastAsia" w:eastAsia="黑体"/>
          <w:sz w:val="32"/>
          <w:szCs w:val="32"/>
        </w:rPr>
        <w:t>十、</w:t>
      </w:r>
      <w:r>
        <w:rPr>
          <w:rFonts w:eastAsia="黑体"/>
          <w:sz w:val="32"/>
          <w:szCs w:val="32"/>
        </w:rPr>
        <w:t>其他需要说明的情况</w:t>
      </w:r>
    </w:p>
    <w:p w14:paraId="6214C4D0">
      <w:pPr>
        <w:rPr>
          <w:rFonts w:hint="default" w:ascii="Calibri" w:hAnsi="Calibri" w:eastAsia="仿宋_GB2312" w:cs="Times New Roman"/>
          <w:color w:val="000000"/>
          <w:kern w:val="0"/>
          <w:sz w:val="32"/>
          <w:szCs w:val="32"/>
          <w:lang w:val="en-US" w:eastAsia="zh-CN" w:bidi="ar-SA"/>
        </w:rPr>
      </w:pPr>
      <w:r>
        <w:rPr>
          <w:rFonts w:hint="eastAsia"/>
          <w:lang w:val="en-US" w:eastAsia="zh-CN"/>
        </w:rPr>
        <w:t xml:space="preserve">       </w:t>
      </w:r>
      <w:r>
        <w:rPr>
          <w:rFonts w:hint="eastAsia" w:ascii="Calibri" w:hAnsi="Calibri" w:eastAsia="仿宋_GB2312" w:cs="Times New Roman"/>
          <w:color w:val="000000"/>
          <w:kern w:val="0"/>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7430B"/>
    <w:multiLevelType w:val="singleLevel"/>
    <w:tmpl w:val="AE1743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4E10"/>
    <w:rsid w:val="5D395444"/>
    <w:rsid w:val="6EDF4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1723</Words>
  <Characters>1875</Characters>
  <Lines>0</Lines>
  <Paragraphs>0</Paragraphs>
  <TotalTime>94</TotalTime>
  <ScaleCrop>false</ScaleCrop>
  <LinksUpToDate>false</LinksUpToDate>
  <CharactersWithSpaces>1881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2025-07-17T08:43:00Z</dcterms:created>
  <dc:creator>D</dc:creator>
  <cp:lastModifiedBy>D</cp:lastModifiedBy>
  <dcterms:modified xsi:type="dcterms:W3CDTF">2025-07-18T00:27:59Z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3991C10D3CDD4085A9B8A9B678187D45_11</vt:lpwstr>
  </property>
  <property fmtid="{D5CDD505-2E9C-101B-9397-08002B2CF9AE}" pid="4" name="KSOTemplateDocerSaveRecord">
    <vt:lpwstr>eyJoZGlkIjoiMjZkZWQwZGM4MmY1MmRiMWE2NzcwNDA5ZDhiZGUwYTIiLCJ1c2VySWQiOiI0MzIyNDU4NTAifQ==</vt:lpwstr>
  </property>
</Properties>
</file>