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4800">
      <w:pPr>
        <w:rPr>
          <w:rFonts w:hint="default" w:eastAsia="黑体"/>
          <w:sz w:val="32"/>
          <w:szCs w:val="32"/>
        </w:rPr>
      </w:pPr>
      <w:r>
        <w:rPr>
          <w:rFonts w:eastAsia="黑体"/>
          <w:sz w:val="32"/>
          <w:szCs w:val="32"/>
        </w:rPr>
        <w:t>附件</w:t>
      </w:r>
      <w:r>
        <w:rPr>
          <w:rFonts w:hint="default" w:eastAsia="黑体"/>
          <w:sz w:val="32"/>
          <w:szCs w:val="32"/>
        </w:rPr>
        <w:t>3</w:t>
      </w:r>
    </w:p>
    <w:p w14:paraId="4D27D6D7">
      <w:pPr>
        <w:spacing w:line="600" w:lineRule="exact"/>
        <w:rPr>
          <w:rFonts w:eastAsia="黑体"/>
          <w:sz w:val="32"/>
          <w:szCs w:val="32"/>
        </w:rPr>
      </w:pPr>
    </w:p>
    <w:p w14:paraId="46CA7AC4">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val="en-US" w:eastAsia="zh-CN"/>
        </w:rPr>
        <w:t>零陵团区委</w:t>
      </w:r>
      <w:r>
        <w:rPr>
          <w:rFonts w:hint="eastAsia" w:ascii="方正小标宋简体" w:eastAsia="方正小标宋简体"/>
          <w:sz w:val="52"/>
          <w:szCs w:val="52"/>
        </w:rPr>
        <w:t>整体支出</w:t>
      </w:r>
    </w:p>
    <w:p w14:paraId="4CB45C15">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352E32B2">
      <w:pPr>
        <w:jc w:val="center"/>
        <w:rPr>
          <w:rFonts w:eastAsia="方正小标宋_GBK"/>
          <w:b/>
          <w:sz w:val="52"/>
          <w:szCs w:val="52"/>
        </w:rPr>
      </w:pPr>
    </w:p>
    <w:p w14:paraId="1DE24683">
      <w:pPr>
        <w:jc w:val="center"/>
        <w:rPr>
          <w:rFonts w:eastAsia="楷体_GB2312"/>
          <w:b/>
          <w:sz w:val="32"/>
          <w:szCs w:val="32"/>
        </w:rPr>
      </w:pPr>
    </w:p>
    <w:p w14:paraId="61F5326B">
      <w:pPr>
        <w:jc w:val="both"/>
        <w:rPr>
          <w:rFonts w:eastAsia="楷体_GB2312"/>
          <w:b/>
          <w:sz w:val="32"/>
          <w:szCs w:val="32"/>
        </w:rPr>
      </w:pPr>
    </w:p>
    <w:p w14:paraId="32963B55">
      <w:pPr>
        <w:jc w:val="center"/>
        <w:rPr>
          <w:rFonts w:eastAsia="黑体"/>
          <w:sz w:val="32"/>
          <w:szCs w:val="32"/>
        </w:rPr>
      </w:pPr>
    </w:p>
    <w:p w14:paraId="07F8031A">
      <w:pPr>
        <w:jc w:val="center"/>
        <w:rPr>
          <w:rFonts w:eastAsia="黑体"/>
          <w:sz w:val="32"/>
          <w:szCs w:val="32"/>
        </w:rPr>
      </w:pPr>
    </w:p>
    <w:p w14:paraId="6B986DCC">
      <w:pPr>
        <w:jc w:val="center"/>
        <w:rPr>
          <w:rFonts w:eastAsia="黑体"/>
          <w:sz w:val="32"/>
          <w:szCs w:val="32"/>
        </w:rPr>
      </w:pPr>
    </w:p>
    <w:p w14:paraId="43C2DB2D">
      <w:pPr>
        <w:jc w:val="center"/>
        <w:rPr>
          <w:rFonts w:eastAsia="黑体"/>
          <w:sz w:val="32"/>
          <w:szCs w:val="32"/>
        </w:rPr>
      </w:pPr>
    </w:p>
    <w:p w14:paraId="3F91F690">
      <w:pPr>
        <w:rPr>
          <w:rFonts w:eastAsia="黑体"/>
          <w:sz w:val="32"/>
          <w:szCs w:val="32"/>
        </w:rPr>
      </w:pPr>
    </w:p>
    <w:p w14:paraId="69D646CE">
      <w:pPr>
        <w:jc w:val="center"/>
        <w:rPr>
          <w:rFonts w:eastAsia="黑体"/>
          <w:sz w:val="32"/>
          <w:szCs w:val="32"/>
        </w:rPr>
      </w:pPr>
    </w:p>
    <w:p w14:paraId="6676DC4A">
      <w:pPr>
        <w:jc w:val="center"/>
        <w:rPr>
          <w:rFonts w:eastAsia="黑体"/>
          <w:sz w:val="32"/>
          <w:szCs w:val="32"/>
        </w:rPr>
      </w:pPr>
    </w:p>
    <w:p w14:paraId="4009C5A5">
      <w:pPr>
        <w:jc w:val="center"/>
        <w:rPr>
          <w:rFonts w:eastAsia="黑体"/>
          <w:sz w:val="32"/>
          <w:szCs w:val="32"/>
        </w:rPr>
      </w:pPr>
    </w:p>
    <w:p w14:paraId="586764DE">
      <w:pPr>
        <w:spacing w:line="600" w:lineRule="exact"/>
        <w:rPr>
          <w:rFonts w:eastAsia="仿宋_GB2312"/>
          <w:sz w:val="32"/>
          <w:szCs w:val="32"/>
          <w:u w:val="single"/>
        </w:rPr>
      </w:pPr>
      <w:r>
        <w:rPr>
          <w:rFonts w:eastAsia="仿宋_GB2312"/>
          <w:sz w:val="32"/>
          <w:szCs w:val="32"/>
        </w:rPr>
        <w:t>单位名称：</w:t>
      </w:r>
      <w:r>
        <w:rPr>
          <w:rFonts w:hint="eastAsia" w:eastAsia="仿宋_GB2312"/>
          <w:sz w:val="32"/>
          <w:szCs w:val="32"/>
          <w:u w:val="single"/>
        </w:rPr>
        <w:t>中国共产主义青年团永州市零陵区委员会</w:t>
      </w:r>
      <w:r>
        <w:rPr>
          <w:rFonts w:eastAsia="仿宋_GB2312"/>
          <w:sz w:val="32"/>
          <w:szCs w:val="32"/>
          <w:u w:val="single"/>
        </w:rPr>
        <w:t xml:space="preserve">（盖章）        </w:t>
      </w:r>
    </w:p>
    <w:p w14:paraId="57613971">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7</w:t>
      </w:r>
      <w:r>
        <w:rPr>
          <w:rFonts w:eastAsia="楷体_GB2312"/>
          <w:sz w:val="32"/>
          <w:szCs w:val="32"/>
        </w:rPr>
        <w:t xml:space="preserve"> 月 </w:t>
      </w:r>
      <w:r>
        <w:rPr>
          <w:rFonts w:hint="eastAsia" w:eastAsia="楷体_GB2312"/>
          <w:sz w:val="32"/>
          <w:szCs w:val="32"/>
          <w:lang w:val="en-US" w:eastAsia="zh-CN"/>
        </w:rPr>
        <w:t>18</w:t>
      </w:r>
      <w:r>
        <w:rPr>
          <w:rFonts w:eastAsia="楷体_GB2312"/>
          <w:sz w:val="32"/>
          <w:szCs w:val="32"/>
        </w:rPr>
        <w:t xml:space="preserve"> 日</w:t>
      </w:r>
    </w:p>
    <w:p w14:paraId="7C4980F7">
      <w:pPr>
        <w:jc w:val="center"/>
        <w:rPr>
          <w:rFonts w:eastAsia="黑体"/>
          <w:sz w:val="32"/>
          <w:szCs w:val="32"/>
        </w:rPr>
      </w:pPr>
    </w:p>
    <w:p w14:paraId="3A6FA335">
      <w:pPr>
        <w:jc w:val="center"/>
        <w:rPr>
          <w:rFonts w:eastAsia="仿宋_GB2312"/>
          <w:sz w:val="32"/>
          <w:szCs w:val="32"/>
        </w:rPr>
      </w:pPr>
      <w:r>
        <w:rPr>
          <w:rFonts w:eastAsia="仿宋_GB2312"/>
          <w:sz w:val="32"/>
          <w:szCs w:val="32"/>
        </w:rPr>
        <w:t>（此页为封面）</w:t>
      </w:r>
    </w:p>
    <w:p w14:paraId="4FE0A45A">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3BF0765E">
      <w:pPr>
        <w:widowControl w:val="0"/>
        <w:shd w:val="clear" w:color="auto" w:fill="FFFFFF"/>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66254104">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3DA87123">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我单位主要职责为：负责零陵区共青团、少先队工作</w:t>
      </w:r>
    </w:p>
    <w:p w14:paraId="4F531AE5">
      <w:pPr>
        <w:widowControl/>
        <w:numPr>
          <w:ilvl w:val="0"/>
          <w:numId w:val="1"/>
        </w:numPr>
        <w:spacing w:line="360" w:lineRule="auto"/>
        <w:ind w:right="-506" w:rightChars="-241"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行使中共永州市零陵区委赋予的领导全区共青团和少先队工作的职权，对全区性青年社团组织进行指导和管理。</w:t>
      </w:r>
    </w:p>
    <w:p w14:paraId="181294F8">
      <w:pPr>
        <w:widowControl/>
        <w:numPr>
          <w:ilvl w:val="0"/>
          <w:numId w:val="1"/>
        </w:numPr>
        <w:spacing w:line="360" w:lineRule="auto"/>
        <w:ind w:right="-506" w:rightChars="-241"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参与制定全区青少年发展规划和青少年工作的规范性文件；对全区青少年教育培训基地、活动阵地、服务机构的建设进行规划和管理。</w:t>
      </w:r>
    </w:p>
    <w:p w14:paraId="6F0D9FBD">
      <w:pPr>
        <w:widowControl/>
        <w:numPr>
          <w:ilvl w:val="0"/>
          <w:numId w:val="1"/>
        </w:numPr>
        <w:spacing w:line="360" w:lineRule="auto"/>
        <w:ind w:right="-506" w:rightChars="-241" w:firstLine="640"/>
        <w:jc w:val="left"/>
        <w:rPr>
          <w:rFonts w:hint="eastAsia" w:ascii="仿宋" w:hAnsi="仿宋" w:eastAsia="仿宋" w:cs="仿宋"/>
          <w:bCs/>
          <w:color w:val="000000"/>
          <w:kern w:val="0"/>
          <w:sz w:val="32"/>
          <w:szCs w:val="32"/>
        </w:rPr>
      </w:pPr>
      <w:r>
        <w:rPr>
          <w:rFonts w:hint="eastAsia" w:ascii="仿宋_GB2312" w:hAnsi="仿宋_GB2312" w:eastAsia="仿宋_GB2312" w:cs="仿宋_GB2312"/>
          <w:sz w:val="32"/>
          <w:szCs w:val="32"/>
        </w:rPr>
        <w:t>关心青少年利益，代表和维护青少年的合法权益；组织指导有关青少年事务的法律、法规的贯彻实施；协助党和政府处理、协调与青少年利益相关的事务。</w:t>
      </w:r>
    </w:p>
    <w:p w14:paraId="1F7156FF">
      <w:pPr>
        <w:widowControl/>
        <w:numPr>
          <w:ilvl w:val="0"/>
          <w:numId w:val="1"/>
        </w:numPr>
        <w:spacing w:line="360" w:lineRule="auto"/>
        <w:ind w:right="-506" w:rightChars="-241"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调查青少年思想动态和青年工作状况，研究全区青少年工作理论和思想教育问题，并提出相应对策，为党和政府决策提供依据。</w:t>
      </w:r>
    </w:p>
    <w:p w14:paraId="5775A26D">
      <w:pPr>
        <w:widowControl/>
        <w:numPr>
          <w:ilvl w:val="0"/>
          <w:numId w:val="1"/>
        </w:numPr>
        <w:spacing w:line="360" w:lineRule="auto"/>
        <w:ind w:right="-506" w:rightChars="-241"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协助政府教育部门做好中小学生的教育管理工作，组织开展健康有益、形式多样、青少年喜爱的活动，引导青少年树立正确的世界观、人生观和价值观。</w:t>
      </w:r>
    </w:p>
    <w:p w14:paraId="1AD17B4F">
      <w:pPr>
        <w:widowControl/>
        <w:numPr>
          <w:ilvl w:val="0"/>
          <w:numId w:val="1"/>
        </w:numPr>
        <w:spacing w:line="360" w:lineRule="auto"/>
        <w:ind w:right="-506" w:rightChars="-241"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动员、组织和带领全区团员青年投身社会主义物质文明和精神文明建设、充分发挥好共青团组织的生力军和突击队作用，完成区委、区政府和上级团委部署的以青年为主体的各项任务，参与民主管理和民主监督。</w:t>
      </w:r>
    </w:p>
    <w:p w14:paraId="5187830E">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_GB2312" w:eastAsia="仿宋_GB2312" w:cs="仿宋_GB2312"/>
          <w:sz w:val="32"/>
          <w:szCs w:val="32"/>
        </w:rPr>
        <w:t>机构情况。</w:t>
      </w:r>
    </w:p>
    <w:p w14:paraId="6BF7F9AA">
      <w:pPr>
        <w:snapToGrid w:val="0"/>
        <w:spacing w:line="360" w:lineRule="auto"/>
        <w:rPr>
          <w:rFonts w:hint="default" w:ascii="仿宋_GB2312" w:hAnsi="仿宋_GB2312" w:eastAsia="仿宋_GB2312" w:cs="仿宋_GB2312"/>
          <w:sz w:val="32"/>
          <w:szCs w:val="32"/>
          <w:lang w:val="en-US" w:eastAsia="zh-CN"/>
        </w:rPr>
      </w:pPr>
      <w:r>
        <w:rPr>
          <w:rFonts w:hint="eastAsia" w:ascii="仿宋_GB2312" w:hAnsi="仿宋" w:eastAsia="仿宋_GB2312"/>
          <w:sz w:val="32"/>
          <w:szCs w:val="32"/>
        </w:rPr>
        <w:t xml:space="preserve">    </w:t>
      </w:r>
      <w:r>
        <w:rPr>
          <w:rFonts w:hint="eastAsia" w:ascii="仿宋_GB2312" w:hAnsi="仿宋_GB2312" w:eastAsia="仿宋_GB2312" w:cs="仿宋_GB2312"/>
          <w:sz w:val="32"/>
          <w:szCs w:val="32"/>
        </w:rPr>
        <w:t>零陵团区委内设机构为1个：办公室。直属事业单位1个：零陵区青少年网络文化发展中心。</w:t>
      </w:r>
    </w:p>
    <w:p w14:paraId="4AE410E7">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_GB2312" w:eastAsia="仿宋_GB2312" w:cs="仿宋_GB2312"/>
          <w:sz w:val="32"/>
          <w:szCs w:val="32"/>
        </w:rPr>
        <w:t>人员情况。</w:t>
      </w:r>
    </w:p>
    <w:p w14:paraId="24EF1CC4">
      <w:pPr>
        <w:snapToGrid w:val="0"/>
        <w:spacing w:line="360" w:lineRule="auto"/>
        <w:rPr>
          <w:rFonts w:hint="eastAsia" w:ascii="仿宋_GB2312" w:eastAsia="仿宋_GB2312"/>
          <w:sz w:val="32"/>
          <w:szCs w:val="32"/>
        </w:rPr>
      </w:pPr>
      <w:r>
        <w:rPr>
          <w:rFonts w:hint="eastAsia" w:ascii="仿宋_GB2312" w:hAnsi="仿宋"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年零陵团区委实有在职人员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名。其中行政编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p>
    <w:p w14:paraId="0CBBA983">
      <w:pPr>
        <w:spacing w:line="570" w:lineRule="exact"/>
        <w:ind w:firstLine="640" w:firstLineChars="200"/>
        <w:rPr>
          <w:rFonts w:hint="eastAsia"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5BD67623">
      <w:pPr>
        <w:pStyle w:val="5"/>
        <w:spacing w:line="360" w:lineRule="auto"/>
        <w:ind w:firstLine="643"/>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1．部门整体支出情况</w:t>
      </w:r>
    </w:p>
    <w:p w14:paraId="14B23F5B">
      <w:pPr>
        <w:snapToGrid w:val="0"/>
        <w:spacing w:line="52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年部门</w:t>
      </w:r>
      <w:r>
        <w:rPr>
          <w:rFonts w:hint="eastAsia" w:ascii="仿宋_GB2312" w:hAnsi="Times New Roman" w:eastAsia="仿宋_GB2312" w:cs="Times New Roman"/>
          <w:sz w:val="32"/>
          <w:szCs w:val="32"/>
          <w:lang w:val="en-US" w:eastAsia="zh-CN"/>
        </w:rPr>
        <w:t>整体</w:t>
      </w:r>
      <w:r>
        <w:rPr>
          <w:rFonts w:hint="eastAsia" w:ascii="仿宋_GB2312" w:hAnsi="Times New Roman" w:eastAsia="仿宋_GB2312" w:cs="Times New Roman"/>
          <w:sz w:val="32"/>
          <w:szCs w:val="32"/>
        </w:rPr>
        <w:t>支出</w:t>
      </w:r>
      <w:r>
        <w:rPr>
          <w:rFonts w:hint="eastAsia" w:ascii="仿宋_GB2312" w:hAnsi="Times New Roman" w:eastAsia="仿宋_GB2312" w:cs="Times New Roman"/>
          <w:sz w:val="32"/>
          <w:szCs w:val="32"/>
          <w:lang w:val="en-US" w:eastAsia="zh-CN"/>
        </w:rPr>
        <w:t>合计138.34</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按收入性质分：其中一般公共预算财政拨款收入138.34万元。按支出性质分：其中基本支出为136.10万元，项目支出2.24万元。2024年部门整体支出全年预算数138.34万元，全年执行数138.34万元，执行率为100%，全年绩效目标都按时按量完成。</w:t>
      </w:r>
    </w:p>
    <w:p w14:paraId="7C048949">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2.部门预算收支决算情况</w:t>
      </w:r>
    </w:p>
    <w:p w14:paraId="44C32D8C">
      <w:pPr>
        <w:snapToGrid w:val="0"/>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2024年预算总收入138.34万元，其中一般公共预算财政拨款收入138.34万元，占总收入的100%。与上年决算收入169.37万元相比减少18.32%。2024年度预算总支出138.34万元，与上年决算支出169.37万元相比减少18.32%。主要原因是：厉行节约。</w:t>
      </w:r>
    </w:p>
    <w:p w14:paraId="5ACFA411">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3.“三公经费”支出使用和管理情况。</w:t>
      </w:r>
    </w:p>
    <w:p w14:paraId="0BC06F3A">
      <w:pPr>
        <w:pStyle w:val="2"/>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2024年度“三公经费”预算支出：因公出国（境）费支出为0万元；公务用车购置及运行费支出为0万元;公务接待费支出为0.16万元；“三公经费”决算支出：因公出国（境）费支出决算为0万元;公务用车购置及运行费支出决算为0万元；公务接待费支出决算为0.16万元。</w:t>
      </w:r>
    </w:p>
    <w:p w14:paraId="7BADE507">
      <w:pPr>
        <w:pStyle w:val="2"/>
        <w:ind w:firstLine="640" w:firstLineChars="200"/>
        <w:rPr>
          <w:rFonts w:hint="eastAsia"/>
        </w:rPr>
      </w:pPr>
      <w:r>
        <w:rPr>
          <w:rFonts w:hint="eastAsia" w:ascii="仿宋_GB2312" w:hAnsi="Times New Roman" w:eastAsia="仿宋_GB2312" w:cs="Times New Roman"/>
          <w:sz w:val="32"/>
          <w:szCs w:val="32"/>
          <w:lang w:val="en-US" w:eastAsia="zh-CN"/>
        </w:rPr>
        <w:t>2024年度本部门继续严格落实中央八项规定精神和厉行节约要求，从严控制三公经费的支出。</w:t>
      </w:r>
    </w:p>
    <w:p w14:paraId="6B55AB60">
      <w:pPr>
        <w:pStyle w:val="5"/>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F8E3973">
      <w:pPr>
        <w:pStyle w:val="5"/>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20791B2C">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年本部门基本支出数</w:t>
      </w:r>
      <w:r>
        <w:rPr>
          <w:rFonts w:hint="eastAsia" w:ascii="仿宋_GB2312" w:hAnsi="Times New Roman" w:eastAsia="仿宋_GB2312" w:cs="Times New Roman"/>
          <w:sz w:val="32"/>
          <w:szCs w:val="32"/>
          <w:lang w:val="en-US" w:eastAsia="zh-CN"/>
        </w:rPr>
        <w:t>136.10</w:t>
      </w:r>
      <w:r>
        <w:rPr>
          <w:rFonts w:hint="eastAsia" w:ascii="仿宋_GB2312" w:hAnsi="Times New Roman" w:eastAsia="仿宋_GB2312" w:cs="Times New Roman"/>
          <w:sz w:val="32"/>
          <w:szCs w:val="32"/>
        </w:rPr>
        <w:t>万元，是指为保障部门正常运转、完成日常工作任务而发生的各项支出。其中：</w:t>
      </w:r>
    </w:p>
    <w:p w14:paraId="7F75116D">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人员经费支出</w:t>
      </w:r>
      <w:r>
        <w:rPr>
          <w:rFonts w:hint="eastAsia" w:ascii="仿宋_GB2312" w:hAnsi="Times New Roman" w:eastAsia="仿宋_GB2312" w:cs="Times New Roman"/>
          <w:sz w:val="32"/>
          <w:szCs w:val="32"/>
          <w:lang w:val="en-US" w:eastAsia="zh-CN"/>
        </w:rPr>
        <w:t>47.76</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占基本支出的35.09％，</w:t>
      </w:r>
      <w:r>
        <w:rPr>
          <w:rFonts w:hint="eastAsia" w:ascii="仿宋_GB2312" w:hAnsi="Times New Roman" w:eastAsia="仿宋_GB2312" w:cs="Times New Roman"/>
          <w:sz w:val="32"/>
          <w:szCs w:val="32"/>
        </w:rPr>
        <w:t>包括用于基本工资、津贴补贴、绩效工资、奖金、社保缴费等。</w:t>
      </w:r>
    </w:p>
    <w:p w14:paraId="602BE090">
      <w:pPr>
        <w:spacing w:line="360" w:lineRule="auto"/>
        <w:ind w:firstLine="640" w:firstLineChars="200"/>
        <w:rPr>
          <w:rFonts w:ascii="Times New Roman" w:hAnsi="Times New Roman" w:eastAsia="仿宋_GB2312"/>
          <w:sz w:val="32"/>
          <w:szCs w:val="32"/>
        </w:rPr>
      </w:pPr>
      <w:r>
        <w:rPr>
          <w:rFonts w:hint="eastAsia" w:ascii="仿宋_GB2312" w:hAnsi="Times New Roman" w:eastAsia="仿宋_GB2312" w:cs="Times New Roman"/>
          <w:sz w:val="32"/>
          <w:szCs w:val="32"/>
        </w:rPr>
        <w:t>公用经费支出</w:t>
      </w:r>
      <w:r>
        <w:rPr>
          <w:rFonts w:hint="eastAsia" w:ascii="仿宋_GB2312" w:hAnsi="Times New Roman" w:eastAsia="仿宋_GB2312" w:cs="Times New Roman"/>
          <w:sz w:val="32"/>
          <w:szCs w:val="32"/>
          <w:lang w:val="en-US" w:eastAsia="zh-CN"/>
        </w:rPr>
        <w:t>88.33</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占基本支出的64.90％，</w:t>
      </w:r>
      <w:r>
        <w:rPr>
          <w:rFonts w:hint="eastAsia" w:ascii="仿宋_GB2312" w:hAnsi="Times New Roman" w:eastAsia="仿宋_GB2312" w:cs="Times New Roman"/>
          <w:sz w:val="32"/>
          <w:szCs w:val="32"/>
        </w:rPr>
        <w:t>包括办公费、交通费、会议费、印刷费、公务接待费、办公设备购置等日常公用经费。</w:t>
      </w:r>
    </w:p>
    <w:p w14:paraId="2BB22C49">
      <w:pPr>
        <w:pStyle w:val="5"/>
        <w:numPr>
          <w:ilvl w:val="0"/>
          <w:numId w:val="2"/>
        </w:numPr>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项目支出情况</w:t>
      </w:r>
    </w:p>
    <w:p w14:paraId="1B7A414B">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年本部门项目支出</w:t>
      </w:r>
      <w:r>
        <w:rPr>
          <w:rFonts w:hint="eastAsia" w:ascii="仿宋_GB2312" w:hAnsi="Times New Roman" w:eastAsia="仿宋_GB2312" w:cs="Times New Roman"/>
          <w:sz w:val="32"/>
          <w:szCs w:val="32"/>
          <w:lang w:val="en-US" w:eastAsia="zh-CN"/>
        </w:rPr>
        <w:t>51.60</w:t>
      </w:r>
      <w:r>
        <w:rPr>
          <w:rFonts w:hint="eastAsia" w:ascii="仿宋_GB2312" w:hAnsi="Times New Roman" w:eastAsia="仿宋_GB2312" w:cs="Times New Roman"/>
          <w:sz w:val="32"/>
          <w:szCs w:val="32"/>
        </w:rPr>
        <w:t>万元，其中：</w:t>
      </w:r>
    </w:p>
    <w:p w14:paraId="21B68099">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青少年事业发展专项经费项目</w:t>
      </w:r>
      <w:r>
        <w:rPr>
          <w:rFonts w:hint="eastAsia" w:ascii="仿宋_GB2312" w:hAnsi="Times New Roman" w:eastAsia="仿宋_GB2312" w:cs="Times New Roman"/>
          <w:sz w:val="32"/>
          <w:szCs w:val="32"/>
          <w:lang w:val="en-US" w:eastAsia="zh-CN"/>
        </w:rPr>
        <w:t>21.25</w:t>
      </w:r>
      <w:r>
        <w:rPr>
          <w:rFonts w:hint="eastAsia" w:ascii="仿宋_GB2312" w:hAnsi="Times New Roman" w:eastAsia="仿宋_GB2312" w:cs="Times New Roman"/>
          <w:sz w:val="32"/>
          <w:szCs w:val="32"/>
        </w:rPr>
        <w:t>万元，主要用于加大团干部的培训力度；为全区青少年开展服务；逐步完善“青年之家”建设；开展有利于青少年健康成长的活动。</w:t>
      </w:r>
    </w:p>
    <w:p w14:paraId="3A645A6C">
      <w:pPr>
        <w:spacing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乡镇团委经费项目</w:t>
      </w:r>
      <w:r>
        <w:rPr>
          <w:rFonts w:hint="eastAsia" w:ascii="仿宋_GB2312" w:hAnsi="Times New Roman" w:eastAsia="仿宋_GB2312" w:cs="Times New Roman"/>
          <w:sz w:val="32"/>
          <w:szCs w:val="32"/>
          <w:lang w:val="en-US" w:eastAsia="zh-CN"/>
        </w:rPr>
        <w:t>23.14</w:t>
      </w:r>
      <w:r>
        <w:rPr>
          <w:rFonts w:hint="eastAsia" w:ascii="仿宋_GB2312" w:hAnsi="Times New Roman" w:eastAsia="仿宋_GB2312" w:cs="Times New Roman"/>
          <w:sz w:val="32"/>
          <w:szCs w:val="32"/>
        </w:rPr>
        <w:t>万元，主要用于保障乡镇、街道团委开展服务青年活动等。</w:t>
      </w:r>
    </w:p>
    <w:p w14:paraId="30924176">
      <w:pPr>
        <w:spacing w:line="360" w:lineRule="auto"/>
        <w:ind w:firstLine="640" w:firstLineChars="200"/>
        <w:rPr>
          <w:rFonts w:ascii="Times New Roman" w:hAnsi="Times New Roman" w:eastAsia="仿宋_GB2312"/>
          <w:sz w:val="32"/>
          <w:szCs w:val="32"/>
        </w:rPr>
      </w:pPr>
      <w:r>
        <w:rPr>
          <w:rFonts w:hint="eastAsia" w:ascii="仿宋_GB2312" w:hAnsi="Times New Roman" w:eastAsia="仿宋_GB2312" w:cs="Times New Roman"/>
          <w:sz w:val="32"/>
          <w:szCs w:val="32"/>
        </w:rPr>
        <w:t>少工委工作经费项目</w:t>
      </w:r>
      <w:r>
        <w:rPr>
          <w:rFonts w:hint="eastAsia" w:ascii="仿宋_GB2312" w:hAnsi="Times New Roman" w:eastAsia="仿宋_GB2312" w:cs="Times New Roman"/>
          <w:sz w:val="32"/>
          <w:szCs w:val="32"/>
          <w:lang w:val="en-US" w:eastAsia="zh-CN"/>
        </w:rPr>
        <w:t>7.21</w:t>
      </w:r>
      <w:r>
        <w:rPr>
          <w:rFonts w:hint="eastAsia" w:ascii="仿宋_GB2312" w:hAnsi="Times New Roman" w:eastAsia="仿宋_GB2312" w:cs="Times New Roman"/>
          <w:sz w:val="32"/>
          <w:szCs w:val="32"/>
        </w:rPr>
        <w:t>万元，主要用于加大少先队辅导员的培训力度；为全区少先队员开展服务；开展有利于少先队员健康成长的活动。</w:t>
      </w:r>
    </w:p>
    <w:p w14:paraId="0CB061D3">
      <w:pPr>
        <w:pStyle w:val="5"/>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0682D800">
      <w:pPr>
        <w:pStyle w:val="5"/>
        <w:spacing w:line="570" w:lineRule="exact"/>
        <w:ind w:firstLine="64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20BAC651">
      <w:pPr>
        <w:pStyle w:val="5"/>
        <w:numPr>
          <w:ilvl w:val="0"/>
          <w:numId w:val="3"/>
        </w:numPr>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3529BD1C">
      <w:pPr>
        <w:pStyle w:val="5"/>
        <w:numPr>
          <w:ilvl w:val="0"/>
          <w:numId w:val="0"/>
        </w:numPr>
        <w:spacing w:line="570" w:lineRule="exact"/>
        <w:ind w:firstLine="640" w:firstLineChars="200"/>
        <w:jc w:val="both"/>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18120101">
      <w:pPr>
        <w:pStyle w:val="5"/>
        <w:numPr>
          <w:ilvl w:val="0"/>
          <w:numId w:val="3"/>
        </w:numPr>
        <w:spacing w:line="570" w:lineRule="exact"/>
        <w:ind w:left="0" w:leftChars="0" w:firstLine="640" w:firstLineChars="200"/>
        <w:jc w:val="both"/>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68C8017F">
      <w:pPr>
        <w:pStyle w:val="5"/>
        <w:numPr>
          <w:ilvl w:val="0"/>
          <w:numId w:val="0"/>
        </w:numPr>
        <w:spacing w:line="570" w:lineRule="exact"/>
        <w:ind w:firstLine="640" w:firstLineChars="200"/>
        <w:jc w:val="both"/>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2CEAEE30">
      <w:pPr>
        <w:spacing w:line="570" w:lineRule="exact"/>
        <w:ind w:firstLine="640" w:firstLineChars="200"/>
        <w:jc w:val="both"/>
        <w:rPr>
          <w:rFonts w:eastAsia="黑体"/>
          <w:sz w:val="32"/>
          <w:szCs w:val="32"/>
        </w:rPr>
      </w:pPr>
      <w:r>
        <w:rPr>
          <w:rFonts w:eastAsia="黑体"/>
          <w:sz w:val="32"/>
          <w:szCs w:val="32"/>
        </w:rPr>
        <w:t>六、部门整体支出绩效情况</w:t>
      </w:r>
    </w:p>
    <w:p w14:paraId="2C532FBD">
      <w:pPr>
        <w:pStyle w:val="5"/>
        <w:numPr>
          <w:ilvl w:val="0"/>
          <w:numId w:val="0"/>
        </w:numPr>
        <w:spacing w:line="570" w:lineRule="exact"/>
        <w:ind w:firstLine="640" w:firstLineChars="200"/>
        <w:jc w:val="both"/>
        <w:rPr>
          <w:rFonts w:hint="eastAsia" w:ascii="Times New Roman" w:hAnsi="Times New Roman" w:eastAsia="仿宋_GB2312" w:cs="Times New Roman"/>
          <w:color w:val="000000"/>
          <w:sz w:val="32"/>
          <w:szCs w:val="32"/>
        </w:rPr>
      </w:pPr>
      <w:r>
        <w:rPr>
          <w:rFonts w:hint="eastAsia" w:ascii="仿宋_GB2312" w:hAnsi="Times New Roman" w:eastAsia="仿宋_GB2312" w:cs="Times New Roman"/>
          <w:kern w:val="2"/>
          <w:sz w:val="32"/>
          <w:szCs w:val="32"/>
          <w:lang w:val="en-US" w:eastAsia="zh-CN" w:bidi="ar-SA"/>
        </w:rPr>
        <w:t>2024年我单位所有财政性资金、专项资金都纳入绩效管理的范围。我单位各项开支严格执行预算，控制成本，开源节流，按规划组织实施，保证了各项资金使用的真实、合法、有效，提高了资金的使</w:t>
      </w:r>
      <w:r>
        <w:rPr>
          <w:rFonts w:hint="eastAsia" w:ascii="Times New Roman" w:hAnsi="Times New Roman" w:eastAsia="仿宋_GB2312" w:cs="Times New Roman"/>
          <w:color w:val="000000"/>
          <w:sz w:val="32"/>
          <w:szCs w:val="32"/>
          <w:lang w:val="en-US" w:eastAsia="zh-CN"/>
        </w:rPr>
        <w:t>用率。保证单位的高效运转；确保各项决策部署得到有效落实产生了良好的社会效应，也取得了发展的可持续性、长效性。</w:t>
      </w:r>
    </w:p>
    <w:p w14:paraId="1F4C1EDC">
      <w:pPr>
        <w:pStyle w:val="5"/>
        <w:spacing w:line="570" w:lineRule="exact"/>
        <w:ind w:firstLine="640"/>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71C97EC6">
      <w:pPr>
        <w:pStyle w:val="5"/>
        <w:numPr>
          <w:ilvl w:val="0"/>
          <w:numId w:val="0"/>
        </w:numPr>
        <w:spacing w:line="570" w:lineRule="exact"/>
        <w:ind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目前单位预算由基本支出和项目支出预算两部分组成，财政对基本支出中公用经费预算实行定额标准管理。公用经费标准的确定与实际执行差距较大，预算经费拨付稍有滞后，造成经费使用不足，</w:t>
      </w:r>
      <w:r>
        <w:rPr>
          <w:rFonts w:hint="eastAsia" w:eastAsia="仿宋_GB2312"/>
          <w:sz w:val="32"/>
          <w:szCs w:val="32"/>
        </w:rPr>
        <w:t>资金使用效</w:t>
      </w:r>
      <w:bookmarkStart w:id="0" w:name="_GoBack"/>
      <w:bookmarkEnd w:id="0"/>
      <w:r>
        <w:rPr>
          <w:rFonts w:hint="eastAsia" w:eastAsia="仿宋_GB2312"/>
          <w:sz w:val="32"/>
          <w:szCs w:val="32"/>
        </w:rPr>
        <w:t>益有待进一步提高</w:t>
      </w:r>
      <w:r>
        <w:rPr>
          <w:rFonts w:hint="eastAsia" w:eastAsia="仿宋_GB2312"/>
          <w:sz w:val="32"/>
          <w:szCs w:val="32"/>
          <w:lang w:eastAsia="zh-CN"/>
        </w:rPr>
        <w:t>。</w:t>
      </w:r>
    </w:p>
    <w:p w14:paraId="5793CC52">
      <w:pPr>
        <w:spacing w:line="570" w:lineRule="exact"/>
        <w:ind w:firstLine="640" w:firstLineChars="200"/>
        <w:jc w:val="both"/>
        <w:rPr>
          <w:rFonts w:eastAsia="黑体"/>
          <w:sz w:val="32"/>
          <w:szCs w:val="32"/>
        </w:rPr>
      </w:pPr>
      <w:r>
        <w:rPr>
          <w:rFonts w:eastAsia="黑体"/>
          <w:sz w:val="32"/>
          <w:szCs w:val="32"/>
        </w:rPr>
        <w:t>八、下一步改进措施</w:t>
      </w:r>
    </w:p>
    <w:p w14:paraId="0575AF15">
      <w:pPr>
        <w:spacing w:line="360" w:lineRule="auto"/>
        <w:ind w:firstLine="643" w:firstLineChars="200"/>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kern w:val="0"/>
          <w:sz w:val="32"/>
          <w:szCs w:val="32"/>
        </w:rPr>
        <w:t>1.科学合理编制预算，严格执行预算。</w:t>
      </w:r>
      <w:r>
        <w:rPr>
          <w:rFonts w:hint="eastAsia" w:ascii="仿宋_GB2312" w:hAnsi="仿宋_GB2312" w:eastAsia="仿宋_GB2312" w:cs="仿宋_GB2312"/>
          <w:bCs/>
          <w:sz w:val="32"/>
          <w:szCs w:val="32"/>
        </w:rPr>
        <w:t>要按照《预算法》及其实施条例的相关规定，参考今年的预算执行情况和年度的收支预测科学编制预算，避免年中大幅追加以及超预算。同时严格预算执行，提高资金使用效率。</w:t>
      </w:r>
    </w:p>
    <w:p w14:paraId="19DDBCF0">
      <w:pPr>
        <w:pStyle w:val="5"/>
        <w:numPr>
          <w:ilvl w:val="0"/>
          <w:numId w:val="0"/>
        </w:numPr>
        <w:spacing w:line="57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kern w:val="0"/>
          <w:sz w:val="32"/>
          <w:szCs w:val="32"/>
          <w:lang w:val="en-US" w:eastAsia="zh-CN" w:bidi="ar-SA"/>
        </w:rPr>
        <w:t>2.加强绩效评价管理评价的可操作性。</w:t>
      </w:r>
      <w:r>
        <w:rPr>
          <w:rFonts w:hint="eastAsia" w:ascii="仿宋_GB2312" w:hAnsi="Times New Roman" w:eastAsia="仿宋_GB2312" w:cs="Times New Roman"/>
          <w:kern w:val="2"/>
          <w:sz w:val="32"/>
          <w:szCs w:val="32"/>
          <w:lang w:val="en-US" w:eastAsia="zh-CN" w:bidi="ar-SA"/>
        </w:rPr>
        <w:t>对相关业务人员进行相关培训，以提高业务知识水平。</w:t>
      </w:r>
    </w:p>
    <w:p w14:paraId="79367695">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14:paraId="6FBE1302">
      <w:pPr>
        <w:pStyle w:val="5"/>
        <w:numPr>
          <w:ilvl w:val="0"/>
          <w:numId w:val="0"/>
        </w:numPr>
        <w:spacing w:line="570" w:lineRule="exact"/>
        <w:ind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中国共产主义青年团永州市零陵区委员会2024年绩效自评结果100分，由零陵区政府门户网站统一公开。</w:t>
      </w:r>
    </w:p>
    <w:p w14:paraId="1F34A3FC">
      <w:pPr>
        <w:numPr>
          <w:ilvl w:val="0"/>
          <w:numId w:val="4"/>
        </w:numPr>
        <w:spacing w:line="570" w:lineRule="exact"/>
        <w:ind w:firstLine="640" w:firstLineChars="200"/>
        <w:jc w:val="both"/>
        <w:rPr>
          <w:rFonts w:eastAsia="黑体"/>
          <w:sz w:val="32"/>
          <w:szCs w:val="32"/>
        </w:rPr>
      </w:pPr>
      <w:r>
        <w:rPr>
          <w:rFonts w:eastAsia="黑体"/>
          <w:sz w:val="32"/>
          <w:szCs w:val="32"/>
        </w:rPr>
        <w:t>其他需要说明的情况</w:t>
      </w:r>
    </w:p>
    <w:p w14:paraId="71AAA37B">
      <w:pPr>
        <w:pStyle w:val="2"/>
        <w:numPr>
          <w:ilvl w:val="0"/>
          <w:numId w:val="0"/>
        </w:numPr>
        <w:rPr>
          <w:rFonts w:hint="default" w:eastAsia="宋体"/>
          <w:lang w:val="en-US" w:eastAsia="zh-CN"/>
        </w:rPr>
      </w:pPr>
      <w:r>
        <w:rPr>
          <w:rFonts w:hint="eastAsia"/>
          <w:lang w:val="en-US" w:eastAsia="zh-CN"/>
        </w:rPr>
        <w:t xml:space="preserve">  </w:t>
      </w:r>
      <w:r>
        <w:rPr>
          <w:rFonts w:hint="eastAsia" w:ascii="宋体" w:hAnsi="宋体" w:eastAsia="宋体" w:cs="宋体"/>
          <w:color w:val="000000"/>
          <w:sz w:val="28"/>
          <w:szCs w:val="28"/>
          <w:shd w:val="clear" w:color="auto" w:fill="FFFFFF"/>
          <w:lang w:val="en-US" w:eastAsia="zh-CN"/>
        </w:rPr>
        <w:t xml:space="preserve">   无</w:t>
      </w:r>
    </w:p>
    <w:p w14:paraId="66EA1C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266A0"/>
    <w:multiLevelType w:val="singleLevel"/>
    <w:tmpl w:val="8DD266A0"/>
    <w:lvl w:ilvl="0" w:tentative="0">
      <w:start w:val="2"/>
      <w:numFmt w:val="chineseCounting"/>
      <w:suff w:val="nothing"/>
      <w:lvlText w:val="（%1）"/>
      <w:lvlJc w:val="left"/>
      <w:rPr>
        <w:rFonts w:hint="eastAsia"/>
      </w:rPr>
    </w:lvl>
  </w:abstractNum>
  <w:abstractNum w:abstractNumId="1">
    <w:nsid w:val="4FA25898"/>
    <w:multiLevelType w:val="singleLevel"/>
    <w:tmpl w:val="4FA25898"/>
    <w:lvl w:ilvl="0" w:tentative="0">
      <w:start w:val="4"/>
      <w:numFmt w:val="chineseCounting"/>
      <w:suff w:val="nothing"/>
      <w:lvlText w:val="%1、"/>
      <w:lvlJc w:val="left"/>
      <w:rPr>
        <w:rFonts w:hint="eastAsia"/>
      </w:rPr>
    </w:lvl>
  </w:abstractNum>
  <w:abstractNum w:abstractNumId="2">
    <w:nsid w:val="760389E7"/>
    <w:multiLevelType w:val="singleLevel"/>
    <w:tmpl w:val="760389E7"/>
    <w:lvl w:ilvl="0" w:tentative="0">
      <w:start w:val="10"/>
      <w:numFmt w:val="chineseCounting"/>
      <w:suff w:val="nothing"/>
      <w:lvlText w:val="%1、"/>
      <w:lvlJc w:val="left"/>
      <w:rPr>
        <w:rFonts w:hint="eastAsia"/>
      </w:rPr>
    </w:lvl>
  </w:abstractNum>
  <w:abstractNum w:abstractNumId="3">
    <w:nsid w:val="7CD7C9A4"/>
    <w:multiLevelType w:val="singleLevel"/>
    <w:tmpl w:val="7CD7C9A4"/>
    <w:lvl w:ilvl="0" w:tentative="0">
      <w:start w:val="1"/>
      <w:numFmt w:val="decimal"/>
      <w:suff w:val="nothing"/>
      <w:lvlText w:val="（%1）"/>
      <w:lvlJc w:val="left"/>
      <w:pPr>
        <w:ind w:left="-10" w:firstLine="0"/>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B5E91"/>
    <w:rsid w:val="1203098F"/>
    <w:rsid w:val="28793E20"/>
    <w:rsid w:val="3DD443B6"/>
    <w:rsid w:val="41B810BD"/>
    <w:rsid w:val="56076CEA"/>
    <w:rsid w:val="7EE7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5">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2019</Words>
  <Characters>2176</Characters>
  <Lines>0</Lines>
  <Paragraphs>0</Paragraphs>
  <TotalTime>15</TotalTime>
  <ScaleCrop>false</ScaleCrop>
  <LinksUpToDate>false</LinksUpToDate>
  <CharactersWithSpaces>2201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2025-07-21T08:36:00Z</dcterms:created>
  <dc:creator>hnyzl</dc:creator>
  <cp:lastModifiedBy>L</cp:lastModifiedBy>
  <dcterms:modified xsi:type="dcterms:W3CDTF">2025-09-12T08:37:57Z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eyJoZGlkIjoiMGM1MmNlYmFhNTI5ODk3MmM3ZGRiYjJhNTUzYmM2ZDQiLCJ1c2VySWQiOiI0ODQyNDY2NjkifQ==</vt:lpwstr>
  </property>
  <property fmtid="{D5CDD505-2E9C-101B-9397-08002B2CF9AE}" pid="4" name="ICV">
    <vt:lpwstr>50B34B9B737B407CBC73006791DC3A23_12</vt:lpwstr>
  </property>
</Properties>
</file>