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  <w:t>零陵区发改局2019年工作总结和2020年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  <w:t>工作谋划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jc w:val="center"/>
        <w:textAlignment w:val="auto"/>
        <w:rPr>
          <w:rFonts w:hint="eastAsia" w:asciiTheme="minorEastAsia" w:hAnsiTheme="minorEastAsia" w:eastAsiaTheme="minorEastAsia" w:cstheme="minorEastAsia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960" w:firstLineChars="3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一、工作回顾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（一）主要工作任务。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14:textFill>
            <w14:solidFill>
              <w14:schemeClr w14:val="tx1"/>
            </w14:solidFill>
          </w14:textFill>
        </w:rPr>
        <w:t>全社会固定资产投资增长12.0%左右;产业投资占固定资产投资比重4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14:textFill>
            <w14:solidFill>
              <w14:schemeClr w14:val="tx1"/>
            </w14:solidFill>
          </w14:textFill>
        </w:rPr>
        <w:t>%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以上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14:textFill>
            <w14:solidFill>
              <w14:schemeClr w14:val="tx1"/>
            </w14:solidFill>
          </w14:textFill>
        </w:rPr>
        <w:t>；深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化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14:textFill>
            <w14:solidFill>
              <w14:schemeClr w14:val="tx1"/>
            </w14:solidFill>
          </w14:textFill>
        </w:rPr>
        <w:t>“产业项目建设年”，突出抓好10个重大产业项目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（二）完成情况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1、固定资产投资完成情况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16" w:firstLineChars="2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2019年</w:t>
      </w:r>
      <w:r>
        <w:rPr>
          <w:rFonts w:hint="eastAsia" w:asciiTheme="minorEastAsia" w:hAnsi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完成情况（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预计</w:t>
      </w:r>
      <w:r>
        <w:rPr>
          <w:rFonts w:hint="eastAsia" w:asciiTheme="minorEastAsia" w:hAnsi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数）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，全区固定资产投资同比增长12.5%，新已入统5000万元以上项目30个（包括房地产项目4），预计</w:t>
      </w:r>
      <w:r>
        <w:rPr>
          <w:rFonts w:hint="eastAsia" w:asciiTheme="minorEastAsia" w:hAnsi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全年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可排名全市前3 。其中工业投资增长30%；技改投资增长48.7%。产业投资增长35 %，占总投资比重55%；高新技术产业投资增长58..7%，投资结构优化，质效明显提升。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重点项目及产业项目建设完成情况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  <w:lang w:val="en-US" w:eastAsia="zh-CN"/>
        </w:rPr>
        <w:t xml:space="preserve">  </w:t>
      </w: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 xml:space="preserve">  (1)省重点项目完成情况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1-10月，纳入省重点的2个项目完成投资19.7亿元，占年度计划的109.4%，其中零陵古城完成投资12.5亿元，中航星永州军民融合产业园完成投资7.2亿元。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(2)市重点项目完成情况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52个市重点项目开工51个，开工率98%，完成投资77.4亿元，占年度计划的101%，重点项目推进快。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（3）纳入全市“5个10”工程完成情况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纳入全市“5个10”工程的5个重大产业项目全部开工，完成投资26.4亿元，占年计划的110%。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（4）区重点项目完成情况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我区实施重点项目136个，1-10月开工100个，开工率73.5%，完成投资125.3亿元，占年度投资计划的71.3%。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向上争资完成情况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  <w:t>2019年全年</w:t>
      </w: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争资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  <w:t>任务21.5亿元，同比</w:t>
      </w: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2018年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  <w:t>任务数增长6%，1-10月份完成争资任务数20.3亿元，预计全年可完成争资任务23亿元。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粮食安全省长责任制完成情况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  <w:t>我区粮油购销有限责任公司总仓容5. 6万吨，有效仓容2.5万吨，全区国有粮食企业目前粮食库存1.23万吨（其中：区级储备粮食5200吨、省级储备粮5000吨、托市粮300吨、省临时储备粮1800吨），2019年省级储粮轮换1050吨，区级储粮轮换1908吨，共计2958吨，现已全部轮换入库。同时为促进粮食提质进档，推动节粮减损，增加农民收入，切实保障优质粮食有效供给，我区争取的2018年“优质粮油工程”粮食产后服务体系建设项目，现已全部建设完成，并投入运营中，在全区范围内共布置七个点，2019年10月已通过市发改委、市财政局、区发改局、区财政局完成验收。</w:t>
      </w:r>
    </w:p>
    <w:p>
      <w:pPr>
        <w:keepNext w:val="0"/>
        <w:keepLines w:val="0"/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易地扶贫搬迁完成情况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19" w:firstLineChars="2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项目基本情况。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14:textFill>
            <w14:solidFill>
              <w14:schemeClr w14:val="tx1"/>
            </w14:solidFill>
          </w14:textFill>
        </w:rPr>
        <w:t>我区“十三五”期间易地扶贫搬迁任务数是5294人。目前，全区累计完成集中安置点建设20个，分散安置实施14个乡镇、街道，共计5294人，圆满完成了省里下达的“十三五”易地扶贫搬迁工作任务。</w:t>
      </w:r>
      <w:r>
        <w:rPr>
          <w:rFonts w:hint="eastAsia" w:asciiTheme="minorEastAsia" w:hAnsiTheme="minorEastAsia" w:eastAsiaTheme="minorEastAsia" w:cstheme="minorEastAsia"/>
          <w:color w:val="000000" w:themeColor="text1"/>
          <w:spacing w:val="-6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集中安置点水、电、路、讯、绿化、美化、亮化、视频监控等配套基础设施齐全。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19" w:firstLineChars="200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</w:rPr>
      </w:pPr>
      <w:r>
        <w:rPr>
          <w:rFonts w:hint="eastAsia" w:asciiTheme="minorEastAsia" w:hAnsiTheme="minorEastAsia" w:eastAsiaTheme="minorEastAsia" w:cstheme="minorEastAsia"/>
          <w:b/>
          <w:bCs/>
          <w:color w:val="000000" w:themeColor="text1"/>
          <w:spacing w:val="-6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后续帮扶情况。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出台了《零陵区“十三五”时期易地扶贫搬迁实施意见》和《零陵区易地扶贫搬迁后续产业发展计划》等政策性文件，结合各搬迁对象的选址和入住情况，制定了后续产业发展规划和逐户制定针对性的帮扶措施，并针对各不同安置点及安置户的实际，结合“光伏产业”、“小额信贷”、“温氏养殖”、“就业培训+劳务输出”等多种扶贫方式，确保对象搬迁后能稳定脱贫，做到了有就业能力的家庭至少1人稳定就业，无就业能力的家庭均参与社会兜底保障，搬迁户搬迁后户籍、医保、低保等社会保障手续同步接续到位。同时，为充分利用安置区一楼架空层，促进搬迁户打工和顾家两不误，我们在较大型的集中安置点规划建设了扶贫工厂7处，目前厂房建设及装修已全部完工，累计完成厂房面积近万平方米，成功招商落户8家劳动密集型企业，其中6家已投入运营，共计安排500多名搬迁贫困户参与劳动用工。</w:t>
      </w: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620" w:lineRule="exact"/>
        <w:ind w:firstLine="643" w:firstLineChars="200"/>
        <w:jc w:val="left"/>
        <w:textAlignment w:val="auto"/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问题整改情况。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目前，全区易地扶贫搬迁工作存在问题整改工作基本完成，取得较好成效，我区集中安置点和分散安置项目存在的主要问题已全面整改到位，</w:t>
      </w:r>
      <w:r>
        <w:rPr>
          <w:rFonts w:hint="eastAsia" w:asciiTheme="minorEastAsia" w:hAnsiTheme="minorEastAsia" w:eastAsiaTheme="minorEastAsia" w:cstheme="minorEastAsia"/>
          <w:sz w:val="32"/>
        </w:rPr>
        <w:t>累计整改分散安置功能不全等问题65户77个，整改集中安置进度慢、入住率不高等问题10余个次，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集中安置项目配套建设全部完善，</w:t>
      </w:r>
      <w:r>
        <w:rPr>
          <w:rFonts w:hint="eastAsia" w:asciiTheme="minorEastAsia" w:hAnsiTheme="minorEastAsia" w:eastAsiaTheme="minorEastAsia" w:cstheme="minorEastAsia"/>
          <w:color w:val="000000"/>
          <w:sz w:val="32"/>
          <w:szCs w:val="32"/>
        </w:rPr>
        <w:t>分散安置户住房功能齐全，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后扶措施落实到户到人，问题整改效果突出。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没完成的原因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Theme="minorEastAsia" w:hAnsiTheme="minorEastAsia" w:eastAsia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 xml:space="preserve"> 受停缓调撤和新的财政政策影响，全区重点建设项目推进不理想。</w:t>
      </w:r>
    </w:p>
    <w:p>
      <w:pPr>
        <w:keepNext w:val="0"/>
        <w:keepLines w:val="0"/>
        <w:pageBreakBefore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textAlignment w:val="auto"/>
        <w:rPr>
          <w:rFonts w:hint="default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亮点工作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固定资产投资工作较为稳定，当前排全市第三；争资工作可超额完成目标任务；纳入全市“5个10”工程的5个重大产业项目全部开工，1-10月完成投资26.4亿元，占年计划的110%。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（五）痛点难点工作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default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1</w:t>
      </w:r>
      <w:r>
        <w:rPr>
          <w:rFonts w:hint="eastAsia" w:asciiTheme="minorEastAsia" w:hAnsiTheme="minorEastAsia" w:cstheme="minorEastAsia"/>
          <w:b/>
          <w:sz w:val="32"/>
          <w:szCs w:val="32"/>
          <w:lang w:eastAsia="zh-CN"/>
        </w:rPr>
        <w:t>、</w:t>
      </w:r>
      <w:r>
        <w:rPr>
          <w:rFonts w:hint="eastAsia" w:asciiTheme="minorEastAsia" w:hAnsiTheme="minorEastAsia" w:cstheme="minorEastAsia"/>
          <w:b/>
          <w:sz w:val="32"/>
          <w:szCs w:val="32"/>
          <w:lang w:val="en-US" w:eastAsia="zh-CN"/>
        </w:rPr>
        <w:t>重点项目推进不理想。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今年全区实施的重点建设项目136个，其中进展快的有31个，进展较快的有23个，进展慢的有47个，未开复工的有35个。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/>
          <w:sz w:val="32"/>
          <w:szCs w:val="32"/>
          <w:lang w:val="en-US" w:eastAsia="zh-CN"/>
        </w:rPr>
        <w:t>2、易地扶贫搬迁。</w:t>
      </w: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安置点常年入住率不高</w:t>
      </w:r>
      <w:r>
        <w:rPr>
          <w:rFonts w:hint="eastAsia" w:asciiTheme="minorEastAsia" w:hAnsiTheme="minorEastAsia" w:cstheme="minorEastAsia"/>
          <w:b/>
          <w:sz w:val="32"/>
          <w:szCs w:val="32"/>
          <w:lang w:eastAsia="zh-CN"/>
        </w:rPr>
        <w:t>，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2016以来建成的集中安置点，由于部分搬迁户在外务工，已搬迁新居的贫困户并未常年入住。</w:t>
      </w:r>
      <w:r>
        <w:rPr>
          <w:rFonts w:hint="eastAsia" w:asciiTheme="minorEastAsia" w:hAnsiTheme="minorEastAsia" w:eastAsiaTheme="minorEastAsia" w:cstheme="minorEastAsia"/>
          <w:b/>
          <w:sz w:val="32"/>
          <w:szCs w:val="32"/>
        </w:rPr>
        <w:t>安置区管理困难。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部分跨乡镇安置点管理困难，如石山脚安置点，涉及大庆坪等10余个乡镇搬迁户落户，安置人员多，素质参差不齐，同时聘请的管理人员非专门物业管理员，管理经验不足，安置点管理服务难。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二、下步工作打算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（一）2020年工作思路和理念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2020年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拟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铺排重点项目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170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个，计划投资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180余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亿元，其中重点产业项目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70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个，计划投资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120</w:t>
      </w:r>
      <w:bookmarkStart w:id="0" w:name="_GoBack"/>
      <w:bookmarkEnd w:id="0"/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亿元；固定资产投资增速12%，产业投资占比达45%以上；完成</w:t>
      </w:r>
      <w:r>
        <w:rPr>
          <w:rFonts w:hint="eastAsia" w:asciiTheme="minorEastAsia" w:hAnsiTheme="minorEastAsia" w:cstheme="minorEastAsia"/>
          <w:sz w:val="32"/>
          <w:szCs w:val="32"/>
          <w:lang w:val="en-US" w:eastAsia="zh-CN"/>
        </w:rPr>
        <w:t>向上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增资任务22.8亿元，同比增长6%。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上级要求的工作任务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Theme="minorEastAsia" w:hAnsiTheme="minorEastAsia" w:eastAsiaTheme="minorEastAsia" w:cstheme="minorEastAsia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  <w:lang w:val="en-US" w:eastAsia="zh-CN"/>
        </w:rPr>
        <w:t xml:space="preserve">    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重点项目建设年度全市先进县区；固定资产投资排全市前三。</w:t>
      </w:r>
    </w:p>
    <w:p>
      <w:pPr>
        <w:keepNext w:val="0"/>
        <w:keepLines w:val="0"/>
        <w:pageBreakBefore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3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具体工作打算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 xml:space="preserve"> 1、高标准高水准编制好全区“十四五”经济社会发展规划，争取更多的优质项目进入国家、省市项目规划库，为我区经济社会高质量发展提供强有力的项目支撑。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  <w:lang w:val="en-US" w:eastAsia="zh-CN"/>
        </w:rPr>
        <w:t xml:space="preserve"> 2、抓谋划、做大项目底盘。</w:t>
      </w: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一是围绕明年的工作盘子谋划项目，增强谋划项目的自觉性和主动性，按照高质量发展的要求，精准谋划明年的重大项目盘子，尽早启动一批签约项目的前期工作，为推动项目的开工建设奠定基础。二是围绕专项债券谋划项目，强化与省、市的对接力度，提前了解中央第四批、第五批专项债券申报方向和标准，在10月底前完成好专项债券申报工作的资料准备，力争挤进一批专项债券项目。三是围绕省、市重点谋划项目，严格按照省、市关于重点项目的安排部署，加大对新能源新材料、电子信息、文化旅游、异蛇等主导产业的谋划发展，打造产业带动能力强、经济造血强的产业集群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  <w:lang w:val="en-US" w:eastAsia="zh-CN"/>
        </w:rPr>
        <w:t>3、抢抓机遇，扩大招商。</w:t>
      </w: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抢抓湘西湘南承接产业转移示范区建设，对接粤港澳大湾区的重大战略机遇，积极主动上门招商，深入实施“五大开放行动”。一是对现有企业实施招大引强。积极对接引进500强企业和央企，引进战略投资者，促进优势资源整合和产城融合招商。二是突出产业链招商。立足锰资源深加工等传统产业，做大做强新能源新材料、电子信息、文化旅游、异蛇等主导产业，创新招商模式，着力引进一批延链、补链、强链的重大产业项目。三是强化专业招商。积极开展中介招商、以商招商、领导招商，重点推进老乡招商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3" w:firstLineChars="200"/>
        <w:textAlignment w:val="auto"/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inorEastAsia" w:hAnsiTheme="minorEastAsia" w:cstheme="minorEastAsia"/>
          <w:b/>
          <w:bCs/>
          <w:sz w:val="32"/>
          <w:szCs w:val="32"/>
          <w:lang w:val="en-US" w:eastAsia="zh-CN"/>
        </w:rPr>
        <w:t>4、狠抓园区，夯实平台。</w:t>
      </w:r>
      <w:r>
        <w:rPr>
          <w:rFonts w:hint="eastAsia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  <w:t>大力实施“6个1工程”，全力推进园区升级。一要完善园区配套。抓紧实施园区升级“6+2”建设，加快50万平方米标准厂房建设和配套生产性服务业建设。加快创新创业大厦装修进度，对路网、管网、电网、绿网进行提质改造，加快推进污水处理厂建设，科学布局园区供电、供气、供水、学校、物流站等生产生活配套设施建设。二要强化要素保障。用地方面，强化用地指标争取、盘活当前存量土地，加快推进工业园区600亩土地征地拆迁，保障新建、续建项目用地需求。资金方面，创新金融服务，充分发挥产业发展基金和助保贷作用，积极组织银企对接，搭建好融资服务平台，努力争取银行金融机构扩大对重点项目的融资支持。用工方面。要积极开展好“春风行动”“迎老乡、回故乡、建家乡”活动，引导零陵籍在外人员回乡创业，就业，落实园区用工优惠政策，保障核芯新能源、德福隆等用工缺口大企业的用工需求。全面对接《潇湘人才行动计划》，着力引进一批高、精、尖人才落户零陵，建设零陵，造福零陵。三是加快产业培育。按照市委市政府规定的“一园一特色”的发展要求，加快制订园区产业发展规划，培育园区特色。对已入园的传统产业，加快升级改造，上规模、提技术、强品牌。对主导产业，以龙头企业为重点，打造产业集群。对发展新兴产业，加大政策、资金支持，培优做强，壮大工业经济后备力量。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default" w:asciiTheme="minorEastAsia" w:hAnsiTheme="minorEastAsia" w:cstheme="minorEastAsia"/>
          <w:b w:val="0"/>
          <w:bCs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A0E4623D"/>
    <w:multiLevelType w:val="singleLevel"/>
    <w:tmpl w:val="A0E4623D"/>
    <w:lvl w:ilvl="0" w:tentative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CD730572"/>
    <w:multiLevelType w:val="singleLevel"/>
    <w:tmpl w:val="CD730572"/>
    <w:lvl w:ilvl="0" w:tentative="0">
      <w:start w:val="2"/>
      <w:numFmt w:val="decimal"/>
      <w:suff w:val="nothing"/>
      <w:lvlText w:val="%1、"/>
      <w:lvlJc w:val="left"/>
    </w:lvl>
  </w:abstractNum>
  <w:abstractNum w:abstractNumId="2">
    <w:nsid w:val="5C61D094"/>
    <w:multiLevelType w:val="singleLevel"/>
    <w:tmpl w:val="5C61D094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522F06"/>
    <w:rsid w:val="26636DB9"/>
    <w:rsid w:val="42BF0D73"/>
    <w:rsid w:val="5A093F85"/>
    <w:rsid w:val="5DB25114"/>
    <w:rsid w:val="5DBB7620"/>
    <w:rsid w:val="6B7C4F96"/>
    <w:rsid w:val="769F0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仿宋_GB2312" w:hAnsi="Times New Roman" w:eastAsia="仿宋_GB2312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Office_11.1.0.9145_F1E327BC-269C-435d-A152-05C5408002CA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邓邓</cp:lastModifiedBy>
  <dcterms:modified xsi:type="dcterms:W3CDTF">2019-11-14T00:19:48Z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2052-11.1.0.9145</vt:lpwstr>
  </property>
</Properties>
</file>