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eastAsia" w:eastAsia="方正小标宋_GBK"/>
          <w:sz w:val="48"/>
          <w:szCs w:val="48"/>
          <w:lang w:val="en-US" w:eastAsia="zh-CN"/>
        </w:rPr>
      </w:pPr>
    </w:p>
    <w:p>
      <w:pPr>
        <w:jc w:val="center"/>
        <w:rPr>
          <w:rFonts w:eastAsia="方正小标宋_GBK"/>
          <w:sz w:val="48"/>
          <w:szCs w:val="48"/>
        </w:rPr>
      </w:pPr>
      <w:r>
        <w:rPr>
          <w:rFonts w:hint="eastAsia" w:eastAsia="方正小标宋_GBK"/>
          <w:sz w:val="48"/>
          <w:szCs w:val="48"/>
          <w:lang w:val="en-US" w:eastAsia="zh-CN"/>
        </w:rPr>
        <w:t>2022</w:t>
      </w:r>
      <w:r>
        <w:rPr>
          <w:rFonts w:eastAsia="方正小标宋_GBK"/>
          <w:sz w:val="48"/>
          <w:szCs w:val="48"/>
        </w:rPr>
        <w:t>年度</w:t>
      </w:r>
      <w:r>
        <w:rPr>
          <w:rFonts w:hint="eastAsia" w:eastAsia="方正小标宋_GBK"/>
          <w:sz w:val="48"/>
          <w:szCs w:val="48"/>
          <w:lang w:eastAsia="zh-CN"/>
        </w:rPr>
        <w:t>零陵区发改局</w:t>
      </w:r>
      <w:r>
        <w:rPr>
          <w:rFonts w:eastAsia="方正小标宋_GBK"/>
          <w:sz w:val="48"/>
          <w:szCs w:val="48"/>
        </w:rPr>
        <w:t>整体支出</w:t>
      </w:r>
    </w:p>
    <w:p>
      <w:pPr>
        <w:jc w:val="center"/>
        <w:rPr>
          <w:rFonts w:eastAsia="方正小标宋_GBK"/>
          <w:sz w:val="48"/>
          <w:szCs w:val="48"/>
        </w:rPr>
      </w:pPr>
      <w:r>
        <w:rPr>
          <w:rFonts w:eastAsia="方正小标宋_GBK"/>
          <w:sz w:val="48"/>
          <w:szCs w:val="48"/>
        </w:rPr>
        <w:t>绩效自评报告</w:t>
      </w:r>
    </w:p>
    <w:p>
      <w:pPr>
        <w:jc w:val="center"/>
        <w:rPr>
          <w:rFonts w:eastAsia="黑体"/>
          <w:sz w:val="32"/>
          <w:szCs w:val="32"/>
        </w:rPr>
      </w:pPr>
    </w:p>
    <w:p>
      <w:pPr>
        <w:jc w:val="center"/>
        <w:rPr>
          <w:rFonts w:eastAsia="黑体"/>
          <w:sz w:val="32"/>
          <w:szCs w:val="32"/>
        </w:rPr>
      </w:pPr>
    </w:p>
    <w:p>
      <w:pPr>
        <w:jc w:val="center"/>
        <w:rPr>
          <w:rFonts w:eastAsia="黑体"/>
          <w:sz w:val="32"/>
          <w:szCs w:val="32"/>
        </w:rPr>
      </w:pPr>
    </w:p>
    <w:p>
      <w:pPr>
        <w:jc w:val="center"/>
        <w:rPr>
          <w:rFonts w:eastAsia="黑体"/>
          <w:sz w:val="32"/>
          <w:szCs w:val="32"/>
        </w:rPr>
      </w:pPr>
    </w:p>
    <w:p>
      <w:pPr>
        <w:jc w:val="center"/>
        <w:rPr>
          <w:rFonts w:eastAsia="黑体"/>
          <w:sz w:val="32"/>
          <w:szCs w:val="32"/>
        </w:rPr>
      </w:pPr>
    </w:p>
    <w:p>
      <w:pPr>
        <w:jc w:val="center"/>
        <w:rPr>
          <w:rFonts w:eastAsia="黑体"/>
          <w:sz w:val="32"/>
          <w:szCs w:val="32"/>
        </w:rPr>
      </w:pPr>
    </w:p>
    <w:p>
      <w:pPr>
        <w:jc w:val="center"/>
        <w:rPr>
          <w:rFonts w:eastAsia="黑体"/>
          <w:sz w:val="32"/>
          <w:szCs w:val="32"/>
        </w:rPr>
      </w:pPr>
    </w:p>
    <w:p>
      <w:pPr>
        <w:ind w:firstLine="880" w:firstLineChars="200"/>
        <w:jc w:val="center"/>
        <w:rPr>
          <w:rFonts w:eastAsia="黑体"/>
          <w:sz w:val="44"/>
          <w:szCs w:val="44"/>
        </w:rPr>
      </w:pPr>
    </w:p>
    <w:p>
      <w:pPr>
        <w:ind w:firstLine="880" w:firstLineChars="200"/>
        <w:jc w:val="center"/>
        <w:rPr>
          <w:rFonts w:eastAsia="黑体"/>
          <w:sz w:val="44"/>
          <w:szCs w:val="44"/>
        </w:rPr>
      </w:pPr>
    </w:p>
    <w:p>
      <w:pPr>
        <w:ind w:firstLine="880" w:firstLineChars="200"/>
        <w:jc w:val="center"/>
        <w:rPr>
          <w:rFonts w:eastAsia="黑体"/>
          <w:sz w:val="44"/>
          <w:szCs w:val="44"/>
        </w:rPr>
      </w:pPr>
    </w:p>
    <w:p>
      <w:pPr>
        <w:ind w:firstLine="720" w:firstLineChars="200"/>
        <w:jc w:val="center"/>
        <w:rPr>
          <w:rFonts w:eastAsia="黑体"/>
          <w:sz w:val="36"/>
          <w:szCs w:val="36"/>
        </w:rPr>
      </w:pPr>
      <w:r>
        <w:rPr>
          <w:rFonts w:eastAsia="黑体"/>
          <w:sz w:val="36"/>
          <w:szCs w:val="36"/>
        </w:rPr>
        <w:t>单位名称（盖章）：</w:t>
      </w:r>
    </w:p>
    <w:p>
      <w:pPr>
        <w:jc w:val="center"/>
        <w:rPr>
          <w:rFonts w:eastAsia="仿宋_GB2312"/>
          <w:sz w:val="32"/>
          <w:szCs w:val="32"/>
        </w:rPr>
      </w:pPr>
    </w:p>
    <w:p>
      <w:pPr>
        <w:jc w:val="center"/>
        <w:rPr>
          <w:rFonts w:eastAsia="仿宋_GB2312"/>
          <w:sz w:val="32"/>
          <w:szCs w:val="32"/>
        </w:rPr>
      </w:pPr>
    </w:p>
    <w:p>
      <w:pPr>
        <w:jc w:val="center"/>
        <w:rPr>
          <w:rFonts w:eastAsia="黑体"/>
          <w:sz w:val="36"/>
          <w:szCs w:val="36"/>
        </w:rPr>
      </w:pPr>
    </w:p>
    <w:p>
      <w:pPr>
        <w:jc w:val="center"/>
        <w:rPr>
          <w:rFonts w:eastAsia="黑体"/>
          <w:sz w:val="36"/>
          <w:szCs w:val="36"/>
        </w:rPr>
      </w:pPr>
    </w:p>
    <w:p>
      <w:pPr>
        <w:jc w:val="center"/>
        <w:rPr>
          <w:rFonts w:eastAsia="黑体"/>
          <w:sz w:val="36"/>
          <w:szCs w:val="36"/>
        </w:rPr>
      </w:pPr>
    </w:p>
    <w:p>
      <w:pPr>
        <w:jc w:val="center"/>
        <w:rPr>
          <w:rFonts w:eastAsia="黑体"/>
          <w:sz w:val="32"/>
          <w:szCs w:val="32"/>
        </w:rPr>
      </w:pPr>
    </w:p>
    <w:p>
      <w:pPr>
        <w:adjustRightInd w:val="0"/>
        <w:spacing w:line="600" w:lineRule="exact"/>
        <w:rPr>
          <w:rFonts w:eastAsia="仿宋_GB2312"/>
          <w:sz w:val="32"/>
          <w:szCs w:val="32"/>
        </w:rPr>
      </w:pPr>
    </w:p>
    <w:p>
      <w:pPr>
        <w:widowControl/>
        <w:spacing w:line="480" w:lineRule="auto"/>
        <w:ind w:firstLine="600" w:firstLineChars="200"/>
        <w:jc w:val="left"/>
        <w:rPr>
          <w:rFonts w:hint="eastAsia" w:ascii="仿宋_GB2312" w:hAnsi="黑体" w:eastAsia="仿宋_GB2312" w:cs="宋体"/>
          <w:b w:val="0"/>
          <w:bCs/>
          <w:color w:val="000000"/>
          <w:kern w:val="0"/>
          <w:sz w:val="30"/>
          <w:szCs w:val="30"/>
        </w:rPr>
      </w:pPr>
      <w:r>
        <w:rPr>
          <w:rFonts w:hint="eastAsia" w:ascii="仿宋_GB2312" w:hAnsi="黑体" w:eastAsia="仿宋_GB2312" w:cs="宋体"/>
          <w:b w:val="0"/>
          <w:bCs/>
          <w:color w:val="000000"/>
          <w:kern w:val="0"/>
          <w:sz w:val="30"/>
          <w:szCs w:val="30"/>
          <w:lang w:val="en-US" w:eastAsia="zh-CN"/>
        </w:rPr>
        <w:t>根据《零陵区财政局关于开展2022年度部门预算绩效评价工作的通知》（零财绩〔2023〕1号）的文件精神</w:t>
      </w:r>
      <w:r>
        <w:rPr>
          <w:rFonts w:hint="default" w:ascii="仿宋_GB2312" w:hAnsi="黑体" w:eastAsia="仿宋_GB2312" w:cs="宋体"/>
          <w:b w:val="0"/>
          <w:bCs/>
          <w:color w:val="000000"/>
          <w:kern w:val="0"/>
          <w:sz w:val="30"/>
          <w:szCs w:val="30"/>
          <w:lang w:val="en-US" w:eastAsia="zh-CN"/>
        </w:rPr>
        <w:t>，我</w:t>
      </w:r>
      <w:r>
        <w:rPr>
          <w:rFonts w:hint="eastAsia" w:ascii="仿宋_GB2312" w:hAnsi="黑体" w:eastAsia="仿宋_GB2312" w:cs="宋体"/>
          <w:b w:val="0"/>
          <w:bCs/>
          <w:color w:val="000000"/>
          <w:kern w:val="0"/>
          <w:sz w:val="30"/>
          <w:szCs w:val="30"/>
          <w:lang w:val="en-US" w:eastAsia="zh-CN"/>
        </w:rPr>
        <w:t>局</w:t>
      </w:r>
      <w:r>
        <w:rPr>
          <w:rFonts w:hint="default" w:ascii="仿宋_GB2312" w:hAnsi="黑体" w:eastAsia="仿宋_GB2312" w:cs="宋体"/>
          <w:b w:val="0"/>
          <w:bCs/>
          <w:color w:val="000000"/>
          <w:kern w:val="0"/>
          <w:sz w:val="30"/>
          <w:szCs w:val="30"/>
          <w:lang w:val="en-US" w:eastAsia="zh-CN"/>
        </w:rPr>
        <w:t>对部门</w:t>
      </w:r>
      <w:r>
        <w:rPr>
          <w:rFonts w:hint="eastAsia" w:ascii="仿宋_GB2312" w:hAnsi="黑体" w:eastAsia="仿宋_GB2312" w:cs="宋体"/>
          <w:b w:val="0"/>
          <w:bCs/>
          <w:color w:val="000000"/>
          <w:kern w:val="0"/>
          <w:sz w:val="30"/>
          <w:szCs w:val="30"/>
          <w:lang w:val="en-US" w:eastAsia="zh-CN"/>
        </w:rPr>
        <w:t>预算</w:t>
      </w:r>
      <w:r>
        <w:rPr>
          <w:rFonts w:hint="default" w:ascii="仿宋_GB2312" w:hAnsi="黑体" w:eastAsia="仿宋_GB2312" w:cs="宋体"/>
          <w:b w:val="0"/>
          <w:bCs/>
          <w:color w:val="000000"/>
          <w:kern w:val="0"/>
          <w:sz w:val="30"/>
          <w:szCs w:val="30"/>
          <w:lang w:val="en-US" w:eastAsia="zh-CN"/>
        </w:rPr>
        <w:t>支出进行了绩效评价，现报告如下： </w:t>
      </w:r>
    </w:p>
    <w:p>
      <w:pPr>
        <w:numPr>
          <w:ilvl w:val="0"/>
          <w:numId w:val="1"/>
        </w:numPr>
        <w:adjustRightInd w:val="0"/>
        <w:snapToGrid w:val="0"/>
        <w:spacing w:line="600" w:lineRule="exact"/>
        <w:ind w:firstLine="640" w:firstLineChars="200"/>
        <w:rPr>
          <w:rFonts w:hint="eastAsia" w:eastAsia="黑体"/>
          <w:sz w:val="32"/>
          <w:szCs w:val="32"/>
        </w:rPr>
      </w:pPr>
      <w:r>
        <w:rPr>
          <w:rFonts w:hint="eastAsia" w:eastAsia="黑体"/>
          <w:sz w:val="32"/>
          <w:szCs w:val="32"/>
          <w:lang w:eastAsia="zh-CN"/>
        </w:rPr>
        <w:t>基本情况</w:t>
      </w:r>
    </w:p>
    <w:p>
      <w:pPr>
        <w:widowControl/>
        <w:spacing w:line="480" w:lineRule="auto"/>
        <w:ind w:firstLine="600" w:firstLineChars="200"/>
        <w:jc w:val="left"/>
        <w:rPr>
          <w:rFonts w:hint="eastAsia" w:ascii="仿宋_GB2312" w:hAnsi="黑体" w:eastAsia="仿宋_GB2312" w:cs="宋体"/>
          <w:b w:val="0"/>
          <w:bCs/>
          <w:color w:val="000000"/>
          <w:kern w:val="0"/>
          <w:sz w:val="30"/>
          <w:szCs w:val="30"/>
          <w:lang w:val="en-US" w:eastAsia="zh-CN"/>
        </w:rPr>
      </w:pPr>
      <w:r>
        <w:rPr>
          <w:rFonts w:hint="eastAsia" w:ascii="仿宋_GB2312" w:hAnsi="黑体" w:eastAsia="仿宋_GB2312" w:cs="宋体"/>
          <w:b w:val="0"/>
          <w:bCs/>
          <w:color w:val="000000"/>
          <w:kern w:val="0"/>
          <w:sz w:val="30"/>
          <w:szCs w:val="30"/>
          <w:lang w:val="en-US" w:eastAsia="zh-CN"/>
        </w:rPr>
        <w:t>零陵区发改局内设机构为17个：办公室、行政审批股、资环股、工业基础产业和高新技术股、农村经济股、固定资产投资股、社会发展股、财政经贸股、能源股、前期办、价格调控和价费管理股、成本调查队、商品、服务价格管理股、政工股、重点项目管理股、粮食调控与物质储备股、粮食行业发展和秩序监督股。下辖2个正股级单位。</w:t>
      </w:r>
    </w:p>
    <w:p>
      <w:pPr>
        <w:keepNext w:val="0"/>
        <w:keepLines w:val="0"/>
        <w:pageBreakBefore w:val="0"/>
        <w:widowControl w:val="0"/>
        <w:numPr>
          <w:ilvl w:val="0"/>
          <w:numId w:val="2"/>
        </w:numPr>
        <w:kinsoku/>
        <w:wordWrap/>
        <w:overflowPunct/>
        <w:topLinePunct w:val="0"/>
        <w:autoSpaceDE/>
        <w:autoSpaceDN/>
        <w:bidi w:val="0"/>
        <w:adjustRightInd/>
        <w:snapToGrid/>
        <w:spacing w:line="240" w:lineRule="auto"/>
        <w:ind w:leftChars="200" w:right="0" w:rightChars="0"/>
        <w:jc w:val="left"/>
        <w:textAlignment w:val="auto"/>
        <w:outlineLvl w:val="9"/>
        <w:rPr>
          <w:rFonts w:hint="eastAsia" w:ascii="仿宋" w:hAnsi="仿宋" w:eastAsia="仿宋" w:cs="仿宋"/>
          <w:b/>
          <w:bCs/>
          <w:sz w:val="30"/>
          <w:szCs w:val="30"/>
          <w:lang w:val="en-US" w:eastAsia="zh-CN"/>
        </w:rPr>
      </w:pPr>
      <w:r>
        <w:rPr>
          <w:rFonts w:hint="eastAsia" w:ascii="仿宋" w:hAnsi="仿宋" w:eastAsia="仿宋" w:cs="仿宋"/>
          <w:b/>
          <w:bCs/>
          <w:sz w:val="30"/>
          <w:szCs w:val="30"/>
          <w:lang w:val="en-US" w:eastAsia="zh-CN"/>
        </w:rPr>
        <w:t>人员编制。</w:t>
      </w:r>
    </w:p>
    <w:p>
      <w:pPr>
        <w:widowControl/>
        <w:spacing w:line="480" w:lineRule="auto"/>
        <w:ind w:firstLine="600" w:firstLineChars="200"/>
        <w:jc w:val="left"/>
        <w:rPr>
          <w:rFonts w:hint="eastAsia" w:ascii="仿宋_GB2312" w:hAnsi="黑体" w:eastAsia="仿宋_GB2312" w:cs="宋体"/>
          <w:b w:val="0"/>
          <w:bCs/>
          <w:color w:val="000000"/>
          <w:kern w:val="0"/>
          <w:sz w:val="30"/>
          <w:szCs w:val="30"/>
          <w:lang w:val="en-US" w:eastAsia="zh-CN"/>
        </w:rPr>
      </w:pPr>
      <w:r>
        <w:rPr>
          <w:rFonts w:hint="eastAsia" w:ascii="仿宋_GB2312" w:hAnsi="黑体" w:eastAsia="仿宋_GB2312" w:cs="宋体"/>
          <w:b w:val="0"/>
          <w:bCs/>
          <w:color w:val="000000"/>
          <w:kern w:val="0"/>
          <w:sz w:val="30"/>
          <w:szCs w:val="30"/>
          <w:lang w:val="en-US" w:eastAsia="zh-CN"/>
        </w:rPr>
        <w:t>2022年部门预算编报范围本部门核定编制数48名，全额编制48名，实有人数55名，其中：在职人员55人，退休人员52人。</w:t>
      </w:r>
    </w:p>
    <w:p>
      <w:pPr>
        <w:keepNext w:val="0"/>
        <w:keepLines w:val="0"/>
        <w:pageBreakBefore w:val="0"/>
        <w:widowControl w:val="0"/>
        <w:numPr>
          <w:ilvl w:val="0"/>
          <w:numId w:val="2"/>
        </w:numPr>
        <w:kinsoku/>
        <w:wordWrap/>
        <w:overflowPunct/>
        <w:topLinePunct w:val="0"/>
        <w:autoSpaceDE/>
        <w:autoSpaceDN/>
        <w:bidi w:val="0"/>
        <w:adjustRightInd/>
        <w:snapToGrid/>
        <w:spacing w:line="240" w:lineRule="auto"/>
        <w:ind w:leftChars="200" w:right="0" w:rightChars="0"/>
        <w:jc w:val="left"/>
        <w:textAlignment w:val="auto"/>
        <w:outlineLvl w:val="9"/>
        <w:rPr>
          <w:rFonts w:hint="eastAsia" w:ascii="仿宋" w:hAnsi="仿宋" w:eastAsia="仿宋" w:cs="仿宋"/>
          <w:b/>
          <w:bCs/>
          <w:sz w:val="30"/>
          <w:szCs w:val="30"/>
          <w:lang w:val="en-US" w:eastAsia="zh-CN"/>
        </w:rPr>
      </w:pPr>
      <w:r>
        <w:rPr>
          <w:rFonts w:hint="eastAsia" w:ascii="仿宋" w:hAnsi="仿宋" w:eastAsia="仿宋" w:cs="仿宋"/>
          <w:b/>
          <w:bCs/>
          <w:sz w:val="30"/>
          <w:szCs w:val="30"/>
          <w:lang w:val="en-US" w:eastAsia="zh-CN"/>
        </w:rPr>
        <w:t>部门2022年度整体绩效目标及专项绩效目标</w:t>
      </w:r>
    </w:p>
    <w:p>
      <w:pPr>
        <w:widowControl/>
        <w:spacing w:line="480" w:lineRule="auto"/>
        <w:ind w:firstLine="600" w:firstLineChars="200"/>
        <w:jc w:val="left"/>
        <w:rPr>
          <w:rFonts w:hint="eastAsia" w:ascii="仿宋_GB2312" w:hAnsi="黑体" w:eastAsia="仿宋_GB2312" w:cs="宋体"/>
          <w:b w:val="0"/>
          <w:bCs/>
          <w:color w:val="000000"/>
          <w:kern w:val="0"/>
          <w:sz w:val="30"/>
          <w:szCs w:val="30"/>
          <w:lang w:val="en-US" w:eastAsia="zh-CN"/>
        </w:rPr>
      </w:pPr>
      <w:r>
        <w:rPr>
          <w:rFonts w:hint="eastAsia" w:ascii="仿宋_GB2312" w:hAnsi="黑体" w:eastAsia="仿宋_GB2312" w:cs="宋体"/>
          <w:b w:val="0"/>
          <w:bCs/>
          <w:color w:val="000000"/>
          <w:kern w:val="0"/>
          <w:sz w:val="30"/>
          <w:szCs w:val="30"/>
          <w:lang w:val="en-US" w:eastAsia="zh-CN"/>
        </w:rPr>
        <w:t>目标1：组织编制全区各类重大规划纲要；</w:t>
      </w:r>
    </w:p>
    <w:p>
      <w:pPr>
        <w:widowControl/>
        <w:spacing w:line="480" w:lineRule="auto"/>
        <w:ind w:firstLine="600" w:firstLineChars="200"/>
        <w:jc w:val="left"/>
        <w:rPr>
          <w:rFonts w:hint="eastAsia" w:ascii="仿宋_GB2312" w:hAnsi="黑体" w:eastAsia="仿宋_GB2312" w:cs="宋体"/>
          <w:b w:val="0"/>
          <w:bCs/>
          <w:color w:val="000000"/>
          <w:kern w:val="0"/>
          <w:sz w:val="30"/>
          <w:szCs w:val="30"/>
          <w:lang w:val="en-US" w:eastAsia="zh-CN"/>
        </w:rPr>
      </w:pPr>
      <w:r>
        <w:rPr>
          <w:rFonts w:hint="eastAsia" w:ascii="仿宋_GB2312" w:hAnsi="黑体" w:eastAsia="仿宋_GB2312" w:cs="宋体"/>
          <w:b w:val="0"/>
          <w:bCs/>
          <w:color w:val="000000"/>
          <w:kern w:val="0"/>
          <w:sz w:val="30"/>
          <w:szCs w:val="30"/>
          <w:lang w:val="en-US" w:eastAsia="zh-CN"/>
        </w:rPr>
        <w:t>目标2：狠抓固定资产投资和重大项目协调管理；</w:t>
      </w:r>
    </w:p>
    <w:p>
      <w:pPr>
        <w:widowControl/>
        <w:spacing w:line="480" w:lineRule="auto"/>
        <w:ind w:firstLine="600" w:firstLineChars="200"/>
        <w:jc w:val="left"/>
        <w:rPr>
          <w:rFonts w:hint="eastAsia" w:ascii="仿宋" w:hAnsi="仿宋" w:eastAsia="仿宋" w:cs="仿宋"/>
          <w:b/>
          <w:bCs/>
          <w:sz w:val="30"/>
          <w:szCs w:val="30"/>
          <w:lang w:val="en-US" w:eastAsia="zh-CN"/>
        </w:rPr>
      </w:pPr>
      <w:r>
        <w:rPr>
          <w:rFonts w:hint="eastAsia" w:ascii="仿宋_GB2312" w:hAnsi="黑体" w:eastAsia="仿宋_GB2312" w:cs="宋体"/>
          <w:b w:val="0"/>
          <w:bCs/>
          <w:color w:val="000000"/>
          <w:kern w:val="0"/>
          <w:sz w:val="30"/>
          <w:szCs w:val="30"/>
          <w:lang w:val="en-US" w:eastAsia="zh-CN"/>
        </w:rPr>
        <w:t>目标3：大抓向上争资和项目融资工作；</w:t>
      </w:r>
    </w:p>
    <w:p>
      <w:pPr>
        <w:widowControl/>
        <w:spacing w:line="480" w:lineRule="auto"/>
        <w:ind w:firstLine="600" w:firstLineChars="200"/>
        <w:jc w:val="left"/>
        <w:rPr>
          <w:rFonts w:hint="eastAsia" w:ascii="仿宋_GB2312" w:hAnsi="黑体" w:eastAsia="仿宋_GB2312" w:cs="宋体"/>
          <w:b w:val="0"/>
          <w:bCs/>
          <w:color w:val="000000"/>
          <w:kern w:val="0"/>
          <w:sz w:val="30"/>
          <w:szCs w:val="30"/>
          <w:lang w:val="en-US" w:eastAsia="zh-CN"/>
        </w:rPr>
      </w:pPr>
      <w:r>
        <w:rPr>
          <w:rFonts w:hint="eastAsia" w:ascii="仿宋_GB2312" w:hAnsi="黑体" w:eastAsia="仿宋_GB2312" w:cs="宋体"/>
          <w:b w:val="0"/>
          <w:bCs/>
          <w:color w:val="000000"/>
          <w:kern w:val="0"/>
          <w:sz w:val="30"/>
          <w:szCs w:val="30"/>
          <w:lang w:val="en-US" w:eastAsia="zh-CN"/>
        </w:rPr>
        <w:t>目标4：扎实推进重大项目前期工作；</w:t>
      </w:r>
    </w:p>
    <w:p>
      <w:pPr>
        <w:widowControl/>
        <w:spacing w:line="480" w:lineRule="auto"/>
        <w:ind w:firstLine="600" w:firstLineChars="200"/>
        <w:jc w:val="left"/>
        <w:rPr>
          <w:rFonts w:hint="eastAsia" w:ascii="仿宋_GB2312" w:hAnsi="黑体" w:eastAsia="仿宋_GB2312" w:cs="宋体"/>
          <w:b w:val="0"/>
          <w:bCs/>
          <w:color w:val="000000"/>
          <w:kern w:val="0"/>
          <w:sz w:val="30"/>
          <w:szCs w:val="30"/>
          <w:lang w:val="en-US" w:eastAsia="zh-CN"/>
        </w:rPr>
      </w:pPr>
      <w:r>
        <w:rPr>
          <w:rFonts w:hint="eastAsia" w:ascii="仿宋_GB2312" w:hAnsi="黑体" w:eastAsia="仿宋_GB2312" w:cs="宋体"/>
          <w:b w:val="0"/>
          <w:bCs/>
          <w:color w:val="000000"/>
          <w:kern w:val="0"/>
          <w:sz w:val="30"/>
          <w:szCs w:val="30"/>
          <w:lang w:val="en-US" w:eastAsia="zh-CN"/>
        </w:rPr>
        <w:t>目标5：稳定好市场价格，抓好粮食与物资储备工作；</w:t>
      </w:r>
    </w:p>
    <w:p>
      <w:pPr>
        <w:widowControl/>
        <w:spacing w:line="480" w:lineRule="auto"/>
        <w:ind w:firstLine="600" w:firstLineChars="200"/>
        <w:jc w:val="left"/>
        <w:rPr>
          <w:rFonts w:hint="eastAsia" w:ascii="仿宋_GB2312" w:hAnsi="黑体" w:eastAsia="仿宋_GB2312" w:cs="宋体"/>
          <w:b w:val="0"/>
          <w:bCs/>
          <w:color w:val="000000"/>
          <w:kern w:val="0"/>
          <w:sz w:val="30"/>
          <w:szCs w:val="30"/>
          <w:lang w:val="en-US" w:eastAsia="zh-CN"/>
        </w:rPr>
      </w:pPr>
      <w:r>
        <w:rPr>
          <w:rFonts w:hint="eastAsia" w:ascii="仿宋_GB2312" w:hAnsi="黑体" w:eastAsia="仿宋_GB2312" w:cs="宋体"/>
          <w:b w:val="0"/>
          <w:bCs/>
          <w:color w:val="000000"/>
          <w:kern w:val="0"/>
          <w:sz w:val="30"/>
          <w:szCs w:val="30"/>
          <w:lang w:val="en-US" w:eastAsia="zh-CN"/>
        </w:rPr>
        <w:t>目标6：做好区易地扶贫搬迁工作；</w:t>
      </w:r>
    </w:p>
    <w:p>
      <w:pPr>
        <w:widowControl/>
        <w:spacing w:line="480" w:lineRule="auto"/>
        <w:ind w:firstLine="600" w:firstLineChars="200"/>
        <w:jc w:val="left"/>
        <w:rPr>
          <w:rFonts w:hint="eastAsia" w:ascii="仿宋_GB2312" w:hAnsi="黑体" w:eastAsia="仿宋_GB2312" w:cs="宋体"/>
          <w:b w:val="0"/>
          <w:bCs/>
          <w:color w:val="000000"/>
          <w:kern w:val="0"/>
          <w:sz w:val="30"/>
          <w:szCs w:val="30"/>
          <w:lang w:val="en-US" w:eastAsia="zh-CN"/>
        </w:rPr>
      </w:pPr>
      <w:r>
        <w:rPr>
          <w:rFonts w:hint="eastAsia" w:ascii="仿宋_GB2312" w:hAnsi="黑体" w:eastAsia="仿宋_GB2312" w:cs="宋体"/>
          <w:b w:val="0"/>
          <w:bCs/>
          <w:color w:val="000000"/>
          <w:kern w:val="0"/>
          <w:sz w:val="30"/>
          <w:szCs w:val="30"/>
          <w:lang w:val="en-US" w:eastAsia="zh-CN"/>
        </w:rPr>
        <w:t>目标7：做好招投标工作。</w:t>
      </w:r>
    </w:p>
    <w:p>
      <w:pPr>
        <w:widowControl/>
        <w:spacing w:line="480" w:lineRule="auto"/>
        <w:ind w:firstLine="600" w:firstLineChars="200"/>
        <w:jc w:val="left"/>
        <w:rPr>
          <w:rFonts w:hint="eastAsia" w:ascii="仿宋_GB2312" w:hAnsi="黑体" w:eastAsia="仿宋_GB2312" w:cs="宋体"/>
          <w:b w:val="0"/>
          <w:bCs/>
          <w:color w:val="000000"/>
          <w:kern w:val="0"/>
          <w:sz w:val="30"/>
          <w:szCs w:val="30"/>
          <w:lang w:val="en-US" w:eastAsia="zh-CN"/>
        </w:rPr>
      </w:pPr>
      <w:r>
        <w:rPr>
          <w:rFonts w:hint="eastAsia" w:ascii="仿宋_GB2312" w:hAnsi="黑体" w:eastAsia="仿宋_GB2312" w:cs="宋体"/>
          <w:b w:val="0"/>
          <w:bCs/>
          <w:color w:val="000000"/>
          <w:kern w:val="0"/>
          <w:sz w:val="30"/>
          <w:szCs w:val="30"/>
          <w:lang w:val="en-US" w:eastAsia="zh-CN"/>
        </w:rPr>
        <w:t>目标8：承办区人民政府交办的其他事项。</w:t>
      </w:r>
    </w:p>
    <w:p>
      <w:pPr>
        <w:widowControl/>
        <w:spacing w:line="480" w:lineRule="auto"/>
        <w:ind w:firstLine="600" w:firstLineChars="200"/>
        <w:jc w:val="left"/>
        <w:rPr>
          <w:rFonts w:hint="eastAsia" w:ascii="仿宋_GB2312" w:hAnsi="黑体" w:eastAsia="仿宋_GB2312" w:cs="宋体"/>
          <w:b w:val="0"/>
          <w:bCs/>
          <w:color w:val="000000"/>
          <w:kern w:val="0"/>
          <w:sz w:val="30"/>
          <w:szCs w:val="30"/>
          <w:lang w:val="en-US" w:eastAsia="zh-CN"/>
        </w:rPr>
      </w:pPr>
      <w:r>
        <w:rPr>
          <w:rFonts w:hint="eastAsia" w:ascii="仿宋_GB2312" w:hAnsi="黑体" w:eastAsia="仿宋_GB2312" w:cs="宋体"/>
          <w:b w:val="0"/>
          <w:bCs/>
          <w:color w:val="000000"/>
          <w:kern w:val="0"/>
          <w:sz w:val="30"/>
          <w:szCs w:val="30"/>
          <w:lang w:val="en-US" w:eastAsia="zh-CN"/>
        </w:rPr>
        <w:t>专项目标：完成区级储备粮的收储任务，协调处理好价格纠纷案件鉴定、足额发放企业负责人工资及退休人员山区补贴、做好粮食监测、储备等工作、完成重点项目管理工作、做好重大项目前期及向上争资工作。</w:t>
      </w:r>
    </w:p>
    <w:p>
      <w:pPr>
        <w:keepNext w:val="0"/>
        <w:keepLines w:val="0"/>
        <w:pageBreakBefore w:val="0"/>
        <w:widowControl w:val="0"/>
        <w:numPr>
          <w:ilvl w:val="0"/>
          <w:numId w:val="0"/>
        </w:numPr>
        <w:kinsoku/>
        <w:wordWrap/>
        <w:overflowPunct/>
        <w:topLinePunct w:val="0"/>
        <w:autoSpaceDE/>
        <w:autoSpaceDN/>
        <w:bidi w:val="0"/>
        <w:adjustRightInd w:val="0"/>
        <w:snapToGrid w:val="0"/>
        <w:spacing w:line="600" w:lineRule="exact"/>
        <w:ind w:firstLine="640" w:firstLineChars="200"/>
        <w:textAlignment w:val="auto"/>
        <w:rPr>
          <w:rFonts w:hint="eastAsia" w:eastAsia="黑体"/>
          <w:sz w:val="32"/>
          <w:szCs w:val="32"/>
          <w:lang w:eastAsia="zh-CN"/>
        </w:rPr>
      </w:pPr>
      <w:r>
        <w:rPr>
          <w:rFonts w:hint="default" w:eastAsia="黑体"/>
          <w:sz w:val="32"/>
          <w:szCs w:val="32"/>
        </w:rPr>
        <w:t>二、</w:t>
      </w:r>
      <w:r>
        <w:rPr>
          <w:rFonts w:hint="eastAsia" w:eastAsia="黑体"/>
          <w:sz w:val="32"/>
          <w:szCs w:val="32"/>
          <w:lang w:eastAsia="zh-CN"/>
        </w:rPr>
        <w:t>一般公共预算支出情况</w:t>
      </w:r>
    </w:p>
    <w:p>
      <w:pPr>
        <w:widowControl/>
        <w:spacing w:line="480" w:lineRule="auto"/>
        <w:ind w:firstLine="600" w:firstLineChars="200"/>
        <w:jc w:val="left"/>
        <w:rPr>
          <w:rFonts w:hint="default" w:ascii="仿宋_GB2312" w:hAnsi="黑体" w:eastAsia="仿宋_GB2312" w:cs="宋体"/>
          <w:b w:val="0"/>
          <w:bCs/>
          <w:color w:val="000000"/>
          <w:kern w:val="0"/>
          <w:sz w:val="30"/>
          <w:szCs w:val="30"/>
          <w:lang w:val="en-US" w:eastAsia="zh-CN"/>
        </w:rPr>
      </w:pPr>
      <w:r>
        <w:rPr>
          <w:rFonts w:hint="default" w:ascii="仿宋_GB2312" w:hAnsi="黑体" w:eastAsia="仿宋_GB2312" w:cs="宋体"/>
          <w:b w:val="0"/>
          <w:bCs/>
          <w:color w:val="000000"/>
          <w:kern w:val="0"/>
          <w:sz w:val="30"/>
          <w:szCs w:val="30"/>
          <w:lang w:val="en-US" w:eastAsia="zh-CN"/>
        </w:rPr>
        <w:t>（一）</w:t>
      </w:r>
      <w:r>
        <w:rPr>
          <w:rFonts w:hint="eastAsia" w:ascii="仿宋_GB2312" w:hAnsi="黑体" w:eastAsia="仿宋_GB2312" w:cs="宋体"/>
          <w:b w:val="0"/>
          <w:bCs/>
          <w:color w:val="000000"/>
          <w:kern w:val="0"/>
          <w:sz w:val="30"/>
          <w:szCs w:val="30"/>
          <w:lang w:val="en-US" w:eastAsia="zh-CN"/>
        </w:rPr>
        <w:t>基本支出情况</w:t>
      </w:r>
      <w:r>
        <w:rPr>
          <w:rFonts w:hint="default" w:ascii="仿宋_GB2312" w:hAnsi="黑体" w:eastAsia="仿宋_GB2312" w:cs="宋体"/>
          <w:b w:val="0"/>
          <w:bCs/>
          <w:color w:val="000000"/>
          <w:kern w:val="0"/>
          <w:sz w:val="30"/>
          <w:szCs w:val="30"/>
          <w:lang w:val="en-US" w:eastAsia="zh-CN"/>
        </w:rPr>
        <w:t> </w:t>
      </w:r>
    </w:p>
    <w:p>
      <w:pPr>
        <w:widowControl/>
        <w:spacing w:line="480" w:lineRule="auto"/>
        <w:ind w:firstLine="600" w:firstLineChars="200"/>
        <w:jc w:val="left"/>
        <w:rPr>
          <w:rFonts w:hint="eastAsia" w:ascii="仿宋_GB2312" w:hAnsi="黑体" w:eastAsia="仿宋_GB2312" w:cs="宋体"/>
          <w:b w:val="0"/>
          <w:bCs/>
          <w:color w:val="000000"/>
          <w:kern w:val="0"/>
          <w:sz w:val="30"/>
          <w:szCs w:val="30"/>
          <w:lang w:val="en-US" w:eastAsia="zh-CN" w:bidi="ar-SA"/>
        </w:rPr>
      </w:pPr>
      <w:r>
        <w:rPr>
          <w:rFonts w:hint="default" w:ascii="仿宋_GB2312" w:hAnsi="黑体" w:eastAsia="仿宋_GB2312" w:cs="宋体"/>
          <w:b w:val="0"/>
          <w:bCs/>
          <w:color w:val="000000"/>
          <w:kern w:val="0"/>
          <w:sz w:val="30"/>
          <w:szCs w:val="30"/>
          <w:lang w:val="en-US" w:eastAsia="zh-CN" w:bidi="ar-SA"/>
        </w:rPr>
        <w:t>基本支出系保障我</w:t>
      </w:r>
      <w:r>
        <w:rPr>
          <w:rFonts w:hint="eastAsia" w:ascii="仿宋_GB2312" w:hAnsi="黑体" w:eastAsia="仿宋_GB2312" w:cs="宋体"/>
          <w:b w:val="0"/>
          <w:bCs/>
          <w:color w:val="000000"/>
          <w:kern w:val="0"/>
          <w:sz w:val="30"/>
          <w:szCs w:val="30"/>
          <w:lang w:val="en-US" w:eastAsia="zh-CN" w:bidi="ar-SA"/>
        </w:rPr>
        <w:t>局日常工作</w:t>
      </w:r>
      <w:r>
        <w:rPr>
          <w:rFonts w:hint="default" w:ascii="仿宋_GB2312" w:hAnsi="黑体" w:eastAsia="仿宋_GB2312" w:cs="宋体"/>
          <w:b w:val="0"/>
          <w:bCs/>
          <w:color w:val="000000"/>
          <w:kern w:val="0"/>
          <w:sz w:val="30"/>
          <w:szCs w:val="30"/>
          <w:lang w:val="en-US" w:eastAsia="zh-CN" w:bidi="ar-SA"/>
        </w:rPr>
        <w:t>正常运转、完成日常工作任务而发生的各项支出，包括用于在职人员基本工资、津贴补贴</w:t>
      </w:r>
      <w:r>
        <w:rPr>
          <w:rFonts w:hint="eastAsia" w:ascii="仿宋_GB2312" w:hAnsi="黑体" w:eastAsia="仿宋_GB2312" w:cs="宋体"/>
          <w:b w:val="0"/>
          <w:bCs/>
          <w:color w:val="000000"/>
          <w:kern w:val="0"/>
          <w:sz w:val="30"/>
          <w:szCs w:val="30"/>
          <w:lang w:val="en-US" w:eastAsia="zh-CN" w:bidi="ar-SA"/>
        </w:rPr>
        <w:t>、奖金</w:t>
      </w:r>
      <w:r>
        <w:rPr>
          <w:rFonts w:hint="default" w:ascii="仿宋_GB2312" w:hAnsi="黑体" w:eastAsia="仿宋_GB2312" w:cs="宋体"/>
          <w:b w:val="0"/>
          <w:bCs/>
          <w:color w:val="000000"/>
          <w:kern w:val="0"/>
          <w:sz w:val="30"/>
          <w:szCs w:val="30"/>
          <w:lang w:val="en-US" w:eastAsia="zh-CN" w:bidi="ar-SA"/>
        </w:rPr>
        <w:t>等人员经费以及办公费、印刷费、</w:t>
      </w:r>
      <w:r>
        <w:rPr>
          <w:rFonts w:hint="eastAsia" w:ascii="仿宋_GB2312" w:hAnsi="黑体" w:eastAsia="仿宋_GB2312" w:cs="宋体"/>
          <w:b w:val="0"/>
          <w:bCs/>
          <w:color w:val="000000"/>
          <w:kern w:val="0"/>
          <w:sz w:val="30"/>
          <w:szCs w:val="30"/>
          <w:lang w:val="en-US" w:eastAsia="zh-CN" w:bidi="ar-SA"/>
        </w:rPr>
        <w:t>咨询费、</w:t>
      </w:r>
      <w:r>
        <w:rPr>
          <w:rFonts w:hint="default" w:ascii="仿宋_GB2312" w:hAnsi="黑体" w:eastAsia="仿宋_GB2312" w:cs="宋体"/>
          <w:b w:val="0"/>
          <w:bCs/>
          <w:color w:val="000000"/>
          <w:kern w:val="0"/>
          <w:sz w:val="30"/>
          <w:szCs w:val="30"/>
          <w:lang w:val="en-US" w:eastAsia="zh-CN" w:bidi="ar-SA"/>
        </w:rPr>
        <w:t>水电费、</w:t>
      </w:r>
      <w:r>
        <w:rPr>
          <w:rFonts w:hint="eastAsia" w:ascii="仿宋_GB2312" w:hAnsi="黑体" w:eastAsia="仿宋_GB2312" w:cs="宋体"/>
          <w:b w:val="0"/>
          <w:bCs/>
          <w:color w:val="000000"/>
          <w:kern w:val="0"/>
          <w:sz w:val="30"/>
          <w:szCs w:val="30"/>
          <w:lang w:val="en-US" w:eastAsia="zh-CN" w:bidi="ar-SA"/>
        </w:rPr>
        <w:t>维修（护）费、</w:t>
      </w:r>
      <w:r>
        <w:rPr>
          <w:rFonts w:hint="default" w:ascii="仿宋_GB2312" w:hAnsi="黑体" w:eastAsia="仿宋_GB2312" w:cs="宋体"/>
          <w:b w:val="0"/>
          <w:bCs/>
          <w:color w:val="000000"/>
          <w:kern w:val="0"/>
          <w:sz w:val="30"/>
          <w:szCs w:val="30"/>
          <w:lang w:val="en-US" w:eastAsia="zh-CN" w:bidi="ar-SA"/>
        </w:rPr>
        <w:t>办公设备购置等日常公用经费。20</w:t>
      </w:r>
      <w:r>
        <w:rPr>
          <w:rFonts w:hint="eastAsia" w:ascii="仿宋_GB2312" w:hAnsi="黑体" w:eastAsia="仿宋_GB2312" w:cs="宋体"/>
          <w:b w:val="0"/>
          <w:bCs/>
          <w:color w:val="000000"/>
          <w:kern w:val="0"/>
          <w:sz w:val="30"/>
          <w:szCs w:val="30"/>
          <w:lang w:val="en-US" w:eastAsia="zh-CN" w:bidi="ar-SA"/>
        </w:rPr>
        <w:t>22</w:t>
      </w:r>
      <w:r>
        <w:rPr>
          <w:rFonts w:hint="default" w:ascii="仿宋_GB2312" w:hAnsi="黑体" w:eastAsia="仿宋_GB2312" w:cs="宋体"/>
          <w:b w:val="0"/>
          <w:bCs/>
          <w:color w:val="000000"/>
          <w:kern w:val="0"/>
          <w:sz w:val="30"/>
          <w:szCs w:val="30"/>
          <w:lang w:val="en-US" w:eastAsia="zh-CN" w:bidi="ar-SA"/>
        </w:rPr>
        <w:t>年基本支出</w:t>
      </w:r>
      <w:r>
        <w:rPr>
          <w:rFonts w:hint="eastAsia" w:ascii="仿宋_GB2312" w:hAnsi="黑体" w:eastAsia="仿宋_GB2312" w:cs="宋体"/>
          <w:b w:val="0"/>
          <w:bCs/>
          <w:color w:val="000000"/>
          <w:kern w:val="0"/>
          <w:sz w:val="30"/>
          <w:szCs w:val="30"/>
          <w:lang w:val="en-US" w:eastAsia="zh-CN" w:bidi="ar-SA"/>
        </w:rPr>
        <w:t>778.13</w:t>
      </w:r>
      <w:r>
        <w:rPr>
          <w:rFonts w:hint="default" w:ascii="仿宋_GB2312" w:hAnsi="黑体" w:eastAsia="仿宋_GB2312" w:cs="宋体"/>
          <w:b w:val="0"/>
          <w:bCs/>
          <w:color w:val="000000"/>
          <w:kern w:val="0"/>
          <w:sz w:val="30"/>
          <w:szCs w:val="30"/>
          <w:lang w:val="en-US" w:eastAsia="zh-CN" w:bidi="ar-SA"/>
        </w:rPr>
        <w:t>万元。基本支出中人员经费</w:t>
      </w:r>
      <w:r>
        <w:rPr>
          <w:rFonts w:hint="eastAsia" w:ascii="仿宋_GB2312" w:hAnsi="黑体" w:eastAsia="仿宋_GB2312" w:cs="宋体"/>
          <w:b w:val="0"/>
          <w:bCs/>
          <w:color w:val="000000"/>
          <w:kern w:val="0"/>
          <w:sz w:val="30"/>
          <w:szCs w:val="30"/>
          <w:lang w:val="en-US" w:eastAsia="zh-CN" w:bidi="ar-SA"/>
        </w:rPr>
        <w:t>669.52</w:t>
      </w:r>
      <w:r>
        <w:rPr>
          <w:rFonts w:hint="default" w:ascii="仿宋_GB2312" w:hAnsi="黑体" w:eastAsia="仿宋_GB2312" w:cs="宋体"/>
          <w:b w:val="0"/>
          <w:bCs/>
          <w:color w:val="000000"/>
          <w:kern w:val="0"/>
          <w:sz w:val="30"/>
          <w:szCs w:val="30"/>
          <w:lang w:val="en-US" w:eastAsia="zh-CN" w:bidi="ar-SA"/>
        </w:rPr>
        <w:t>万元，占基本支出的</w:t>
      </w:r>
      <w:r>
        <w:rPr>
          <w:rFonts w:hint="eastAsia" w:ascii="仿宋_GB2312" w:hAnsi="黑体" w:eastAsia="仿宋_GB2312" w:cs="宋体"/>
          <w:b w:val="0"/>
          <w:bCs/>
          <w:color w:val="000000"/>
          <w:kern w:val="0"/>
          <w:sz w:val="30"/>
          <w:szCs w:val="30"/>
          <w:lang w:val="en-US" w:eastAsia="zh-CN" w:bidi="ar-SA"/>
        </w:rPr>
        <w:t>86.04</w:t>
      </w:r>
      <w:r>
        <w:rPr>
          <w:rFonts w:hint="default" w:ascii="仿宋_GB2312" w:hAnsi="黑体" w:eastAsia="仿宋_GB2312" w:cs="宋体"/>
          <w:b w:val="0"/>
          <w:bCs/>
          <w:color w:val="000000"/>
          <w:kern w:val="0"/>
          <w:sz w:val="30"/>
          <w:szCs w:val="30"/>
          <w:lang w:val="en-US" w:eastAsia="zh-CN" w:bidi="ar-SA"/>
        </w:rPr>
        <w:t>%，日常公用经费</w:t>
      </w:r>
      <w:r>
        <w:rPr>
          <w:rFonts w:hint="eastAsia" w:ascii="仿宋_GB2312" w:hAnsi="黑体" w:eastAsia="仿宋_GB2312" w:cs="宋体"/>
          <w:b w:val="0"/>
          <w:bCs/>
          <w:color w:val="000000"/>
          <w:kern w:val="0"/>
          <w:sz w:val="30"/>
          <w:szCs w:val="30"/>
          <w:lang w:val="en-US" w:eastAsia="zh-CN" w:bidi="ar-SA"/>
        </w:rPr>
        <w:t>108.61</w:t>
      </w:r>
      <w:r>
        <w:rPr>
          <w:rFonts w:hint="default" w:ascii="仿宋_GB2312" w:hAnsi="黑体" w:eastAsia="仿宋_GB2312" w:cs="宋体"/>
          <w:b w:val="0"/>
          <w:bCs/>
          <w:color w:val="000000"/>
          <w:kern w:val="0"/>
          <w:sz w:val="30"/>
          <w:szCs w:val="30"/>
          <w:lang w:val="en-US" w:eastAsia="zh-CN" w:bidi="ar-SA"/>
        </w:rPr>
        <w:t>万元，占基本支出的</w:t>
      </w:r>
      <w:r>
        <w:rPr>
          <w:rFonts w:hint="eastAsia" w:ascii="仿宋_GB2312" w:hAnsi="黑体" w:eastAsia="仿宋_GB2312" w:cs="宋体"/>
          <w:b w:val="0"/>
          <w:bCs/>
          <w:color w:val="000000"/>
          <w:kern w:val="0"/>
          <w:sz w:val="30"/>
          <w:szCs w:val="30"/>
          <w:lang w:val="en-US" w:eastAsia="zh-CN" w:bidi="ar-SA"/>
        </w:rPr>
        <w:t>13.96</w:t>
      </w:r>
      <w:r>
        <w:rPr>
          <w:rFonts w:hint="default" w:ascii="仿宋_GB2312" w:hAnsi="黑体" w:eastAsia="仿宋_GB2312" w:cs="宋体"/>
          <w:b w:val="0"/>
          <w:bCs/>
          <w:color w:val="000000"/>
          <w:kern w:val="0"/>
          <w:sz w:val="30"/>
          <w:szCs w:val="30"/>
          <w:lang w:val="en-US" w:eastAsia="zh-CN" w:bidi="ar-SA"/>
        </w:rPr>
        <w:t>%</w:t>
      </w:r>
      <w:r>
        <w:rPr>
          <w:rFonts w:hint="eastAsia" w:ascii="仿宋_GB2312" w:hAnsi="黑体" w:eastAsia="仿宋_GB2312" w:cs="宋体"/>
          <w:b w:val="0"/>
          <w:bCs/>
          <w:color w:val="000000"/>
          <w:kern w:val="0"/>
          <w:sz w:val="30"/>
          <w:szCs w:val="30"/>
          <w:lang w:val="en-US" w:eastAsia="zh-CN" w:bidi="ar-SA"/>
        </w:rPr>
        <w:t>。</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640"/>
        <w:jc w:val="both"/>
        <w:rPr>
          <w:rFonts w:hint="default" w:ascii="仿宋_GB2312" w:hAnsi="黑体" w:eastAsia="仿宋_GB2312" w:cs="宋体"/>
          <w:b w:val="0"/>
          <w:bCs/>
          <w:color w:val="000000"/>
          <w:kern w:val="0"/>
          <w:sz w:val="30"/>
          <w:szCs w:val="30"/>
          <w:lang w:val="en-US" w:eastAsia="zh-CN" w:bidi="ar-SA"/>
        </w:rPr>
      </w:pPr>
      <w:r>
        <w:rPr>
          <w:rFonts w:hint="default" w:ascii="仿宋_GB2312" w:hAnsi="黑体" w:eastAsia="仿宋_GB2312" w:cs="宋体"/>
          <w:b w:val="0"/>
          <w:bCs/>
          <w:color w:val="000000"/>
          <w:kern w:val="0"/>
          <w:sz w:val="30"/>
          <w:szCs w:val="30"/>
          <w:lang w:val="en-US" w:eastAsia="zh-CN"/>
        </w:rPr>
        <w:t>（</w:t>
      </w:r>
      <w:r>
        <w:rPr>
          <w:rFonts w:hint="eastAsia" w:ascii="仿宋_GB2312" w:hAnsi="黑体" w:eastAsia="仿宋_GB2312" w:cs="宋体"/>
          <w:b w:val="0"/>
          <w:bCs/>
          <w:color w:val="000000"/>
          <w:kern w:val="0"/>
          <w:sz w:val="30"/>
          <w:szCs w:val="30"/>
          <w:lang w:val="en-US" w:eastAsia="zh-CN"/>
        </w:rPr>
        <w:t>二</w:t>
      </w:r>
      <w:r>
        <w:rPr>
          <w:rFonts w:hint="default" w:ascii="仿宋_GB2312" w:hAnsi="黑体" w:eastAsia="仿宋_GB2312" w:cs="宋体"/>
          <w:b w:val="0"/>
          <w:bCs/>
          <w:color w:val="000000"/>
          <w:kern w:val="0"/>
          <w:sz w:val="30"/>
          <w:szCs w:val="30"/>
          <w:lang w:val="en-US" w:eastAsia="zh-CN"/>
        </w:rPr>
        <w:t>）</w:t>
      </w:r>
      <w:r>
        <w:rPr>
          <w:rFonts w:hint="default" w:ascii="仿宋_GB2312" w:hAnsi="黑体" w:eastAsia="仿宋_GB2312" w:cs="宋体"/>
          <w:b w:val="0"/>
          <w:bCs/>
          <w:color w:val="000000"/>
          <w:kern w:val="0"/>
          <w:sz w:val="30"/>
          <w:szCs w:val="30"/>
          <w:lang w:val="en-US" w:eastAsia="zh-CN" w:bidi="ar-SA"/>
        </w:rPr>
        <w:t>项目支出</w:t>
      </w:r>
      <w:r>
        <w:rPr>
          <w:rFonts w:hint="eastAsia" w:ascii="仿宋_GB2312" w:hAnsi="黑体" w:eastAsia="仿宋_GB2312" w:cs="宋体"/>
          <w:b w:val="0"/>
          <w:bCs/>
          <w:color w:val="000000"/>
          <w:kern w:val="0"/>
          <w:sz w:val="30"/>
          <w:szCs w:val="30"/>
          <w:lang w:val="en-US" w:eastAsia="zh-CN" w:bidi="ar-SA"/>
        </w:rPr>
        <w:t>情况</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665"/>
        <w:jc w:val="both"/>
        <w:rPr>
          <w:rFonts w:hint="eastAsia" w:ascii="仿宋_GB2312" w:hAnsi="黑体" w:eastAsia="仿宋_GB2312" w:cs="宋体"/>
          <w:b w:val="0"/>
          <w:bCs/>
          <w:color w:val="000000"/>
          <w:kern w:val="0"/>
          <w:sz w:val="30"/>
          <w:szCs w:val="30"/>
          <w:lang w:val="en-US" w:eastAsia="zh-CN" w:bidi="ar-SA"/>
        </w:rPr>
      </w:pPr>
      <w:r>
        <w:rPr>
          <w:rFonts w:hint="default" w:ascii="仿宋_GB2312" w:hAnsi="黑体" w:eastAsia="仿宋_GB2312" w:cs="宋体"/>
          <w:b w:val="0"/>
          <w:bCs/>
          <w:color w:val="000000"/>
          <w:kern w:val="0"/>
          <w:sz w:val="30"/>
          <w:szCs w:val="30"/>
          <w:lang w:val="en-US" w:eastAsia="zh-CN" w:bidi="ar-SA"/>
        </w:rPr>
        <w:t>项目支出系我</w:t>
      </w:r>
      <w:r>
        <w:rPr>
          <w:rFonts w:hint="eastAsia" w:ascii="仿宋_GB2312" w:hAnsi="黑体" w:eastAsia="仿宋_GB2312" w:cs="宋体"/>
          <w:b w:val="0"/>
          <w:bCs/>
          <w:color w:val="000000"/>
          <w:kern w:val="0"/>
          <w:sz w:val="30"/>
          <w:szCs w:val="30"/>
          <w:lang w:val="en-US" w:eastAsia="zh-CN" w:bidi="ar-SA"/>
        </w:rPr>
        <w:t>局</w:t>
      </w:r>
      <w:r>
        <w:rPr>
          <w:rFonts w:hint="default" w:ascii="仿宋_GB2312" w:hAnsi="黑体" w:eastAsia="仿宋_GB2312" w:cs="宋体"/>
          <w:b w:val="0"/>
          <w:bCs/>
          <w:color w:val="000000"/>
          <w:kern w:val="0"/>
          <w:sz w:val="30"/>
          <w:szCs w:val="30"/>
          <w:lang w:val="en-US" w:eastAsia="zh-CN" w:bidi="ar-SA"/>
        </w:rPr>
        <w:t>为完成</w:t>
      </w:r>
      <w:r>
        <w:rPr>
          <w:rFonts w:hint="eastAsia" w:ascii="仿宋_GB2312" w:hAnsi="黑体" w:eastAsia="仿宋_GB2312" w:cs="宋体"/>
          <w:b w:val="0"/>
          <w:bCs/>
          <w:color w:val="000000"/>
          <w:kern w:val="0"/>
          <w:sz w:val="30"/>
          <w:szCs w:val="30"/>
          <w:lang w:val="en-US" w:eastAsia="zh-CN" w:bidi="ar-SA"/>
        </w:rPr>
        <w:t>各项业务</w:t>
      </w:r>
      <w:r>
        <w:rPr>
          <w:rFonts w:hint="default" w:ascii="仿宋_GB2312" w:hAnsi="黑体" w:eastAsia="仿宋_GB2312" w:cs="宋体"/>
          <w:b w:val="0"/>
          <w:bCs/>
          <w:color w:val="000000"/>
          <w:kern w:val="0"/>
          <w:sz w:val="30"/>
          <w:szCs w:val="30"/>
          <w:lang w:val="en-US" w:eastAsia="zh-CN" w:bidi="ar-SA"/>
        </w:rPr>
        <w:t>管理工作而发生的支出，包括</w:t>
      </w:r>
      <w:r>
        <w:rPr>
          <w:rFonts w:hint="eastAsia" w:ascii="仿宋_GB2312" w:hAnsi="黑体" w:eastAsia="仿宋_GB2312" w:cs="宋体"/>
          <w:b w:val="0"/>
          <w:bCs/>
          <w:color w:val="000000"/>
          <w:kern w:val="0"/>
          <w:sz w:val="30"/>
          <w:szCs w:val="30"/>
          <w:lang w:val="en-US" w:eastAsia="zh-CN" w:bidi="ar-SA"/>
        </w:rPr>
        <w:t>各类业务工作经费</w:t>
      </w:r>
      <w:r>
        <w:rPr>
          <w:rFonts w:hint="default" w:ascii="仿宋_GB2312" w:hAnsi="黑体" w:eastAsia="仿宋_GB2312" w:cs="宋体"/>
          <w:b w:val="0"/>
          <w:bCs/>
          <w:color w:val="000000"/>
          <w:kern w:val="0"/>
          <w:sz w:val="30"/>
          <w:szCs w:val="30"/>
          <w:lang w:val="en-US" w:eastAsia="zh-CN" w:bidi="ar-SA"/>
        </w:rPr>
        <w:t>。</w:t>
      </w:r>
      <w:r>
        <w:rPr>
          <w:rFonts w:hint="eastAsia" w:ascii="仿宋_GB2312" w:hAnsi="黑体" w:eastAsia="仿宋_GB2312" w:cs="宋体"/>
          <w:b w:val="0"/>
          <w:bCs/>
          <w:color w:val="000000"/>
          <w:kern w:val="0"/>
          <w:sz w:val="30"/>
          <w:szCs w:val="30"/>
          <w:lang w:val="en-US" w:eastAsia="zh-CN" w:bidi="ar-SA"/>
        </w:rPr>
        <w:t>项目</w:t>
      </w:r>
      <w:r>
        <w:rPr>
          <w:rFonts w:hint="default" w:ascii="仿宋_GB2312" w:hAnsi="黑体" w:eastAsia="仿宋_GB2312" w:cs="宋体"/>
          <w:b w:val="0"/>
          <w:bCs/>
          <w:color w:val="000000"/>
          <w:kern w:val="0"/>
          <w:sz w:val="30"/>
          <w:szCs w:val="30"/>
          <w:lang w:val="en-US" w:eastAsia="zh-CN" w:bidi="ar-SA"/>
        </w:rPr>
        <w:t>支出</w:t>
      </w:r>
      <w:r>
        <w:rPr>
          <w:rFonts w:hint="eastAsia" w:ascii="仿宋_GB2312" w:hAnsi="黑体" w:eastAsia="仿宋_GB2312" w:cs="宋体"/>
          <w:b w:val="0"/>
          <w:bCs/>
          <w:color w:val="000000"/>
          <w:kern w:val="0"/>
          <w:sz w:val="30"/>
          <w:szCs w:val="30"/>
          <w:lang w:val="en-US" w:eastAsia="zh-CN" w:bidi="ar-SA"/>
        </w:rPr>
        <w:t>主要包括易地扶贫搬迁经费、原粮食局老旧小区改造及配套基础设施建设资金、粮油事务支出等。</w:t>
      </w:r>
      <w:r>
        <w:rPr>
          <w:rFonts w:hint="default" w:ascii="仿宋_GB2312" w:hAnsi="黑体" w:eastAsia="仿宋_GB2312" w:cs="宋体"/>
          <w:b w:val="0"/>
          <w:bCs/>
          <w:color w:val="000000"/>
          <w:kern w:val="0"/>
          <w:sz w:val="30"/>
          <w:szCs w:val="30"/>
          <w:lang w:val="en-US" w:eastAsia="zh-CN" w:bidi="ar-SA"/>
        </w:rPr>
        <w:t>20</w:t>
      </w:r>
      <w:r>
        <w:rPr>
          <w:rFonts w:hint="eastAsia" w:ascii="仿宋_GB2312" w:hAnsi="黑体" w:eastAsia="仿宋_GB2312" w:cs="宋体"/>
          <w:b w:val="0"/>
          <w:bCs/>
          <w:color w:val="000000"/>
          <w:kern w:val="0"/>
          <w:sz w:val="30"/>
          <w:szCs w:val="30"/>
          <w:lang w:val="en-US" w:eastAsia="zh-CN" w:bidi="ar-SA"/>
        </w:rPr>
        <w:t>22</w:t>
      </w:r>
      <w:r>
        <w:rPr>
          <w:rFonts w:hint="default" w:ascii="仿宋_GB2312" w:hAnsi="黑体" w:eastAsia="仿宋_GB2312" w:cs="宋体"/>
          <w:b w:val="0"/>
          <w:bCs/>
          <w:color w:val="000000"/>
          <w:kern w:val="0"/>
          <w:sz w:val="30"/>
          <w:szCs w:val="30"/>
          <w:lang w:val="en-US" w:eastAsia="zh-CN" w:bidi="ar-SA"/>
        </w:rPr>
        <w:t>年项目支出</w:t>
      </w:r>
      <w:r>
        <w:rPr>
          <w:rFonts w:hint="eastAsia" w:ascii="仿宋_GB2312" w:hAnsi="黑体" w:eastAsia="仿宋_GB2312" w:cs="宋体"/>
          <w:b w:val="0"/>
          <w:bCs/>
          <w:color w:val="000000"/>
          <w:kern w:val="0"/>
          <w:sz w:val="30"/>
          <w:szCs w:val="30"/>
          <w:lang w:val="en-US" w:eastAsia="zh-CN" w:bidi="ar-SA"/>
        </w:rPr>
        <w:t>551.74</w:t>
      </w:r>
      <w:r>
        <w:rPr>
          <w:rFonts w:hint="default" w:ascii="仿宋_GB2312" w:hAnsi="黑体" w:eastAsia="仿宋_GB2312" w:cs="宋体"/>
          <w:b w:val="0"/>
          <w:bCs/>
          <w:color w:val="000000"/>
          <w:kern w:val="0"/>
          <w:sz w:val="30"/>
          <w:szCs w:val="30"/>
          <w:lang w:val="en-US" w:eastAsia="zh-CN" w:bidi="ar-SA"/>
        </w:rPr>
        <w:t>万元</w:t>
      </w:r>
      <w:r>
        <w:rPr>
          <w:rFonts w:hint="eastAsia" w:ascii="仿宋_GB2312" w:hAnsi="黑体" w:eastAsia="仿宋_GB2312" w:cs="宋体"/>
          <w:b w:val="0"/>
          <w:bCs/>
          <w:color w:val="000000"/>
          <w:kern w:val="0"/>
          <w:sz w:val="30"/>
          <w:szCs w:val="30"/>
          <w:lang w:val="en-US" w:eastAsia="zh-CN" w:bidi="ar-SA"/>
        </w:rPr>
        <w:t>。</w:t>
      </w:r>
    </w:p>
    <w:p>
      <w:pPr>
        <w:pStyle w:val="6"/>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Chars="200" w:right="0" w:rightChars="0"/>
        <w:jc w:val="both"/>
        <w:rPr>
          <w:rFonts w:hint="eastAsia" w:ascii="Times New Roman" w:hAnsi="Times New Roman" w:eastAsia="黑体" w:cs="Times New Roman"/>
          <w:kern w:val="2"/>
          <w:sz w:val="32"/>
          <w:szCs w:val="32"/>
          <w:lang w:val="en-US" w:eastAsia="zh-CN" w:bidi="ar-SA"/>
        </w:rPr>
      </w:pPr>
      <w:r>
        <w:rPr>
          <w:rFonts w:hint="eastAsia" w:eastAsia="黑体" w:cs="Times New Roman"/>
          <w:kern w:val="2"/>
          <w:sz w:val="32"/>
          <w:szCs w:val="32"/>
          <w:lang w:val="en-US" w:eastAsia="zh-CN" w:bidi="ar-SA"/>
        </w:rPr>
        <w:t>三、</w:t>
      </w:r>
      <w:r>
        <w:rPr>
          <w:rFonts w:hint="eastAsia" w:ascii="Times New Roman" w:hAnsi="Times New Roman" w:eastAsia="黑体" w:cs="Times New Roman"/>
          <w:kern w:val="2"/>
          <w:sz w:val="32"/>
          <w:szCs w:val="32"/>
          <w:lang w:val="en-US" w:eastAsia="zh-CN" w:bidi="ar-SA"/>
        </w:rPr>
        <w:t>社会保险基金预算支出情况</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665"/>
        <w:jc w:val="both"/>
        <w:rPr>
          <w:rFonts w:hint="default" w:ascii="仿宋_GB2312" w:hAnsi="黑体" w:eastAsia="仿宋_GB2312" w:cs="宋体"/>
          <w:b w:val="0"/>
          <w:bCs/>
          <w:color w:val="000000"/>
          <w:kern w:val="0"/>
          <w:sz w:val="30"/>
          <w:szCs w:val="30"/>
          <w:lang w:val="en-US" w:eastAsia="zh-CN" w:bidi="ar-SA"/>
        </w:rPr>
      </w:pPr>
      <w:r>
        <w:rPr>
          <w:rFonts w:hint="eastAsia" w:ascii="仿宋_GB2312" w:hAnsi="黑体" w:eastAsia="仿宋_GB2312" w:cs="宋体"/>
          <w:b w:val="0"/>
          <w:bCs/>
          <w:color w:val="000000"/>
          <w:kern w:val="0"/>
          <w:sz w:val="30"/>
          <w:szCs w:val="30"/>
          <w:lang w:val="en-US" w:eastAsia="zh-CN" w:bidi="ar-SA"/>
        </w:rPr>
        <w:t>2022年社会保障和就业支出169.33万元，主要用于单位基本养老保险缴费及职工基本医疗保险缴费及其他社会保障缴费和退休人员一次性生活补贴及抚恤金。</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both"/>
        <w:rPr>
          <w:rFonts w:hint="default" w:ascii="Times New Roman" w:hAnsi="Times New Roman" w:eastAsia="黑体" w:cs="Times New Roman"/>
          <w:kern w:val="2"/>
          <w:sz w:val="32"/>
          <w:szCs w:val="32"/>
          <w:lang w:val="en-US" w:eastAsia="zh-CN" w:bidi="ar-SA"/>
        </w:rPr>
      </w:pPr>
      <w:r>
        <w:rPr>
          <w:rFonts w:hint="default" w:ascii="Times New Roman" w:hAnsi="Times New Roman" w:eastAsia="黑体" w:cs="Times New Roman"/>
          <w:kern w:val="2"/>
          <w:sz w:val="32"/>
          <w:szCs w:val="32"/>
          <w:lang w:val="en-US" w:eastAsia="zh-CN" w:bidi="ar-SA"/>
        </w:rPr>
        <w:t>　　</w:t>
      </w:r>
      <w:r>
        <w:rPr>
          <w:rFonts w:hint="eastAsia" w:eastAsia="黑体" w:cs="Times New Roman"/>
          <w:kern w:val="2"/>
          <w:sz w:val="32"/>
          <w:szCs w:val="32"/>
          <w:lang w:val="en-US" w:eastAsia="zh-CN" w:bidi="ar-SA"/>
        </w:rPr>
        <w:t>四</w:t>
      </w:r>
      <w:r>
        <w:rPr>
          <w:rFonts w:hint="default" w:ascii="Times New Roman" w:hAnsi="Times New Roman" w:eastAsia="黑体" w:cs="Times New Roman"/>
          <w:kern w:val="2"/>
          <w:sz w:val="32"/>
          <w:szCs w:val="32"/>
          <w:lang w:val="en-US" w:eastAsia="zh-CN" w:bidi="ar-SA"/>
        </w:rPr>
        <w:t>、部门整体支出绩效指标评价情况 </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both"/>
        <w:rPr>
          <w:rFonts w:hint="default" w:ascii="仿宋_GB2312" w:hAnsi="黑体" w:eastAsia="仿宋_GB2312" w:cs="宋体"/>
          <w:b w:val="0"/>
          <w:bCs/>
          <w:color w:val="000000"/>
          <w:kern w:val="0"/>
          <w:sz w:val="30"/>
          <w:szCs w:val="30"/>
          <w:lang w:val="en-US" w:eastAsia="zh-CN" w:bidi="ar-SA"/>
        </w:rPr>
      </w:pPr>
      <w:r>
        <w:rPr>
          <w:rFonts w:hint="default" w:ascii="Times New Roman" w:hAnsi="Times New Roman" w:eastAsia="黑体" w:cs="Times New Roman"/>
          <w:kern w:val="2"/>
          <w:sz w:val="32"/>
          <w:szCs w:val="32"/>
          <w:lang w:val="en-US" w:eastAsia="zh-CN" w:bidi="ar-SA"/>
        </w:rPr>
        <w:t>　　</w:t>
      </w:r>
      <w:r>
        <w:rPr>
          <w:rFonts w:hint="default" w:ascii="仿宋_GB2312" w:hAnsi="黑体" w:eastAsia="仿宋_GB2312" w:cs="宋体"/>
          <w:b w:val="0"/>
          <w:bCs/>
          <w:color w:val="000000"/>
          <w:kern w:val="0"/>
          <w:sz w:val="30"/>
          <w:szCs w:val="30"/>
          <w:lang w:val="en-US" w:eastAsia="zh-CN" w:bidi="ar-SA"/>
        </w:rPr>
        <w:t>对照</w:t>
      </w:r>
      <w:r>
        <w:rPr>
          <w:rFonts w:hint="eastAsia" w:ascii="仿宋_GB2312" w:hAnsi="黑体" w:eastAsia="仿宋_GB2312" w:cs="宋体"/>
          <w:b w:val="0"/>
          <w:bCs/>
          <w:color w:val="000000"/>
          <w:kern w:val="0"/>
          <w:sz w:val="30"/>
          <w:szCs w:val="30"/>
          <w:lang w:val="en-US" w:eastAsia="zh-CN" w:bidi="ar-SA"/>
        </w:rPr>
        <w:t>零财</w:t>
      </w:r>
      <w:r>
        <w:rPr>
          <w:rFonts w:hint="default" w:ascii="仿宋_GB2312" w:hAnsi="黑体" w:eastAsia="仿宋_GB2312" w:cs="宋体"/>
          <w:b w:val="0"/>
          <w:bCs/>
          <w:color w:val="000000"/>
          <w:kern w:val="0"/>
          <w:sz w:val="30"/>
          <w:szCs w:val="30"/>
          <w:lang w:val="en-US" w:eastAsia="zh-CN" w:bidi="ar-SA"/>
        </w:rPr>
        <w:t>绩〔20</w:t>
      </w:r>
      <w:r>
        <w:rPr>
          <w:rFonts w:hint="eastAsia" w:ascii="仿宋_GB2312" w:hAnsi="黑体" w:eastAsia="仿宋_GB2312" w:cs="宋体"/>
          <w:b w:val="0"/>
          <w:bCs/>
          <w:color w:val="000000"/>
          <w:kern w:val="0"/>
          <w:sz w:val="30"/>
          <w:szCs w:val="30"/>
          <w:lang w:val="en-US" w:eastAsia="zh-CN" w:bidi="ar-SA"/>
        </w:rPr>
        <w:t>23</w:t>
      </w:r>
      <w:r>
        <w:rPr>
          <w:rFonts w:hint="default" w:ascii="仿宋_GB2312" w:hAnsi="黑体" w:eastAsia="仿宋_GB2312" w:cs="宋体"/>
          <w:b w:val="0"/>
          <w:bCs/>
          <w:color w:val="000000"/>
          <w:kern w:val="0"/>
          <w:sz w:val="30"/>
          <w:szCs w:val="30"/>
          <w:lang w:val="en-US" w:eastAsia="zh-CN" w:bidi="ar-SA"/>
        </w:rPr>
        <w:t>〕</w:t>
      </w:r>
      <w:r>
        <w:rPr>
          <w:rFonts w:hint="eastAsia" w:ascii="仿宋_GB2312" w:hAnsi="黑体" w:eastAsia="仿宋_GB2312" w:cs="宋体"/>
          <w:b w:val="0"/>
          <w:bCs/>
          <w:color w:val="000000"/>
          <w:kern w:val="0"/>
          <w:sz w:val="30"/>
          <w:szCs w:val="30"/>
          <w:lang w:val="en-US" w:eastAsia="zh-CN" w:bidi="ar-SA"/>
        </w:rPr>
        <w:t>1</w:t>
      </w:r>
      <w:r>
        <w:rPr>
          <w:rFonts w:hint="default" w:ascii="仿宋_GB2312" w:hAnsi="黑体" w:eastAsia="仿宋_GB2312" w:cs="宋体"/>
          <w:b w:val="0"/>
          <w:bCs/>
          <w:color w:val="000000"/>
          <w:kern w:val="0"/>
          <w:sz w:val="30"/>
          <w:szCs w:val="30"/>
          <w:lang w:val="en-US" w:eastAsia="zh-CN" w:bidi="ar-SA"/>
        </w:rPr>
        <w:t>号文件规定的考核指标，我</w:t>
      </w:r>
      <w:r>
        <w:rPr>
          <w:rFonts w:hint="eastAsia" w:ascii="仿宋_GB2312" w:hAnsi="黑体" w:eastAsia="仿宋_GB2312" w:cs="宋体"/>
          <w:b w:val="0"/>
          <w:bCs/>
          <w:color w:val="000000"/>
          <w:kern w:val="0"/>
          <w:sz w:val="30"/>
          <w:szCs w:val="30"/>
          <w:lang w:val="en-US" w:eastAsia="zh-CN" w:bidi="ar-SA"/>
        </w:rPr>
        <w:t>局</w:t>
      </w:r>
      <w:r>
        <w:rPr>
          <w:rFonts w:hint="default" w:ascii="仿宋_GB2312" w:hAnsi="黑体" w:eastAsia="仿宋_GB2312" w:cs="宋体"/>
          <w:b w:val="0"/>
          <w:bCs/>
          <w:color w:val="000000"/>
          <w:kern w:val="0"/>
          <w:sz w:val="30"/>
          <w:szCs w:val="30"/>
          <w:lang w:val="en-US" w:eastAsia="zh-CN" w:bidi="ar-SA"/>
        </w:rPr>
        <w:t>从预算配置、预算执行、预算管理、履职效益等方面对20</w:t>
      </w:r>
      <w:r>
        <w:rPr>
          <w:rFonts w:hint="eastAsia" w:ascii="仿宋_GB2312" w:hAnsi="黑体" w:eastAsia="仿宋_GB2312" w:cs="宋体"/>
          <w:b w:val="0"/>
          <w:bCs/>
          <w:color w:val="000000"/>
          <w:kern w:val="0"/>
          <w:sz w:val="30"/>
          <w:szCs w:val="30"/>
          <w:lang w:val="en-US" w:eastAsia="zh-CN" w:bidi="ar-SA"/>
        </w:rPr>
        <w:t>22</w:t>
      </w:r>
      <w:r>
        <w:rPr>
          <w:rFonts w:hint="default" w:ascii="仿宋_GB2312" w:hAnsi="黑体" w:eastAsia="仿宋_GB2312" w:cs="宋体"/>
          <w:b w:val="0"/>
          <w:bCs/>
          <w:color w:val="000000"/>
          <w:kern w:val="0"/>
          <w:sz w:val="30"/>
          <w:szCs w:val="30"/>
          <w:lang w:val="en-US" w:eastAsia="zh-CN" w:bidi="ar-SA"/>
        </w:rPr>
        <w:t>年部门整体支出绩效开展了评价，自评得分9</w:t>
      </w:r>
      <w:r>
        <w:rPr>
          <w:rFonts w:hint="eastAsia" w:ascii="仿宋_GB2312" w:hAnsi="黑体" w:eastAsia="仿宋_GB2312" w:cs="宋体"/>
          <w:b w:val="0"/>
          <w:bCs/>
          <w:color w:val="000000"/>
          <w:kern w:val="0"/>
          <w:sz w:val="30"/>
          <w:szCs w:val="30"/>
          <w:lang w:val="en-US" w:eastAsia="zh-CN" w:bidi="ar-SA"/>
        </w:rPr>
        <w:t>8</w:t>
      </w:r>
      <w:r>
        <w:rPr>
          <w:rFonts w:hint="default" w:ascii="仿宋_GB2312" w:hAnsi="黑体" w:eastAsia="仿宋_GB2312" w:cs="宋体"/>
          <w:b w:val="0"/>
          <w:bCs/>
          <w:color w:val="000000"/>
          <w:kern w:val="0"/>
          <w:sz w:val="30"/>
          <w:szCs w:val="30"/>
          <w:lang w:val="en-US" w:eastAsia="zh-CN" w:bidi="ar-SA"/>
        </w:rPr>
        <w:t>分，具体情况如下： </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both"/>
        <w:rPr>
          <w:rFonts w:hint="default" w:ascii="仿宋_GB2312" w:hAnsi="黑体" w:eastAsia="仿宋_GB2312" w:cs="宋体"/>
          <w:b w:val="0"/>
          <w:bCs/>
          <w:color w:val="000000"/>
          <w:kern w:val="0"/>
          <w:sz w:val="30"/>
          <w:szCs w:val="30"/>
          <w:lang w:val="en-US" w:eastAsia="zh-CN" w:bidi="ar-SA"/>
        </w:rPr>
      </w:pPr>
      <w:r>
        <w:rPr>
          <w:rFonts w:hint="default" w:ascii="仿宋_GB2312" w:hAnsi="黑体" w:eastAsia="仿宋_GB2312" w:cs="宋体"/>
          <w:b w:val="0"/>
          <w:bCs/>
          <w:color w:val="000000"/>
          <w:kern w:val="0"/>
          <w:sz w:val="30"/>
          <w:szCs w:val="30"/>
          <w:lang w:val="en-US" w:eastAsia="zh-CN" w:bidi="ar-SA"/>
        </w:rPr>
        <w:t>　　（一）预算配置方面 </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both"/>
        <w:rPr>
          <w:rFonts w:hint="default" w:ascii="仿宋_GB2312" w:hAnsi="黑体" w:eastAsia="仿宋_GB2312" w:cs="宋体"/>
          <w:b w:val="0"/>
          <w:bCs/>
          <w:color w:val="000000"/>
          <w:kern w:val="0"/>
          <w:sz w:val="30"/>
          <w:szCs w:val="30"/>
          <w:lang w:val="en-US" w:eastAsia="zh-CN" w:bidi="ar-SA"/>
        </w:rPr>
      </w:pPr>
      <w:r>
        <w:rPr>
          <w:rFonts w:hint="default" w:ascii="仿宋_GB2312" w:hAnsi="黑体" w:eastAsia="仿宋_GB2312" w:cs="宋体"/>
          <w:b w:val="0"/>
          <w:bCs/>
          <w:color w:val="000000"/>
          <w:kern w:val="0"/>
          <w:sz w:val="30"/>
          <w:szCs w:val="30"/>
          <w:lang w:val="en-US" w:eastAsia="zh-CN" w:bidi="ar-SA"/>
        </w:rPr>
        <w:t>　　在职人员控制率：</w:t>
      </w:r>
      <w:r>
        <w:rPr>
          <w:rFonts w:hint="eastAsia" w:ascii="仿宋_GB2312" w:hAnsi="黑体" w:eastAsia="仿宋_GB2312" w:cs="宋体"/>
          <w:b w:val="0"/>
          <w:bCs/>
          <w:color w:val="000000"/>
          <w:kern w:val="0"/>
          <w:sz w:val="30"/>
          <w:szCs w:val="30"/>
          <w:lang w:val="en-US" w:eastAsia="zh-CN" w:bidi="ar-SA"/>
        </w:rPr>
        <w:t>财政预算51</w:t>
      </w:r>
      <w:r>
        <w:rPr>
          <w:rFonts w:hint="default" w:ascii="仿宋_GB2312" w:hAnsi="黑体" w:eastAsia="仿宋_GB2312" w:cs="宋体"/>
          <w:b w:val="0"/>
          <w:bCs/>
          <w:color w:val="000000"/>
          <w:kern w:val="0"/>
          <w:sz w:val="30"/>
          <w:szCs w:val="30"/>
          <w:lang w:val="en-US" w:eastAsia="zh-CN" w:bidi="ar-SA"/>
        </w:rPr>
        <w:t>人，在职人员</w:t>
      </w:r>
      <w:r>
        <w:rPr>
          <w:rFonts w:hint="eastAsia" w:ascii="仿宋_GB2312" w:hAnsi="黑体" w:eastAsia="仿宋_GB2312" w:cs="宋体"/>
          <w:b w:val="0"/>
          <w:bCs/>
          <w:color w:val="000000"/>
          <w:kern w:val="0"/>
          <w:sz w:val="30"/>
          <w:szCs w:val="30"/>
          <w:lang w:val="en-US" w:eastAsia="zh-CN" w:bidi="ar-SA"/>
        </w:rPr>
        <w:t>55</w:t>
      </w:r>
      <w:r>
        <w:rPr>
          <w:rFonts w:hint="default" w:ascii="仿宋_GB2312" w:hAnsi="黑体" w:eastAsia="仿宋_GB2312" w:cs="宋体"/>
          <w:b w:val="0"/>
          <w:bCs/>
          <w:color w:val="000000"/>
          <w:kern w:val="0"/>
          <w:sz w:val="30"/>
          <w:szCs w:val="30"/>
          <w:lang w:val="en-US" w:eastAsia="zh-CN" w:bidi="ar-SA"/>
        </w:rPr>
        <w:t>人，</w:t>
      </w:r>
      <w:r>
        <w:rPr>
          <w:rFonts w:hint="eastAsia" w:ascii="仿宋_GB2312" w:hAnsi="黑体" w:eastAsia="仿宋_GB2312" w:cs="宋体"/>
          <w:b w:val="0"/>
          <w:bCs/>
          <w:color w:val="000000"/>
          <w:kern w:val="0"/>
          <w:sz w:val="30"/>
          <w:szCs w:val="30"/>
          <w:lang w:val="en-US" w:eastAsia="zh-CN" w:bidi="ar-SA"/>
        </w:rPr>
        <w:t>变动原因为机构改革人员调入。人员数量</w:t>
      </w:r>
      <w:r>
        <w:rPr>
          <w:rFonts w:hint="default" w:ascii="仿宋_GB2312" w:hAnsi="黑体" w:eastAsia="仿宋_GB2312" w:cs="宋体"/>
          <w:b w:val="0"/>
          <w:bCs/>
          <w:color w:val="000000"/>
          <w:kern w:val="0"/>
          <w:sz w:val="30"/>
          <w:szCs w:val="30"/>
          <w:lang w:val="en-US" w:eastAsia="zh-CN" w:bidi="ar-SA"/>
        </w:rPr>
        <w:t>在</w:t>
      </w:r>
      <w:r>
        <w:rPr>
          <w:rFonts w:hint="eastAsia" w:ascii="仿宋_GB2312" w:hAnsi="黑体" w:eastAsia="仿宋_GB2312" w:cs="宋体"/>
          <w:b w:val="0"/>
          <w:bCs/>
          <w:color w:val="000000"/>
          <w:kern w:val="0"/>
          <w:sz w:val="30"/>
          <w:szCs w:val="30"/>
          <w:lang w:val="en-US" w:eastAsia="zh-CN" w:bidi="ar-SA"/>
        </w:rPr>
        <w:t>财政供养</w:t>
      </w:r>
      <w:r>
        <w:rPr>
          <w:rFonts w:hint="default" w:ascii="仿宋_GB2312" w:hAnsi="黑体" w:eastAsia="仿宋_GB2312" w:cs="宋体"/>
          <w:b w:val="0"/>
          <w:bCs/>
          <w:color w:val="000000"/>
          <w:kern w:val="0"/>
          <w:sz w:val="30"/>
          <w:szCs w:val="30"/>
          <w:lang w:val="en-US" w:eastAsia="zh-CN" w:bidi="ar-SA"/>
        </w:rPr>
        <w:t>控制范围内，在职人员控制率</w:t>
      </w:r>
      <w:r>
        <w:rPr>
          <w:rFonts w:hint="eastAsia" w:ascii="仿宋_GB2312" w:hAnsi="黑体" w:eastAsia="仿宋_GB2312" w:cs="宋体"/>
          <w:b w:val="0"/>
          <w:bCs/>
          <w:color w:val="000000"/>
          <w:kern w:val="0"/>
          <w:sz w:val="30"/>
          <w:szCs w:val="30"/>
          <w:lang w:val="en-US" w:eastAsia="zh-CN" w:bidi="ar-SA"/>
        </w:rPr>
        <w:t>105.76%</w:t>
      </w:r>
      <w:r>
        <w:rPr>
          <w:rFonts w:hint="default" w:ascii="仿宋_GB2312" w:hAnsi="黑体" w:eastAsia="仿宋_GB2312" w:cs="宋体"/>
          <w:b w:val="0"/>
          <w:bCs/>
          <w:color w:val="000000"/>
          <w:kern w:val="0"/>
          <w:sz w:val="30"/>
          <w:szCs w:val="30"/>
          <w:lang w:val="en-US" w:eastAsia="zh-CN" w:bidi="ar-SA"/>
        </w:rPr>
        <w:t>。 </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both"/>
        <w:rPr>
          <w:rFonts w:hint="default" w:ascii="仿宋_GB2312" w:hAnsi="黑体" w:eastAsia="仿宋_GB2312" w:cs="宋体"/>
          <w:b w:val="0"/>
          <w:bCs/>
          <w:color w:val="000000"/>
          <w:kern w:val="0"/>
          <w:sz w:val="30"/>
          <w:szCs w:val="30"/>
          <w:lang w:val="en-US" w:eastAsia="zh-CN" w:bidi="ar-SA"/>
        </w:rPr>
      </w:pPr>
      <w:r>
        <w:rPr>
          <w:rFonts w:hint="default" w:ascii="仿宋_GB2312" w:hAnsi="黑体" w:eastAsia="仿宋_GB2312" w:cs="宋体"/>
          <w:b w:val="0"/>
          <w:bCs/>
          <w:color w:val="000000"/>
          <w:kern w:val="0"/>
          <w:sz w:val="30"/>
          <w:szCs w:val="30"/>
          <w:lang w:val="en-US" w:eastAsia="zh-CN" w:bidi="ar-SA"/>
        </w:rPr>
        <w:t>　　“三公经费”变动率：三公经费本年</w:t>
      </w:r>
      <w:r>
        <w:rPr>
          <w:rFonts w:hint="eastAsia" w:ascii="仿宋_GB2312" w:hAnsi="黑体" w:eastAsia="仿宋_GB2312" w:cs="宋体"/>
          <w:b w:val="0"/>
          <w:bCs/>
          <w:color w:val="000000"/>
          <w:kern w:val="0"/>
          <w:sz w:val="30"/>
          <w:szCs w:val="30"/>
          <w:lang w:val="en-US" w:eastAsia="zh-CN" w:bidi="ar-SA"/>
        </w:rPr>
        <w:t>发生</w:t>
      </w:r>
      <w:r>
        <w:rPr>
          <w:rFonts w:hint="default" w:ascii="仿宋_GB2312" w:hAnsi="黑体" w:eastAsia="仿宋_GB2312" w:cs="宋体"/>
          <w:b w:val="0"/>
          <w:bCs/>
          <w:color w:val="000000"/>
          <w:kern w:val="0"/>
          <w:sz w:val="30"/>
          <w:szCs w:val="30"/>
          <w:lang w:val="en-US" w:eastAsia="zh-CN" w:bidi="ar-SA"/>
        </w:rPr>
        <w:t>数</w:t>
      </w:r>
      <w:r>
        <w:rPr>
          <w:rFonts w:hint="eastAsia" w:ascii="仿宋_GB2312" w:hAnsi="黑体" w:eastAsia="仿宋_GB2312" w:cs="宋体"/>
          <w:b w:val="0"/>
          <w:bCs/>
          <w:color w:val="000000"/>
          <w:kern w:val="0"/>
          <w:sz w:val="30"/>
          <w:szCs w:val="30"/>
          <w:lang w:val="en-US" w:eastAsia="zh-CN" w:bidi="ar-SA"/>
        </w:rPr>
        <w:t>9.5</w:t>
      </w:r>
      <w:r>
        <w:rPr>
          <w:rFonts w:hint="default" w:ascii="仿宋_GB2312" w:hAnsi="黑体" w:eastAsia="仿宋_GB2312" w:cs="宋体"/>
          <w:b w:val="0"/>
          <w:bCs/>
          <w:color w:val="000000"/>
          <w:kern w:val="0"/>
          <w:sz w:val="30"/>
          <w:szCs w:val="30"/>
          <w:lang w:val="en-US" w:eastAsia="zh-CN" w:bidi="ar-SA"/>
        </w:rPr>
        <w:t>万元</w:t>
      </w:r>
      <w:r>
        <w:rPr>
          <w:rFonts w:hint="eastAsia" w:ascii="仿宋_GB2312" w:hAnsi="黑体" w:eastAsia="仿宋_GB2312" w:cs="宋体"/>
          <w:b w:val="0"/>
          <w:bCs/>
          <w:color w:val="000000"/>
          <w:kern w:val="0"/>
          <w:sz w:val="30"/>
          <w:szCs w:val="30"/>
          <w:lang w:val="en-US" w:eastAsia="zh-CN" w:bidi="ar-SA"/>
        </w:rPr>
        <w:t>，</w:t>
      </w:r>
      <w:r>
        <w:rPr>
          <w:rFonts w:hint="default" w:ascii="仿宋_GB2312" w:hAnsi="黑体" w:eastAsia="仿宋_GB2312" w:cs="宋体"/>
          <w:b w:val="0"/>
          <w:bCs/>
          <w:color w:val="000000"/>
          <w:kern w:val="0"/>
          <w:sz w:val="30"/>
          <w:szCs w:val="30"/>
          <w:lang w:val="en-US" w:eastAsia="zh-CN" w:bidi="ar-SA"/>
        </w:rPr>
        <w:t>上年</w:t>
      </w:r>
      <w:r>
        <w:rPr>
          <w:rFonts w:hint="eastAsia" w:ascii="仿宋_GB2312" w:hAnsi="黑体" w:eastAsia="仿宋_GB2312" w:cs="宋体"/>
          <w:b w:val="0"/>
          <w:bCs/>
          <w:color w:val="000000"/>
          <w:kern w:val="0"/>
          <w:sz w:val="30"/>
          <w:szCs w:val="30"/>
          <w:lang w:val="en-US" w:eastAsia="zh-CN" w:bidi="ar-SA"/>
        </w:rPr>
        <w:t>发生</w:t>
      </w:r>
      <w:r>
        <w:rPr>
          <w:rFonts w:hint="default" w:ascii="仿宋_GB2312" w:hAnsi="黑体" w:eastAsia="仿宋_GB2312" w:cs="宋体"/>
          <w:b w:val="0"/>
          <w:bCs/>
          <w:color w:val="000000"/>
          <w:kern w:val="0"/>
          <w:sz w:val="30"/>
          <w:szCs w:val="30"/>
          <w:lang w:val="en-US" w:eastAsia="zh-CN" w:bidi="ar-SA"/>
        </w:rPr>
        <w:t>数</w:t>
      </w:r>
      <w:r>
        <w:rPr>
          <w:rFonts w:hint="eastAsia" w:ascii="仿宋_GB2312" w:hAnsi="黑体" w:eastAsia="仿宋_GB2312" w:cs="宋体"/>
          <w:b w:val="0"/>
          <w:bCs/>
          <w:color w:val="000000"/>
          <w:kern w:val="0"/>
          <w:sz w:val="30"/>
          <w:szCs w:val="30"/>
          <w:lang w:val="en-US" w:eastAsia="zh-CN" w:bidi="ar-SA"/>
        </w:rPr>
        <w:t>9.51</w:t>
      </w:r>
      <w:r>
        <w:rPr>
          <w:rFonts w:hint="default" w:ascii="仿宋_GB2312" w:hAnsi="黑体" w:eastAsia="仿宋_GB2312" w:cs="宋体"/>
          <w:b w:val="0"/>
          <w:bCs/>
          <w:color w:val="000000"/>
          <w:kern w:val="0"/>
          <w:sz w:val="30"/>
          <w:szCs w:val="30"/>
          <w:lang w:val="en-US" w:eastAsia="zh-CN" w:bidi="ar-SA"/>
        </w:rPr>
        <w:t>万元， “三公经费”</w:t>
      </w:r>
      <w:r>
        <w:rPr>
          <w:rFonts w:hint="eastAsia" w:ascii="仿宋_GB2312" w:hAnsi="黑体" w:eastAsia="仿宋_GB2312" w:cs="宋体"/>
          <w:b w:val="0"/>
          <w:bCs/>
          <w:color w:val="000000"/>
          <w:kern w:val="0"/>
          <w:sz w:val="30"/>
          <w:szCs w:val="30"/>
          <w:lang w:val="en-US" w:eastAsia="zh-CN" w:bidi="ar-SA"/>
        </w:rPr>
        <w:t>费用跟上年比有所减少，</w:t>
      </w:r>
      <w:r>
        <w:rPr>
          <w:rFonts w:hint="default" w:ascii="仿宋_GB2312" w:hAnsi="黑体" w:eastAsia="仿宋_GB2312" w:cs="宋体"/>
          <w:b w:val="0"/>
          <w:bCs/>
          <w:color w:val="000000"/>
          <w:kern w:val="0"/>
          <w:sz w:val="30"/>
          <w:szCs w:val="30"/>
          <w:lang w:val="en-US" w:eastAsia="zh-CN" w:bidi="ar-SA"/>
        </w:rPr>
        <w:t>控制较好。 </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both"/>
        <w:rPr>
          <w:rFonts w:hint="default" w:ascii="仿宋_GB2312" w:hAnsi="黑体" w:eastAsia="仿宋_GB2312" w:cs="宋体"/>
          <w:b w:val="0"/>
          <w:bCs/>
          <w:color w:val="000000"/>
          <w:kern w:val="0"/>
          <w:sz w:val="30"/>
          <w:szCs w:val="30"/>
          <w:lang w:val="en-US" w:eastAsia="zh-CN" w:bidi="ar-SA"/>
        </w:rPr>
      </w:pPr>
      <w:r>
        <w:rPr>
          <w:rFonts w:hint="default" w:ascii="仿宋_GB2312" w:hAnsi="黑体" w:eastAsia="仿宋_GB2312" w:cs="宋体"/>
          <w:b w:val="0"/>
          <w:bCs/>
          <w:color w:val="000000"/>
          <w:kern w:val="0"/>
          <w:sz w:val="30"/>
          <w:szCs w:val="30"/>
          <w:lang w:val="en-US" w:eastAsia="zh-CN" w:bidi="ar-SA"/>
        </w:rPr>
        <w:t>　　</w:t>
      </w:r>
      <w:r>
        <w:rPr>
          <w:rFonts w:hint="eastAsia" w:ascii="仿宋_GB2312" w:hAnsi="黑体" w:eastAsia="仿宋_GB2312" w:cs="宋体"/>
          <w:b w:val="0"/>
          <w:bCs/>
          <w:color w:val="000000"/>
          <w:kern w:val="0"/>
          <w:sz w:val="30"/>
          <w:szCs w:val="30"/>
          <w:lang w:val="en-US" w:eastAsia="zh-CN" w:bidi="ar-SA"/>
        </w:rPr>
        <w:t>（</w:t>
      </w:r>
      <w:r>
        <w:rPr>
          <w:rFonts w:hint="default" w:ascii="仿宋_GB2312" w:hAnsi="黑体" w:eastAsia="仿宋_GB2312" w:cs="宋体"/>
          <w:b w:val="0"/>
          <w:bCs/>
          <w:color w:val="000000"/>
          <w:kern w:val="0"/>
          <w:sz w:val="30"/>
          <w:szCs w:val="30"/>
          <w:lang w:val="en-US" w:eastAsia="zh-CN" w:bidi="ar-SA"/>
        </w:rPr>
        <w:t>二</w:t>
      </w:r>
      <w:r>
        <w:rPr>
          <w:rFonts w:hint="eastAsia" w:ascii="仿宋_GB2312" w:hAnsi="黑体" w:eastAsia="仿宋_GB2312" w:cs="宋体"/>
          <w:b w:val="0"/>
          <w:bCs/>
          <w:color w:val="000000"/>
          <w:kern w:val="0"/>
          <w:sz w:val="30"/>
          <w:szCs w:val="30"/>
          <w:lang w:val="en-US" w:eastAsia="zh-CN" w:bidi="ar-SA"/>
        </w:rPr>
        <w:t>）</w:t>
      </w:r>
      <w:r>
        <w:rPr>
          <w:rFonts w:hint="default" w:ascii="仿宋_GB2312" w:hAnsi="黑体" w:eastAsia="仿宋_GB2312" w:cs="宋体"/>
          <w:b w:val="0"/>
          <w:bCs/>
          <w:color w:val="000000"/>
          <w:kern w:val="0"/>
          <w:sz w:val="30"/>
          <w:szCs w:val="30"/>
          <w:lang w:val="en-US" w:eastAsia="zh-CN" w:bidi="ar-SA"/>
        </w:rPr>
        <w:t>预算执行方面 </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640"/>
        <w:jc w:val="both"/>
        <w:rPr>
          <w:rFonts w:hint="default" w:ascii="仿宋_GB2312" w:hAnsi="黑体" w:eastAsia="仿宋_GB2312" w:cs="宋体"/>
          <w:b w:val="0"/>
          <w:bCs/>
          <w:color w:val="auto"/>
          <w:kern w:val="0"/>
          <w:sz w:val="30"/>
          <w:szCs w:val="30"/>
          <w:lang w:val="en-US" w:eastAsia="zh-CN" w:bidi="ar-SA"/>
        </w:rPr>
      </w:pPr>
      <w:r>
        <w:rPr>
          <w:rFonts w:hint="default" w:ascii="仿宋_GB2312" w:hAnsi="黑体" w:eastAsia="仿宋_GB2312" w:cs="宋体"/>
          <w:b w:val="0"/>
          <w:bCs/>
          <w:color w:val="auto"/>
          <w:kern w:val="0"/>
          <w:sz w:val="30"/>
          <w:szCs w:val="30"/>
          <w:lang w:val="en-US" w:eastAsia="zh-CN" w:bidi="ar-SA"/>
        </w:rPr>
        <w:t>预算完成率：</w:t>
      </w:r>
      <w:r>
        <w:rPr>
          <w:rFonts w:hint="eastAsia" w:ascii="仿宋_GB2312" w:hAnsi="黑体" w:eastAsia="仿宋_GB2312" w:cs="宋体"/>
          <w:b w:val="0"/>
          <w:bCs/>
          <w:color w:val="auto"/>
          <w:kern w:val="0"/>
          <w:sz w:val="30"/>
          <w:szCs w:val="30"/>
          <w:lang w:val="en-US" w:eastAsia="zh-CN" w:bidi="ar-SA"/>
        </w:rPr>
        <w:t>2022年，响应上级政府号召，紧缩开支，压缩预算，全年经费全部下达，下达率100%，当年无结余。</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640"/>
        <w:jc w:val="both"/>
        <w:rPr>
          <w:rFonts w:hint="eastAsia" w:ascii="仿宋_GB2312" w:hAnsi="黑体" w:eastAsia="仿宋_GB2312" w:cs="宋体"/>
          <w:b w:val="0"/>
          <w:bCs/>
          <w:color w:val="000000"/>
          <w:kern w:val="0"/>
          <w:sz w:val="30"/>
          <w:szCs w:val="30"/>
          <w:lang w:val="en-US" w:eastAsia="zh-CN" w:bidi="ar-SA"/>
        </w:rPr>
      </w:pPr>
      <w:r>
        <w:rPr>
          <w:rFonts w:hint="default" w:ascii="仿宋_GB2312" w:hAnsi="黑体" w:eastAsia="仿宋_GB2312" w:cs="宋体"/>
          <w:b w:val="0"/>
          <w:bCs/>
          <w:color w:val="000000"/>
          <w:kern w:val="0"/>
          <w:sz w:val="30"/>
          <w:szCs w:val="30"/>
          <w:lang w:val="en-US" w:eastAsia="zh-CN" w:bidi="ar-SA"/>
        </w:rPr>
        <w:t>预算</w:t>
      </w:r>
      <w:r>
        <w:rPr>
          <w:rFonts w:hint="eastAsia" w:ascii="仿宋_GB2312" w:hAnsi="黑体" w:eastAsia="仿宋_GB2312" w:cs="宋体"/>
          <w:b w:val="0"/>
          <w:bCs/>
          <w:color w:val="000000"/>
          <w:kern w:val="0"/>
          <w:sz w:val="30"/>
          <w:szCs w:val="30"/>
          <w:lang w:val="en-US" w:eastAsia="zh-CN" w:bidi="ar-SA"/>
        </w:rPr>
        <w:t>调整</w:t>
      </w:r>
      <w:r>
        <w:rPr>
          <w:rFonts w:hint="default" w:ascii="仿宋_GB2312" w:hAnsi="黑体" w:eastAsia="仿宋_GB2312" w:cs="宋体"/>
          <w:b w:val="0"/>
          <w:bCs/>
          <w:color w:val="000000"/>
          <w:kern w:val="0"/>
          <w:sz w:val="30"/>
          <w:szCs w:val="30"/>
          <w:lang w:val="en-US" w:eastAsia="zh-CN" w:bidi="ar-SA"/>
        </w:rPr>
        <w:t>率：20</w:t>
      </w:r>
      <w:r>
        <w:rPr>
          <w:rFonts w:hint="eastAsia" w:ascii="仿宋_GB2312" w:hAnsi="黑体" w:eastAsia="仿宋_GB2312" w:cs="宋体"/>
          <w:b w:val="0"/>
          <w:bCs/>
          <w:color w:val="000000"/>
          <w:kern w:val="0"/>
          <w:sz w:val="30"/>
          <w:szCs w:val="30"/>
          <w:lang w:val="en-US" w:eastAsia="zh-CN" w:bidi="ar-SA"/>
        </w:rPr>
        <w:t>22</w:t>
      </w:r>
      <w:r>
        <w:rPr>
          <w:rFonts w:hint="default" w:ascii="仿宋_GB2312" w:hAnsi="黑体" w:eastAsia="仿宋_GB2312" w:cs="宋体"/>
          <w:b w:val="0"/>
          <w:bCs/>
          <w:color w:val="000000"/>
          <w:kern w:val="0"/>
          <w:sz w:val="30"/>
          <w:szCs w:val="30"/>
          <w:lang w:val="en-US" w:eastAsia="zh-CN" w:bidi="ar-SA"/>
        </w:rPr>
        <w:t>年年初预算</w:t>
      </w:r>
      <w:r>
        <w:rPr>
          <w:rFonts w:hint="eastAsia" w:ascii="仿宋_GB2312" w:hAnsi="黑体" w:eastAsia="仿宋_GB2312" w:cs="宋体"/>
          <w:b w:val="0"/>
          <w:bCs/>
          <w:color w:val="000000"/>
          <w:kern w:val="0"/>
          <w:sz w:val="30"/>
          <w:szCs w:val="30"/>
          <w:lang w:val="en-US" w:eastAsia="zh-CN" w:bidi="ar-SA"/>
        </w:rPr>
        <w:t>996.11</w:t>
      </w:r>
      <w:r>
        <w:rPr>
          <w:rFonts w:hint="default" w:ascii="仿宋_GB2312" w:hAnsi="黑体" w:eastAsia="仿宋_GB2312" w:cs="宋体"/>
          <w:b w:val="0"/>
          <w:bCs/>
          <w:color w:val="000000"/>
          <w:kern w:val="0"/>
          <w:sz w:val="30"/>
          <w:szCs w:val="30"/>
          <w:lang w:val="en-US" w:eastAsia="zh-CN" w:bidi="ar-SA"/>
        </w:rPr>
        <w:t>万元，年中</w:t>
      </w:r>
      <w:r>
        <w:rPr>
          <w:rFonts w:hint="eastAsia" w:ascii="仿宋_GB2312" w:hAnsi="黑体" w:eastAsia="仿宋_GB2312" w:cs="宋体"/>
          <w:b w:val="0"/>
          <w:bCs/>
          <w:color w:val="000000"/>
          <w:kern w:val="0"/>
          <w:sz w:val="30"/>
          <w:szCs w:val="30"/>
          <w:lang w:val="en-US" w:eastAsia="zh-CN" w:bidi="ar-SA"/>
        </w:rPr>
        <w:t>调整</w:t>
      </w:r>
      <w:r>
        <w:rPr>
          <w:rFonts w:hint="default" w:ascii="仿宋_GB2312" w:hAnsi="黑体" w:eastAsia="仿宋_GB2312" w:cs="宋体"/>
          <w:b w:val="0"/>
          <w:bCs/>
          <w:color w:val="000000"/>
          <w:kern w:val="0"/>
          <w:sz w:val="30"/>
          <w:szCs w:val="30"/>
          <w:lang w:val="en-US" w:eastAsia="zh-CN" w:bidi="ar-SA"/>
        </w:rPr>
        <w:t>预算</w:t>
      </w:r>
      <w:r>
        <w:rPr>
          <w:rFonts w:hint="eastAsia" w:ascii="仿宋_GB2312" w:hAnsi="黑体" w:eastAsia="仿宋_GB2312" w:cs="宋体"/>
          <w:b w:val="0"/>
          <w:bCs/>
          <w:color w:val="000000"/>
          <w:kern w:val="0"/>
          <w:sz w:val="30"/>
          <w:szCs w:val="30"/>
          <w:lang w:val="en-US" w:eastAsia="zh-CN" w:bidi="ar-SA"/>
        </w:rPr>
        <w:t>1329.87</w:t>
      </w:r>
      <w:r>
        <w:rPr>
          <w:rFonts w:hint="default" w:ascii="仿宋_GB2312" w:hAnsi="黑体" w:eastAsia="仿宋_GB2312" w:cs="宋体"/>
          <w:b w:val="0"/>
          <w:bCs/>
          <w:color w:val="000000"/>
          <w:kern w:val="0"/>
          <w:sz w:val="30"/>
          <w:szCs w:val="30"/>
          <w:lang w:val="en-US" w:eastAsia="zh-CN" w:bidi="ar-SA"/>
        </w:rPr>
        <w:t>万元，</w:t>
      </w:r>
      <w:r>
        <w:rPr>
          <w:rFonts w:hint="eastAsia" w:ascii="仿宋_GB2312" w:hAnsi="黑体" w:eastAsia="仿宋_GB2312" w:cs="宋体"/>
          <w:b w:val="0"/>
          <w:bCs/>
          <w:color w:val="000000"/>
          <w:kern w:val="0"/>
          <w:sz w:val="30"/>
          <w:szCs w:val="30"/>
          <w:lang w:val="en-US" w:eastAsia="zh-CN" w:bidi="ar-SA"/>
        </w:rPr>
        <w:t>调整率为33.5%。主要是政策性粮食贷款挂账利息追加。</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640"/>
        <w:jc w:val="both"/>
        <w:rPr>
          <w:rFonts w:hint="default" w:ascii="仿宋_GB2312" w:hAnsi="黑体" w:eastAsia="仿宋_GB2312" w:cs="宋体"/>
          <w:b w:val="0"/>
          <w:bCs/>
          <w:color w:val="000000"/>
          <w:kern w:val="0"/>
          <w:sz w:val="30"/>
          <w:szCs w:val="30"/>
          <w:lang w:val="en-US" w:eastAsia="zh-CN" w:bidi="ar-SA"/>
        </w:rPr>
      </w:pPr>
      <w:r>
        <w:rPr>
          <w:rFonts w:hint="eastAsia" w:ascii="仿宋_GB2312" w:hAnsi="黑体" w:eastAsia="仿宋_GB2312" w:cs="宋体"/>
          <w:b w:val="0"/>
          <w:bCs/>
          <w:color w:val="000000"/>
          <w:kern w:val="0"/>
          <w:sz w:val="30"/>
          <w:szCs w:val="30"/>
          <w:lang w:val="en-US" w:eastAsia="zh-CN" w:bidi="ar-SA"/>
        </w:rPr>
        <w:t>（</w:t>
      </w:r>
      <w:r>
        <w:rPr>
          <w:rFonts w:hint="default" w:ascii="仿宋_GB2312" w:hAnsi="黑体" w:eastAsia="仿宋_GB2312" w:cs="宋体"/>
          <w:b w:val="0"/>
          <w:bCs/>
          <w:color w:val="000000"/>
          <w:kern w:val="0"/>
          <w:sz w:val="30"/>
          <w:szCs w:val="30"/>
          <w:lang w:val="en-US" w:eastAsia="zh-CN" w:bidi="ar-SA"/>
        </w:rPr>
        <w:t>三</w:t>
      </w:r>
      <w:r>
        <w:rPr>
          <w:rFonts w:hint="eastAsia" w:ascii="仿宋_GB2312" w:hAnsi="黑体" w:eastAsia="仿宋_GB2312" w:cs="宋体"/>
          <w:b w:val="0"/>
          <w:bCs/>
          <w:color w:val="000000"/>
          <w:kern w:val="0"/>
          <w:sz w:val="30"/>
          <w:szCs w:val="30"/>
          <w:lang w:val="en-US" w:eastAsia="zh-CN" w:bidi="ar-SA"/>
        </w:rPr>
        <w:t>）</w:t>
      </w:r>
      <w:r>
        <w:rPr>
          <w:rFonts w:hint="default" w:ascii="仿宋_GB2312" w:hAnsi="黑体" w:eastAsia="仿宋_GB2312" w:cs="宋体"/>
          <w:b w:val="0"/>
          <w:bCs/>
          <w:color w:val="000000"/>
          <w:kern w:val="0"/>
          <w:sz w:val="30"/>
          <w:szCs w:val="30"/>
          <w:lang w:val="en-US" w:eastAsia="zh-CN" w:bidi="ar-SA"/>
        </w:rPr>
        <w:t>预算管理方面 </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both"/>
        <w:rPr>
          <w:rFonts w:hint="default" w:ascii="仿宋_GB2312" w:hAnsi="黑体" w:eastAsia="仿宋_GB2312" w:cs="宋体"/>
          <w:b w:val="0"/>
          <w:bCs/>
          <w:color w:val="000000"/>
          <w:kern w:val="0"/>
          <w:sz w:val="30"/>
          <w:szCs w:val="30"/>
          <w:lang w:val="en-US" w:eastAsia="zh-CN" w:bidi="ar-SA"/>
        </w:rPr>
      </w:pPr>
      <w:r>
        <w:rPr>
          <w:rFonts w:hint="default" w:ascii="Arial" w:hAnsi="Arial" w:cs="Arial"/>
          <w:i w:val="0"/>
          <w:caps w:val="0"/>
          <w:color w:val="333333"/>
          <w:spacing w:val="0"/>
          <w:sz w:val="32"/>
          <w:szCs w:val="32"/>
          <w:shd w:val="clear" w:fill="FFFFFF"/>
        </w:rPr>
        <w:t>　　</w:t>
      </w:r>
      <w:r>
        <w:rPr>
          <w:rFonts w:hint="default" w:ascii="仿宋_GB2312" w:hAnsi="黑体" w:eastAsia="仿宋_GB2312" w:cs="宋体"/>
          <w:b w:val="0"/>
          <w:bCs/>
          <w:color w:val="000000"/>
          <w:kern w:val="0"/>
          <w:sz w:val="30"/>
          <w:szCs w:val="30"/>
          <w:lang w:val="en-US" w:eastAsia="zh-CN" w:bidi="ar-SA"/>
        </w:rPr>
        <w:t>公用经费控制率：20</w:t>
      </w:r>
      <w:r>
        <w:rPr>
          <w:rFonts w:hint="eastAsia" w:ascii="仿宋_GB2312" w:hAnsi="黑体" w:eastAsia="仿宋_GB2312" w:cs="宋体"/>
          <w:b w:val="0"/>
          <w:bCs/>
          <w:color w:val="000000"/>
          <w:kern w:val="0"/>
          <w:sz w:val="30"/>
          <w:szCs w:val="30"/>
          <w:lang w:val="en-US" w:eastAsia="zh-CN" w:bidi="ar-SA"/>
        </w:rPr>
        <w:t>22</w:t>
      </w:r>
      <w:r>
        <w:rPr>
          <w:rFonts w:hint="default" w:ascii="仿宋_GB2312" w:hAnsi="黑体" w:eastAsia="仿宋_GB2312" w:cs="宋体"/>
          <w:b w:val="0"/>
          <w:bCs/>
          <w:color w:val="000000"/>
          <w:kern w:val="0"/>
          <w:sz w:val="30"/>
          <w:szCs w:val="30"/>
          <w:lang w:val="en-US" w:eastAsia="zh-CN" w:bidi="ar-SA"/>
        </w:rPr>
        <w:t>年我</w:t>
      </w:r>
      <w:r>
        <w:rPr>
          <w:rFonts w:hint="eastAsia" w:ascii="仿宋_GB2312" w:hAnsi="黑体" w:eastAsia="仿宋_GB2312" w:cs="宋体"/>
          <w:b w:val="0"/>
          <w:bCs/>
          <w:color w:val="000000"/>
          <w:kern w:val="0"/>
          <w:sz w:val="30"/>
          <w:szCs w:val="30"/>
          <w:lang w:val="en-US" w:eastAsia="zh-CN" w:bidi="ar-SA"/>
        </w:rPr>
        <w:t>局</w:t>
      </w:r>
      <w:r>
        <w:rPr>
          <w:rFonts w:hint="default" w:ascii="仿宋_GB2312" w:hAnsi="黑体" w:eastAsia="仿宋_GB2312" w:cs="宋体"/>
          <w:b w:val="0"/>
          <w:bCs/>
          <w:color w:val="000000"/>
          <w:kern w:val="0"/>
          <w:sz w:val="30"/>
          <w:szCs w:val="30"/>
          <w:lang w:val="en-US" w:eastAsia="zh-CN" w:bidi="ar-SA"/>
        </w:rPr>
        <w:t>预算管理各项指标控制较好。实际支出公用经费总额</w:t>
      </w:r>
      <w:r>
        <w:rPr>
          <w:rFonts w:hint="eastAsia" w:ascii="仿宋_GB2312" w:hAnsi="黑体" w:eastAsia="仿宋_GB2312" w:cs="宋体"/>
          <w:b w:val="0"/>
          <w:bCs/>
          <w:color w:val="000000"/>
          <w:kern w:val="0"/>
          <w:sz w:val="30"/>
          <w:szCs w:val="30"/>
          <w:lang w:val="en-US" w:eastAsia="zh-CN" w:bidi="ar-SA"/>
        </w:rPr>
        <w:t>108.62</w:t>
      </w:r>
      <w:r>
        <w:rPr>
          <w:rFonts w:hint="default" w:ascii="仿宋_GB2312" w:hAnsi="黑体" w:eastAsia="仿宋_GB2312" w:cs="宋体"/>
          <w:b w:val="0"/>
          <w:bCs/>
          <w:color w:val="000000"/>
          <w:kern w:val="0"/>
          <w:sz w:val="30"/>
          <w:szCs w:val="30"/>
          <w:lang w:val="en-US" w:eastAsia="zh-CN" w:bidi="ar-SA"/>
        </w:rPr>
        <w:t>万元，预算安排公用经费总额</w:t>
      </w:r>
      <w:r>
        <w:rPr>
          <w:rFonts w:hint="eastAsia" w:ascii="仿宋_GB2312" w:hAnsi="黑体" w:eastAsia="仿宋_GB2312" w:cs="宋体"/>
          <w:b w:val="0"/>
          <w:bCs/>
          <w:color w:val="000000"/>
          <w:kern w:val="0"/>
          <w:sz w:val="30"/>
          <w:szCs w:val="30"/>
          <w:lang w:val="en-US" w:eastAsia="zh-CN" w:bidi="ar-SA"/>
        </w:rPr>
        <w:t>37.23</w:t>
      </w:r>
      <w:r>
        <w:rPr>
          <w:rFonts w:hint="default" w:ascii="仿宋_GB2312" w:hAnsi="黑体" w:eastAsia="仿宋_GB2312" w:cs="宋体"/>
          <w:b w:val="0"/>
          <w:bCs/>
          <w:color w:val="000000"/>
          <w:kern w:val="0"/>
          <w:sz w:val="30"/>
          <w:szCs w:val="30"/>
          <w:lang w:val="en-US" w:eastAsia="zh-CN" w:bidi="ar-SA"/>
        </w:rPr>
        <w:t>万元</w:t>
      </w:r>
      <w:r>
        <w:rPr>
          <w:rFonts w:hint="eastAsia" w:ascii="仿宋_GB2312" w:hAnsi="黑体" w:eastAsia="仿宋_GB2312" w:cs="宋体"/>
          <w:b w:val="0"/>
          <w:bCs/>
          <w:color w:val="000000"/>
          <w:kern w:val="0"/>
          <w:sz w:val="30"/>
          <w:szCs w:val="30"/>
          <w:lang w:val="en-US" w:eastAsia="zh-CN" w:bidi="ar-SA"/>
        </w:rPr>
        <w:t>，相差较大的主要原因是我局年中追加资金。</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both"/>
        <w:rPr>
          <w:rFonts w:hint="default" w:ascii="仿宋_GB2312" w:hAnsi="黑体" w:eastAsia="仿宋_GB2312" w:cs="宋体"/>
          <w:b w:val="0"/>
          <w:bCs/>
          <w:color w:val="000000"/>
          <w:kern w:val="0"/>
          <w:sz w:val="30"/>
          <w:szCs w:val="30"/>
          <w:lang w:val="en-US" w:eastAsia="zh-CN" w:bidi="ar-SA"/>
        </w:rPr>
      </w:pPr>
      <w:r>
        <w:rPr>
          <w:rFonts w:hint="default" w:ascii="仿宋_GB2312" w:hAnsi="黑体" w:eastAsia="仿宋_GB2312" w:cs="宋体"/>
          <w:b w:val="0"/>
          <w:bCs/>
          <w:color w:val="000000"/>
          <w:kern w:val="0"/>
          <w:sz w:val="30"/>
          <w:szCs w:val="30"/>
          <w:lang w:val="en-US" w:eastAsia="zh-CN" w:bidi="ar-SA"/>
        </w:rPr>
        <w:t>　　“三公经费”控制率：“三公”经费实际支出数为</w:t>
      </w:r>
      <w:r>
        <w:rPr>
          <w:rFonts w:hint="eastAsia" w:ascii="仿宋_GB2312" w:hAnsi="黑体" w:eastAsia="仿宋_GB2312" w:cs="宋体"/>
          <w:b w:val="0"/>
          <w:bCs/>
          <w:color w:val="000000"/>
          <w:kern w:val="0"/>
          <w:sz w:val="30"/>
          <w:szCs w:val="30"/>
          <w:lang w:val="en-US" w:eastAsia="zh-CN" w:bidi="ar-SA"/>
        </w:rPr>
        <w:t>9.5</w:t>
      </w:r>
      <w:r>
        <w:rPr>
          <w:rFonts w:hint="default" w:ascii="仿宋_GB2312" w:hAnsi="黑体" w:eastAsia="仿宋_GB2312" w:cs="宋体"/>
          <w:b w:val="0"/>
          <w:bCs/>
          <w:color w:val="000000"/>
          <w:kern w:val="0"/>
          <w:sz w:val="30"/>
          <w:szCs w:val="30"/>
          <w:lang w:val="en-US" w:eastAsia="zh-CN" w:bidi="ar-SA"/>
        </w:rPr>
        <w:t>万元，预算安排数</w:t>
      </w:r>
      <w:r>
        <w:rPr>
          <w:rFonts w:hint="eastAsia" w:ascii="仿宋_GB2312" w:hAnsi="黑体" w:eastAsia="仿宋_GB2312" w:cs="宋体"/>
          <w:b w:val="0"/>
          <w:bCs/>
          <w:color w:val="000000"/>
          <w:kern w:val="0"/>
          <w:sz w:val="30"/>
          <w:szCs w:val="30"/>
          <w:lang w:val="en-US" w:eastAsia="zh-CN" w:bidi="ar-SA"/>
        </w:rPr>
        <w:t>10.8</w:t>
      </w:r>
      <w:r>
        <w:rPr>
          <w:rFonts w:hint="default" w:ascii="仿宋_GB2312" w:hAnsi="黑体" w:eastAsia="仿宋_GB2312" w:cs="宋体"/>
          <w:b w:val="0"/>
          <w:bCs/>
          <w:color w:val="000000"/>
          <w:kern w:val="0"/>
          <w:sz w:val="30"/>
          <w:szCs w:val="30"/>
          <w:lang w:val="en-US" w:eastAsia="zh-CN" w:bidi="ar-SA"/>
        </w:rPr>
        <w:t>万元，“三公”经费控制率为</w:t>
      </w:r>
      <w:r>
        <w:rPr>
          <w:rFonts w:hint="eastAsia" w:ascii="仿宋_GB2312" w:hAnsi="黑体" w:eastAsia="仿宋_GB2312" w:cs="宋体"/>
          <w:b w:val="0"/>
          <w:bCs/>
          <w:color w:val="000000"/>
          <w:kern w:val="0"/>
          <w:sz w:val="30"/>
          <w:szCs w:val="30"/>
          <w:lang w:val="en-US" w:eastAsia="zh-CN" w:bidi="ar-SA"/>
        </w:rPr>
        <w:t>87.96</w:t>
      </w:r>
      <w:r>
        <w:rPr>
          <w:rFonts w:hint="default" w:ascii="仿宋_GB2312" w:hAnsi="黑体" w:eastAsia="仿宋_GB2312" w:cs="宋体"/>
          <w:b w:val="0"/>
          <w:bCs/>
          <w:color w:val="000000"/>
          <w:kern w:val="0"/>
          <w:sz w:val="30"/>
          <w:szCs w:val="30"/>
          <w:lang w:val="en-US" w:eastAsia="zh-CN" w:bidi="ar-SA"/>
        </w:rPr>
        <w:t>%。 </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both"/>
        <w:rPr>
          <w:rFonts w:hint="eastAsia" w:ascii="仿宋_GB2312" w:hAnsi="黑体" w:eastAsia="仿宋_GB2312" w:cs="宋体"/>
          <w:b w:val="0"/>
          <w:bCs/>
          <w:color w:val="000000"/>
          <w:kern w:val="0"/>
          <w:sz w:val="30"/>
          <w:szCs w:val="30"/>
          <w:lang w:val="en-US" w:eastAsia="zh-CN" w:bidi="ar-SA"/>
        </w:rPr>
      </w:pPr>
      <w:r>
        <w:rPr>
          <w:rFonts w:hint="default" w:ascii="仿宋_GB2312" w:hAnsi="黑体" w:eastAsia="仿宋_GB2312" w:cs="宋体"/>
          <w:b w:val="0"/>
          <w:bCs/>
          <w:color w:val="000000"/>
          <w:kern w:val="0"/>
          <w:sz w:val="30"/>
          <w:szCs w:val="30"/>
          <w:lang w:val="en-US" w:eastAsia="zh-CN" w:bidi="ar-SA"/>
        </w:rPr>
        <w:t>　　管理制度健全性：</w:t>
      </w:r>
      <w:r>
        <w:rPr>
          <w:rFonts w:hint="eastAsia" w:ascii="仿宋_GB2312" w:hAnsi="黑体" w:eastAsia="仿宋_GB2312" w:cs="宋体"/>
          <w:b w:val="0"/>
          <w:bCs/>
          <w:color w:val="000000"/>
          <w:kern w:val="0"/>
          <w:sz w:val="30"/>
          <w:szCs w:val="30"/>
          <w:lang w:val="en-US" w:eastAsia="zh-CN" w:bidi="ar-SA"/>
        </w:rPr>
        <w:t>制定单位</w:t>
      </w:r>
      <w:r>
        <w:rPr>
          <w:rFonts w:hint="default" w:ascii="仿宋_GB2312" w:hAnsi="黑体" w:eastAsia="仿宋_GB2312" w:cs="宋体"/>
          <w:b w:val="0"/>
          <w:bCs/>
          <w:color w:val="000000"/>
          <w:kern w:val="0"/>
          <w:sz w:val="30"/>
          <w:szCs w:val="30"/>
          <w:lang w:val="en-US" w:eastAsia="zh-CN" w:bidi="ar-SA"/>
        </w:rPr>
        <w:t>财务管理办法</w:t>
      </w:r>
      <w:r>
        <w:rPr>
          <w:rFonts w:hint="eastAsia" w:ascii="仿宋_GB2312" w:hAnsi="黑体" w:eastAsia="仿宋_GB2312" w:cs="宋体"/>
          <w:b w:val="0"/>
          <w:bCs/>
          <w:color w:val="000000"/>
          <w:kern w:val="0"/>
          <w:sz w:val="30"/>
          <w:szCs w:val="30"/>
          <w:lang w:val="en-US" w:eastAsia="zh-CN" w:bidi="ar-SA"/>
        </w:rPr>
        <w:t>,各类专项资金使用办法</w:t>
      </w:r>
      <w:r>
        <w:rPr>
          <w:rFonts w:hint="default" w:ascii="仿宋_GB2312" w:hAnsi="黑体" w:eastAsia="仿宋_GB2312" w:cs="宋体"/>
          <w:b w:val="0"/>
          <w:bCs/>
          <w:color w:val="000000"/>
          <w:kern w:val="0"/>
          <w:sz w:val="30"/>
          <w:szCs w:val="30"/>
          <w:lang w:val="en-US" w:eastAsia="zh-CN" w:bidi="ar-SA"/>
        </w:rPr>
        <w:t>等有关管理制度，规范财务审批程序，严格差旅费和接待费支出标准、范围和程序的审核</w:t>
      </w:r>
      <w:r>
        <w:rPr>
          <w:rFonts w:hint="eastAsia" w:ascii="仿宋_GB2312" w:hAnsi="黑体" w:eastAsia="仿宋_GB2312" w:cs="宋体"/>
          <w:b w:val="0"/>
          <w:bCs/>
          <w:color w:val="000000"/>
          <w:kern w:val="0"/>
          <w:sz w:val="30"/>
          <w:szCs w:val="30"/>
          <w:lang w:val="en-US" w:eastAsia="zh-CN" w:bidi="ar-SA"/>
        </w:rPr>
        <w:t>，以相关管理制度指导财务管理。</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both"/>
        <w:rPr>
          <w:rFonts w:hint="default" w:ascii="仿宋_GB2312" w:hAnsi="黑体" w:eastAsia="仿宋_GB2312" w:cs="宋体"/>
          <w:b w:val="0"/>
          <w:bCs/>
          <w:color w:val="000000"/>
          <w:kern w:val="0"/>
          <w:sz w:val="30"/>
          <w:szCs w:val="30"/>
          <w:lang w:val="en-US" w:eastAsia="zh-CN" w:bidi="ar-SA"/>
        </w:rPr>
      </w:pPr>
      <w:r>
        <w:rPr>
          <w:rFonts w:hint="default" w:ascii="仿宋_GB2312" w:hAnsi="黑体" w:eastAsia="仿宋_GB2312" w:cs="宋体"/>
          <w:b w:val="0"/>
          <w:bCs/>
          <w:color w:val="000000"/>
          <w:kern w:val="0"/>
          <w:sz w:val="30"/>
          <w:szCs w:val="30"/>
          <w:lang w:val="en-US" w:eastAsia="zh-CN" w:bidi="ar-SA"/>
        </w:rPr>
        <w:t>　　资金使用合规性：配合</w:t>
      </w:r>
      <w:r>
        <w:rPr>
          <w:rFonts w:hint="eastAsia" w:ascii="仿宋_GB2312" w:hAnsi="黑体" w:eastAsia="仿宋_GB2312" w:cs="宋体"/>
          <w:b w:val="0"/>
          <w:bCs/>
          <w:color w:val="000000"/>
          <w:kern w:val="0"/>
          <w:sz w:val="30"/>
          <w:szCs w:val="30"/>
          <w:lang w:val="en-US" w:eastAsia="zh-CN" w:bidi="ar-SA"/>
        </w:rPr>
        <w:t>区</w:t>
      </w:r>
      <w:r>
        <w:rPr>
          <w:rFonts w:hint="default" w:ascii="仿宋_GB2312" w:hAnsi="黑体" w:eastAsia="仿宋_GB2312" w:cs="宋体"/>
          <w:b w:val="0"/>
          <w:bCs/>
          <w:color w:val="000000"/>
          <w:kern w:val="0"/>
          <w:sz w:val="30"/>
          <w:szCs w:val="30"/>
          <w:lang w:val="en-US" w:eastAsia="zh-CN" w:bidi="ar-SA"/>
        </w:rPr>
        <w:t>纪委开展违反中央八项规定突出问题专项整治，严格落实中央八项规定和有关公务支出标准。加强经费合法合规性审核和预算控制，严格按制度政策办事，资金使用合法合规，支出手续齐全，程序到位。 </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both"/>
        <w:rPr>
          <w:rFonts w:hint="default" w:ascii="仿宋_GB2312" w:hAnsi="黑体" w:eastAsia="仿宋_GB2312" w:cs="宋体"/>
          <w:b w:val="0"/>
          <w:bCs/>
          <w:color w:val="000000"/>
          <w:kern w:val="0"/>
          <w:sz w:val="30"/>
          <w:szCs w:val="30"/>
          <w:lang w:val="en-US" w:eastAsia="zh-CN" w:bidi="ar-SA"/>
        </w:rPr>
      </w:pPr>
      <w:r>
        <w:rPr>
          <w:rFonts w:hint="default" w:ascii="仿宋_GB2312" w:hAnsi="黑体" w:eastAsia="仿宋_GB2312" w:cs="宋体"/>
          <w:b w:val="0"/>
          <w:bCs/>
          <w:color w:val="000000"/>
          <w:kern w:val="0"/>
          <w:sz w:val="30"/>
          <w:szCs w:val="30"/>
          <w:lang w:val="en-US" w:eastAsia="zh-CN" w:bidi="ar-SA"/>
        </w:rPr>
        <w:t>　　预决算信息公开性：加快预算执行，盘活存量资金，减少追加资金。真实准确编制部门预算和决算，按时上报基础数据资料。对上年度部门整体支出进行了绩效评价，对标找差距。按规定时限和规定内容公开部门预算、部门决算以及绩效自评报告。各项应向社会公开的信息及时、完整、真实，更加细化，部门预决算信息透明度进一步提高。 </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both"/>
        <w:rPr>
          <w:rFonts w:hint="default" w:ascii="仿宋_GB2312" w:hAnsi="黑体" w:eastAsia="仿宋_GB2312" w:cs="宋体"/>
          <w:b w:val="0"/>
          <w:bCs/>
          <w:color w:val="000000"/>
          <w:kern w:val="0"/>
          <w:sz w:val="30"/>
          <w:szCs w:val="30"/>
          <w:lang w:val="en-US" w:eastAsia="zh-CN" w:bidi="ar-SA"/>
        </w:rPr>
      </w:pPr>
      <w:r>
        <w:rPr>
          <w:rFonts w:hint="default" w:ascii="仿宋_GB2312" w:hAnsi="黑体" w:eastAsia="仿宋_GB2312" w:cs="宋体"/>
          <w:b w:val="0"/>
          <w:bCs/>
          <w:color w:val="000000"/>
          <w:kern w:val="0"/>
          <w:sz w:val="30"/>
          <w:szCs w:val="30"/>
          <w:lang w:val="en-US" w:eastAsia="zh-CN" w:bidi="ar-SA"/>
        </w:rPr>
        <w:t>　　（四）职责履行和履职效益方面 </w:t>
      </w:r>
    </w:p>
    <w:p>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left="0" w:right="0" w:firstLine="600" w:firstLineChars="200"/>
        <w:jc w:val="both"/>
        <w:textAlignment w:val="auto"/>
        <w:rPr>
          <w:rFonts w:hint="default" w:ascii="仿宋_GB2312" w:hAnsi="黑体" w:eastAsia="仿宋_GB2312" w:cs="宋体"/>
          <w:b w:val="0"/>
          <w:bCs/>
          <w:color w:val="000000"/>
          <w:kern w:val="0"/>
          <w:sz w:val="30"/>
          <w:szCs w:val="30"/>
          <w:lang w:val="en-US" w:eastAsia="zh-CN" w:bidi="ar-SA"/>
        </w:rPr>
      </w:pPr>
      <w:r>
        <w:rPr>
          <w:rFonts w:hint="eastAsia" w:ascii="仿宋_GB2312" w:hAnsi="黑体" w:eastAsia="仿宋_GB2312" w:cs="宋体"/>
          <w:b w:val="0"/>
          <w:bCs/>
          <w:color w:val="000000"/>
          <w:kern w:val="0"/>
          <w:sz w:val="30"/>
          <w:szCs w:val="30"/>
          <w:lang w:val="en-US" w:eastAsia="zh-CN" w:bidi="ar-SA"/>
        </w:rPr>
        <w:t>2022年，我们较好的完成了各项目标工作任务，取得了较好的社会效益，行政效能明显提高，社会公众满意度不断提升。重大项目建设加速，2022年全区实施重点建设项目160个，总投资873.58亿元，年度计划投资205.24亿元，实际完成投资226亿元，完成年计划的110%。其中：市重点建设项目40个，新建项目17个、续建项目23个，年度计划投资90.63亿元，实际完成143.2亿元，完成年度计划的158%。争取资金大幅增加，中央预算内项目进展顺利。2022年争取中央预算内投资项目16个，已下达资金1.5382亿元，2022年我区争取专项债券项目和资金10.35亿元，其中：专项债券项目5个，共6.28亿元；一般债券项目5个，共1.62亿元；列入市级发行的自来水公司债券资金为2.45亿元。</w:t>
      </w:r>
    </w:p>
    <w:p>
      <w:pPr>
        <w:keepNext w:val="0"/>
        <w:keepLines w:val="0"/>
        <w:pageBreakBefore w:val="0"/>
        <w:widowControl w:val="0"/>
        <w:numPr>
          <w:ilvl w:val="0"/>
          <w:numId w:val="0"/>
        </w:numPr>
        <w:kinsoku/>
        <w:wordWrap/>
        <w:overflowPunct/>
        <w:topLinePunct w:val="0"/>
        <w:autoSpaceDE/>
        <w:autoSpaceDN/>
        <w:bidi w:val="0"/>
        <w:adjustRightInd w:val="0"/>
        <w:snapToGrid w:val="0"/>
        <w:spacing w:line="600" w:lineRule="exact"/>
        <w:ind w:firstLine="640" w:firstLineChars="200"/>
        <w:textAlignment w:val="auto"/>
        <w:rPr>
          <w:rFonts w:hint="default" w:eastAsia="黑体"/>
          <w:sz w:val="32"/>
          <w:szCs w:val="32"/>
          <w:lang w:val="en-US" w:eastAsia="zh-CN"/>
        </w:rPr>
      </w:pPr>
      <w:r>
        <w:rPr>
          <w:rFonts w:hint="eastAsia" w:eastAsia="黑体"/>
          <w:sz w:val="32"/>
          <w:szCs w:val="32"/>
          <w:lang w:val="en-US" w:eastAsia="zh-CN"/>
        </w:rPr>
        <w:t>五</w:t>
      </w:r>
      <w:r>
        <w:rPr>
          <w:rFonts w:hint="default" w:eastAsia="黑体"/>
          <w:sz w:val="32"/>
          <w:szCs w:val="32"/>
          <w:lang w:val="en-US" w:eastAsia="zh-CN"/>
        </w:rPr>
        <w:t>、存在的主要问题</w:t>
      </w:r>
      <w:r>
        <w:rPr>
          <w:rFonts w:hint="eastAsia" w:eastAsia="黑体"/>
          <w:sz w:val="32"/>
          <w:szCs w:val="32"/>
          <w:lang w:val="en-US" w:eastAsia="zh-CN"/>
        </w:rPr>
        <w:t>及原因分析</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600"/>
        <w:jc w:val="both"/>
        <w:rPr>
          <w:rFonts w:hint="default" w:ascii="仿宋_GB2312" w:hAnsi="黑体" w:eastAsia="仿宋_GB2312" w:cs="宋体"/>
          <w:b w:val="0"/>
          <w:bCs/>
          <w:color w:val="000000"/>
          <w:kern w:val="0"/>
          <w:sz w:val="30"/>
          <w:szCs w:val="30"/>
          <w:lang w:val="en-US" w:eastAsia="zh-CN" w:bidi="ar-SA"/>
        </w:rPr>
      </w:pPr>
      <w:r>
        <w:rPr>
          <w:rFonts w:hint="default" w:ascii="仿宋_GB2312" w:hAnsi="黑体" w:eastAsia="仿宋_GB2312" w:cs="宋体"/>
          <w:b w:val="0"/>
          <w:bCs/>
          <w:color w:val="000000"/>
          <w:kern w:val="0"/>
          <w:sz w:val="30"/>
          <w:szCs w:val="30"/>
          <w:lang w:val="en-US" w:eastAsia="zh-CN" w:bidi="ar-SA"/>
        </w:rPr>
        <w:t>（一）预算</w:t>
      </w:r>
      <w:r>
        <w:rPr>
          <w:rFonts w:hint="eastAsia" w:ascii="仿宋_GB2312" w:hAnsi="黑体" w:eastAsia="仿宋_GB2312" w:cs="宋体"/>
          <w:b w:val="0"/>
          <w:bCs/>
          <w:color w:val="000000"/>
          <w:kern w:val="0"/>
          <w:sz w:val="30"/>
          <w:szCs w:val="30"/>
          <w:lang w:val="en-US" w:eastAsia="zh-CN" w:bidi="ar-SA"/>
        </w:rPr>
        <w:t>调整</w:t>
      </w:r>
      <w:r>
        <w:rPr>
          <w:rFonts w:hint="default" w:ascii="仿宋_GB2312" w:hAnsi="黑体" w:eastAsia="仿宋_GB2312" w:cs="宋体"/>
          <w:b w:val="0"/>
          <w:bCs/>
          <w:color w:val="000000"/>
          <w:kern w:val="0"/>
          <w:sz w:val="30"/>
          <w:szCs w:val="30"/>
          <w:lang w:val="en-US" w:eastAsia="zh-CN" w:bidi="ar-SA"/>
        </w:rPr>
        <w:t>率有待</w:t>
      </w:r>
      <w:r>
        <w:rPr>
          <w:rFonts w:hint="eastAsia" w:ascii="仿宋_GB2312" w:hAnsi="黑体" w:eastAsia="仿宋_GB2312" w:cs="宋体"/>
          <w:b w:val="0"/>
          <w:bCs/>
          <w:color w:val="000000"/>
          <w:kern w:val="0"/>
          <w:sz w:val="30"/>
          <w:szCs w:val="30"/>
          <w:lang w:val="en-US" w:eastAsia="zh-CN" w:bidi="ar-SA"/>
        </w:rPr>
        <w:t>控制</w:t>
      </w:r>
      <w:r>
        <w:rPr>
          <w:rFonts w:hint="default" w:ascii="仿宋_GB2312" w:hAnsi="黑体" w:eastAsia="仿宋_GB2312" w:cs="宋体"/>
          <w:b w:val="0"/>
          <w:bCs/>
          <w:color w:val="000000"/>
          <w:kern w:val="0"/>
          <w:sz w:val="30"/>
          <w:szCs w:val="30"/>
          <w:lang w:val="en-US" w:eastAsia="zh-CN" w:bidi="ar-SA"/>
        </w:rPr>
        <w:t> </w:t>
      </w:r>
    </w:p>
    <w:p>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left="0" w:right="0" w:firstLine="600" w:firstLineChars="200"/>
        <w:jc w:val="both"/>
        <w:textAlignment w:val="auto"/>
        <w:rPr>
          <w:rFonts w:hint="eastAsia" w:ascii="仿宋_GB2312" w:hAnsi="黑体" w:eastAsia="仿宋_GB2312" w:cs="宋体"/>
          <w:b w:val="0"/>
          <w:bCs/>
          <w:color w:val="000000"/>
          <w:kern w:val="0"/>
          <w:sz w:val="30"/>
          <w:szCs w:val="30"/>
          <w:lang w:val="en-US" w:eastAsia="zh-CN" w:bidi="ar-SA"/>
        </w:rPr>
      </w:pPr>
      <w:r>
        <w:rPr>
          <w:rFonts w:hint="eastAsia" w:ascii="仿宋_GB2312" w:hAnsi="黑体" w:eastAsia="仿宋_GB2312" w:cs="宋体"/>
          <w:b w:val="0"/>
          <w:bCs/>
          <w:color w:val="000000"/>
          <w:kern w:val="0"/>
          <w:sz w:val="30"/>
          <w:szCs w:val="30"/>
          <w:lang w:val="en-US" w:eastAsia="zh-CN" w:bidi="ar-SA"/>
        </w:rPr>
        <w:t>受年中追加经费影响，2022年预算调整率33.5%，超过20%，主要是人员费用以及对下属和招商企业的补助等一些上级转移支付资金的不可控及21年起政策性贷款挂账利息由本次财政支付。应在下年加以重视，尽量减少追加资金，逐步降低预算控制率。</w:t>
      </w:r>
    </w:p>
    <w:p>
      <w:pPr>
        <w:keepNext w:val="0"/>
        <w:keepLines w:val="0"/>
        <w:pageBreakBefore w:val="0"/>
        <w:widowControl w:val="0"/>
        <w:numPr>
          <w:ilvl w:val="0"/>
          <w:numId w:val="0"/>
        </w:numPr>
        <w:kinsoku/>
        <w:wordWrap/>
        <w:overflowPunct/>
        <w:topLinePunct w:val="0"/>
        <w:autoSpaceDE/>
        <w:autoSpaceDN/>
        <w:bidi w:val="0"/>
        <w:adjustRightInd w:val="0"/>
        <w:snapToGrid w:val="0"/>
        <w:spacing w:line="600" w:lineRule="exact"/>
        <w:ind w:firstLine="640" w:firstLineChars="200"/>
        <w:textAlignment w:val="auto"/>
        <w:rPr>
          <w:rFonts w:hint="eastAsia" w:eastAsia="黑体"/>
          <w:sz w:val="32"/>
          <w:szCs w:val="32"/>
          <w:lang w:val="en-US" w:eastAsia="zh-CN"/>
        </w:rPr>
      </w:pPr>
      <w:r>
        <w:rPr>
          <w:rFonts w:hint="eastAsia" w:eastAsia="黑体"/>
          <w:sz w:val="32"/>
          <w:szCs w:val="32"/>
          <w:lang w:val="en-US" w:eastAsia="zh-CN"/>
        </w:rPr>
        <w:t>六、下一步改进措施</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600"/>
        <w:jc w:val="both"/>
        <w:rPr>
          <w:rFonts w:hint="eastAsia" w:ascii="仿宋_GB2312" w:hAnsi="黑体" w:eastAsia="仿宋_GB2312" w:cs="宋体"/>
          <w:b w:val="0"/>
          <w:bCs/>
          <w:color w:val="000000"/>
          <w:kern w:val="0"/>
          <w:sz w:val="30"/>
          <w:szCs w:val="30"/>
          <w:lang w:val="en-US" w:eastAsia="zh-CN" w:bidi="ar-SA"/>
        </w:rPr>
      </w:pPr>
      <w:r>
        <w:rPr>
          <w:rFonts w:hint="eastAsia" w:ascii="仿宋_GB2312" w:hAnsi="黑体" w:eastAsia="仿宋_GB2312" w:cs="宋体"/>
          <w:b w:val="0"/>
          <w:bCs/>
          <w:color w:val="000000"/>
          <w:kern w:val="0"/>
          <w:sz w:val="30"/>
          <w:szCs w:val="30"/>
          <w:lang w:val="en-US" w:eastAsia="zh-CN" w:bidi="ar-SA"/>
        </w:rPr>
        <w:t>（一）整改措施：</w:t>
      </w:r>
    </w:p>
    <w:p>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left="0" w:right="0" w:firstLine="600" w:firstLineChars="200"/>
        <w:jc w:val="both"/>
        <w:textAlignment w:val="auto"/>
        <w:rPr>
          <w:rFonts w:hint="default" w:ascii="仿宋_GB2312" w:hAnsi="黑体" w:eastAsia="仿宋_GB2312" w:cs="宋体"/>
          <w:b w:val="0"/>
          <w:bCs/>
          <w:color w:val="000000"/>
          <w:kern w:val="0"/>
          <w:sz w:val="30"/>
          <w:szCs w:val="30"/>
          <w:lang w:val="en-US" w:eastAsia="zh-CN" w:bidi="ar-SA"/>
        </w:rPr>
      </w:pPr>
      <w:r>
        <w:rPr>
          <w:rFonts w:hint="default" w:ascii="仿宋_GB2312" w:hAnsi="黑体" w:eastAsia="仿宋_GB2312" w:cs="宋体"/>
          <w:b w:val="0"/>
          <w:bCs/>
          <w:color w:val="000000"/>
          <w:kern w:val="0"/>
          <w:sz w:val="30"/>
          <w:szCs w:val="30"/>
          <w:lang w:val="en-US" w:eastAsia="zh-CN" w:bidi="ar-SA"/>
        </w:rPr>
        <w:t>针对上述存在的问题，拟采取以下改进措施： </w:t>
      </w:r>
    </w:p>
    <w:p>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left="0" w:right="0" w:firstLine="600" w:firstLineChars="200"/>
        <w:jc w:val="both"/>
        <w:textAlignment w:val="auto"/>
        <w:rPr>
          <w:rFonts w:hint="default" w:ascii="仿宋_GB2312" w:hAnsi="黑体" w:eastAsia="仿宋_GB2312" w:cs="宋体"/>
          <w:b w:val="0"/>
          <w:bCs/>
          <w:color w:val="000000"/>
          <w:kern w:val="0"/>
          <w:sz w:val="30"/>
          <w:szCs w:val="30"/>
          <w:lang w:val="en-US" w:eastAsia="zh-CN" w:bidi="ar-SA"/>
        </w:rPr>
      </w:pPr>
      <w:r>
        <w:rPr>
          <w:rFonts w:hint="eastAsia" w:ascii="仿宋_GB2312" w:hAnsi="黑体" w:eastAsia="仿宋_GB2312" w:cs="宋体"/>
          <w:b w:val="0"/>
          <w:bCs/>
          <w:color w:val="000000"/>
          <w:kern w:val="0"/>
          <w:sz w:val="30"/>
          <w:szCs w:val="30"/>
          <w:lang w:val="en-US" w:eastAsia="zh-CN" w:bidi="ar-SA"/>
        </w:rPr>
        <w:t>1、</w:t>
      </w:r>
      <w:r>
        <w:rPr>
          <w:rFonts w:hint="default" w:ascii="仿宋_GB2312" w:hAnsi="黑体" w:eastAsia="仿宋_GB2312" w:cs="宋体"/>
          <w:b w:val="0"/>
          <w:bCs/>
          <w:color w:val="000000"/>
          <w:kern w:val="0"/>
          <w:sz w:val="30"/>
          <w:szCs w:val="30"/>
          <w:lang w:val="en-US" w:eastAsia="zh-CN" w:bidi="ar-SA"/>
        </w:rPr>
        <w:t>硬化预算执行的约束性 </w:t>
      </w:r>
    </w:p>
    <w:p>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left="0" w:right="0" w:firstLine="600" w:firstLineChars="200"/>
        <w:jc w:val="both"/>
        <w:textAlignment w:val="auto"/>
        <w:rPr>
          <w:rFonts w:hint="default" w:ascii="仿宋_GB2312" w:hAnsi="黑体" w:eastAsia="仿宋_GB2312" w:cs="宋体"/>
          <w:b w:val="0"/>
          <w:bCs/>
          <w:color w:val="000000"/>
          <w:kern w:val="0"/>
          <w:sz w:val="30"/>
          <w:szCs w:val="30"/>
          <w:lang w:val="en-US" w:eastAsia="zh-CN" w:bidi="ar-SA"/>
        </w:rPr>
      </w:pPr>
      <w:r>
        <w:rPr>
          <w:rFonts w:hint="default" w:ascii="仿宋_GB2312" w:hAnsi="黑体" w:eastAsia="仿宋_GB2312" w:cs="宋体"/>
          <w:b w:val="0"/>
          <w:bCs/>
          <w:color w:val="000000"/>
          <w:kern w:val="0"/>
          <w:sz w:val="30"/>
          <w:szCs w:val="30"/>
          <w:lang w:val="en-US" w:eastAsia="zh-CN" w:bidi="ar-SA"/>
        </w:rPr>
        <w:t>增强预算编制的全面性、准确性，强化预算执行的严肃性。对年初没有预算安排的支出原则上不安排支出，不申请新增追加资金。严格按预算批复的用途使用资金，减少预算调整事项。 </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600"/>
        <w:jc w:val="both"/>
        <w:rPr>
          <w:rFonts w:hint="eastAsia" w:ascii="仿宋_GB2312" w:hAnsi="黑体" w:eastAsia="仿宋_GB2312" w:cs="宋体"/>
          <w:b w:val="0"/>
          <w:bCs/>
          <w:color w:val="000000"/>
          <w:kern w:val="0"/>
          <w:sz w:val="30"/>
          <w:szCs w:val="30"/>
          <w:lang w:val="en-US" w:eastAsia="zh-CN" w:bidi="ar-SA"/>
        </w:rPr>
      </w:pPr>
      <w:r>
        <w:rPr>
          <w:rFonts w:hint="eastAsia" w:ascii="仿宋_GB2312" w:hAnsi="黑体" w:eastAsia="仿宋_GB2312" w:cs="宋体"/>
          <w:b w:val="0"/>
          <w:bCs/>
          <w:color w:val="000000"/>
          <w:kern w:val="0"/>
          <w:sz w:val="30"/>
          <w:szCs w:val="30"/>
          <w:lang w:val="en-US" w:eastAsia="zh-CN" w:bidi="ar-SA"/>
        </w:rPr>
        <w:t>（二）、下一步建议：</w:t>
      </w:r>
    </w:p>
    <w:p>
      <w:pPr>
        <w:spacing w:line="580" w:lineRule="exact"/>
        <w:ind w:firstLine="560" w:firstLineChars="200"/>
        <w:rPr>
          <w:rFonts w:hint="eastAsia" w:ascii="仿宋_GB2312" w:eastAsia="仿宋_GB2312" w:cs="仿宋_GB2312"/>
          <w:sz w:val="28"/>
          <w:szCs w:val="28"/>
        </w:rPr>
      </w:pPr>
      <w:r>
        <w:rPr>
          <w:rFonts w:hint="eastAsia" w:ascii="仿宋_GB2312" w:eastAsia="仿宋_GB2312" w:cs="仿宋_GB2312"/>
          <w:sz w:val="28"/>
          <w:szCs w:val="28"/>
        </w:rPr>
        <w:t>为了进一步提高本部门整体绩效水平，在预算编制和预算执行过程中，我们提出如下建议：</w:t>
      </w:r>
    </w:p>
    <w:p>
      <w:pPr>
        <w:spacing w:line="580" w:lineRule="exact"/>
        <w:ind w:firstLine="560" w:firstLineChars="200"/>
        <w:rPr>
          <w:rFonts w:hint="eastAsia" w:ascii="仿宋_GB2312" w:eastAsia="仿宋_GB2312" w:cs="仿宋_GB2312"/>
          <w:sz w:val="28"/>
          <w:szCs w:val="28"/>
        </w:rPr>
      </w:pPr>
      <w:r>
        <w:rPr>
          <w:rFonts w:hint="eastAsia" w:ascii="仿宋_GB2312" w:eastAsia="仿宋_GB2312"/>
          <w:sz w:val="28"/>
          <w:szCs w:val="28"/>
          <w:lang w:val="en-US" w:eastAsia="zh-CN"/>
        </w:rPr>
        <w:t>1、</w:t>
      </w:r>
      <w:r>
        <w:rPr>
          <w:rFonts w:hint="eastAsia" w:ascii="仿宋_GB2312" w:eastAsia="仿宋_GB2312" w:cs="仿宋_GB2312"/>
          <w:sz w:val="28"/>
          <w:szCs w:val="28"/>
        </w:rPr>
        <w:t>继续加强队伍建设。要抓好绩效评价的队伍建设和业务学习，加强业务培训。</w:t>
      </w:r>
    </w:p>
    <w:p>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left="0" w:right="0" w:firstLine="560" w:firstLineChars="200"/>
        <w:jc w:val="both"/>
        <w:textAlignment w:val="auto"/>
        <w:rPr>
          <w:rFonts w:hint="default" w:ascii="仿宋_GB2312" w:hAnsi="黑体" w:eastAsia="仿宋_GB2312" w:cs="宋体"/>
          <w:b w:val="0"/>
          <w:bCs/>
          <w:color w:val="000000"/>
          <w:kern w:val="0"/>
          <w:sz w:val="30"/>
          <w:szCs w:val="30"/>
          <w:lang w:val="en-US" w:eastAsia="zh-CN" w:bidi="ar-SA"/>
        </w:rPr>
      </w:pPr>
      <w:r>
        <w:rPr>
          <w:rFonts w:hint="eastAsia" w:ascii="仿宋_GB2312" w:eastAsia="仿宋_GB2312"/>
          <w:sz w:val="28"/>
          <w:szCs w:val="28"/>
          <w:lang w:val="en-US" w:eastAsia="zh-CN"/>
        </w:rPr>
        <w:t>2、</w:t>
      </w:r>
      <w:r>
        <w:rPr>
          <w:rFonts w:hint="eastAsia" w:ascii="仿宋_GB2312" w:eastAsia="仿宋_GB2312" w:cs="仿宋_GB2312"/>
          <w:sz w:val="28"/>
          <w:szCs w:val="28"/>
        </w:rPr>
        <w:t>建立和完善长效机制。把绩效评价作为部门的日常性工作，建立绩效评价管理工作考核的长效机制。</w:t>
      </w:r>
    </w:p>
    <w:p>
      <w:pPr>
        <w:keepNext w:val="0"/>
        <w:keepLines w:val="0"/>
        <w:pageBreakBefore w:val="0"/>
        <w:widowControl w:val="0"/>
        <w:numPr>
          <w:ilvl w:val="0"/>
          <w:numId w:val="0"/>
        </w:numPr>
        <w:kinsoku/>
        <w:wordWrap/>
        <w:overflowPunct/>
        <w:topLinePunct w:val="0"/>
        <w:autoSpaceDE/>
        <w:autoSpaceDN/>
        <w:bidi w:val="0"/>
        <w:adjustRightInd w:val="0"/>
        <w:snapToGrid w:val="0"/>
        <w:spacing w:line="600" w:lineRule="exact"/>
        <w:ind w:firstLine="640" w:firstLineChars="200"/>
        <w:textAlignment w:val="auto"/>
        <w:rPr>
          <w:rFonts w:hint="eastAsia" w:eastAsia="黑体"/>
          <w:sz w:val="32"/>
          <w:szCs w:val="32"/>
          <w:lang w:val="en-US" w:eastAsia="zh-CN"/>
        </w:rPr>
      </w:pPr>
      <w:r>
        <w:rPr>
          <w:rFonts w:hint="eastAsia" w:eastAsia="黑体"/>
          <w:sz w:val="32"/>
          <w:szCs w:val="32"/>
          <w:lang w:val="en-US" w:eastAsia="zh-CN"/>
        </w:rPr>
        <w:t>七、绩效自评结果拟应用和公开情况</w:t>
      </w:r>
    </w:p>
    <w:p>
      <w:pPr>
        <w:adjustRightInd w:val="0"/>
        <w:snapToGrid w:val="0"/>
        <w:spacing w:line="600" w:lineRule="exact"/>
        <w:ind w:firstLine="600" w:firstLineChars="200"/>
        <w:rPr>
          <w:rFonts w:hint="eastAsia" w:ascii="仿宋_GB2312" w:hAnsi="黑体" w:eastAsia="仿宋_GB2312" w:cs="宋体"/>
          <w:b w:val="0"/>
          <w:bCs/>
          <w:color w:val="000000"/>
          <w:kern w:val="0"/>
          <w:sz w:val="30"/>
          <w:szCs w:val="30"/>
          <w:lang w:val="en-US" w:eastAsia="zh-CN" w:bidi="ar-SA"/>
        </w:rPr>
      </w:pPr>
      <w:r>
        <w:rPr>
          <w:rFonts w:hint="eastAsia" w:ascii="仿宋_GB2312" w:hAnsi="黑体" w:eastAsia="仿宋_GB2312" w:cs="宋体"/>
          <w:b w:val="0"/>
          <w:bCs/>
          <w:color w:val="000000"/>
          <w:kern w:val="0"/>
          <w:sz w:val="30"/>
          <w:szCs w:val="30"/>
          <w:lang w:val="en-US" w:eastAsia="zh-CN" w:bidi="ar-SA"/>
        </w:rPr>
        <w:t>附绩效自评表，依法依规在部门政府网公开。</w:t>
      </w:r>
    </w:p>
    <w:p>
      <w:pPr>
        <w:adjustRightInd w:val="0"/>
        <w:snapToGrid w:val="0"/>
        <w:spacing w:line="600" w:lineRule="exact"/>
        <w:ind w:firstLine="600" w:firstLineChars="200"/>
        <w:rPr>
          <w:rFonts w:hint="eastAsia" w:ascii="仿宋_GB2312" w:hAnsi="黑体" w:eastAsia="仿宋_GB2312" w:cs="宋体"/>
          <w:b w:val="0"/>
          <w:bCs/>
          <w:color w:val="000000"/>
          <w:kern w:val="0"/>
          <w:sz w:val="30"/>
          <w:szCs w:val="30"/>
          <w:lang w:val="en-US" w:eastAsia="zh-CN" w:bidi="ar-SA"/>
        </w:rPr>
      </w:pPr>
      <w:bookmarkStart w:id="0" w:name="_GoBack"/>
      <w:bookmarkEnd w:id="0"/>
    </w:p>
    <w:p>
      <w:pPr>
        <w:adjustRightInd w:val="0"/>
        <w:snapToGrid w:val="0"/>
        <w:spacing w:line="600" w:lineRule="exact"/>
        <w:ind w:firstLine="600" w:firstLineChars="200"/>
        <w:rPr>
          <w:rFonts w:hint="eastAsia" w:ascii="仿宋_GB2312" w:hAnsi="黑体" w:eastAsia="仿宋_GB2312" w:cs="宋体"/>
          <w:b w:val="0"/>
          <w:bCs/>
          <w:color w:val="000000"/>
          <w:kern w:val="0"/>
          <w:sz w:val="30"/>
          <w:szCs w:val="30"/>
          <w:lang w:val="en-US" w:eastAsia="zh-CN" w:bidi="ar-SA"/>
        </w:rPr>
      </w:pPr>
    </w:p>
    <w:p>
      <w:pPr>
        <w:adjustRightInd w:val="0"/>
        <w:snapToGrid w:val="0"/>
        <w:spacing w:line="600" w:lineRule="exact"/>
        <w:ind w:firstLine="600" w:firstLineChars="200"/>
        <w:rPr>
          <w:rFonts w:hint="eastAsia" w:ascii="仿宋_GB2312" w:hAnsi="黑体" w:eastAsia="仿宋_GB2312" w:cs="宋体"/>
          <w:b w:val="0"/>
          <w:bCs/>
          <w:color w:val="000000"/>
          <w:kern w:val="0"/>
          <w:sz w:val="30"/>
          <w:szCs w:val="30"/>
          <w:lang w:val="en-US" w:eastAsia="zh-CN" w:bidi="ar-SA"/>
        </w:rPr>
      </w:pPr>
    </w:p>
    <w:p>
      <w:pPr>
        <w:adjustRightInd w:val="0"/>
        <w:snapToGrid w:val="0"/>
        <w:spacing w:line="600" w:lineRule="exact"/>
        <w:ind w:firstLine="600" w:firstLineChars="200"/>
        <w:rPr>
          <w:rFonts w:hint="eastAsia" w:ascii="仿宋_GB2312" w:hAnsi="黑体" w:eastAsia="仿宋_GB2312" w:cs="宋体"/>
          <w:b w:val="0"/>
          <w:bCs/>
          <w:color w:val="000000"/>
          <w:kern w:val="0"/>
          <w:sz w:val="30"/>
          <w:szCs w:val="30"/>
          <w:lang w:val="en-US" w:eastAsia="zh-CN" w:bidi="ar-SA"/>
        </w:rPr>
      </w:pPr>
      <w:r>
        <w:rPr>
          <w:rFonts w:hint="eastAsia" w:ascii="仿宋_GB2312" w:hAnsi="黑体" w:eastAsia="仿宋_GB2312" w:cs="宋体"/>
          <w:b w:val="0"/>
          <w:bCs/>
          <w:color w:val="000000"/>
          <w:kern w:val="0"/>
          <w:sz w:val="30"/>
          <w:szCs w:val="30"/>
          <w:lang w:val="en-US" w:eastAsia="zh-CN" w:bidi="ar-SA"/>
        </w:rPr>
        <w:t xml:space="preserve">                                    零陵区发改局</w:t>
      </w:r>
    </w:p>
    <w:p>
      <w:pPr>
        <w:adjustRightInd w:val="0"/>
        <w:snapToGrid w:val="0"/>
        <w:spacing w:line="600" w:lineRule="exact"/>
        <w:ind w:firstLine="5700" w:firstLineChars="1900"/>
        <w:rPr>
          <w:rFonts w:hint="default" w:ascii="仿宋_GB2312" w:hAnsi="黑体" w:eastAsia="仿宋_GB2312" w:cs="宋体"/>
          <w:b w:val="0"/>
          <w:bCs/>
          <w:color w:val="000000"/>
          <w:kern w:val="0"/>
          <w:sz w:val="30"/>
          <w:szCs w:val="30"/>
          <w:lang w:val="en-US" w:eastAsia="zh-CN" w:bidi="ar-SA"/>
        </w:rPr>
      </w:pPr>
      <w:r>
        <w:rPr>
          <w:rFonts w:hint="eastAsia" w:ascii="仿宋_GB2312" w:hAnsi="黑体" w:eastAsia="仿宋_GB2312" w:cs="宋体"/>
          <w:b w:val="0"/>
          <w:bCs/>
          <w:color w:val="000000"/>
          <w:kern w:val="0"/>
          <w:sz w:val="30"/>
          <w:szCs w:val="30"/>
          <w:lang w:val="en-US" w:eastAsia="zh-CN" w:bidi="ar-SA"/>
        </w:rPr>
        <w:t>2023年2月22日</w:t>
      </w:r>
    </w:p>
    <w:p>
      <w:pPr>
        <w:rPr>
          <w:rFonts w:hint="default" w:ascii="仿宋_GB2312" w:hAnsi="黑体" w:eastAsia="仿宋_GB2312" w:cs="宋体"/>
          <w:b w:val="0"/>
          <w:bCs/>
          <w:color w:val="000000"/>
          <w:kern w:val="0"/>
          <w:sz w:val="30"/>
          <w:szCs w:val="30"/>
          <w:lang w:val="en-US" w:eastAsia="zh-CN" w:bidi="ar-SA"/>
        </w:rPr>
      </w:pPr>
    </w:p>
    <w:sectPr>
      <w:footerReference r:id="rId3"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auto"/>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小标宋_GBK">
    <w:altName w:val="微软雅黑"/>
    <w:panose1 w:val="03000509000000000000"/>
    <w:charset w:val="86"/>
    <w:family w:val="script"/>
    <w:pitch w:val="default"/>
    <w:sig w:usb0="00000000" w:usb1="00000000" w:usb2="00000000" w:usb3="00000000" w:csb0="00040000"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微软雅黑">
    <w:panose1 w:val="020B0503020204020204"/>
    <w:charset w:val="86"/>
    <w:family w:val="auto"/>
    <w:pitch w:val="default"/>
    <w:sig w:usb0="80000287" w:usb1="2ACF3C50" w:usb2="00000016" w:usb3="00000000" w:csb0="0004001F" w:csb1="00000000"/>
  </w:font>
  <w:font w:name="仿宋_GB2312">
    <w:altName w:val="仿宋"/>
    <w:panose1 w:val="00000000000000000000"/>
    <w:charset w:val="00"/>
    <w:family w:val="auto"/>
    <w:pitch w:val="default"/>
    <w:sig w:usb0="00000000" w:usb1="00000000" w:usb2="00000000" w:usb3="00000000" w:csb0="0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r>
      <w:rPr>
        <w:sz w:val="18"/>
      </w:rPr>
      <mc:AlternateContent>
        <mc:Choice Requires="wps">
          <w:drawing>
            <wp:anchor distT="0" distB="0" distL="114300" distR="114300" simplePos="0" relativeHeight="251658240" behindDoc="0" locked="0" layoutInCell="1" allowOverlap="1">
              <wp:simplePos x="0" y="0"/>
              <wp:positionH relativeFrom="margin">
                <wp:align>right</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4"/>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right;mso-position-horizontal-relative:margin;mso-wrap-style:none;z-index:25165824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">
              <v:fill on="f" focussize="0,0"/>
              <v:stroke on="f" weight="0.5pt"/>
              <v:imagedata o:title=""/>
              <o:lock v:ext="edit" aspectratio="f"/>
              <v:textbox inset="0mm,0mm,0mm,0mm" style="mso-fit-shape-to-text:t;">
                <w:txbxContent>
                  <w:p>
                    <w:pPr>
                      <w:pStyle w:val="4"/>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8575151"/>
    <w:multiLevelType w:val="singleLevel"/>
    <w:tmpl w:val="58575151"/>
    <w:lvl w:ilvl="0" w:tentative="0">
      <w:start w:val="1"/>
      <w:numFmt w:val="chineseCounting"/>
      <w:suff w:val="nothing"/>
      <w:lvlText w:val="（%1）"/>
      <w:lvlJc w:val="left"/>
    </w:lvl>
  </w:abstractNum>
  <w:abstractNum w:abstractNumId="1">
    <w:nsid w:val="5A407433"/>
    <w:multiLevelType w:val="singleLevel"/>
    <w:tmpl w:val="5A407433"/>
    <w:lvl w:ilvl="0" w:tentative="0">
      <w:start w:val="1"/>
      <w:numFmt w:val="chineseCounting"/>
      <w:suff w:val="nothing"/>
      <w:lvlText w:val="%1、"/>
      <w:lvlJc w:val="left"/>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175A1C1F"/>
    <w:rsid w:val="00D41350"/>
    <w:rsid w:val="031B10DB"/>
    <w:rsid w:val="05F34A58"/>
    <w:rsid w:val="12032DF0"/>
    <w:rsid w:val="127852AD"/>
    <w:rsid w:val="12A42281"/>
    <w:rsid w:val="142D1DE2"/>
    <w:rsid w:val="14462169"/>
    <w:rsid w:val="15BA3173"/>
    <w:rsid w:val="175A1C1F"/>
    <w:rsid w:val="18575032"/>
    <w:rsid w:val="18CC64EE"/>
    <w:rsid w:val="1BB856E4"/>
    <w:rsid w:val="1E5911E6"/>
    <w:rsid w:val="23EC7C84"/>
    <w:rsid w:val="2A660774"/>
    <w:rsid w:val="2BE23B05"/>
    <w:rsid w:val="2DE810E3"/>
    <w:rsid w:val="313748A4"/>
    <w:rsid w:val="315F56AE"/>
    <w:rsid w:val="326572A1"/>
    <w:rsid w:val="33D6466D"/>
    <w:rsid w:val="3B4E6C41"/>
    <w:rsid w:val="47C814B9"/>
    <w:rsid w:val="482314B7"/>
    <w:rsid w:val="4C054375"/>
    <w:rsid w:val="50916BD5"/>
    <w:rsid w:val="5F224086"/>
    <w:rsid w:val="60D7493B"/>
    <w:rsid w:val="62D56343"/>
    <w:rsid w:val="6393253A"/>
    <w:rsid w:val="66BA6A08"/>
    <w:rsid w:val="685A0AC1"/>
    <w:rsid w:val="6B580A08"/>
    <w:rsid w:val="6D461823"/>
    <w:rsid w:val="6F7B060D"/>
    <w:rsid w:val="72613C89"/>
    <w:rsid w:val="74644397"/>
    <w:rsid w:val="7C8F008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99"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8">
    <w:name w:val="Default Paragraph Font"/>
    <w:semiHidden/>
    <w:qFormat/>
    <w:uiPriority w:val="0"/>
  </w:style>
  <w:style w:type="table" w:default="1" w:styleId="7">
    <w:name w:val="Normal Table"/>
    <w:semiHidden/>
    <w:qFormat/>
    <w:uiPriority w:val="0"/>
    <w:tblPr>
      <w:tblCellMar>
        <w:top w:w="0" w:type="dxa"/>
        <w:left w:w="108" w:type="dxa"/>
        <w:bottom w:w="0" w:type="dxa"/>
        <w:right w:w="108" w:type="dxa"/>
      </w:tblCellMar>
    </w:tblPr>
  </w:style>
  <w:style w:type="paragraph" w:styleId="2">
    <w:name w:val="Body Text First Indent"/>
    <w:basedOn w:val="3"/>
    <w:qFormat/>
    <w:uiPriority w:val="0"/>
    <w:pPr>
      <w:ind w:firstLine="420" w:firstLineChars="100"/>
    </w:pPr>
  </w:style>
  <w:style w:type="paragraph" w:styleId="3">
    <w:name w:val="Body Text"/>
    <w:basedOn w:val="1"/>
    <w:next w:val="2"/>
    <w:qFormat/>
    <w:uiPriority w:val="0"/>
    <w:pPr>
      <w:widowControl w:val="0"/>
      <w:spacing w:beforeLines="0" w:after="120" w:afterLines="0"/>
      <w:jc w:val="both"/>
    </w:pPr>
    <w:rPr>
      <w:rFonts w:hint="default" w:ascii="Calibri" w:hAnsi="Calibri" w:eastAsia="宋体" w:cs="Times New Roman"/>
      <w:kern w:val="2"/>
      <w:sz w:val="21"/>
      <w:lang w:val="en-US" w:eastAsia="zh-CN"/>
    </w:rPr>
  </w:style>
  <w:style w:type="paragraph" w:styleId="4">
    <w:name w:val="footer"/>
    <w:basedOn w:val="1"/>
    <w:qFormat/>
    <w:uiPriority w:val="0"/>
    <w:pPr>
      <w:tabs>
        <w:tab w:val="center" w:pos="4153"/>
        <w:tab w:val="right" w:pos="8306"/>
      </w:tabs>
      <w:snapToGrid w:val="0"/>
      <w:jc w:val="left"/>
    </w:pPr>
    <w:rPr>
      <w:sz w:val="18"/>
    </w:rPr>
  </w:style>
  <w:style w:type="paragraph" w:styleId="5">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6">
    <w:name w:val="Normal (Web)"/>
    <w:basedOn w:val="1"/>
    <w:qFormat/>
    <w:uiPriority w:val="0"/>
    <w:pPr>
      <w:spacing w:before="0" w:beforeAutospacing="1" w:after="0" w:afterAutospacing="1"/>
      <w:ind w:left="0" w:right="0"/>
      <w:jc w:val="left"/>
    </w:pPr>
    <w:rPr>
      <w:kern w:val="0"/>
      <w:sz w:val="24"/>
      <w:lang w:val="en-US" w:eastAsia="zh-CN" w:bidi="ar"/>
    </w:rPr>
  </w:style>
  <w:style w:type="character" w:styleId="9">
    <w:name w:val="Hyperlink"/>
    <w:basedOn w:val="8"/>
    <w:qFormat/>
    <w:uiPriority w:val="99"/>
    <w:rPr>
      <w:rFonts w:cs="Times New Roman"/>
      <w:color w:val="0000FF"/>
      <w:u w:val="single"/>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2</TotalTime>
  <ScaleCrop>false</ScaleCrop>
  <LinksUpToDate>false</LinksUpToDate>
  <CharactersWithSpaces>0</CharactersWithSpaces>
  <Application>WPS Office_11.1.0.9912_F1E327BC-269C-435d-A152-05C5408002CA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2020-01-15T03:34:00Z</dcterms:created>
  <dc:creator>Administrator</dc:creator>
  <cp:lastModifiedBy>永州市零陵区发展与改革委员会</cp:lastModifiedBy>
  <cp:lastPrinted>2020-01-17T03:14:00Z</cp:lastPrinted>
  <dcterms:modified xsi:type="dcterms:W3CDTF">2023-02-22T01:48:51Z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2052-11.1.0.9912</vt:lpwstr>
  </property>
</Properties>
</file>