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bookmarkStart w:id="2" w:name="_GoBack"/>
      <w:bookmarkEnd w:id="2"/>
    </w:p>
    <w:p>
      <w:pPr>
        <w:pStyle w:val="10"/>
        <w:jc w:val="center"/>
        <w:rPr>
          <w:sz w:val="84"/>
          <w:szCs w:val="84"/>
        </w:rPr>
      </w:pPr>
    </w:p>
    <w:p>
      <w:pPr>
        <w:pStyle w:val="10"/>
        <w:jc w:val="center"/>
        <w:rPr>
          <w:sz w:val="84"/>
          <w:szCs w:val="84"/>
        </w:rPr>
      </w:pPr>
      <w:r>
        <w:rPr>
          <w:rFonts w:hint="eastAsia"/>
          <w:sz w:val="84"/>
          <w:szCs w:val="84"/>
        </w:rPr>
        <w:t>20</w:t>
      </w:r>
      <w:r>
        <w:rPr>
          <w:rFonts w:hint="eastAsia"/>
          <w:sz w:val="84"/>
          <w:szCs w:val="84"/>
          <w:lang w:val="en-US" w:eastAsia="zh-CN"/>
        </w:rPr>
        <w:t>20</w:t>
      </w:r>
      <w:r>
        <w:rPr>
          <w:rFonts w:hint="eastAsia"/>
          <w:sz w:val="84"/>
          <w:szCs w:val="84"/>
        </w:rPr>
        <w:t>年度</w:t>
      </w:r>
    </w:p>
    <w:p>
      <w:pPr>
        <w:pStyle w:val="10"/>
        <w:jc w:val="center"/>
        <w:rPr>
          <w:sz w:val="84"/>
          <w:szCs w:val="84"/>
        </w:rPr>
      </w:pPr>
      <w:r>
        <w:rPr>
          <w:rFonts w:hint="eastAsia"/>
          <w:sz w:val="84"/>
          <w:szCs w:val="84"/>
          <w:lang w:val="en-US" w:eastAsia="zh-CN"/>
        </w:rPr>
        <w:t>永州市零陵区发展和改革局</w:t>
      </w:r>
      <w:r>
        <w:rPr>
          <w:rFonts w:hint="eastAsia"/>
          <w:sz w:val="84"/>
          <w:szCs w:val="84"/>
        </w:rPr>
        <w:t>单位部门决算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both"/>
        <w:rPr>
          <w:sz w:val="56"/>
          <w:szCs w:val="56"/>
        </w:rPr>
      </w:pPr>
    </w:p>
    <w:p>
      <w:pPr>
        <w:pStyle w:val="10"/>
        <w:spacing w:line="540" w:lineRule="exact"/>
        <w:jc w:val="both"/>
        <w:rPr>
          <w:sz w:val="56"/>
          <w:szCs w:val="56"/>
        </w:rPr>
      </w:pPr>
    </w:p>
    <w:p>
      <w:pPr>
        <w:pStyle w:val="10"/>
        <w:spacing w:line="520" w:lineRule="exact"/>
        <w:jc w:val="center"/>
        <w:rPr>
          <w:sz w:val="44"/>
          <w:szCs w:val="44"/>
        </w:rPr>
      </w:pPr>
      <w:r>
        <w:rPr>
          <w:rFonts w:hint="eastAsia"/>
          <w:sz w:val="44"/>
          <w:szCs w:val="44"/>
        </w:rPr>
        <w:t>目录</w:t>
      </w:r>
    </w:p>
    <w:p>
      <w:pPr>
        <w:pStyle w:val="10"/>
        <w:spacing w:line="520" w:lineRule="exact"/>
        <w:rPr>
          <w:rFonts w:ascii="仿宋_GB2312" w:hAnsi="仿宋_GB2312" w:cs="仿宋_GB2312"/>
          <w:b/>
          <w:sz w:val="28"/>
          <w:szCs w:val="28"/>
        </w:rPr>
      </w:pPr>
      <w:r>
        <w:rPr>
          <w:rFonts w:hint="eastAsia"/>
          <w:b/>
          <w:sz w:val="28"/>
          <w:szCs w:val="28"/>
        </w:rPr>
        <w:t>第一部分单位概况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r>
        <w:rPr>
          <w:rFonts w:hint="eastAsia" w:cs="仿宋_GB2312" w:asciiTheme="minorEastAsia" w:hAnsiTheme="minorEastAsia" w:eastAsiaTheme="minorEastAsia"/>
          <w:sz w:val="28"/>
          <w:szCs w:val="28"/>
          <w:lang w:eastAsia="zh-CN"/>
        </w:rPr>
        <w:t>及决算单位构成</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w:t>
      </w:r>
      <w:r>
        <w:rPr>
          <w:rFonts w:hint="eastAsia" w:hAnsi="仿宋_GB2312"/>
          <w:b/>
          <w:sz w:val="28"/>
          <w:szCs w:val="28"/>
          <w:lang w:val="en-US" w:eastAsia="zh-CN"/>
        </w:rPr>
        <w:t>20</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ind w:firstLine="700" w:firstLineChars="250"/>
        <w:rPr>
          <w:rFonts w:hint="eastAsia" w:cs="仿宋_GB2312" w:asciiTheme="minorEastAsia" w:hAnsiTheme="minorEastAsia" w:eastAsiaTheme="minorEastAsia"/>
          <w:sz w:val="28"/>
          <w:szCs w:val="28"/>
          <w:lang w:val="en-US" w:eastAsia="zh-CN"/>
        </w:rPr>
      </w:pPr>
      <w:r>
        <w:rPr>
          <w:rFonts w:hint="eastAsia" w:cs="仿宋_GB2312" w:asciiTheme="minorEastAsia" w:hAnsiTheme="minorEastAsia" w:eastAsiaTheme="minorEastAsia"/>
          <w:sz w:val="28"/>
          <w:szCs w:val="28"/>
          <w:lang w:val="en-US" w:eastAsia="zh-CN"/>
        </w:rPr>
        <w:t>九、</w:t>
      </w:r>
      <w:r>
        <w:rPr>
          <w:rFonts w:hint="eastAsia" w:cs="仿宋_GB2312" w:asciiTheme="minorEastAsia" w:hAnsiTheme="minorEastAsia" w:eastAsiaTheme="minorEastAsia"/>
          <w:sz w:val="28"/>
          <w:szCs w:val="28"/>
          <w:lang w:eastAsia="zh-CN"/>
        </w:rPr>
        <w:t>国有资本经营预算</w:t>
      </w:r>
      <w:r>
        <w:rPr>
          <w:rFonts w:hint="eastAsia" w:cs="仿宋_GB2312" w:asciiTheme="minorEastAsia" w:hAnsiTheme="minorEastAsia" w:eastAsiaTheme="minorEastAsia"/>
          <w:sz w:val="28"/>
          <w:szCs w:val="28"/>
        </w:rPr>
        <w:t>财政拨款支出决算表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int="eastAsia" w:hAnsi="仿宋_GB2312"/>
          <w:b/>
          <w:sz w:val="28"/>
          <w:szCs w:val="28"/>
          <w:lang w:eastAsia="zh-CN"/>
        </w:rPr>
        <w:t>2020</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r>
        <w:rPr>
          <w:rFonts w:hint="eastAsia"/>
          <w:sz w:val="84"/>
          <w:szCs w:val="84"/>
        </w:rPr>
        <w:t>第一部分</w:t>
      </w:r>
      <w:r>
        <w:rPr>
          <w:sz w:val="84"/>
          <w:szCs w:val="84"/>
        </w:rPr>
        <w:t xml:space="preserve"> </w:t>
      </w:r>
    </w:p>
    <w:p>
      <w:pPr>
        <w:pStyle w:val="10"/>
        <w:jc w:val="center"/>
        <w:rPr>
          <w:sz w:val="84"/>
          <w:szCs w:val="84"/>
        </w:rPr>
      </w:pPr>
    </w:p>
    <w:p>
      <w:pPr>
        <w:pStyle w:val="10"/>
        <w:jc w:val="center"/>
        <w:rPr>
          <w:sz w:val="84"/>
          <w:szCs w:val="84"/>
        </w:rPr>
      </w:pPr>
      <w:r>
        <w:rPr>
          <w:rFonts w:hint="eastAsia"/>
          <w:sz w:val="84"/>
          <w:szCs w:val="84"/>
        </w:rPr>
        <w:t>单位概况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ind w:left="720" w:firstLine="0" w:firstLineChars="0"/>
        <w:jc w:val="left"/>
        <w:rPr>
          <w:rFonts w:ascii="黑体" w:hAnsi="黑体" w:eastAsia="黑体"/>
          <w:sz w:val="32"/>
          <w:szCs w:val="32"/>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widowControl/>
        <w:spacing w:line="480" w:lineRule="auto"/>
        <w:ind w:firstLine="480"/>
        <w:jc w:val="left"/>
        <w:rPr>
          <w:rFonts w:hint="eastAsia" w:ascii="仿宋" w:hAnsi="仿宋" w:eastAsia="仿宋" w:cs="仿宋"/>
          <w:color w:val="000000"/>
          <w:kern w:val="0"/>
          <w:sz w:val="32"/>
          <w:szCs w:val="32"/>
        </w:rPr>
      </w:pPr>
      <w:r>
        <w:rPr>
          <w:rFonts w:hint="eastAsia" w:asciiTheme="minorEastAsia" w:hAnsiTheme="minorEastAsia"/>
          <w:sz w:val="32"/>
          <w:szCs w:val="32"/>
        </w:rPr>
        <w:t>（一）</w:t>
      </w:r>
      <w:r>
        <w:rPr>
          <w:rFonts w:hint="eastAsia" w:ascii="仿宋" w:hAnsi="仿宋" w:eastAsia="仿宋" w:cs="仿宋"/>
          <w:color w:val="000000"/>
          <w:kern w:val="0"/>
          <w:sz w:val="32"/>
          <w:szCs w:val="32"/>
        </w:rPr>
        <w:t>负责拟订并组织实施全区国民经济和社会发展战略、中长期规划和年度计划，统筹协调相关总体规划、区域规划与专项规划。负责提出全区国民经济发展、价格总水平调控和优化重大经济结构的目标、措施。</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(二)负责研究全区宏观经济运行、总量平衡、经济安全和总体产业安全等重要问题，提出宏观调控措施建议。负责协调解决全区经济运行中的重大问题。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(三)负责汇总全区社会资金总体运行情况，综合分析财政、金融的执行效果，会同有关部门完善宏观调控协调机制，协调推进产业、创业等投资基金的发展。</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(四)负责研究全区经济体制改革和对外开放重大问题。负责组织拟订全区综合性经济体制改革方案，协调有关专项改革方案，会同有关部门搞好专项改革之间的衔接。</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(五)负责拟订全区社会固定资产投资总规模和投资结构的调控目标、意见及措施，统筹安排区级财政性建设资金和投资项目，编制下达政府投资年度计划。</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(六)负责贯彻实施综合性产业政策，协调全区一、二、三产业发展的重大问题并衔接平衡相关发展规划和重大政策。负责协调农业和农村经济社会发展的重大问题。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七)负责贯彻落实国家西部开发、中部崛起、长江经济带开发建设的政策措施。负责研究制定统筹促进各乡镇协调发展和老少边穷地区加快发展的战略、规划和意见措施。负责拟订并组织实施全区以工代赈规划和计划。</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(八)承担全区重要商品总量平衡和宏观调控，编制重要农产品、工业品和原材料进出口总量平衡计划并监督执行，根据全区经济运行情况对计划进行调整。</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(九)负责全区社会发展与国民经济发展的相互衔接，组织拟订全区社会发展战略、总体规划和年度计划，贯彻执行人口和计划生育、科学技术、教育、文化、卫生、民政等发展政策。</w:t>
      </w:r>
    </w:p>
    <w:p>
      <w:pPr>
        <w:widowControl/>
        <w:spacing w:line="480" w:lineRule="auto"/>
        <w:ind w:firstLine="480" w:firstLineChars="15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 负责组织编制全区国民经济动员和装备动员规划、计划，组织实施全区国民经济动员和装备动员有关工作，协调有关重大问题。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(十一) 负责组织编制全区国民经济动员和装备动员规划、计划，组织实施全区国民经济动员和装备动员有关工作，协调有关重大问题。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(十二) 负责全区粮食宏观调控，总量平衡，编制全区粮食流通及仓储、加工设施的建设规划，贯彻落实最低保护价粮食收购政策，拟定区级储备粮规模，粮食行业管理，负责做好应急救灾粮、救济粮和军工粮供应工作。</w:t>
      </w:r>
    </w:p>
    <w:p>
      <w:pPr>
        <w:widowControl/>
        <w:spacing w:line="480" w:lineRule="auto"/>
        <w:ind w:firstLine="320" w:firstLineChars="10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（十三）负责全区重大建设项目管理工作。</w:t>
      </w:r>
    </w:p>
    <w:p>
      <w:pPr>
        <w:snapToGrid w:val="0"/>
        <w:spacing w:line="520" w:lineRule="exact"/>
        <w:ind w:firstLine="320" w:firstLineChars="100"/>
        <w:rPr>
          <w:rFonts w:ascii="仿宋_GB2312" w:eastAsia="仿宋_GB2312" w:hAnsiTheme="minorEastAsia"/>
          <w:sz w:val="28"/>
          <w:szCs w:val="32"/>
        </w:rPr>
      </w:pPr>
      <w:r>
        <w:rPr>
          <w:rFonts w:hint="eastAsia" w:ascii="仿宋" w:hAnsi="仿宋" w:eastAsia="仿宋" w:cs="仿宋"/>
          <w:color w:val="000000"/>
          <w:kern w:val="0"/>
          <w:sz w:val="32"/>
          <w:szCs w:val="32"/>
        </w:rPr>
        <w:t>（十四）承办区委、区人民政府交办的其他事项。</w:t>
      </w:r>
    </w:p>
    <w:p>
      <w:pPr>
        <w:jc w:val="left"/>
        <w:rPr>
          <w:rFonts w:ascii="仿宋_GB2312" w:eastAsia="仿宋_GB2312" w:hAnsiTheme="minorEastAsia"/>
          <w:sz w:val="28"/>
          <w:szCs w:val="32"/>
        </w:rPr>
      </w:pP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rPr>
          <w:rFonts w:hint="eastAsia" w:ascii="仿宋" w:hAnsi="仿宋" w:eastAsia="仿宋" w:cs="仿宋"/>
          <w:color w:val="000000"/>
          <w:kern w:val="0"/>
          <w:sz w:val="32"/>
          <w:szCs w:val="32"/>
        </w:rPr>
      </w:pPr>
      <w:r>
        <w:rPr>
          <w:rFonts w:hint="eastAsia" w:asciiTheme="minorEastAsia" w:hAnsiTheme="minorEastAsia"/>
          <w:bCs/>
          <w:kern w:val="0"/>
          <w:sz w:val="32"/>
          <w:szCs w:val="32"/>
        </w:rPr>
        <w:t>（一）内设机构设置。</w:t>
      </w:r>
      <w:r>
        <w:rPr>
          <w:rFonts w:hint="eastAsia" w:ascii="仿宋" w:hAnsi="仿宋" w:eastAsia="仿宋" w:cs="仿宋"/>
          <w:color w:val="000000"/>
          <w:kern w:val="0"/>
          <w:sz w:val="32"/>
          <w:szCs w:val="32"/>
        </w:rPr>
        <w:t>零陵区发改局内设机构为16个：办公室、行政审批股、招投标管理办公室、工业基础产业和高新技术股、农村经济股、固定资产投资股、社会发展股、财政经贸股、能源股、前期办、价格调控和价费管理股、商品、服务价格管理股、政工股、重点项目管理股、粮食调控与物质储备股、粮食行业发展和秩序监督股。下辖1个正股级单位。</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（二）决算单位构成。</w:t>
      </w:r>
      <w:r>
        <w:rPr>
          <w:rFonts w:hint="eastAsia" w:ascii="仿宋" w:hAnsi="仿宋" w:eastAsia="仿宋" w:cs="仿宋"/>
          <w:color w:val="000000"/>
          <w:kern w:val="0"/>
          <w:sz w:val="32"/>
          <w:szCs w:val="32"/>
          <w:lang w:eastAsia="zh-CN"/>
        </w:rPr>
        <w:t>零陵区发改局2020</w:t>
      </w:r>
      <w:r>
        <w:rPr>
          <w:rFonts w:hint="eastAsia" w:ascii="仿宋" w:hAnsi="仿宋" w:eastAsia="仿宋" w:cs="仿宋"/>
          <w:color w:val="000000"/>
          <w:kern w:val="0"/>
          <w:sz w:val="32"/>
          <w:szCs w:val="32"/>
        </w:rPr>
        <w:t>年部门决算汇总公开单位构成包括：</w:t>
      </w:r>
      <w:r>
        <w:rPr>
          <w:rFonts w:hint="eastAsia" w:ascii="仿宋" w:hAnsi="仿宋" w:eastAsia="仿宋" w:cs="仿宋"/>
          <w:color w:val="000000"/>
          <w:kern w:val="0"/>
          <w:sz w:val="32"/>
          <w:szCs w:val="32"/>
          <w:lang w:eastAsia="zh-CN"/>
        </w:rPr>
        <w:t>零陵区发改局</w:t>
      </w:r>
      <w:r>
        <w:rPr>
          <w:rFonts w:hint="eastAsia" w:ascii="仿宋" w:hAnsi="仿宋" w:eastAsia="仿宋" w:cs="仿宋"/>
          <w:color w:val="000000"/>
          <w:kern w:val="0"/>
          <w:sz w:val="32"/>
          <w:szCs w:val="32"/>
        </w:rPr>
        <w:t>单位本级</w:t>
      </w:r>
      <w:r>
        <w:rPr>
          <w:rFonts w:hint="eastAsia" w:ascii="仿宋" w:hAnsi="仿宋" w:eastAsia="仿宋" w:cs="仿宋"/>
          <w:color w:val="000000"/>
          <w:kern w:val="0"/>
          <w:sz w:val="32"/>
          <w:szCs w:val="32"/>
          <w:lang w:eastAsia="zh-CN"/>
        </w:rPr>
        <w:t>。</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327" w:right="1800" w:bottom="1440" w:left="1689" w:header="851" w:footer="992" w:gutter="0"/>
          <w:cols w:space="0" w:num="1"/>
          <w:rtlGutter w:val="0"/>
          <w:docGrid w:type="lines" w:linePitch="312" w:charSpace="0"/>
        </w:sectPr>
      </w:pPr>
    </w:p>
    <w:p>
      <w:pPr>
        <w:jc w:val="center"/>
        <w:rPr>
          <w:rFonts w:ascii="黑体" w:hAnsi="黑体" w:eastAsia="黑体"/>
          <w:sz w:val="36"/>
          <w:szCs w:val="32"/>
        </w:rPr>
      </w:pPr>
      <w:r>
        <w:rPr>
          <w:rFonts w:hint="eastAsia" w:ascii="黑体" w:hAnsi="黑体" w:eastAsia="黑体"/>
          <w:sz w:val="36"/>
          <w:szCs w:val="32"/>
        </w:rPr>
        <w:t>收入支出决算总表</w:t>
      </w:r>
    </w:p>
    <w:p>
      <w:pPr>
        <w:widowControl/>
        <w:spacing w:line="320" w:lineRule="exact"/>
        <w:ind w:right="198"/>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w:t>
      </w:r>
      <w:r>
        <w:rPr>
          <w:rFonts w:ascii="Times New Roman" w:hAnsi="Times New Roman" w:eastAsia="仿宋_GB2312" w:cs="Times New Roman"/>
          <w:color w:val="000000"/>
          <w:kern w:val="0"/>
          <w:szCs w:val="21"/>
        </w:rPr>
        <w:t>01</w:t>
      </w:r>
      <w:r>
        <w:rPr>
          <w:rFonts w:hint="eastAsia" w:ascii="Times New Roman" w:hAnsi="Times New Roman" w:eastAsia="仿宋_GB2312" w:cs="Times New Roman"/>
          <w:color w:val="000000"/>
          <w:kern w:val="0"/>
          <w:szCs w:val="21"/>
        </w:rPr>
        <w:t>表</w:t>
      </w:r>
    </w:p>
    <w:p>
      <w:pPr>
        <w:widowControl/>
        <w:spacing w:line="320" w:lineRule="exact"/>
        <w:ind w:right="198"/>
        <w:jc w:val="righ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单位：万元</w:t>
      </w:r>
    </w:p>
    <w:tbl>
      <w:tblPr>
        <w:tblStyle w:val="6"/>
        <w:tblW w:w="14061" w:type="dxa"/>
        <w:jc w:val="center"/>
        <w:tblLayout w:type="fixed"/>
        <w:tblCellMar>
          <w:top w:w="0" w:type="dxa"/>
          <w:left w:w="108" w:type="dxa"/>
          <w:bottom w:w="0" w:type="dxa"/>
          <w:right w:w="108" w:type="dxa"/>
        </w:tblCellMar>
      </w:tblPr>
      <w:tblGrid>
        <w:gridCol w:w="4932"/>
        <w:gridCol w:w="702"/>
        <w:gridCol w:w="1224"/>
        <w:gridCol w:w="4820"/>
        <w:gridCol w:w="702"/>
        <w:gridCol w:w="1681"/>
      </w:tblGrid>
      <w:tr>
        <w:tblPrEx>
          <w:tblCellMar>
            <w:top w:w="0" w:type="dxa"/>
            <w:left w:w="108" w:type="dxa"/>
            <w:bottom w:w="0" w:type="dxa"/>
            <w:right w:w="108" w:type="dxa"/>
          </w:tblCellMar>
        </w:tblPrEx>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959.56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二、社会保障和就业支出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88.36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三、农林水支出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160.13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四、资源勘探工业信息等支出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708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五、粮油物资储备支出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304.3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六、其他支出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0.3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　</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2220.64</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　</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2220.64</w:t>
            </w:r>
          </w:p>
        </w:tc>
      </w:tr>
    </w:tbl>
    <w:p>
      <w:pPr>
        <w:widowControl/>
        <w:jc w:val="left"/>
        <w:rPr>
          <w:rFonts w:ascii="黑体" w:hAnsi="黑体" w:eastAsia="黑体"/>
          <w:sz w:val="28"/>
          <w:szCs w:val="28"/>
        </w:rPr>
        <w:sectPr>
          <w:pgSz w:w="16838" w:h="11906" w:orient="landscape"/>
          <w:pgMar w:top="1797" w:right="1440" w:bottom="1797" w:left="1440" w:header="851" w:footer="992" w:gutter="0"/>
          <w:cols w:space="425" w:num="1"/>
          <w:docGrid w:type="linesAndChars" w:linePitch="312" w:charSpace="0"/>
        </w:sectPr>
      </w:pPr>
      <w:r>
        <w:rPr>
          <w:rFonts w:hint="eastAsia" w:ascii="Times New Roman" w:hAnsi="Times New Roman" w:eastAsia="仿宋_GB2312" w:cs="Times New Roman"/>
          <w:kern w:val="0"/>
          <w:szCs w:val="21"/>
        </w:rPr>
        <w:t>注：本表反映部门本年度的总收支和年末结转结余情况。</w:t>
      </w: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收入决算表</w:t>
      </w:r>
    </w:p>
    <w:p>
      <w:pPr>
        <w:widowControl/>
        <w:ind w:firstLine="630" w:firstLineChars="30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公开02表</w:t>
      </w:r>
    </w:p>
    <w:p>
      <w:pPr>
        <w:widowControl/>
        <w:ind w:right="63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3813" w:type="dxa"/>
        <w:jc w:val="center"/>
        <w:tblLayout w:type="fixed"/>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pPr>
              <w:widowControl/>
              <w:jc w:val="left"/>
              <w:rPr>
                <w:rFonts w:ascii="Times New Roman" w:hAnsi="Times New Roman" w:eastAsia="仿宋_GB2312" w:cs="Times New Roman"/>
                <w:kern w:val="0"/>
                <w:szCs w:val="21"/>
              </w:rPr>
            </w:pPr>
          </w:p>
        </w:tc>
        <w:tc>
          <w:tcPr>
            <w:tcW w:w="1188"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676"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9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76"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38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41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676"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2011"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2,220.64</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2,220.64</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959.56</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959.56</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929.56</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929.56</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880.56</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880.56</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其他发展与改革事务支出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88.36</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88.36</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人力资源和社会保障管理事务</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其他人力资源和社会保障管理事务支出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行政事业单位养老支出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就业补助</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4.70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4.70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2080705</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公益性岗位补贴</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其他就业补助支出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2.70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2.70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抚恤</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其他优抚支出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农林水支出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160.13</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160.13</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21303</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水利</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2130399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其他水利支出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扶贫</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其他扶贫支出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资源勘探工业信息等支出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其他资源勘探工业信息等支出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2159999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其他资源勘探工业信息等支出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粮油物资储备支出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粮油事务</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2220106</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粮食专项业务活动</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w:t>
            </w:r>
          </w:p>
        </w:tc>
        <w:tc>
          <w:tcPr>
            <w:tcW w:w="118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5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8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7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1"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single" w:color="auto" w:sz="8" w:space="0"/>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bl>
    <w:p>
      <w:pPr>
        <w:widowControl/>
        <w:jc w:val="left"/>
        <w:rPr>
          <w:rFonts w:ascii="Times New Roman" w:hAnsi="Times New Roman" w:eastAsia="黑体" w:cs="Times New Roman"/>
          <w:bCs/>
          <w:kern w:val="0"/>
          <w:sz w:val="32"/>
          <w:szCs w:val="32"/>
        </w:rPr>
      </w:pPr>
    </w:p>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br w:type="page"/>
      </w:r>
    </w:p>
    <w:p>
      <w:pPr>
        <w:widowControl/>
        <w:rPr>
          <w:rFonts w:ascii="Times New Roman" w:hAnsi="Times New Roman" w:eastAsia="方正小标宋_GBK" w:cs="Times New Roman"/>
          <w:color w:val="000000"/>
          <w:kern w:val="0"/>
          <w:sz w:val="36"/>
          <w:szCs w:val="36"/>
        </w:rPr>
      </w:pP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支出决算表</w:t>
      </w:r>
    </w:p>
    <w:p>
      <w:pPr>
        <w:widowControl/>
        <w:spacing w:line="400" w:lineRule="exact"/>
        <w:ind w:firstLine="600" w:firstLineChars="300"/>
        <w:jc w:val="lef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 xml:space="preserve">部门： </w:t>
      </w:r>
      <w:r>
        <w:rPr>
          <w:rFonts w:hint="eastAsia" w:ascii="Times New Roman" w:hAnsi="Times New Roman" w:eastAsia="仿宋_GB2312" w:cs="Times New Roman"/>
          <w:color w:val="000000"/>
          <w:kern w:val="0"/>
          <w:sz w:val="20"/>
          <w:szCs w:val="20"/>
          <w:lang w:eastAsia="zh-CN"/>
        </w:rPr>
        <w:t>零陵区发改局</w:t>
      </w:r>
      <w:r>
        <w:rPr>
          <w:rFonts w:ascii="Times New Roman" w:hAnsi="Times New Roman" w:eastAsia="仿宋_GB2312" w:cs="Times New Roman"/>
          <w:color w:val="000000"/>
          <w:kern w:val="0"/>
          <w:sz w:val="20"/>
          <w:szCs w:val="20"/>
        </w:rPr>
        <w:t xml:space="preserve">                                                                                                                公开03表</w:t>
      </w:r>
    </w:p>
    <w:p>
      <w:pPr>
        <w:widowControl/>
        <w:spacing w:line="400" w:lineRule="exact"/>
        <w:ind w:right="700"/>
        <w:jc w:val="righ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单位：万元</w:t>
      </w:r>
    </w:p>
    <w:tbl>
      <w:tblPr>
        <w:tblStyle w:val="6"/>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249"/>
        <w:gridCol w:w="1775"/>
        <w:gridCol w:w="1985"/>
        <w:gridCol w:w="1842"/>
        <w:gridCol w:w="1843"/>
        <w:gridCol w:w="1985"/>
        <w:gridCol w:w="230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77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98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84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1843"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98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2308"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249"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77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249"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77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77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98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42"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43"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98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308"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2,220.64</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1,105.21</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1,115.43</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959.56</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959.56</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929.56</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929.56</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880.56</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880.56</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其他发展与改革事务支出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88.36</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88.36</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人力资源和社会保障管理事务</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其他人力资源和社会保障管理事务支出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行政事业单位养老支出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就业补助</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4.70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4.70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2080705</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公益性岗位补贴</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其他就业补助支出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2.70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2.70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抚恤</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其他优抚支出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农林水支出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160.13</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21303</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水利</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2130399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其他水利支出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扶贫</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其他扶贫支出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资源勘探工业信息等支出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其他资源勘探工业信息等支出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2159999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其他资源勘探工业信息等支出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粮油物资储备支出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粮油事务</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2220106</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粮食专项业务活动</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2299901</w:t>
            </w:r>
          </w:p>
        </w:tc>
        <w:tc>
          <w:tcPr>
            <w:tcW w:w="1249"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其他支出</w:t>
            </w:r>
          </w:p>
        </w:tc>
        <w:tc>
          <w:tcPr>
            <w:tcW w:w="177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184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43"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8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308"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bl>
    <w:p>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pPr>
        <w:widowControl/>
        <w:tabs>
          <w:tab w:val="left" w:pos="4453"/>
          <w:tab w:val="left" w:pos="4933"/>
          <w:tab w:val="left" w:pos="6813"/>
          <w:tab w:val="left" w:pos="11113"/>
          <w:tab w:val="left" w:pos="11549"/>
          <w:tab w:val="left" w:pos="13429"/>
          <w:tab w:val="left" w:pos="15089"/>
        </w:tabs>
        <w:spacing w:line="240" w:lineRule="exact"/>
        <w:ind w:left="91" w:right="630"/>
        <w:jc w:val="right"/>
        <w:rPr>
          <w:rFonts w:ascii="Times New Roman" w:hAnsi="Times New Roman" w:eastAsia="宋体" w:cs="Times New Roman"/>
          <w:color w:val="000000"/>
          <w:kern w:val="0"/>
          <w:szCs w:val="21"/>
        </w:rPr>
      </w:pPr>
      <w:r>
        <w:rPr>
          <w:rFonts w:ascii="Times New Roman" w:hAnsi="Times New Roman" w:eastAsia="宋体" w:cs="Times New Roman"/>
          <w:color w:val="000000"/>
          <w:kern w:val="0"/>
          <w:szCs w:val="21"/>
        </w:rPr>
        <w:t>公开04表</w:t>
      </w:r>
    </w:p>
    <w:p>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 w:val="20"/>
          <w:szCs w:val="20"/>
        </w:rPr>
        <w:t xml:space="preserve"> </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6"/>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994"/>
        <w:gridCol w:w="480"/>
        <w:gridCol w:w="1880"/>
        <w:gridCol w:w="3761"/>
        <w:gridCol w:w="430"/>
        <w:gridCol w:w="1880"/>
        <w:gridCol w:w="1660"/>
        <w:gridCol w:w="157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w:t>
            </w: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一、一般公共服务支出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959.56</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959.56</w:t>
            </w:r>
            <w:r>
              <w:rPr>
                <w:rFonts w:ascii="Times New Roman" w:hAnsi="Times New Roman" w:eastAsia="仿宋_GB2312" w:cs="Times New Roman"/>
                <w:kern w:val="0"/>
                <w:szCs w:val="21"/>
              </w:rPr>
              <w:t>　</w:t>
            </w:r>
          </w:p>
        </w:tc>
        <w:tc>
          <w:tcPr>
            <w:tcW w:w="157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w:t>
            </w:r>
            <w:r>
              <w:rPr>
                <w:rFonts w:hint="eastAsia" w:ascii="Times New Roman" w:hAnsi="Times New Roman" w:eastAsia="仿宋_GB2312" w:cs="Times New Roman"/>
                <w:kern w:val="0"/>
                <w:szCs w:val="21"/>
              </w:rPr>
              <w:t>社会保障和就业支出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88.36</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88.36</w:t>
            </w:r>
            <w:r>
              <w:rPr>
                <w:rFonts w:ascii="Times New Roman" w:hAnsi="Times New Roman" w:eastAsia="仿宋_GB2312" w:cs="Times New Roman"/>
                <w:kern w:val="0"/>
                <w:szCs w:val="21"/>
              </w:rPr>
              <w:t>　</w:t>
            </w:r>
          </w:p>
        </w:tc>
        <w:tc>
          <w:tcPr>
            <w:tcW w:w="157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三、</w:t>
            </w:r>
            <w:r>
              <w:rPr>
                <w:rFonts w:hint="eastAsia" w:ascii="Times New Roman" w:hAnsi="Times New Roman" w:eastAsia="仿宋_GB2312" w:cs="Times New Roman"/>
                <w:kern w:val="0"/>
                <w:szCs w:val="21"/>
              </w:rPr>
              <w:t>农林水支出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160.13</w:t>
            </w: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160.13</w:t>
            </w:r>
            <w:r>
              <w:rPr>
                <w:rFonts w:ascii="Times New Roman" w:hAnsi="Times New Roman" w:eastAsia="仿宋_GB2312" w:cs="Times New Roman"/>
                <w:kern w:val="0"/>
                <w:szCs w:val="21"/>
              </w:rPr>
              <w:t>　</w:t>
            </w:r>
          </w:p>
        </w:tc>
        <w:tc>
          <w:tcPr>
            <w:tcW w:w="157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四、</w:t>
            </w:r>
            <w:r>
              <w:rPr>
                <w:rFonts w:hint="eastAsia" w:ascii="Times New Roman" w:hAnsi="Times New Roman" w:eastAsia="仿宋_GB2312" w:cs="Times New Roman"/>
                <w:kern w:val="0"/>
                <w:szCs w:val="21"/>
              </w:rPr>
              <w:t>资源勘探工业信息等支出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708</w:t>
            </w: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708</w:t>
            </w:r>
          </w:p>
        </w:tc>
        <w:tc>
          <w:tcPr>
            <w:tcW w:w="157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五、</w:t>
            </w:r>
            <w:r>
              <w:rPr>
                <w:rFonts w:hint="eastAsia" w:ascii="Times New Roman" w:hAnsi="Times New Roman" w:eastAsia="仿宋_GB2312" w:cs="Times New Roman"/>
                <w:kern w:val="0"/>
                <w:szCs w:val="21"/>
              </w:rPr>
              <w:t>粮油物资储备支出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304.3</w:t>
            </w: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304.3</w:t>
            </w:r>
            <w:r>
              <w:rPr>
                <w:rFonts w:ascii="Times New Roman" w:hAnsi="Times New Roman" w:eastAsia="仿宋_GB2312" w:cs="Times New Roman"/>
                <w:kern w:val="0"/>
                <w:szCs w:val="21"/>
              </w:rPr>
              <w:t>　</w:t>
            </w:r>
          </w:p>
        </w:tc>
        <w:tc>
          <w:tcPr>
            <w:tcW w:w="157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六、</w:t>
            </w:r>
            <w:r>
              <w:rPr>
                <w:rFonts w:hint="eastAsia" w:ascii="Times New Roman" w:hAnsi="Times New Roman" w:eastAsia="仿宋_GB2312" w:cs="Times New Roman"/>
                <w:kern w:val="0"/>
                <w:szCs w:val="21"/>
              </w:rPr>
              <w:t>其他支出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0.3</w:t>
            </w: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0.3</w:t>
            </w:r>
          </w:p>
        </w:tc>
        <w:tc>
          <w:tcPr>
            <w:tcW w:w="157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w:t>
            </w:r>
            <w:r>
              <w:rPr>
                <w:rFonts w:ascii="Times New Roman" w:hAnsi="Times New Roman" w:eastAsia="仿宋_GB2312" w:cs="Times New Roman"/>
                <w:kern w:val="0"/>
                <w:szCs w:val="21"/>
              </w:rPr>
              <w:t>　</w:t>
            </w:r>
          </w:p>
        </w:tc>
        <w:tc>
          <w:tcPr>
            <w:tcW w:w="3761"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w:t>
            </w: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w:t>
            </w: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w:t>
            </w:r>
            <w:r>
              <w:rPr>
                <w:rFonts w:ascii="Times New Roman" w:hAnsi="Times New Roman" w:eastAsia="仿宋_GB2312" w:cs="Times New Roman"/>
                <w:kern w:val="0"/>
                <w:szCs w:val="21"/>
              </w:rPr>
              <w:t>　</w:t>
            </w:r>
          </w:p>
        </w:tc>
        <w:tc>
          <w:tcPr>
            <w:tcW w:w="3761"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w:t>
            </w: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2220.64</w:t>
            </w: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p>
      <w:pPr>
        <w:widowControl/>
        <w:jc w:val="center"/>
        <w:rPr>
          <w:rFonts w:ascii="Times New Roman" w:hAnsi="Times New Roman" w:eastAsia="方正小标宋_GBK" w:cs="Times New Roman"/>
          <w:kern w:val="0"/>
          <w:sz w:val="36"/>
          <w:szCs w:val="36"/>
        </w:rPr>
      </w:pPr>
      <w:bookmarkStart w:id="0" w:name="RANGE!A1:F16"/>
      <w:r>
        <w:rPr>
          <w:rFonts w:ascii="Times New Roman" w:hAnsi="Times New Roman" w:eastAsia="方正小标宋_GBK" w:cs="Times New Roman"/>
          <w:kern w:val="0"/>
          <w:sz w:val="36"/>
          <w:szCs w:val="36"/>
        </w:rPr>
        <w:t>一般公共预算财政拨款支出决算表</w:t>
      </w:r>
      <w:bookmarkEnd w:id="0"/>
    </w:p>
    <w:p>
      <w:pPr>
        <w:widowControl/>
        <w:spacing w:before="156"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公开05表</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6"/>
        <w:tblW w:w="14219" w:type="dxa"/>
        <w:jc w:val="center"/>
        <w:tblLayout w:type="fixed"/>
        <w:tblCellMar>
          <w:top w:w="0" w:type="dxa"/>
          <w:left w:w="108" w:type="dxa"/>
          <w:bottom w:w="0" w:type="dxa"/>
          <w:right w:w="108" w:type="dxa"/>
        </w:tblCellMar>
      </w:tblPr>
      <w:tblGrid>
        <w:gridCol w:w="1200"/>
        <w:gridCol w:w="3527"/>
        <w:gridCol w:w="3000"/>
        <w:gridCol w:w="3492"/>
        <w:gridCol w:w="3000"/>
      </w:tblGrid>
      <w:tr>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9492" w:type="dxa"/>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300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300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300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959.56</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959.56</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929.56</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929.56</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880.56</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880.56</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其他发展与改革事务支出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88.36</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88.36</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人力资源和社会保障管理事务</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其他人力资源和社会保障管理事务支出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2.55</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行政事业单位养老支出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76.30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就业补助</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4.70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4.70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2080705</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公益性岗位补贴</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其他就业补助支出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2.70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2.70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抚恤</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其他优抚支出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4.81</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农林水支出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160.13</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21303</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水利</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2130399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其他水利支出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57.00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扶贫</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其他扶贫支出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103.13</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资源勘探工业信息等支出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其他资源勘探工业信息等支出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2159999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其他资源勘探工业信息等支出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708.00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粮油物资储备支出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粮油事务</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2220106</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粮食专项业务活动</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304.30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2299901</w:t>
            </w:r>
          </w:p>
        </w:tc>
        <w:tc>
          <w:tcPr>
            <w:tcW w:w="352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其他支出</w:t>
            </w:r>
          </w:p>
        </w:tc>
        <w:tc>
          <w:tcPr>
            <w:tcW w:w="30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349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0.30</w:t>
            </w:r>
          </w:p>
        </w:tc>
        <w:tc>
          <w:tcPr>
            <w:tcW w:w="3000"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pPr>
        <w:widowControl/>
        <w:jc w:val="left"/>
        <w:rPr>
          <w:rFonts w:ascii="Times New Roman" w:hAnsi="Times New Roman" w:eastAsia="仿宋_GB2312" w:cs="Times New Roman"/>
          <w:bCs/>
          <w:kern w:val="0"/>
          <w:szCs w:val="21"/>
        </w:rPr>
      </w:pP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jc w:val="center"/>
        <w:rPr>
          <w:rFonts w:ascii="Times New Roman" w:hAnsi="Times New Roman" w:eastAsia="方正小标宋_GBK" w:cs="Times New Roman"/>
          <w:color w:val="000000"/>
          <w:kern w:val="0"/>
          <w:sz w:val="28"/>
          <w:szCs w:val="36"/>
        </w:rPr>
      </w:pPr>
      <w:bookmarkStart w:id="1" w:name="RANGE!A1:I39"/>
      <w:r>
        <w:rPr>
          <w:rFonts w:ascii="Times New Roman" w:hAnsi="Times New Roman" w:eastAsia="方正小标宋_GBK" w:cs="Times New Roman"/>
          <w:color w:val="000000"/>
          <w:kern w:val="0"/>
          <w:sz w:val="28"/>
          <w:szCs w:val="36"/>
        </w:rPr>
        <w:t>一般公共预算财政拨款基本支出决算表</w:t>
      </w:r>
      <w:bookmarkEnd w:id="1"/>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公开06表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5900" w:type="dxa"/>
        <w:tblInd w:w="93" w:type="dxa"/>
        <w:tblLayout w:type="fixed"/>
        <w:tblCellMar>
          <w:top w:w="0" w:type="dxa"/>
          <w:left w:w="108" w:type="dxa"/>
          <w:bottom w:w="0" w:type="dxa"/>
          <w:right w:w="108" w:type="dxa"/>
        </w:tblCellMar>
      </w:tblPr>
      <w:tblGrid>
        <w:gridCol w:w="1149"/>
        <w:gridCol w:w="3306"/>
        <w:gridCol w:w="856"/>
        <w:gridCol w:w="1110"/>
        <w:gridCol w:w="2297"/>
        <w:gridCol w:w="856"/>
        <w:gridCol w:w="1076"/>
        <w:gridCol w:w="4064"/>
        <w:gridCol w:w="1186"/>
      </w:tblGrid>
      <w:tr>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30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11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297"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4064"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18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3306"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596.47</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297"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457.87</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4064"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基本工资</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201.47</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17.91</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国内债务付息</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津贴补贴</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135.62</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印刷费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3.64</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国外债务付息</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奖金</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114.77</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咨询费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106.00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4064"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5.48</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伙食补助费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25.68</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手续费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房屋建筑物购建</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绩效工资</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31.44</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水费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1.23</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办公设备购置</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5.48</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机关事业单位基本养老保险费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48.70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电费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3.09</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专用设备购置</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职业年金缴费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邮电费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3.58</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基础设施建设</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职工基本医疗保险缴费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22.40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取暖费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大型修缮</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公务员医疗补助缴费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物业管理费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0.92</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信息网络及软件购置更新</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其他社会保障缴费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5.19</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差旅费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12.86</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物资储备</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住房公积金</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因公出国（境）费用</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土地补偿</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维修（护）费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11.16</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安置补助</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其他工资福利支出</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11.20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租赁费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地上附着物和青苗补偿</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3306"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45.39</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会议费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拆迁补偿</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离休费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培训费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0.12</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公务用车购置</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退休费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公务接待费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9.56</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其他交通工具购置</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退职（役）费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专用材料费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文物和陈列品购置</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抚恤金</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被装购置费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无形资产购置</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生活补助</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38.73</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专用燃料费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其他资本性支出</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救济费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劳务费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6.87</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4064"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医疗费补助</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委托业务费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225.22</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赠与</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助学金</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297"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工会经费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34.56</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4064"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国家赔偿费用支出</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奖励金</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2.82</w:t>
            </w:r>
          </w:p>
        </w:tc>
        <w:tc>
          <w:tcPr>
            <w:tcW w:w="11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297"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4064"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个人农业生产补贴</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1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297"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4064"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3306" w:type="dxa"/>
            <w:tcBorders>
              <w:top w:val="single" w:color="auto" w:sz="8" w:space="0"/>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对其他个人和家庭的补助支出</w:t>
            </w:r>
          </w:p>
        </w:tc>
        <w:tc>
          <w:tcPr>
            <w:tcW w:w="856" w:type="dxa"/>
            <w:tcBorders>
              <w:top w:val="single" w:color="auto" w:sz="8" w:space="0"/>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3.84</w:t>
            </w:r>
          </w:p>
        </w:tc>
        <w:tc>
          <w:tcPr>
            <w:tcW w:w="1110"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297"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856" w:type="dxa"/>
            <w:tcBorders>
              <w:top w:val="single" w:color="auto" w:sz="8" w:space="0"/>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0.81</w:t>
            </w:r>
          </w:p>
        </w:tc>
        <w:tc>
          <w:tcPr>
            <w:tcW w:w="1076" w:type="dxa"/>
            <w:tcBorders>
              <w:top w:val="single" w:color="auto" w:sz="8" w:space="0"/>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064"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86" w:type="dxa"/>
            <w:tcBorders>
              <w:top w:val="single" w:color="auto" w:sz="8" w:space="0"/>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297"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064"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86" w:type="dxa"/>
            <w:tcBorders>
              <w:top w:val="nil"/>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856" w:type="dxa"/>
            <w:tcBorders>
              <w:top w:val="nil"/>
              <w:left w:val="nil"/>
              <w:bottom w:val="single" w:color="auto" w:sz="8" w:space="0"/>
              <w:right w:val="single" w:color="auto" w:sz="8" w:space="0"/>
            </w:tcBorders>
            <w:shd w:val="clear" w:color="auto" w:fill="auto"/>
            <w:vAlign w:val="center"/>
          </w:tcPr>
          <w:p>
            <w:pPr>
              <w:jc w:val="right"/>
              <w:rPr>
                <w:rFonts w:ascii="Times New Roman" w:hAnsi="Times New Roman" w:eastAsia="宋体" w:cs="Times New Roman"/>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297"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20.36</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064"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86" w:type="dxa"/>
            <w:tcBorders>
              <w:top w:val="nil"/>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4455" w:type="dxa"/>
            <w:gridSpan w:val="2"/>
            <w:tcBorders>
              <w:top w:val="nil"/>
              <w:left w:val="single" w:color="auto" w:sz="8" w:space="0"/>
              <w:bottom w:val="single" w:color="auto" w:sz="8" w:space="0"/>
              <w:right w:val="single" w:color="auto" w:sz="8" w:space="0"/>
            </w:tcBorders>
            <w:shd w:val="clear" w:color="auto" w:fill="auto"/>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85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641.85</w:t>
            </w:r>
          </w:p>
        </w:tc>
        <w:tc>
          <w:tcPr>
            <w:tcW w:w="9403" w:type="dxa"/>
            <w:gridSpan w:val="5"/>
            <w:tcBorders>
              <w:top w:val="nil"/>
              <w:left w:val="nil"/>
              <w:bottom w:val="single" w:color="auto" w:sz="8" w:space="0"/>
              <w:right w:val="single" w:color="auto" w:sz="8" w:space="0"/>
            </w:tcBorders>
            <w:shd w:val="clear" w:color="auto" w:fill="auto"/>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18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463.36</w:t>
            </w:r>
          </w:p>
        </w:tc>
      </w:tr>
    </w:tbl>
    <w:p>
      <w:pPr>
        <w:widowControl/>
        <w:jc w:val="left"/>
        <w:rPr>
          <w:rFonts w:ascii="黑体" w:hAnsi="黑体" w:eastAsia="黑体"/>
          <w:szCs w:val="21"/>
        </w:rPr>
      </w:pPr>
      <w:r>
        <w:rPr>
          <w:rFonts w:hint="eastAsia" w:ascii="黑体" w:hAnsi="黑体" w:eastAsia="黑体"/>
          <w:szCs w:val="21"/>
        </w:rPr>
        <w:t>注：本表反映部门年度一般公共预算财政拨款基本支出明细情况。</w:t>
      </w:r>
      <w:r>
        <w:rPr>
          <w:rFonts w:ascii="黑体" w:hAnsi="黑体" w:eastAsia="黑体"/>
          <w:szCs w:val="21"/>
        </w:rPr>
        <w:br w:type="page"/>
      </w:r>
    </w:p>
    <w:p>
      <w:pPr>
        <w:widowControl/>
        <w:jc w:val="center"/>
        <w:rPr>
          <w:rFonts w:ascii="Times New Roman" w:hAnsi="Times New Roman" w:eastAsia="方正小标宋_GBK" w:cs="Times New Roman"/>
          <w:color w:val="000000"/>
          <w:kern w:val="0"/>
          <w:sz w:val="36"/>
          <w:szCs w:val="36"/>
        </w:rPr>
      </w:pPr>
      <w:r>
        <w:rPr>
          <w:rFonts w:hint="eastAsia" w:ascii="Times New Roman" w:hAnsi="Times New Roman" w:eastAsia="方正小标宋_GBK" w:cs="Times New Roman"/>
          <w:color w:val="000000"/>
          <w:kern w:val="0"/>
          <w:sz w:val="36"/>
          <w:szCs w:val="36"/>
        </w:rPr>
        <w:t>一般公共预算财政拨款“三公”经费支出决算表</w:t>
      </w:r>
    </w:p>
    <w:p>
      <w:pPr>
        <w:widowControl/>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w:t>
      </w:r>
      <w:r>
        <w:rPr>
          <w:rFonts w:hint="eastAsia" w:ascii="Times New Roman" w:hAnsi="Times New Roman" w:eastAsia="仿宋_GB2312" w:cs="Times New Roman"/>
          <w:color w:val="000000"/>
          <w:kern w:val="0"/>
          <w:szCs w:val="21"/>
        </w:rPr>
        <w:t>7</w:t>
      </w:r>
      <w:r>
        <w:rPr>
          <w:rFonts w:ascii="Times New Roman" w:hAnsi="Times New Roman" w:eastAsia="仿宋_GB2312" w:cs="Times New Roman"/>
          <w:color w:val="000000"/>
          <w:kern w:val="0"/>
          <w:szCs w:val="21"/>
        </w:rPr>
        <w:t>表</w:t>
      </w:r>
    </w:p>
    <w:p>
      <w:pPr>
        <w:widowControl/>
        <w:ind w:right="42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4640" w:type="dxa"/>
        <w:jc w:val="center"/>
        <w:tblLayout w:type="fixed"/>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预算数</w:t>
            </w:r>
          </w:p>
        </w:tc>
        <w:tc>
          <w:tcPr>
            <w:tcW w:w="7320" w:type="dxa"/>
            <w:gridSpan w:val="6"/>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c>
          <w:tcPr>
            <w:tcW w:w="1220" w:type="dxa"/>
            <w:vMerge w:val="restart"/>
            <w:tcBorders>
              <w:top w:val="nil"/>
              <w:left w:val="nil"/>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r>
      <w:tr>
        <w:tblPrEx>
          <w:tblCellMar>
            <w:top w:w="0" w:type="dxa"/>
            <w:left w:w="108" w:type="dxa"/>
            <w:bottom w:w="0" w:type="dxa"/>
            <w:right w:w="108" w:type="dxa"/>
          </w:tblCellMar>
        </w:tblPrEx>
        <w:trPr>
          <w:trHeight w:val="397" w:hRule="atLeast"/>
          <w:jc w:val="center"/>
        </w:trPr>
        <w:tc>
          <w:tcPr>
            <w:tcW w:w="1220" w:type="dxa"/>
            <w:vMerge w:val="continue"/>
            <w:tcBorders>
              <w:top w:val="nil"/>
              <w:left w:val="single" w:color="auto" w:sz="8"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nil"/>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15.00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15.00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9.56</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nil"/>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single" w:color="auto" w:sz="4" w:space="0"/>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9.56</w:t>
            </w:r>
          </w:p>
        </w:tc>
      </w:tr>
    </w:tbl>
    <w:p>
      <w:pPr>
        <w:autoSpaceDE w:val="0"/>
        <w:autoSpaceDN w:val="0"/>
        <w:adjustRightInd w:val="0"/>
        <w:ind w:left="315" w:leftChars="150"/>
        <w:jc w:val="left"/>
        <w:rPr>
          <w:rFonts w:ascii="宋体" w:eastAsia="宋体" w:cs="宋体"/>
          <w:kern w:val="0"/>
          <w:sz w:val="24"/>
          <w:szCs w:val="24"/>
        </w:rPr>
      </w:pPr>
      <w:r>
        <w:rPr>
          <w:rFonts w:hint="eastAsia" w:ascii="宋体" w:eastAsia="宋体" w:cs="宋体"/>
          <w:kern w:val="0"/>
          <w:sz w:val="24"/>
          <w:szCs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pPr>
        <w:widowControl/>
        <w:jc w:val="left"/>
        <w:rPr>
          <w:rFonts w:ascii="宋体" w:eastAsia="宋体" w:cs="宋体"/>
          <w:kern w:val="0"/>
          <w:sz w:val="24"/>
          <w:szCs w:val="24"/>
        </w:rPr>
      </w:pPr>
      <w:r>
        <w:rPr>
          <w:rFonts w:ascii="宋体" w:eastAsia="宋体" w:cs="宋体"/>
          <w:kern w:val="0"/>
          <w:sz w:val="24"/>
          <w:szCs w:val="24"/>
        </w:rPr>
        <w:br w:type="page"/>
      </w:r>
    </w:p>
    <w:p>
      <w:pPr>
        <w:autoSpaceDE w:val="0"/>
        <w:autoSpaceDN w:val="0"/>
        <w:adjustRightInd w:val="0"/>
        <w:ind w:left="315" w:leftChars="150"/>
        <w:jc w:val="left"/>
        <w:rPr>
          <w:rFonts w:ascii="宋体" w:eastAsia="宋体" w:cs="宋体"/>
          <w:kern w:val="0"/>
          <w:sz w:val="24"/>
          <w:szCs w:val="24"/>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政府性基金预算财政拨款收入支出决算表</w:t>
      </w:r>
    </w:p>
    <w:p>
      <w:pPr>
        <w:widowControl/>
        <w:wordWrap w:val="0"/>
        <w:jc w:val="both"/>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公开08表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20"/>
        <w:gridCol w:w="1320"/>
        <w:gridCol w:w="2000"/>
        <w:gridCol w:w="2000"/>
        <w:gridCol w:w="2000"/>
        <w:gridCol w:w="2000"/>
        <w:gridCol w:w="2000"/>
        <w:gridCol w:w="200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年初结转和结余</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本年收入</w:t>
            </w:r>
          </w:p>
        </w:tc>
        <w:tc>
          <w:tcPr>
            <w:tcW w:w="6000"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13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000" w:type="dxa"/>
            <w:vMerge w:val="continue"/>
            <w:vAlign w:val="center"/>
          </w:tcPr>
          <w:p>
            <w:pPr>
              <w:widowControl/>
              <w:jc w:val="left"/>
              <w:rPr>
                <w:rFonts w:ascii="Times New Roman" w:hAnsi="Times New Roman" w:eastAsia="仿宋_GB2312" w:cs="Times New Roman"/>
                <w:b/>
                <w:kern w:val="0"/>
                <w:szCs w:val="21"/>
              </w:rPr>
            </w:pPr>
          </w:p>
        </w:tc>
        <w:tc>
          <w:tcPr>
            <w:tcW w:w="2000" w:type="dxa"/>
            <w:vMerge w:val="continue"/>
            <w:vAlign w:val="center"/>
          </w:tcPr>
          <w:p>
            <w:pPr>
              <w:widowControl/>
              <w:jc w:val="left"/>
              <w:rPr>
                <w:rFonts w:ascii="Times New Roman" w:hAnsi="Times New Roman" w:eastAsia="仿宋_GB2312" w:cs="Times New Roman"/>
                <w:b/>
                <w:kern w:val="0"/>
                <w:szCs w:val="21"/>
              </w:rPr>
            </w:pP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基本支出  </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c>
          <w:tcPr>
            <w:tcW w:w="2000" w:type="dxa"/>
            <w:vMerge w:val="continue"/>
            <w:vAlign w:val="center"/>
          </w:tcPr>
          <w:p>
            <w:pPr>
              <w:widowControl/>
              <w:jc w:val="left"/>
              <w:rPr>
                <w:rFonts w:ascii="Times New Roman" w:hAnsi="Times New Roman" w:eastAsia="仿宋_GB2312" w:cs="Times New Roman"/>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32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32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注：本表反映部门本年度政府性基金预算财政拨款收入、支出及结转和结余情况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(若本单位无政府性基金收支</w:t>
      </w:r>
      <w:r>
        <w:rPr>
          <w:rFonts w:hint="eastAsia" w:ascii="Times New Roman" w:hAnsi="Times New Roman" w:eastAsia="仿宋_GB2312" w:cs="Times New Roman"/>
          <w:kern w:val="0"/>
          <w:szCs w:val="21"/>
        </w:rPr>
        <w:t>,请说明：XX单位没有政府性基金收入，也没有使用政府性基金安排的支出，故本表无数据</w:t>
      </w:r>
      <w:r>
        <w:rPr>
          <w:rFonts w:ascii="Times New Roman" w:hAnsi="Times New Roman" w:eastAsia="仿宋_GB2312" w:cs="Times New Roman"/>
          <w:kern w:val="0"/>
          <w:szCs w:val="21"/>
        </w:rPr>
        <w:t>)。</w:t>
      </w:r>
    </w:p>
    <w:p>
      <w:pPr>
        <w:widowControl/>
        <w:jc w:val="left"/>
        <w:rPr>
          <w:sz w:val="72"/>
          <w:szCs w:val="72"/>
        </w:rPr>
        <w:sectPr>
          <w:pgSz w:w="16838" w:h="11906" w:orient="landscape"/>
          <w:pgMar w:top="720" w:right="720" w:bottom="720" w:left="720" w:header="851" w:footer="992" w:gutter="0"/>
          <w:cols w:space="425" w:num="1"/>
          <w:docGrid w:type="lines" w:linePitch="312" w:charSpace="0"/>
        </w:sectPr>
      </w:pPr>
    </w:p>
    <w:tbl>
      <w:tblPr>
        <w:tblStyle w:val="6"/>
        <w:tblW w:w="14403" w:type="dxa"/>
        <w:tblInd w:w="50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77"/>
        <w:gridCol w:w="830"/>
        <w:gridCol w:w="735"/>
        <w:gridCol w:w="2145"/>
        <w:gridCol w:w="1350"/>
        <w:gridCol w:w="1036"/>
        <w:gridCol w:w="98"/>
        <w:gridCol w:w="3564"/>
        <w:gridCol w:w="39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20" w:hRule="atLeast"/>
        </w:trPr>
        <w:tc>
          <w:tcPr>
            <w:tcW w:w="14403" w:type="dxa"/>
            <w:gridSpan w:val="9"/>
            <w:shd w:val="clear" w:color="auto" w:fill="FFFFFF"/>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677" w:type="dxa"/>
            <w:shd w:val="clear" w:color="auto" w:fill="FFFFFF"/>
            <w:vAlign w:val="center"/>
          </w:tcPr>
          <w:p>
            <w:pPr>
              <w:jc w:val="center"/>
              <w:rPr>
                <w:rFonts w:hint="eastAsia" w:ascii="宋体" w:hAnsi="宋体" w:eastAsia="宋体" w:cs="宋体"/>
                <w:i w:val="0"/>
                <w:color w:val="000000"/>
                <w:sz w:val="20"/>
                <w:szCs w:val="20"/>
                <w:u w:val="none"/>
              </w:rPr>
            </w:pPr>
          </w:p>
        </w:tc>
        <w:tc>
          <w:tcPr>
            <w:tcW w:w="830" w:type="dxa"/>
            <w:shd w:val="clear" w:color="auto" w:fill="FFFFFF"/>
            <w:vAlign w:val="center"/>
          </w:tcPr>
          <w:p>
            <w:pPr>
              <w:jc w:val="center"/>
              <w:rPr>
                <w:rFonts w:hint="eastAsia" w:ascii="宋体" w:hAnsi="宋体" w:eastAsia="宋体" w:cs="宋体"/>
                <w:i w:val="0"/>
                <w:color w:val="000000"/>
                <w:sz w:val="20"/>
                <w:szCs w:val="20"/>
                <w:u w:val="none"/>
              </w:rPr>
            </w:pPr>
          </w:p>
        </w:tc>
        <w:tc>
          <w:tcPr>
            <w:tcW w:w="2880" w:type="dxa"/>
            <w:gridSpan w:val="2"/>
            <w:shd w:val="clear" w:color="auto" w:fill="FFFFFF"/>
            <w:vAlign w:val="center"/>
          </w:tcPr>
          <w:p>
            <w:pPr>
              <w:jc w:val="center"/>
              <w:rPr>
                <w:rFonts w:hint="eastAsia" w:ascii="宋体" w:hAnsi="宋体" w:eastAsia="宋体" w:cs="宋体"/>
                <w:i w:val="0"/>
                <w:color w:val="000000"/>
                <w:sz w:val="20"/>
                <w:szCs w:val="20"/>
                <w:u w:val="none"/>
              </w:rPr>
            </w:pPr>
          </w:p>
        </w:tc>
        <w:tc>
          <w:tcPr>
            <w:tcW w:w="1350" w:type="dxa"/>
            <w:shd w:val="clear" w:color="auto" w:fill="FFFFFF"/>
            <w:vAlign w:val="center"/>
          </w:tcPr>
          <w:p>
            <w:pPr>
              <w:rPr>
                <w:rFonts w:hint="eastAsia" w:ascii="宋体" w:hAnsi="宋体" w:eastAsia="宋体" w:cs="宋体"/>
                <w:i w:val="0"/>
                <w:color w:val="000000"/>
                <w:sz w:val="20"/>
                <w:szCs w:val="20"/>
                <w:u w:val="none"/>
              </w:rPr>
            </w:pPr>
          </w:p>
        </w:tc>
        <w:tc>
          <w:tcPr>
            <w:tcW w:w="1036" w:type="dxa"/>
            <w:shd w:val="clear" w:color="auto" w:fill="FFFFFF"/>
            <w:vAlign w:val="center"/>
          </w:tcPr>
          <w:p>
            <w:pPr>
              <w:rPr>
                <w:rFonts w:hint="eastAsia" w:ascii="宋体" w:hAnsi="宋体" w:eastAsia="宋体" w:cs="宋体"/>
                <w:i w:val="0"/>
                <w:color w:val="000000"/>
                <w:sz w:val="20"/>
                <w:szCs w:val="20"/>
                <w:u w:val="none"/>
              </w:rPr>
            </w:pPr>
          </w:p>
        </w:tc>
        <w:tc>
          <w:tcPr>
            <w:tcW w:w="7630" w:type="dxa"/>
            <w:gridSpan w:val="3"/>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677"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3710" w:type="dxa"/>
            <w:gridSpan w:val="3"/>
            <w:shd w:val="clear" w:color="auto" w:fill="FFFFFF"/>
            <w:vAlign w:val="center"/>
          </w:tcPr>
          <w:p>
            <w:pPr>
              <w:jc w:val="center"/>
              <w:rPr>
                <w:rFonts w:hint="eastAsia" w:ascii="宋体" w:hAnsi="宋体" w:eastAsia="宋体" w:cs="宋体"/>
                <w:i w:val="0"/>
                <w:color w:val="000000"/>
                <w:sz w:val="20"/>
                <w:szCs w:val="20"/>
                <w:u w:val="none"/>
              </w:rPr>
            </w:pPr>
            <w:r>
              <w:rPr>
                <w:rFonts w:hint="eastAsia" w:ascii="宋体" w:hAnsi="宋体" w:eastAsia="宋体" w:cs="宋体"/>
                <w:i w:val="0"/>
                <w:color w:val="000000"/>
                <w:sz w:val="20"/>
                <w:szCs w:val="20"/>
                <w:u w:val="none"/>
                <w:lang w:eastAsia="zh-CN"/>
              </w:rPr>
              <w:t>零陵区发改局</w:t>
            </w:r>
          </w:p>
        </w:tc>
        <w:tc>
          <w:tcPr>
            <w:tcW w:w="1350" w:type="dxa"/>
            <w:tcBorders>
              <w:bottom w:val="single" w:color="000000" w:sz="12" w:space="0"/>
            </w:tcBorders>
            <w:shd w:val="clear" w:color="auto" w:fill="FFFFFF"/>
            <w:vAlign w:val="center"/>
          </w:tcPr>
          <w:p>
            <w:pPr>
              <w:rPr>
                <w:rFonts w:hint="eastAsia" w:ascii="宋体" w:hAnsi="宋体" w:eastAsia="宋体" w:cs="宋体"/>
                <w:i w:val="0"/>
                <w:color w:val="000000"/>
                <w:sz w:val="20"/>
                <w:szCs w:val="20"/>
                <w:u w:val="none"/>
              </w:rPr>
            </w:pPr>
          </w:p>
        </w:tc>
        <w:tc>
          <w:tcPr>
            <w:tcW w:w="1036" w:type="dxa"/>
            <w:tcBorders>
              <w:bottom w:val="single" w:color="000000" w:sz="12" w:space="0"/>
            </w:tcBorders>
            <w:shd w:val="clear" w:color="auto" w:fill="FFFFFF"/>
            <w:vAlign w:val="center"/>
          </w:tcPr>
          <w:p>
            <w:pPr>
              <w:rPr>
                <w:rFonts w:hint="eastAsia" w:ascii="宋体" w:hAnsi="宋体" w:eastAsia="宋体" w:cs="宋体"/>
                <w:i w:val="0"/>
                <w:color w:val="000000"/>
                <w:sz w:val="20"/>
                <w:szCs w:val="20"/>
                <w:u w:val="none"/>
              </w:rPr>
            </w:pPr>
          </w:p>
        </w:tc>
        <w:tc>
          <w:tcPr>
            <w:tcW w:w="7630" w:type="dxa"/>
            <w:gridSpan w:val="3"/>
            <w:shd w:val="clear" w:color="auto" w:fill="FFFFFF"/>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4387" w:type="dxa"/>
            <w:gridSpan w:val="4"/>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项 </w:t>
            </w:r>
            <w:r>
              <w:rPr>
                <w:rStyle w:val="13"/>
                <w:lang w:val="en-US" w:eastAsia="zh-CN" w:bidi="ar"/>
              </w:rPr>
              <w:t xml:space="preserve">   </w:t>
            </w:r>
            <w:r>
              <w:rPr>
                <w:rStyle w:val="14"/>
                <w:lang w:val="en-US" w:eastAsia="zh-CN" w:bidi="ar"/>
              </w:rPr>
              <w:t>目</w:t>
            </w:r>
          </w:p>
        </w:tc>
        <w:tc>
          <w:tcPr>
            <w:tcW w:w="10016" w:type="dxa"/>
            <w:gridSpan w:val="5"/>
            <w:tcBorders>
              <w:top w:val="single" w:color="000000" w:sz="12"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vMerge w:val="restart"/>
            <w:tcBorders>
              <w:top w:val="single" w:color="000000" w:sz="4" w:space="0"/>
              <w:left w:val="single" w:color="000000" w:sz="12"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功能分类科目编码</w:t>
            </w:r>
          </w:p>
        </w:tc>
        <w:tc>
          <w:tcPr>
            <w:tcW w:w="21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科目名称</w:t>
            </w:r>
          </w:p>
        </w:tc>
        <w:tc>
          <w:tcPr>
            <w:tcW w:w="2484" w:type="dxa"/>
            <w:gridSpan w:val="3"/>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3564" w:type="dxa"/>
            <w:vMerge w:val="restart"/>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基本支出  </w:t>
            </w:r>
          </w:p>
        </w:tc>
        <w:tc>
          <w:tcPr>
            <w:tcW w:w="39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vMerge w:val="continue"/>
            <w:tcBorders>
              <w:top w:val="single" w:color="000000" w:sz="4" w:space="0"/>
              <w:left w:val="single" w:color="000000" w:sz="12"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484" w:type="dxa"/>
            <w:gridSpan w:val="3"/>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564"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9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vMerge w:val="continue"/>
            <w:tcBorders>
              <w:top w:val="single" w:color="000000" w:sz="4" w:space="0"/>
              <w:left w:val="single" w:color="000000" w:sz="12"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484" w:type="dxa"/>
            <w:gridSpan w:val="3"/>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564"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9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4387" w:type="dxa"/>
            <w:gridSpan w:val="4"/>
            <w:tcBorders>
              <w:top w:val="single" w:color="000000" w:sz="4" w:space="0"/>
              <w:left w:val="single" w:color="000000" w:sz="12"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栏次</w:t>
            </w: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23" w:hRule="atLeast"/>
        </w:trPr>
        <w:tc>
          <w:tcPr>
            <w:tcW w:w="4387" w:type="dxa"/>
            <w:gridSpan w:val="4"/>
            <w:tcBorders>
              <w:left w:val="single" w:color="000000" w:sz="12"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tcBorders>
              <w:top w:val="single" w:color="000000" w:sz="4" w:space="0"/>
              <w:left w:val="single" w:color="000000" w:sz="12"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tcBorders>
              <w:top w:val="single" w:color="000000" w:sz="4" w:space="0"/>
              <w:left w:val="single" w:color="000000" w:sz="12"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tcBorders>
              <w:top w:val="single" w:color="000000" w:sz="4" w:space="0"/>
              <w:left w:val="single" w:color="000000" w:sz="12"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tcBorders>
              <w:top w:val="single" w:color="000000" w:sz="4" w:space="0"/>
              <w:left w:val="single" w:color="000000" w:sz="12"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tcBorders>
              <w:top w:val="single" w:color="000000" w:sz="4" w:space="0"/>
              <w:left w:val="single" w:color="000000" w:sz="12"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56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2242" w:type="dxa"/>
            <w:gridSpan w:val="3"/>
            <w:tcBorders>
              <w:top w:val="single" w:color="000000" w:sz="4" w:space="0"/>
              <w:left w:val="single" w:color="000000" w:sz="12" w:space="0"/>
              <w:bottom w:val="single" w:color="000000" w:sz="12"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45" w:type="dxa"/>
            <w:tcBorders>
              <w:top w:val="single" w:color="000000" w:sz="4" w:space="0"/>
              <w:left w:val="single" w:color="000000" w:sz="4" w:space="0"/>
              <w:bottom w:val="single" w:color="000000" w:sz="12"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484" w:type="dxa"/>
            <w:gridSpan w:val="3"/>
            <w:tcBorders>
              <w:top w:val="single" w:color="000000" w:sz="4" w:space="0"/>
              <w:left w:val="single" w:color="000000" w:sz="4" w:space="0"/>
              <w:bottom w:val="single" w:color="000000" w:sz="12"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564" w:type="dxa"/>
            <w:tcBorders>
              <w:top w:val="single" w:color="000000" w:sz="4" w:space="0"/>
              <w:left w:val="single" w:color="000000" w:sz="4" w:space="0"/>
              <w:bottom w:val="single" w:color="000000" w:sz="12"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968" w:type="dxa"/>
            <w:tcBorders>
              <w:top w:val="single" w:color="000000" w:sz="4" w:space="0"/>
              <w:left w:val="single" w:color="000000" w:sz="4" w:space="0"/>
              <w:bottom w:val="single" w:color="000000" w:sz="12"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20" w:hRule="atLeast"/>
        </w:trPr>
        <w:tc>
          <w:tcPr>
            <w:tcW w:w="14403" w:type="dxa"/>
            <w:gridSpan w:val="9"/>
            <w:tcBorders>
              <w:top w:val="single" w:color="000000" w:sz="12"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注：本表反映部门本年度国有资本经营预算财政拨款支出情况。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说明：本单位没有国有资本经营预算财政拨款支出，故本表无数据。</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tc>
      </w:tr>
    </w:tbl>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both"/>
        <w:rPr>
          <w:rFonts w:hint="eastAsia"/>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rFonts w:hint="eastAsia"/>
          <w:sz w:val="70"/>
          <w:szCs w:val="70"/>
          <w:lang w:eastAsia="zh-CN"/>
        </w:rPr>
        <w:t>2020</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pStyle w:val="10"/>
        <w:rPr>
          <w:rFonts w:hAnsi="黑体"/>
          <w:b/>
          <w:sz w:val="32"/>
          <w:szCs w:val="32"/>
        </w:rPr>
      </w:pPr>
      <w:r>
        <w:rPr>
          <w:rFonts w:hint="eastAsia" w:hAnsi="黑体"/>
          <w:b/>
          <w:sz w:val="32"/>
          <w:szCs w:val="32"/>
        </w:rPr>
        <w:t>一、收入支出决算总体情况说明</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 xml:space="preserve"> 年度收、支总计</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万元。与</w:t>
      </w:r>
      <w:r>
        <w:rPr>
          <w:rFonts w:hint="eastAsia" w:asciiTheme="minorEastAsia" w:hAnsiTheme="minorEastAsia" w:eastAsiaTheme="minorEastAsia"/>
          <w:sz w:val="32"/>
          <w:szCs w:val="32"/>
          <w:lang w:eastAsia="zh-CN"/>
        </w:rPr>
        <w:t>2019</w:t>
      </w:r>
      <w:r>
        <w:rPr>
          <w:rFonts w:hint="eastAsia" w:asciiTheme="minorEastAsia" w:hAnsiTheme="minorEastAsia" w:eastAsiaTheme="minorEastAsia"/>
          <w:sz w:val="32"/>
          <w:szCs w:val="32"/>
        </w:rPr>
        <w:t>年相比，增加</w:t>
      </w:r>
      <w:r>
        <w:rPr>
          <w:rFonts w:hint="eastAsia" w:asciiTheme="minorEastAsia" w:hAnsiTheme="minorEastAsia" w:eastAsiaTheme="minorEastAsia"/>
          <w:sz w:val="32"/>
          <w:szCs w:val="32"/>
          <w:lang w:val="en-US" w:eastAsia="zh-CN"/>
        </w:rPr>
        <w:t>143.18</w:t>
      </w:r>
      <w:r>
        <w:rPr>
          <w:rFonts w:hint="eastAsia" w:asciiTheme="minorEastAsia" w:hAnsiTheme="minorEastAsia" w:eastAsiaTheme="minorEastAsia"/>
          <w:sz w:val="32"/>
          <w:szCs w:val="32"/>
        </w:rPr>
        <w:t>万元，增长</w:t>
      </w:r>
      <w:r>
        <w:rPr>
          <w:rFonts w:hint="eastAsia" w:asciiTheme="minorEastAsia" w:hAnsiTheme="minorEastAsia" w:eastAsiaTheme="minorEastAsia"/>
          <w:sz w:val="32"/>
          <w:szCs w:val="32"/>
          <w:lang w:val="en-US" w:eastAsia="zh-CN"/>
        </w:rPr>
        <w:t>6.89</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专项业务增加，项目资金有所增加。</w:t>
      </w:r>
    </w:p>
    <w:p>
      <w:pPr>
        <w:pStyle w:val="10"/>
        <w:rPr>
          <w:rFonts w:hAnsi="黑体"/>
          <w:b/>
          <w:sz w:val="32"/>
          <w:szCs w:val="32"/>
        </w:rPr>
      </w:pPr>
      <w:r>
        <w:rPr>
          <w:rFonts w:hint="eastAsia" w:hAnsi="黑体"/>
          <w:b/>
          <w:sz w:val="32"/>
          <w:szCs w:val="32"/>
        </w:rPr>
        <w:t>二、收入决算情况说明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1105.21</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49.77</w:t>
      </w:r>
      <w:r>
        <w:rPr>
          <w:rFonts w:hint="eastAsia" w:asciiTheme="minorEastAsia" w:hAnsiTheme="minorEastAsia" w:eastAsiaTheme="minorEastAsia"/>
          <w:sz w:val="32"/>
          <w:szCs w:val="32"/>
        </w:rPr>
        <w:t>%；项目支出1115.43万元，占</w:t>
      </w:r>
      <w:r>
        <w:rPr>
          <w:rFonts w:hint="eastAsia" w:asciiTheme="minorEastAsia" w:hAnsiTheme="minorEastAsia" w:eastAsiaTheme="minorEastAsia"/>
          <w:sz w:val="32"/>
          <w:szCs w:val="32"/>
          <w:lang w:val="en-US" w:eastAsia="zh-CN"/>
        </w:rPr>
        <w:t>50.23</w:t>
      </w:r>
      <w:r>
        <w:rPr>
          <w:rFonts w:hint="eastAsia" w:asciiTheme="minorEastAsia" w:hAnsiTheme="minorEastAsia" w:eastAsiaTheme="minorEastAsia"/>
          <w:sz w:val="32"/>
          <w:szCs w:val="32"/>
        </w:rPr>
        <w:t>%。</w:t>
      </w:r>
    </w:p>
    <w:p>
      <w:pPr>
        <w:pStyle w:val="10"/>
        <w:rPr>
          <w:rFonts w:hAnsi="黑体"/>
          <w:b/>
          <w:sz w:val="32"/>
          <w:szCs w:val="32"/>
        </w:rPr>
      </w:pPr>
      <w:r>
        <w:rPr>
          <w:rFonts w:hint="eastAsia" w:hAnsi="黑体"/>
          <w:b/>
          <w:sz w:val="32"/>
          <w:szCs w:val="32"/>
        </w:rPr>
        <w:t>四、财政拨款收入支出决算总体情况说明</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年度财政拨款收、支总计</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万元，与</w:t>
      </w:r>
      <w:r>
        <w:rPr>
          <w:rFonts w:hint="eastAsia" w:asciiTheme="minorEastAsia" w:hAnsiTheme="minorEastAsia" w:eastAsiaTheme="minorEastAsia"/>
          <w:sz w:val="32"/>
          <w:szCs w:val="32"/>
          <w:lang w:eastAsia="zh-CN"/>
        </w:rPr>
        <w:t>2019</w:t>
      </w:r>
      <w:r>
        <w:rPr>
          <w:rFonts w:hint="eastAsia" w:asciiTheme="minorEastAsia" w:hAnsiTheme="minorEastAsia" w:eastAsiaTheme="minorEastAsia"/>
          <w:sz w:val="32"/>
          <w:szCs w:val="32"/>
        </w:rPr>
        <w:t>年相比，增加</w:t>
      </w:r>
      <w:r>
        <w:rPr>
          <w:rFonts w:hint="eastAsia" w:asciiTheme="minorEastAsia" w:hAnsiTheme="minorEastAsia" w:eastAsiaTheme="minorEastAsia"/>
          <w:sz w:val="32"/>
          <w:szCs w:val="32"/>
          <w:lang w:val="en-US" w:eastAsia="zh-CN"/>
        </w:rPr>
        <w:t>143.18</w:t>
      </w:r>
      <w:r>
        <w:rPr>
          <w:rFonts w:hint="eastAsia" w:asciiTheme="minorEastAsia" w:hAnsiTheme="minorEastAsia" w:eastAsiaTheme="minorEastAsia"/>
          <w:sz w:val="32"/>
          <w:szCs w:val="32"/>
        </w:rPr>
        <w:t>万元,增长</w:t>
      </w:r>
      <w:r>
        <w:rPr>
          <w:rFonts w:hint="eastAsia" w:asciiTheme="minorEastAsia" w:hAnsiTheme="minorEastAsia" w:eastAsiaTheme="minorEastAsia"/>
          <w:sz w:val="32"/>
          <w:szCs w:val="32"/>
          <w:lang w:val="en-US" w:eastAsia="zh-CN"/>
        </w:rPr>
        <w:t>6.89</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专项业务增加，项目资金有所增加。</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年度财政拨款支出</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万元，占本年支出合计的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w:t>
      </w:r>
      <w:r>
        <w:rPr>
          <w:rFonts w:hint="eastAsia" w:asciiTheme="minorEastAsia" w:hAnsiTheme="minorEastAsia" w:eastAsiaTheme="minorEastAsia"/>
          <w:sz w:val="32"/>
          <w:szCs w:val="32"/>
          <w:lang w:eastAsia="zh-CN"/>
        </w:rPr>
        <w:t>2019</w:t>
      </w:r>
      <w:r>
        <w:rPr>
          <w:rFonts w:hint="eastAsia" w:asciiTheme="minorEastAsia" w:hAnsiTheme="minorEastAsia" w:eastAsiaTheme="minorEastAsia"/>
          <w:sz w:val="32"/>
          <w:szCs w:val="32"/>
        </w:rPr>
        <w:t>年相比，财政拨款支出增加</w:t>
      </w:r>
      <w:r>
        <w:rPr>
          <w:rFonts w:hint="eastAsia" w:asciiTheme="minorEastAsia" w:hAnsiTheme="minorEastAsia" w:eastAsiaTheme="minorEastAsia"/>
          <w:sz w:val="32"/>
          <w:szCs w:val="32"/>
          <w:lang w:val="en-US" w:eastAsia="zh-CN"/>
        </w:rPr>
        <w:t>143.18</w:t>
      </w:r>
      <w:r>
        <w:rPr>
          <w:rFonts w:hint="eastAsia" w:asciiTheme="minorEastAsia" w:hAnsiTheme="minorEastAsia" w:eastAsiaTheme="minorEastAsia"/>
          <w:sz w:val="32"/>
          <w:szCs w:val="32"/>
        </w:rPr>
        <w:t>万元，增长</w:t>
      </w:r>
      <w:r>
        <w:rPr>
          <w:rFonts w:hint="eastAsia" w:asciiTheme="minorEastAsia" w:hAnsiTheme="minorEastAsia" w:eastAsiaTheme="minorEastAsia"/>
          <w:sz w:val="32"/>
          <w:szCs w:val="32"/>
          <w:lang w:val="en-US" w:eastAsia="zh-CN"/>
        </w:rPr>
        <w:t>6.89</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专项业务增加，项目资金有所增加。</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年度财政拨款支出</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万元，主要用于以下方面：一般公共服务（类）支出959.56万元，占</w:t>
      </w:r>
      <w:r>
        <w:rPr>
          <w:rFonts w:hint="eastAsia" w:asciiTheme="minorEastAsia" w:hAnsiTheme="minorEastAsia" w:eastAsiaTheme="minorEastAsia"/>
          <w:sz w:val="32"/>
          <w:szCs w:val="32"/>
          <w:lang w:val="en-US" w:eastAsia="zh-CN"/>
        </w:rPr>
        <w:t>43.21</w:t>
      </w:r>
      <w:r>
        <w:rPr>
          <w:rFonts w:hint="eastAsia" w:asciiTheme="minorEastAsia" w:hAnsiTheme="minorEastAsia" w:eastAsiaTheme="minorEastAsia"/>
          <w:sz w:val="32"/>
          <w:szCs w:val="32"/>
        </w:rPr>
        <w:t>%；社会保障和就业支出</w:t>
      </w:r>
      <w:r>
        <w:rPr>
          <w:rFonts w:hint="eastAsia" w:asciiTheme="minorEastAsia" w:hAnsiTheme="minorEastAsia" w:eastAsiaTheme="minorEastAsia"/>
          <w:sz w:val="32"/>
          <w:szCs w:val="32"/>
          <w:lang w:val="en-US" w:eastAsia="zh-CN"/>
        </w:rPr>
        <w:t>88.36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3.98</w:t>
      </w:r>
      <w:r>
        <w:rPr>
          <w:rFonts w:hint="eastAsia" w:asciiTheme="minorEastAsia" w:hAnsiTheme="minorEastAsia" w:eastAsiaTheme="minorEastAsia"/>
          <w:sz w:val="32"/>
          <w:szCs w:val="32"/>
        </w:rPr>
        <w:t>%;农林水支出160.13</w:t>
      </w:r>
      <w:r>
        <w:rPr>
          <w:rFonts w:hint="eastAsia" w:asciiTheme="minorEastAsia" w:hAnsiTheme="minorEastAsia" w:eastAsiaTheme="minorEastAsia"/>
          <w:sz w:val="32"/>
          <w:szCs w:val="32"/>
          <w:lang w:eastAsia="zh-CN"/>
        </w:rPr>
        <w:t>万元，占</w:t>
      </w:r>
      <w:r>
        <w:rPr>
          <w:rFonts w:hint="eastAsia" w:asciiTheme="minorEastAsia" w:hAnsiTheme="minorEastAsia" w:eastAsiaTheme="minorEastAsia"/>
          <w:sz w:val="32"/>
          <w:szCs w:val="32"/>
          <w:lang w:val="en-US" w:eastAsia="zh-CN"/>
        </w:rPr>
        <w:t>7.21%；资源勘探工业信息等支出708万元，占31.88%；粮油物资储备支出304.3万元，占13.71%；其他支出0.3万元，占0.01%。</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年度财政拨款支出年初预算数为</w:t>
      </w:r>
      <w:r>
        <w:rPr>
          <w:rFonts w:hint="eastAsia" w:asciiTheme="minorEastAsia" w:hAnsiTheme="minorEastAsia" w:eastAsiaTheme="minorEastAsia"/>
          <w:sz w:val="32"/>
          <w:szCs w:val="32"/>
          <w:lang w:val="en-US" w:eastAsia="zh-CN"/>
        </w:rPr>
        <w:t>898.92</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2220.64</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247.03</w:t>
      </w:r>
      <w:r>
        <w:rPr>
          <w:rFonts w:hint="eastAsia" w:asciiTheme="minorEastAsia" w:hAnsiTheme="minorEastAsia" w:eastAsiaTheme="minorEastAsia"/>
          <w:sz w:val="32"/>
          <w:szCs w:val="32"/>
        </w:rPr>
        <w:t>%，其中：</w:t>
      </w:r>
    </w:p>
    <w:p>
      <w:pPr>
        <w:pStyle w:val="10"/>
        <w:ind w:firstLine="800" w:firstLineChars="25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1、一般公共服务（类）政府办公厅（室）及相关机构事务（款）行政运行（项）。</w:t>
      </w:r>
    </w:p>
    <w:p>
      <w:pPr>
        <w:pStyle w:val="10"/>
        <w:ind w:firstLine="800" w:firstLineChars="2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30</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w:t>
      </w:r>
    </w:p>
    <w:p>
      <w:pPr>
        <w:pStyle w:val="10"/>
        <w:numPr>
          <w:ilvl w:val="0"/>
          <w:numId w:val="2"/>
        </w:numPr>
        <w:ind w:firstLine="800" w:firstLineChars="250"/>
        <w:rPr>
          <w:rFonts w:hint="eastAsia"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一般公共服务（类）发展与改革事务（款）行政运行（项）</w:t>
      </w:r>
    </w:p>
    <w:p>
      <w:pPr>
        <w:pStyle w:val="10"/>
        <w:ind w:firstLine="640" w:firstLineChars="20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年初预算为</w:t>
      </w:r>
      <w:r>
        <w:rPr>
          <w:rFonts w:hint="eastAsia" w:asciiTheme="minorEastAsia" w:hAnsiTheme="minorEastAsia" w:eastAsiaTheme="minorEastAsia"/>
          <w:color w:val="auto"/>
          <w:sz w:val="32"/>
          <w:szCs w:val="32"/>
          <w:highlight w:val="none"/>
          <w:lang w:val="en-US" w:eastAsia="zh-CN"/>
        </w:rPr>
        <w:t>840.2</w:t>
      </w:r>
      <w:r>
        <w:rPr>
          <w:rFonts w:hint="eastAsia" w:asciiTheme="minorEastAsia" w:hAnsiTheme="minorEastAsia" w:eastAsiaTheme="minorEastAsia"/>
          <w:color w:val="auto"/>
          <w:sz w:val="32"/>
          <w:szCs w:val="32"/>
          <w:highlight w:val="none"/>
        </w:rPr>
        <w:t>万元，支出决算为880.56万元，完成年初预算的</w:t>
      </w:r>
      <w:r>
        <w:rPr>
          <w:rFonts w:hint="eastAsia" w:asciiTheme="minorEastAsia" w:hAnsiTheme="minorEastAsia" w:eastAsiaTheme="minorEastAsia"/>
          <w:color w:val="auto"/>
          <w:sz w:val="32"/>
          <w:szCs w:val="32"/>
          <w:highlight w:val="none"/>
          <w:lang w:val="en-US" w:eastAsia="zh-CN"/>
        </w:rPr>
        <w:t>104.8</w:t>
      </w:r>
      <w:r>
        <w:rPr>
          <w:rFonts w:hint="eastAsia" w:asciiTheme="minorEastAsia" w:hAnsiTheme="minorEastAsia" w:eastAsiaTheme="minorEastAsia"/>
          <w:color w:val="auto"/>
          <w:sz w:val="32"/>
          <w:szCs w:val="32"/>
          <w:highlight w:val="none"/>
        </w:rPr>
        <w:t>%，决算数大于年初预算数的主要原因是：</w:t>
      </w:r>
      <w:r>
        <w:rPr>
          <w:rFonts w:hint="eastAsia" w:asciiTheme="minorEastAsia" w:hAnsiTheme="minorEastAsia" w:eastAsiaTheme="minorEastAsia"/>
          <w:color w:val="auto"/>
          <w:sz w:val="32"/>
          <w:szCs w:val="32"/>
          <w:highlight w:val="none"/>
          <w:lang w:eastAsia="zh-CN"/>
        </w:rPr>
        <w:t>年中追加了</w:t>
      </w:r>
      <w:r>
        <w:rPr>
          <w:rFonts w:hint="eastAsia" w:asciiTheme="minorEastAsia" w:hAnsiTheme="minorEastAsia" w:eastAsiaTheme="minorEastAsia"/>
          <w:color w:val="auto"/>
          <w:sz w:val="32"/>
          <w:szCs w:val="32"/>
          <w:highlight w:val="none"/>
          <w:lang w:val="en-US" w:eastAsia="zh-CN"/>
        </w:rPr>
        <w:t>2019年度的</w:t>
      </w:r>
      <w:r>
        <w:rPr>
          <w:rFonts w:hint="eastAsia" w:asciiTheme="minorEastAsia" w:hAnsiTheme="minorEastAsia" w:eastAsiaTheme="minorEastAsia"/>
          <w:color w:val="auto"/>
          <w:sz w:val="32"/>
          <w:szCs w:val="32"/>
          <w:highlight w:val="none"/>
          <w:lang w:eastAsia="zh-CN"/>
        </w:rPr>
        <w:t>绩效考核奖励资金。</w:t>
      </w:r>
    </w:p>
    <w:p>
      <w:pPr>
        <w:pStyle w:val="10"/>
        <w:numPr>
          <w:ilvl w:val="0"/>
          <w:numId w:val="2"/>
        </w:numPr>
        <w:ind w:firstLine="800" w:firstLineChars="250"/>
        <w:rPr>
          <w:rFonts w:hint="eastAsia"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一般公共服务（类）发展与改革事务（款）其他发展与改革事务支出（项）</w:t>
      </w:r>
    </w:p>
    <w:p>
      <w:pPr>
        <w:pStyle w:val="10"/>
        <w:ind w:firstLine="800" w:firstLineChars="250"/>
        <w:rPr>
          <w:rFonts w:hint="default"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49</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。主要是用于购买项目可行性报告服务费。</w:t>
      </w:r>
    </w:p>
    <w:p>
      <w:pPr>
        <w:pStyle w:val="10"/>
        <w:numPr>
          <w:ilvl w:val="0"/>
          <w:numId w:val="2"/>
        </w:numPr>
        <w:ind w:left="0" w:leftChars="0" w:firstLine="800" w:firstLineChars="250"/>
        <w:rPr>
          <w:rFonts w:hint="eastAsia"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lang w:val="en-US" w:eastAsia="zh-CN"/>
        </w:rPr>
        <w:t>社会保障和就业</w:t>
      </w:r>
      <w:r>
        <w:rPr>
          <w:rFonts w:hint="eastAsia" w:asciiTheme="minorEastAsia" w:hAnsiTheme="minorEastAsia" w:eastAsiaTheme="minorEastAsia"/>
          <w:color w:val="auto"/>
          <w:sz w:val="32"/>
          <w:szCs w:val="32"/>
          <w:highlight w:val="none"/>
        </w:rPr>
        <w:t>（类）人力资源和社会保障管理事务（款</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其他人力资源和社会保障管理事务（项）</w:t>
      </w:r>
    </w:p>
    <w:p>
      <w:pPr>
        <w:pStyle w:val="10"/>
        <w:numPr>
          <w:numId w:val="0"/>
        </w:numPr>
        <w:ind w:leftChars="2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2.55</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。主要是增加了遗补费。</w:t>
      </w:r>
    </w:p>
    <w:p>
      <w:pPr>
        <w:pStyle w:val="10"/>
        <w:numPr>
          <w:ilvl w:val="0"/>
          <w:numId w:val="2"/>
        </w:numPr>
        <w:ind w:left="0" w:leftChars="0" w:firstLine="800" w:firstLineChars="250"/>
        <w:rPr>
          <w:rFonts w:hint="eastAsia"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lang w:val="en-US" w:eastAsia="zh-CN"/>
        </w:rPr>
        <w:t>社会保障和就业</w:t>
      </w:r>
      <w:r>
        <w:rPr>
          <w:rFonts w:hint="eastAsia" w:asciiTheme="minorEastAsia" w:hAnsiTheme="minorEastAsia" w:eastAsiaTheme="minorEastAsia"/>
          <w:color w:val="auto"/>
          <w:sz w:val="32"/>
          <w:szCs w:val="32"/>
          <w:highlight w:val="none"/>
        </w:rPr>
        <w:t>（类）行政事业单位养老支出（款</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机关事业单位基本养老保险缴费支出（项）</w:t>
      </w:r>
    </w:p>
    <w:p>
      <w:pPr>
        <w:pStyle w:val="10"/>
        <w:numPr>
          <w:numId w:val="0"/>
        </w:numPr>
        <w:ind w:leftChars="2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76.3</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。主要是用于基本养老保险、医疗保险缴费。</w:t>
      </w:r>
    </w:p>
    <w:p>
      <w:pPr>
        <w:pStyle w:val="10"/>
        <w:numPr>
          <w:ilvl w:val="0"/>
          <w:numId w:val="2"/>
        </w:numPr>
        <w:ind w:left="0" w:leftChars="0" w:firstLine="800" w:firstLineChars="250"/>
        <w:rPr>
          <w:rFonts w:hint="eastAsia"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lang w:val="en-US" w:eastAsia="zh-CN"/>
        </w:rPr>
        <w:t>社会保障和就业</w:t>
      </w:r>
      <w:r>
        <w:rPr>
          <w:rFonts w:hint="eastAsia" w:asciiTheme="minorEastAsia" w:hAnsiTheme="minorEastAsia" w:eastAsiaTheme="minorEastAsia"/>
          <w:color w:val="auto"/>
          <w:sz w:val="32"/>
          <w:szCs w:val="32"/>
          <w:highlight w:val="none"/>
        </w:rPr>
        <w:t>（类）就业补助（款</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公益性岗位补贴（项）</w:t>
      </w:r>
    </w:p>
    <w:p>
      <w:pPr>
        <w:pStyle w:val="10"/>
        <w:numPr>
          <w:numId w:val="0"/>
        </w:numPr>
        <w:ind w:leftChars="2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2</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。主要是用于退役军人公益性岗位补贴。</w:t>
      </w:r>
    </w:p>
    <w:p>
      <w:pPr>
        <w:pStyle w:val="10"/>
        <w:numPr>
          <w:numId w:val="0"/>
        </w:numPr>
        <w:ind w:leftChars="250"/>
        <w:rPr>
          <w:rFonts w:hint="default"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 xml:space="preserve">  7、社会保障和就业</w:t>
      </w:r>
      <w:r>
        <w:rPr>
          <w:rFonts w:hint="eastAsia" w:asciiTheme="minorEastAsia" w:hAnsiTheme="minorEastAsia" w:eastAsiaTheme="minorEastAsia"/>
          <w:color w:val="auto"/>
          <w:sz w:val="32"/>
          <w:szCs w:val="32"/>
          <w:highlight w:val="none"/>
        </w:rPr>
        <w:t>（类）就业补助（款</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其他就业补助支出（项）</w:t>
      </w:r>
    </w:p>
    <w:p>
      <w:pPr>
        <w:pStyle w:val="10"/>
        <w:numPr>
          <w:numId w:val="0"/>
        </w:numPr>
        <w:ind w:leftChars="2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2.7</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。主要是用于退役军人岗位就业补贴。</w:t>
      </w:r>
    </w:p>
    <w:p>
      <w:pPr>
        <w:pStyle w:val="10"/>
        <w:numPr>
          <w:ilvl w:val="0"/>
          <w:numId w:val="0"/>
        </w:numPr>
        <w:ind w:leftChars="250"/>
        <w:rPr>
          <w:rFonts w:hint="default"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 xml:space="preserve">  8、社会保障和就业</w:t>
      </w:r>
      <w:r>
        <w:rPr>
          <w:rFonts w:hint="eastAsia" w:asciiTheme="minorEastAsia" w:hAnsiTheme="minorEastAsia" w:eastAsiaTheme="minorEastAsia"/>
          <w:color w:val="auto"/>
          <w:sz w:val="32"/>
          <w:szCs w:val="32"/>
          <w:highlight w:val="none"/>
        </w:rPr>
        <w:t>（类）抚恤（款</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其他优抚支出（项）</w:t>
      </w:r>
    </w:p>
    <w:p>
      <w:pPr>
        <w:pStyle w:val="10"/>
        <w:numPr>
          <w:numId w:val="0"/>
        </w:numPr>
        <w:ind w:leftChars="250" w:firstLine="320" w:firstLineChars="10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4.81</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。主要是用于退役军人优抚补贴。</w:t>
      </w:r>
    </w:p>
    <w:p>
      <w:pPr>
        <w:pStyle w:val="10"/>
        <w:numPr>
          <w:ilvl w:val="0"/>
          <w:numId w:val="3"/>
        </w:numPr>
        <w:ind w:leftChars="250" w:firstLine="320" w:firstLineChars="100"/>
        <w:rPr>
          <w:rFonts w:hint="eastAsia"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lang w:val="en-US" w:eastAsia="zh-CN"/>
        </w:rPr>
        <w:t>农林水支出</w:t>
      </w:r>
      <w:r>
        <w:rPr>
          <w:rFonts w:hint="eastAsia" w:asciiTheme="minorEastAsia" w:hAnsiTheme="minorEastAsia" w:eastAsiaTheme="minorEastAsia"/>
          <w:color w:val="auto"/>
          <w:sz w:val="32"/>
          <w:szCs w:val="32"/>
          <w:highlight w:val="none"/>
        </w:rPr>
        <w:t>（类）水利（款</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其他水利支出（项）</w:t>
      </w:r>
    </w:p>
    <w:p>
      <w:pPr>
        <w:pStyle w:val="10"/>
        <w:numPr>
          <w:numId w:val="0"/>
        </w:numPr>
        <w:ind w:leftChars="3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57</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。主要是用于购买项目可行性报告服务费。</w:t>
      </w:r>
    </w:p>
    <w:p>
      <w:pPr>
        <w:pStyle w:val="10"/>
        <w:numPr>
          <w:ilvl w:val="0"/>
          <w:numId w:val="3"/>
        </w:numPr>
        <w:ind w:left="525" w:leftChars="250" w:firstLine="320" w:firstLineChars="100"/>
        <w:rPr>
          <w:rFonts w:hint="eastAsia"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lang w:val="en-US" w:eastAsia="zh-CN"/>
        </w:rPr>
        <w:t>农林水支出</w:t>
      </w:r>
      <w:r>
        <w:rPr>
          <w:rFonts w:hint="eastAsia" w:asciiTheme="minorEastAsia" w:hAnsiTheme="minorEastAsia" w:eastAsiaTheme="minorEastAsia"/>
          <w:color w:val="auto"/>
          <w:sz w:val="32"/>
          <w:szCs w:val="32"/>
          <w:highlight w:val="none"/>
        </w:rPr>
        <w:t>（类）扶贫（款</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其他扶贫支出（项）</w:t>
      </w:r>
    </w:p>
    <w:p>
      <w:pPr>
        <w:pStyle w:val="10"/>
        <w:numPr>
          <w:numId w:val="0"/>
        </w:numPr>
        <w:ind w:leftChars="3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103.13</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。主要用于易地扶贫搬迁联席办的扶贫经费。</w:t>
      </w:r>
    </w:p>
    <w:p>
      <w:pPr>
        <w:pStyle w:val="10"/>
        <w:numPr>
          <w:ilvl w:val="0"/>
          <w:numId w:val="3"/>
        </w:numPr>
        <w:ind w:left="525" w:leftChars="250" w:firstLine="320" w:firstLineChars="10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资源勘探工业信息等支出</w:t>
      </w:r>
      <w:r>
        <w:rPr>
          <w:rFonts w:hint="eastAsia" w:asciiTheme="minorEastAsia" w:hAnsiTheme="minorEastAsia" w:eastAsiaTheme="minorEastAsia"/>
          <w:color w:val="auto"/>
          <w:sz w:val="32"/>
          <w:szCs w:val="32"/>
          <w:highlight w:val="none"/>
        </w:rPr>
        <w:t>（类）其他资源勘探工业信息等支出（款</w:t>
      </w:r>
      <w:r>
        <w:rPr>
          <w:rFonts w:hint="eastAsia" w:asciiTheme="minorEastAsia" w:hAnsiTheme="minorEastAsia" w:eastAsiaTheme="minorEastAsia"/>
          <w:color w:val="auto"/>
          <w:sz w:val="32"/>
          <w:szCs w:val="32"/>
          <w:highlight w:val="none"/>
          <w:lang w:eastAsia="zh-CN"/>
        </w:rPr>
        <w:t>）其他资源勘探工业信息等支出（项）</w:t>
      </w:r>
    </w:p>
    <w:p>
      <w:pPr>
        <w:pStyle w:val="10"/>
        <w:numPr>
          <w:numId w:val="0"/>
        </w:numPr>
        <w:ind w:leftChars="350"/>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708</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w:t>
      </w:r>
      <w:r>
        <w:rPr>
          <w:rFonts w:hint="eastAsia" w:asciiTheme="minorEastAsia" w:hAnsiTheme="minorEastAsia" w:eastAsiaTheme="minorEastAsia"/>
          <w:color w:val="auto"/>
          <w:sz w:val="32"/>
          <w:szCs w:val="32"/>
          <w:highlight w:val="none"/>
          <w:lang w:val="en-US" w:eastAsia="zh-CN"/>
        </w:rPr>
        <w:t>135”工程厂房中央资金补贴，拨付企业。</w:t>
      </w:r>
    </w:p>
    <w:p>
      <w:pPr>
        <w:pStyle w:val="10"/>
        <w:numPr>
          <w:ilvl w:val="0"/>
          <w:numId w:val="3"/>
        </w:numPr>
        <w:ind w:left="525" w:leftChars="250" w:firstLine="320" w:firstLineChars="100"/>
        <w:rPr>
          <w:rFonts w:hint="default"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粮油物资储备支出</w:t>
      </w:r>
      <w:r>
        <w:rPr>
          <w:rFonts w:hint="eastAsia" w:asciiTheme="minorEastAsia" w:hAnsiTheme="minorEastAsia" w:eastAsiaTheme="minorEastAsia"/>
          <w:color w:val="auto"/>
          <w:sz w:val="32"/>
          <w:szCs w:val="32"/>
          <w:highlight w:val="none"/>
        </w:rPr>
        <w:t>（类）粮油事务（款</w:t>
      </w:r>
      <w:r>
        <w:rPr>
          <w:rFonts w:hint="eastAsia" w:asciiTheme="minorEastAsia" w:hAnsiTheme="minorEastAsia" w:eastAsiaTheme="minorEastAsia"/>
          <w:color w:val="auto"/>
          <w:sz w:val="32"/>
          <w:szCs w:val="32"/>
          <w:highlight w:val="none"/>
          <w:lang w:eastAsia="zh-CN"/>
        </w:rPr>
        <w:t>）</w:t>
      </w:r>
      <w:r>
        <w:rPr>
          <w:rFonts w:hint="default" w:asciiTheme="minorEastAsia" w:hAnsiTheme="minorEastAsia" w:eastAsiaTheme="minorEastAsia"/>
          <w:color w:val="auto"/>
          <w:sz w:val="32"/>
          <w:szCs w:val="32"/>
          <w:highlight w:val="none"/>
          <w:lang w:val="en-US" w:eastAsia="zh-CN"/>
        </w:rPr>
        <w:t>粮食专项业务活动</w:t>
      </w:r>
      <w:r>
        <w:rPr>
          <w:rFonts w:hint="eastAsia" w:asciiTheme="minorEastAsia" w:hAnsiTheme="minorEastAsia" w:eastAsiaTheme="minorEastAsia"/>
          <w:color w:val="auto"/>
          <w:sz w:val="32"/>
          <w:szCs w:val="32"/>
          <w:highlight w:val="none"/>
          <w:lang w:eastAsia="zh-CN"/>
        </w:rPr>
        <w:t>（项）</w:t>
      </w:r>
    </w:p>
    <w:p>
      <w:pPr>
        <w:pStyle w:val="10"/>
        <w:numPr>
          <w:numId w:val="0"/>
        </w:numPr>
        <w:ind w:leftChars="3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 xml:space="preserve"> </w:t>
      </w: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304.3</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。主要是粮食轮换差价补贴及粮食储备等开支。</w:t>
      </w:r>
    </w:p>
    <w:p>
      <w:pPr>
        <w:pStyle w:val="10"/>
        <w:numPr>
          <w:ilvl w:val="0"/>
          <w:numId w:val="3"/>
        </w:numPr>
        <w:ind w:left="525" w:leftChars="250" w:firstLine="320" w:firstLineChars="10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其他支出</w:t>
      </w:r>
      <w:r>
        <w:rPr>
          <w:rFonts w:hint="eastAsia" w:asciiTheme="minorEastAsia" w:hAnsiTheme="minorEastAsia" w:eastAsiaTheme="minorEastAsia"/>
          <w:color w:val="auto"/>
          <w:sz w:val="32"/>
          <w:szCs w:val="32"/>
          <w:highlight w:val="none"/>
        </w:rPr>
        <w:t>（类）其他支出（款</w:t>
      </w:r>
      <w:r>
        <w:rPr>
          <w:rFonts w:hint="eastAsia" w:asciiTheme="minorEastAsia" w:hAnsiTheme="minorEastAsia" w:eastAsiaTheme="minorEastAsia"/>
          <w:color w:val="auto"/>
          <w:sz w:val="32"/>
          <w:szCs w:val="32"/>
          <w:highlight w:val="none"/>
          <w:lang w:eastAsia="zh-CN"/>
        </w:rPr>
        <w:t>）其他支出（项）</w:t>
      </w:r>
    </w:p>
    <w:p>
      <w:pPr>
        <w:pStyle w:val="10"/>
        <w:numPr>
          <w:numId w:val="0"/>
        </w:numPr>
        <w:ind w:leftChars="350"/>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rPr>
        <w:t>年初</w:t>
      </w:r>
      <w:r>
        <w:rPr>
          <w:rFonts w:hint="eastAsia" w:asciiTheme="minorEastAsia" w:hAnsiTheme="minorEastAsia" w:eastAsiaTheme="minorEastAsia"/>
          <w:color w:val="auto"/>
          <w:sz w:val="32"/>
          <w:szCs w:val="32"/>
          <w:highlight w:val="none"/>
          <w:lang w:val="en-US" w:eastAsia="zh-CN"/>
        </w:rPr>
        <w:t>没有安排预算</w:t>
      </w:r>
      <w:r>
        <w:rPr>
          <w:rFonts w:hint="eastAsia" w:asciiTheme="minorEastAsia" w:hAnsiTheme="minorEastAsia" w:eastAsiaTheme="minorEastAsia"/>
          <w:color w:val="auto"/>
          <w:sz w:val="32"/>
          <w:szCs w:val="32"/>
          <w:highlight w:val="none"/>
        </w:rPr>
        <w:t>，</w:t>
      </w:r>
      <w:r>
        <w:rPr>
          <w:rFonts w:hint="eastAsia" w:asciiTheme="minorEastAsia" w:hAnsiTheme="minorEastAsia" w:eastAsiaTheme="minorEastAsia"/>
          <w:color w:val="auto"/>
          <w:sz w:val="32"/>
          <w:szCs w:val="32"/>
          <w:highlight w:val="none"/>
          <w:lang w:eastAsia="zh-CN"/>
        </w:rPr>
        <w:t>为年中追加预算，</w:t>
      </w:r>
      <w:r>
        <w:rPr>
          <w:rFonts w:hint="eastAsia" w:asciiTheme="minorEastAsia" w:hAnsiTheme="minorEastAsia" w:eastAsiaTheme="minorEastAsia"/>
          <w:color w:val="auto"/>
          <w:sz w:val="32"/>
          <w:szCs w:val="32"/>
          <w:highlight w:val="none"/>
        </w:rPr>
        <w:t>支出决算为</w:t>
      </w:r>
      <w:r>
        <w:rPr>
          <w:rFonts w:hint="eastAsia" w:asciiTheme="minorEastAsia" w:hAnsiTheme="minorEastAsia" w:eastAsiaTheme="minorEastAsia"/>
          <w:color w:val="auto"/>
          <w:sz w:val="32"/>
          <w:szCs w:val="32"/>
          <w:highlight w:val="none"/>
          <w:lang w:val="en-US" w:eastAsia="zh-CN"/>
        </w:rPr>
        <w:t>0.3</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。主要是业余健身队政府支持款。</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年度财政拨款基本支出1105.21万元，其中：人员经费</w:t>
      </w:r>
      <w:r>
        <w:rPr>
          <w:rFonts w:hint="eastAsia" w:asciiTheme="minorEastAsia" w:hAnsiTheme="minorEastAsia" w:eastAsiaTheme="minorEastAsia"/>
          <w:sz w:val="32"/>
          <w:szCs w:val="32"/>
          <w:lang w:val="en-US" w:eastAsia="zh-CN"/>
        </w:rPr>
        <w:t>641.85</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58.07</w:t>
      </w:r>
      <w:r>
        <w:rPr>
          <w:rFonts w:hint="eastAsia" w:asciiTheme="minorEastAsia" w:hAnsiTheme="minorEastAsia" w:eastAsiaTheme="minorEastAsia"/>
          <w:sz w:val="32"/>
          <w:szCs w:val="32"/>
        </w:rPr>
        <w:t>%,主要包括基本工资、津贴补贴、奖金、伙食补助费</w:t>
      </w:r>
      <w:r>
        <w:rPr>
          <w:rFonts w:hint="eastAsia" w:asciiTheme="minorEastAsia" w:hAnsiTheme="minorEastAsia" w:eastAsiaTheme="minorEastAsia"/>
          <w:sz w:val="32"/>
          <w:szCs w:val="32"/>
          <w:lang w:eastAsia="zh-CN"/>
        </w:rPr>
        <w:t>、其他工资福利支出</w:t>
      </w:r>
      <w:r>
        <w:rPr>
          <w:rFonts w:hint="eastAsia" w:asciiTheme="minorEastAsia" w:hAnsiTheme="minorEastAsia" w:eastAsiaTheme="minorEastAsia"/>
          <w:sz w:val="32"/>
          <w:szCs w:val="32"/>
        </w:rPr>
        <w:t>；公用经费</w:t>
      </w:r>
      <w:r>
        <w:rPr>
          <w:rFonts w:hint="eastAsia" w:asciiTheme="minorEastAsia" w:hAnsiTheme="minorEastAsia" w:eastAsiaTheme="minorEastAsia"/>
          <w:sz w:val="32"/>
          <w:szCs w:val="32"/>
          <w:lang w:val="en-US" w:eastAsia="zh-CN"/>
        </w:rPr>
        <w:t>463.36</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41.93</w:t>
      </w:r>
      <w:r>
        <w:rPr>
          <w:rFonts w:hint="eastAsia" w:asciiTheme="minorEastAsia" w:hAnsiTheme="minorEastAsia" w:eastAsiaTheme="minorEastAsia"/>
          <w:sz w:val="32"/>
          <w:szCs w:val="32"/>
        </w:rPr>
        <w:t>%，主要包括办公费、印刷费、咨询费、手续费</w:t>
      </w:r>
      <w:r>
        <w:rPr>
          <w:rFonts w:hint="eastAsia" w:asciiTheme="minorEastAsia" w:hAnsiTheme="minorEastAsia" w:eastAsiaTheme="minorEastAsia"/>
          <w:sz w:val="32"/>
          <w:szCs w:val="32"/>
          <w:lang w:eastAsia="zh-CN"/>
        </w:rPr>
        <w:t>、公务接待费、差旅费、维修（护）费及其他费用</w:t>
      </w:r>
      <w:r>
        <w:rPr>
          <w:rFonts w:hint="eastAsia" w:asciiTheme="minorEastAsia" w:hAnsiTheme="minorEastAsia" w:eastAsiaTheme="minorEastAsia"/>
          <w:sz w:val="32"/>
          <w:szCs w:val="32"/>
        </w:rPr>
        <w:t>。</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Theme="minorEastAsia" w:hAnsiTheme="minorEastAsia" w:eastAsiaTheme="minorEastAsia"/>
          <w:sz w:val="32"/>
          <w:szCs w:val="32"/>
          <w:lang w:val="en-US" w:eastAsia="zh-CN"/>
        </w:rPr>
        <w:t>15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9.56</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63.73</w:t>
      </w:r>
      <w:r>
        <w:rPr>
          <w:rFonts w:hint="eastAsia" w:asciiTheme="minorEastAsia" w:hAnsiTheme="minorEastAsia" w:eastAsiaTheme="minorEastAsia"/>
          <w:sz w:val="32"/>
          <w:szCs w:val="32"/>
        </w:rPr>
        <w:t>%，其中：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15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9.56</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63.73</w:t>
      </w:r>
      <w:r>
        <w:rPr>
          <w:rFonts w:hint="eastAsia" w:asciiTheme="minorEastAsia" w:hAnsiTheme="minorEastAsia" w:eastAsiaTheme="minorEastAsia"/>
          <w:sz w:val="32"/>
          <w:szCs w:val="32"/>
        </w:rPr>
        <w:t>%，决算数小于年初预算数的主要原因是</w:t>
      </w:r>
      <w:r>
        <w:rPr>
          <w:rFonts w:hint="eastAsia" w:asciiTheme="minorEastAsia" w:hAnsiTheme="minorEastAsia" w:eastAsiaTheme="minorEastAsia"/>
          <w:sz w:val="32"/>
          <w:szCs w:val="32"/>
          <w:lang w:eastAsia="zh-CN"/>
        </w:rPr>
        <w:t>厉行节约，严格执行八项规定，</w:t>
      </w:r>
      <w:r>
        <w:rPr>
          <w:rFonts w:hint="eastAsia" w:asciiTheme="minorEastAsia" w:hAnsiTheme="minorEastAsia" w:eastAsiaTheme="minorEastAsia"/>
          <w:sz w:val="32"/>
          <w:szCs w:val="32"/>
        </w:rPr>
        <w:t>与上年相比减少</w:t>
      </w:r>
      <w:r>
        <w:rPr>
          <w:rFonts w:hint="eastAsia" w:asciiTheme="minorEastAsia" w:hAnsiTheme="minorEastAsia" w:eastAsiaTheme="minorEastAsia"/>
          <w:sz w:val="32"/>
          <w:szCs w:val="32"/>
          <w:lang w:val="en-US" w:eastAsia="zh-CN"/>
        </w:rPr>
        <w:t>1.14</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10.65</w:t>
      </w:r>
      <w:r>
        <w:rPr>
          <w:rFonts w:hint="eastAsia" w:asciiTheme="minorEastAsia" w:hAnsiTheme="minorEastAsia" w:eastAsiaTheme="minorEastAsia"/>
          <w:sz w:val="32"/>
          <w:szCs w:val="32"/>
        </w:rPr>
        <w:t>%,减少的主要原因是</w:t>
      </w:r>
      <w:r>
        <w:rPr>
          <w:rFonts w:hint="eastAsia" w:asciiTheme="minorEastAsia" w:hAnsiTheme="minorEastAsia" w:eastAsiaTheme="minorEastAsia"/>
          <w:sz w:val="32"/>
          <w:szCs w:val="32"/>
          <w:lang w:eastAsia="zh-CN"/>
        </w:rPr>
        <w:t>厉行节约，严格执行八项规定</w:t>
      </w:r>
      <w:r>
        <w:rPr>
          <w:rFonts w:hint="eastAsia" w:asciiTheme="minorEastAsia" w:hAnsiTheme="minorEastAsia" w:eastAsiaTheme="minorEastAsia"/>
          <w:sz w:val="32"/>
          <w:szCs w:val="32"/>
        </w:rPr>
        <w:t>。</w:t>
      </w:r>
    </w:p>
    <w:p>
      <w:pPr>
        <w:pStyle w:val="10"/>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公务用车购置费及运行维护费支出预算为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年度“三公”经费财政拨款支出决算中，公务接待费支出决算</w:t>
      </w:r>
      <w:r>
        <w:rPr>
          <w:rFonts w:hint="eastAsia" w:asciiTheme="minorEastAsia" w:hAnsiTheme="minorEastAsia" w:eastAsiaTheme="minorEastAsia"/>
          <w:sz w:val="32"/>
          <w:szCs w:val="32"/>
          <w:lang w:val="en-US" w:eastAsia="zh-CN"/>
        </w:rPr>
        <w:t>9.56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%,因公出国（境）费支出决算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%,公务用车购置费及运行维护费支出决算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%。其中：</w:t>
      </w:r>
    </w:p>
    <w:p>
      <w:pPr>
        <w:pStyle w:val="10"/>
        <w:ind w:firstLine="960" w:firstLineChars="3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1、因公出国（境）费支出决算为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万元，全年安排因公出国（境）团组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个，累计</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人次</w:t>
      </w:r>
      <w:r>
        <w:rPr>
          <w:rFonts w:hint="eastAsia" w:asciiTheme="minorEastAsia" w:hAnsiTheme="minorEastAsia" w:eastAsiaTheme="minorEastAsia"/>
          <w:sz w:val="32"/>
          <w:szCs w:val="32"/>
          <w:lang w:eastAsia="zh-CN"/>
        </w:rPr>
        <w:t>。</w:t>
      </w:r>
    </w:p>
    <w:p>
      <w:pPr>
        <w:pStyle w:val="10"/>
        <w:ind w:firstLine="960" w:firstLineChars="30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9.56</w:t>
      </w:r>
      <w:r>
        <w:rPr>
          <w:rFonts w:hint="eastAsia" w:asciiTheme="minorEastAsia" w:hAnsiTheme="minorEastAsia" w:eastAsiaTheme="minorEastAsia"/>
          <w:sz w:val="32"/>
          <w:szCs w:val="32"/>
        </w:rPr>
        <w:t>万元，全年共接待来访团组</w:t>
      </w:r>
      <w:r>
        <w:rPr>
          <w:rFonts w:hint="eastAsia" w:asciiTheme="minorEastAsia" w:hAnsiTheme="minorEastAsia" w:eastAsiaTheme="minorEastAsia"/>
          <w:sz w:val="32"/>
          <w:szCs w:val="32"/>
          <w:lang w:val="en-US" w:eastAsia="zh-CN"/>
        </w:rPr>
        <w:t>96</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580</w:t>
      </w:r>
      <w:r>
        <w:rPr>
          <w:rFonts w:hint="eastAsia" w:asciiTheme="minorEastAsia" w:hAnsiTheme="minorEastAsia" w:eastAsiaTheme="minorEastAsia"/>
          <w:sz w:val="32"/>
          <w:szCs w:val="32"/>
        </w:rPr>
        <w:t>人次，主要是</w:t>
      </w:r>
      <w:r>
        <w:rPr>
          <w:rFonts w:hint="eastAsia" w:asciiTheme="minorEastAsia" w:hAnsiTheme="minorEastAsia" w:eastAsiaTheme="minorEastAsia"/>
          <w:sz w:val="32"/>
          <w:szCs w:val="32"/>
          <w:lang w:eastAsia="zh-CN"/>
        </w:rPr>
        <w:t>招商引资及上级检查、系统单位交流业务</w:t>
      </w:r>
      <w:r>
        <w:rPr>
          <w:rFonts w:hint="eastAsia" w:asciiTheme="minorEastAsia" w:hAnsiTheme="minorEastAsia" w:eastAsiaTheme="minorEastAsia"/>
          <w:sz w:val="32"/>
          <w:szCs w:val="32"/>
        </w:rPr>
        <w:t>发生的接待支出。</w:t>
      </w:r>
    </w:p>
    <w:p>
      <w:pPr>
        <w:ind w:firstLine="960" w:firstLineChars="30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w:t>
      </w:r>
      <w:r>
        <w:rPr>
          <w:rFonts w:hint="eastAsia" w:asciiTheme="minorEastAsia" w:hAnsiTheme="minorEastAsia"/>
          <w:sz w:val="32"/>
          <w:szCs w:val="32"/>
          <w:lang w:val="en-US" w:eastAsia="zh-CN"/>
        </w:rPr>
        <w:t>0</w:t>
      </w:r>
      <w:r>
        <w:rPr>
          <w:rFonts w:hint="eastAsia" w:asciiTheme="minorEastAsia" w:hAnsiTheme="minorEastAsia"/>
          <w:sz w:val="32"/>
          <w:szCs w:val="32"/>
        </w:rPr>
        <w:t>万元，其中：公务用车购置费</w:t>
      </w:r>
      <w:r>
        <w:rPr>
          <w:rFonts w:hint="eastAsia" w:asciiTheme="minorEastAsia" w:hAnsiTheme="minorEastAsia"/>
          <w:sz w:val="32"/>
          <w:szCs w:val="32"/>
          <w:lang w:val="en-US" w:eastAsia="zh-CN"/>
        </w:rPr>
        <w:t>0</w:t>
      </w:r>
      <w:r>
        <w:rPr>
          <w:rFonts w:hint="eastAsia" w:asciiTheme="minorEastAsia" w:hAnsiTheme="minorEastAsia"/>
          <w:sz w:val="32"/>
          <w:szCs w:val="32"/>
        </w:rPr>
        <w:t>万元</w:t>
      </w:r>
      <w:r>
        <w:rPr>
          <w:rFonts w:hint="eastAsia" w:asciiTheme="minorEastAsia" w:hAnsiTheme="minorEastAsia"/>
          <w:color w:val="000000" w:themeColor="text1"/>
          <w:sz w:val="32"/>
          <w:szCs w:val="32"/>
          <w14:textFill>
            <w14:solidFill>
              <w14:schemeClr w14:val="tx1"/>
            </w14:solidFill>
          </w14:textFill>
        </w:rPr>
        <w:t>。</w:t>
      </w:r>
      <w:r>
        <w:rPr>
          <w:rFonts w:hint="eastAsia" w:asciiTheme="minorEastAsia" w:hAnsiTheme="minorEastAsia"/>
          <w:sz w:val="32"/>
          <w:szCs w:val="32"/>
        </w:rPr>
        <w:t>公务用车运行维护费</w:t>
      </w:r>
      <w:r>
        <w:rPr>
          <w:rFonts w:hint="eastAsia" w:asciiTheme="minorEastAsia" w:hAnsiTheme="minorEastAsia"/>
          <w:sz w:val="32"/>
          <w:szCs w:val="32"/>
          <w:lang w:val="en-US" w:eastAsia="zh-CN"/>
        </w:rPr>
        <w:t>0</w:t>
      </w:r>
      <w:r>
        <w:rPr>
          <w:rFonts w:hint="eastAsia" w:asciiTheme="minorEastAsia" w:hAnsiTheme="minorEastAsia"/>
          <w:sz w:val="32"/>
          <w:szCs w:val="32"/>
        </w:rPr>
        <w:t>万元，截止</w:t>
      </w:r>
      <w:r>
        <w:rPr>
          <w:rFonts w:hint="eastAsia" w:asciiTheme="minorEastAsia" w:hAnsiTheme="minorEastAsia"/>
          <w:sz w:val="32"/>
          <w:szCs w:val="32"/>
          <w:lang w:eastAsia="zh-CN"/>
        </w:rPr>
        <w:t>2020</w:t>
      </w:r>
      <w:r>
        <w:rPr>
          <w:rFonts w:hint="eastAsia" w:asciiTheme="minorEastAsia" w:hAnsiTheme="minorEastAsia"/>
          <w:sz w:val="32"/>
          <w:szCs w:val="32"/>
        </w:rPr>
        <w:t>年12月31日，我单位开支财政拨款的公务用车保有量为</w:t>
      </w:r>
      <w:r>
        <w:rPr>
          <w:rFonts w:hint="eastAsia" w:asciiTheme="minorEastAsia" w:hAnsiTheme="minorEastAsia"/>
          <w:sz w:val="32"/>
          <w:szCs w:val="32"/>
          <w:lang w:val="en-US" w:eastAsia="zh-CN"/>
        </w:rPr>
        <w:t>0</w:t>
      </w:r>
      <w:r>
        <w:rPr>
          <w:rFonts w:hint="eastAsia" w:asciiTheme="minorEastAsia" w:hAnsiTheme="minorEastAsia"/>
          <w:sz w:val="32"/>
          <w:szCs w:val="32"/>
        </w:rPr>
        <w:t>辆。</w:t>
      </w:r>
    </w:p>
    <w:p>
      <w:pPr>
        <w:pStyle w:val="10"/>
        <w:rPr>
          <w:rFonts w:hAnsi="黑体"/>
          <w:b/>
          <w:sz w:val="32"/>
          <w:szCs w:val="32"/>
        </w:rPr>
      </w:pPr>
      <w:r>
        <w:rPr>
          <w:rFonts w:hint="eastAsia" w:hAnsi="黑体"/>
          <w:b/>
          <w:sz w:val="32"/>
          <w:szCs w:val="32"/>
        </w:rPr>
        <w:t>八、政府性基金预算收入支出决算情况</w:t>
      </w:r>
    </w:p>
    <w:p>
      <w:pPr>
        <w:pStyle w:val="1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 xml:space="preserve">     </w:t>
      </w:r>
      <w:r>
        <w:rPr>
          <w:rFonts w:hint="eastAsia" w:asciiTheme="minorEastAsia" w:hAnsiTheme="minorEastAsia" w:eastAsiaTheme="minorEastAsia"/>
          <w:sz w:val="32"/>
          <w:szCs w:val="32"/>
          <w:lang w:eastAsia="zh-CN"/>
        </w:rPr>
        <w:t>2020</w:t>
      </w:r>
      <w:r>
        <w:rPr>
          <w:rFonts w:hint="eastAsia" w:asciiTheme="minorEastAsia" w:hAnsiTheme="minorEastAsia" w:eastAsiaTheme="minorEastAsia"/>
          <w:sz w:val="32"/>
          <w:szCs w:val="32"/>
        </w:rPr>
        <w:t>年度政府性基金预算财政拨款收入</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万元；年初结转和结余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万元，项目支出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万元；年末结转和结余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pPr>
        <w:pStyle w:val="10"/>
        <w:rPr>
          <w:rFonts w:hAnsi="黑体"/>
          <w:b/>
          <w:sz w:val="32"/>
          <w:szCs w:val="32"/>
        </w:rPr>
      </w:pPr>
      <w:r>
        <w:rPr>
          <w:rFonts w:hint="eastAsia" w:hAnsi="黑体"/>
          <w:b/>
          <w:sz w:val="32"/>
          <w:szCs w:val="32"/>
        </w:rPr>
        <w:t>九、关于</w:t>
      </w:r>
      <w:r>
        <w:rPr>
          <w:rFonts w:hint="eastAsia" w:hAnsi="黑体"/>
          <w:b/>
          <w:sz w:val="32"/>
          <w:szCs w:val="32"/>
          <w:lang w:eastAsia="zh-CN"/>
        </w:rPr>
        <w:t>2020</w:t>
      </w:r>
      <w:r>
        <w:rPr>
          <w:rFonts w:hint="eastAsia" w:hAnsi="黑体"/>
          <w:b/>
          <w:sz w:val="32"/>
          <w:szCs w:val="32"/>
        </w:rPr>
        <w:t>年度预算绩效情况说明</w:t>
      </w:r>
    </w:p>
    <w:p>
      <w:pPr>
        <w:numPr>
          <w:ilvl w:val="0"/>
          <w:numId w:val="0"/>
        </w:numPr>
        <w:snapToGrid w:val="0"/>
        <w:spacing w:line="520" w:lineRule="exact"/>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本部门对单位2020年整体绩效及项目资金进行了预算绩效评价，评价结果好。</w:t>
      </w:r>
    </w:p>
    <w:p>
      <w:pPr>
        <w:numPr>
          <w:ilvl w:val="0"/>
          <w:numId w:val="0"/>
        </w:numPr>
        <w:snapToGrid w:val="0"/>
        <w:spacing w:line="520" w:lineRule="exact"/>
        <w:ind w:firstLine="640" w:firstLineChars="200"/>
        <w:rPr>
          <w:rFonts w:hint="default" w:asciiTheme="minorEastAsia" w:hAnsiTheme="minorEastAsia" w:eastAsiaTheme="minorEastAsia"/>
          <w:sz w:val="32"/>
          <w:szCs w:val="32"/>
          <w:lang w:val="en-US" w:eastAsia="zh-CN"/>
        </w:rPr>
      </w:pPr>
      <w:r>
        <w:rPr>
          <w:rFonts w:hint="default"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lang w:val="en-US" w:eastAsia="zh-CN"/>
        </w:rPr>
        <w:t>20</w:t>
      </w:r>
      <w:r>
        <w:rPr>
          <w:rFonts w:hint="default" w:asciiTheme="minorEastAsia" w:hAnsiTheme="minorEastAsia" w:eastAsiaTheme="minorEastAsia"/>
          <w:sz w:val="32"/>
          <w:szCs w:val="32"/>
          <w:lang w:val="en-US" w:eastAsia="zh-CN"/>
        </w:rPr>
        <w:t>年，我们较好的完成了各项目标工作任务，取得了较好的社会效益，行政效能明显提高，社会公众满意度不断提升。 </w:t>
      </w:r>
    </w:p>
    <w:p>
      <w:pPr>
        <w:numPr>
          <w:ilvl w:val="0"/>
          <w:numId w:val="0"/>
        </w:numPr>
        <w:snapToGrid w:val="0"/>
        <w:spacing w:line="520" w:lineRule="exact"/>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（1）</w:t>
      </w:r>
      <w:r>
        <w:rPr>
          <w:rFonts w:hint="eastAsia" w:asciiTheme="minorEastAsia" w:hAnsiTheme="minorEastAsia"/>
          <w:sz w:val="32"/>
          <w:szCs w:val="32"/>
          <w:lang w:val="en-US" w:eastAsia="zh-CN"/>
        </w:rPr>
        <w:t>获得省政府真抓实干通报表扬，高质量发展先进县区</w:t>
      </w:r>
      <w:r>
        <w:rPr>
          <w:rFonts w:hint="eastAsia" w:asciiTheme="minorEastAsia" w:hAnsiTheme="minorEastAsia" w:eastAsiaTheme="minorEastAsia"/>
          <w:sz w:val="32"/>
          <w:szCs w:val="32"/>
          <w:lang w:val="en-US" w:eastAsia="zh-CN"/>
        </w:rPr>
        <w:t>。</w:t>
      </w:r>
    </w:p>
    <w:p>
      <w:pPr>
        <w:numPr>
          <w:ilvl w:val="0"/>
          <w:numId w:val="0"/>
        </w:numPr>
        <w:snapToGrid w:val="0"/>
        <w:spacing w:line="520" w:lineRule="exact"/>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（2）固定资产投资，2020年度固定资产投资预计增幅8.5%。</w:t>
      </w:r>
    </w:p>
    <w:p>
      <w:pPr>
        <w:numPr>
          <w:ilvl w:val="0"/>
          <w:numId w:val="0"/>
        </w:numPr>
        <w:snapToGrid w:val="0"/>
        <w:spacing w:line="520" w:lineRule="exact"/>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（3）向上争资工作成绩明显，2020年积极申报各项中央预算内资金项目。</w:t>
      </w:r>
    </w:p>
    <w:p>
      <w:pPr>
        <w:numPr>
          <w:ilvl w:val="0"/>
          <w:numId w:val="0"/>
        </w:numPr>
        <w:snapToGrid w:val="0"/>
        <w:spacing w:line="520" w:lineRule="exact"/>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4）重点项目建设取得明显成效，重点项目建设取得明显成效，2020年全年共实施重点项目148个，年度投资219.72亿元，完成投资230.7亿元，完成年度计划投资的105%；其中市重点项目42个全部开工，新入统5000万以上项目54个，去年同期41个，同比增长31.7%。</w:t>
      </w:r>
    </w:p>
    <w:p>
      <w:pPr>
        <w:numPr>
          <w:ilvl w:val="0"/>
          <w:numId w:val="0"/>
        </w:numPr>
        <w:snapToGrid w:val="0"/>
        <w:spacing w:line="520" w:lineRule="exact"/>
        <w:ind w:firstLine="640" w:firstLineChars="200"/>
        <w:rPr>
          <w:rFonts w:asciiTheme="minorEastAsia" w:hAnsiTheme="minorEastAsia" w:eastAsiaTheme="minorEastAsia"/>
          <w:sz w:val="32"/>
          <w:szCs w:val="32"/>
          <w:highlight w:val="yellow"/>
        </w:rPr>
      </w:pPr>
      <w:r>
        <w:rPr>
          <w:rFonts w:hint="eastAsia" w:asciiTheme="minorEastAsia" w:hAnsiTheme="minorEastAsia" w:eastAsiaTheme="minorEastAsia"/>
          <w:sz w:val="32"/>
          <w:szCs w:val="32"/>
          <w:lang w:val="en-US" w:eastAsia="zh-CN"/>
        </w:rPr>
        <w:t>（5）我局在农网改造，光伏扶贫，文化教育旅游，价格管理等方面的工作也取得了非常显著的成效</w:t>
      </w:r>
      <w:r>
        <w:rPr>
          <w:rFonts w:hint="eastAsia" w:asciiTheme="minorEastAsia" w:hAnsiTheme="minorEastAsia"/>
          <w:sz w:val="32"/>
          <w:szCs w:val="32"/>
          <w:lang w:val="en-US" w:eastAsia="zh-CN"/>
        </w:rPr>
        <w:t>。</w:t>
      </w:r>
    </w:p>
    <w:p>
      <w:pPr>
        <w:pStyle w:val="10"/>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hint="eastAsia" w:cs="黑体" w:asciiTheme="minorEastAsia" w:hAnsiTheme="minorEastAsia" w:eastAsiaTheme="minorEastAsia"/>
          <w:color w:val="000000"/>
          <w:kern w:val="0"/>
          <w:sz w:val="32"/>
          <w:szCs w:val="32"/>
          <w:lang w:eastAsia="zh-CN"/>
        </w:rPr>
      </w:pPr>
      <w:r>
        <w:rPr>
          <w:rFonts w:hint="eastAsia" w:cs="黑体" w:asciiTheme="minorEastAsia" w:hAnsiTheme="minorEastAsia"/>
          <w:color w:val="000000"/>
          <w:kern w:val="0"/>
          <w:sz w:val="32"/>
          <w:szCs w:val="32"/>
        </w:rPr>
        <w:t>本部门</w:t>
      </w:r>
      <w:r>
        <w:rPr>
          <w:rFonts w:hint="eastAsia" w:cs="黑体" w:asciiTheme="minorEastAsia" w:hAnsiTheme="minorEastAsia"/>
          <w:color w:val="000000"/>
          <w:kern w:val="0"/>
          <w:sz w:val="32"/>
          <w:szCs w:val="32"/>
          <w:lang w:eastAsia="zh-CN"/>
        </w:rPr>
        <w:t>2020</w:t>
      </w:r>
      <w:r>
        <w:rPr>
          <w:rFonts w:hint="eastAsia" w:cs="黑体" w:asciiTheme="minorEastAsia" w:hAnsiTheme="minorEastAsia"/>
          <w:color w:val="000000"/>
          <w:kern w:val="0"/>
          <w:sz w:val="32"/>
          <w:szCs w:val="32"/>
        </w:rPr>
        <w:t xml:space="preserve"> 年度机关运行经费支出</w:t>
      </w:r>
      <w:r>
        <w:rPr>
          <w:rFonts w:hint="eastAsia" w:cs="黑体" w:asciiTheme="minorEastAsia" w:hAnsiTheme="minorEastAsia"/>
          <w:color w:val="000000"/>
          <w:kern w:val="0"/>
          <w:sz w:val="32"/>
          <w:szCs w:val="32"/>
          <w:lang w:val="en-US" w:eastAsia="zh-CN"/>
        </w:rPr>
        <w:t>463.36</w:t>
      </w:r>
      <w:r>
        <w:rPr>
          <w:rFonts w:hint="eastAsia" w:cs="黑体" w:asciiTheme="minorEastAsia" w:hAnsiTheme="minorEastAsia"/>
          <w:color w:val="000000"/>
          <w:kern w:val="0"/>
          <w:sz w:val="32"/>
          <w:szCs w:val="32"/>
        </w:rPr>
        <w:t>万元，比年初预算数增加</w:t>
      </w:r>
      <w:r>
        <w:rPr>
          <w:rFonts w:hint="eastAsia" w:cs="黑体" w:asciiTheme="minorEastAsia" w:hAnsiTheme="minorEastAsia"/>
          <w:color w:val="000000"/>
          <w:kern w:val="0"/>
          <w:sz w:val="32"/>
          <w:szCs w:val="32"/>
          <w:lang w:val="en-US" w:eastAsia="zh-CN"/>
        </w:rPr>
        <w:t>424.48</w:t>
      </w:r>
      <w:r>
        <w:rPr>
          <w:rFonts w:hint="eastAsia" w:cs="黑体" w:asciiTheme="minorEastAsia" w:hAnsiTheme="minorEastAsia"/>
          <w:color w:val="000000"/>
          <w:kern w:val="0"/>
          <w:sz w:val="32"/>
          <w:szCs w:val="32"/>
        </w:rPr>
        <w:t>万元，增长</w:t>
      </w:r>
      <w:r>
        <w:rPr>
          <w:rFonts w:hint="eastAsia" w:cs="黑体" w:asciiTheme="minorEastAsia" w:hAnsiTheme="minorEastAsia"/>
          <w:color w:val="000000"/>
          <w:kern w:val="0"/>
          <w:sz w:val="32"/>
          <w:szCs w:val="32"/>
          <w:lang w:val="en-US" w:eastAsia="zh-CN"/>
        </w:rPr>
        <w:t>1091.76</w:t>
      </w:r>
      <w:r>
        <w:rPr>
          <w:rFonts w:hint="eastAsia" w:cs="黑体" w:asciiTheme="minorEastAsia" w:hAnsiTheme="minorEastAsia"/>
          <w:color w:val="000000"/>
          <w:kern w:val="0"/>
          <w:sz w:val="32"/>
          <w:szCs w:val="32"/>
        </w:rPr>
        <w:t>%。主要原因是：</w:t>
      </w:r>
      <w:r>
        <w:rPr>
          <w:rFonts w:hint="eastAsia" w:cs="黑体" w:asciiTheme="minorEastAsia" w:hAnsiTheme="minorEastAsia"/>
          <w:color w:val="000000"/>
          <w:kern w:val="0"/>
          <w:sz w:val="32"/>
          <w:szCs w:val="32"/>
          <w:lang w:eastAsia="zh-CN"/>
        </w:rPr>
        <w:t>主要是年中追加了咨询费及委托业务费。</w:t>
      </w:r>
    </w:p>
    <w:p>
      <w:pPr>
        <w:ind w:firstLine="640"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eastAsia="zh-CN"/>
        </w:rPr>
        <w:t>2020</w:t>
      </w:r>
      <w:r>
        <w:rPr>
          <w:rFonts w:hint="eastAsia" w:cs="黑体" w:asciiTheme="minorEastAsia" w:hAnsiTheme="minorEastAsia"/>
          <w:color w:val="000000"/>
          <w:kern w:val="0"/>
          <w:sz w:val="32"/>
          <w:szCs w:val="32"/>
        </w:rPr>
        <w:t>年本部门开支会议费</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万元，用于召开</w:t>
      </w:r>
      <w:r>
        <w:rPr>
          <w:rFonts w:hint="eastAsia" w:cs="黑体" w:asciiTheme="minorEastAsia" w:hAnsiTheme="minorEastAsia"/>
          <w:color w:val="000000"/>
          <w:kern w:val="0"/>
          <w:sz w:val="32"/>
          <w:szCs w:val="32"/>
          <w:lang w:val="en-US" w:eastAsia="zh-CN"/>
        </w:rPr>
        <w:t>0次</w:t>
      </w:r>
      <w:r>
        <w:rPr>
          <w:rFonts w:hint="eastAsia" w:cs="黑体" w:asciiTheme="minorEastAsia" w:hAnsiTheme="minorEastAsia"/>
          <w:color w:val="000000"/>
          <w:kern w:val="0"/>
          <w:sz w:val="32"/>
          <w:szCs w:val="32"/>
        </w:rPr>
        <w:t>会议，人数</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人；开支培训费</w:t>
      </w:r>
      <w:r>
        <w:rPr>
          <w:rFonts w:hint="eastAsia" w:cs="黑体" w:asciiTheme="minorEastAsia" w:hAnsiTheme="minorEastAsia"/>
          <w:color w:val="000000"/>
          <w:kern w:val="0"/>
          <w:sz w:val="32"/>
          <w:szCs w:val="32"/>
          <w:lang w:val="en-US" w:eastAsia="zh-CN"/>
        </w:rPr>
        <w:t>0.12</w:t>
      </w:r>
      <w:r>
        <w:rPr>
          <w:rFonts w:hint="eastAsia" w:cs="黑体" w:asciiTheme="minorEastAsia" w:hAnsiTheme="minorEastAsia"/>
          <w:color w:val="000000"/>
          <w:kern w:val="0"/>
          <w:sz w:val="32"/>
          <w:szCs w:val="32"/>
        </w:rPr>
        <w:t>万元，用于开展</w:t>
      </w:r>
      <w:r>
        <w:rPr>
          <w:rFonts w:hint="eastAsia" w:cs="黑体" w:asciiTheme="minorEastAsia" w:hAnsiTheme="minorEastAsia"/>
          <w:color w:val="000000"/>
          <w:kern w:val="0"/>
          <w:sz w:val="32"/>
          <w:szCs w:val="32"/>
          <w:lang w:eastAsia="zh-CN"/>
        </w:rPr>
        <w:t>干部党校</w:t>
      </w:r>
      <w:r>
        <w:rPr>
          <w:rFonts w:hint="eastAsia" w:cs="黑体" w:asciiTheme="minorEastAsia" w:hAnsiTheme="minorEastAsia"/>
          <w:color w:val="000000"/>
          <w:kern w:val="0"/>
          <w:sz w:val="32"/>
          <w:szCs w:val="32"/>
        </w:rPr>
        <w:t>培训，人数</w:t>
      </w:r>
      <w:r>
        <w:rPr>
          <w:rFonts w:hint="eastAsia" w:cs="黑体" w:asciiTheme="minorEastAsia" w:hAnsiTheme="minorEastAsia"/>
          <w:color w:val="000000"/>
          <w:kern w:val="0"/>
          <w:sz w:val="32"/>
          <w:szCs w:val="32"/>
          <w:lang w:val="en-US" w:eastAsia="zh-CN"/>
        </w:rPr>
        <w:t>2</w:t>
      </w:r>
      <w:r>
        <w:rPr>
          <w:rFonts w:hint="eastAsia" w:cs="黑体" w:asciiTheme="minorEastAsia" w:hAnsiTheme="minorEastAsia"/>
          <w:color w:val="000000"/>
          <w:kern w:val="0"/>
          <w:sz w:val="32"/>
          <w:szCs w:val="32"/>
        </w:rPr>
        <w:t>人，内容为</w:t>
      </w:r>
      <w:r>
        <w:rPr>
          <w:rFonts w:hint="eastAsia" w:cs="黑体" w:asciiTheme="minorEastAsia" w:hAnsiTheme="minorEastAsia"/>
          <w:color w:val="000000"/>
          <w:kern w:val="0"/>
          <w:sz w:val="32"/>
          <w:szCs w:val="32"/>
          <w:lang w:eastAsia="zh-CN"/>
        </w:rPr>
        <w:t>参加党校中青班及科干部培训。</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w:t>
      </w:r>
      <w:r>
        <w:rPr>
          <w:rFonts w:hint="eastAsia" w:cs="黑体" w:asciiTheme="minorEastAsia" w:hAnsiTheme="minorEastAsia"/>
          <w:color w:val="000000"/>
          <w:kern w:val="0"/>
          <w:sz w:val="32"/>
          <w:szCs w:val="32"/>
          <w:lang w:eastAsia="zh-CN"/>
        </w:rPr>
        <w:t>2020</w:t>
      </w:r>
      <w:r>
        <w:rPr>
          <w:rFonts w:hint="eastAsia" w:cs="黑体" w:asciiTheme="minorEastAsia" w:hAnsiTheme="minorEastAsia"/>
          <w:color w:val="000000"/>
          <w:kern w:val="0"/>
          <w:sz w:val="32"/>
          <w:szCs w:val="32"/>
        </w:rPr>
        <w:t>年度政府采购支出总额</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万元，其中：政府采购货物支出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万元、政府采购工程支出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万元、政府采购服务支出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万元。授予中小企业合同金额</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万元，占政府采购支出总额的</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%，其中：授予小微企业合同金额</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万元，占政府采购支出总额的</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w:t>
      </w:r>
      <w:r>
        <w:rPr>
          <w:rFonts w:hint="eastAsia" w:cs="黑体" w:asciiTheme="minorEastAsia" w:hAnsiTheme="minorEastAsia"/>
          <w:color w:val="000000"/>
          <w:kern w:val="0"/>
          <w:sz w:val="32"/>
          <w:szCs w:val="32"/>
          <w:lang w:eastAsia="zh-CN"/>
        </w:rPr>
        <w:t>2020</w:t>
      </w:r>
      <w:r>
        <w:rPr>
          <w:rFonts w:hint="eastAsia" w:cs="黑体" w:asciiTheme="minorEastAsia" w:hAnsiTheme="minorEastAsia"/>
          <w:color w:val="000000"/>
          <w:kern w:val="0"/>
          <w:sz w:val="32"/>
          <w:szCs w:val="32"/>
        </w:rPr>
        <w:t>年12月31日，本单位共有车辆</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辆，其中，领导干部用车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辆、机要通信用车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辆、应急保障用车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辆、执法执勤用车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辆、特种专业技术用车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辆、其他用车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辆；单位价值50万元以上通用设备</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台（套）；单位价值100万元以上专用设备</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台（套）。</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both"/>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pStyle w:val="5"/>
        <w:shd w:val="clear" w:color="auto" w:fill="FFFFFF"/>
        <w:spacing w:before="0" w:beforeAutospacing="0" w:after="0" w:afterAutospacing="0" w:line="300" w:lineRule="atLeast"/>
        <w:ind w:firstLine="832" w:firstLineChars="260"/>
        <w:rPr>
          <w:rFonts w:cs="黑体"/>
          <w:color w:val="000000"/>
          <w:sz w:val="32"/>
          <w:szCs w:val="32"/>
        </w:rPr>
      </w:pPr>
      <w:r>
        <w:rPr>
          <w:rFonts w:hint="eastAsia" w:cs="黑体"/>
          <w:color w:val="000000"/>
          <w:sz w:val="32"/>
          <w:szCs w:val="32"/>
        </w:rPr>
        <w:t>一、财政拨款收入:指单位从同级财政部门取得的财政预算资金。</w:t>
      </w:r>
    </w:p>
    <w:p>
      <w:pPr>
        <w:pStyle w:val="5"/>
        <w:shd w:val="clear" w:color="auto" w:fill="FFFFFF"/>
        <w:spacing w:before="0" w:beforeAutospacing="0" w:after="0" w:afterAutospacing="0" w:line="300" w:lineRule="atLeast"/>
        <w:ind w:firstLine="200"/>
        <w:rPr>
          <w:rFonts w:cs="黑体"/>
          <w:color w:val="000000"/>
          <w:sz w:val="32"/>
          <w:szCs w:val="32"/>
        </w:rPr>
      </w:pPr>
      <w:r>
        <w:rPr>
          <w:rFonts w:hint="eastAsia" w:cs="黑体"/>
          <w:color w:val="000000"/>
          <w:sz w:val="32"/>
          <w:szCs w:val="32"/>
        </w:rPr>
        <w:t>　</w:t>
      </w:r>
      <w:r>
        <w:rPr>
          <w:rFonts w:hint="eastAsia" w:cs="黑体"/>
          <w:color w:val="000000"/>
          <w:sz w:val="32"/>
          <w:szCs w:val="32"/>
          <w:lang w:val="en-US" w:eastAsia="zh-CN"/>
        </w:rPr>
        <w:t xml:space="preserve">  二</w:t>
      </w:r>
      <w:r>
        <w:rPr>
          <w:rFonts w:hint="eastAsia" w:cs="黑体"/>
          <w:color w:val="000000"/>
          <w:sz w:val="32"/>
          <w:szCs w:val="32"/>
          <w:lang w:eastAsia="zh-CN"/>
        </w:rPr>
        <w:t>、</w:t>
      </w:r>
      <w:r>
        <w:rPr>
          <w:rFonts w:hint="eastAsia" w:cs="黑体"/>
          <w:color w:val="000000"/>
          <w:sz w:val="32"/>
          <w:szCs w:val="32"/>
        </w:rPr>
        <w:t>基本支出:指为保障机构正常运转、完成日常工作任务而发生的人员支出和公用支出。</w:t>
      </w:r>
    </w:p>
    <w:p>
      <w:pPr>
        <w:pStyle w:val="5"/>
        <w:shd w:val="clear" w:color="auto" w:fill="FFFFFF"/>
        <w:spacing w:before="0" w:beforeAutospacing="0" w:after="0" w:afterAutospacing="0" w:line="300" w:lineRule="atLeast"/>
        <w:ind w:firstLine="200"/>
        <w:rPr>
          <w:rFonts w:hint="eastAsia" w:cs="黑体"/>
          <w:color w:val="000000"/>
          <w:sz w:val="32"/>
          <w:szCs w:val="32"/>
        </w:rPr>
      </w:pPr>
      <w:r>
        <w:rPr>
          <w:rFonts w:hint="eastAsia" w:cs="黑体"/>
          <w:color w:val="000000"/>
          <w:sz w:val="32"/>
          <w:szCs w:val="32"/>
        </w:rPr>
        <w:t>　　</w:t>
      </w:r>
      <w:r>
        <w:rPr>
          <w:rFonts w:hint="eastAsia" w:cs="黑体"/>
          <w:color w:val="000000"/>
          <w:sz w:val="32"/>
          <w:szCs w:val="32"/>
          <w:lang w:eastAsia="zh-CN"/>
        </w:rPr>
        <w:t>三</w:t>
      </w:r>
      <w:r>
        <w:rPr>
          <w:rFonts w:hint="eastAsia" w:cs="黑体"/>
          <w:color w:val="000000"/>
          <w:sz w:val="32"/>
          <w:szCs w:val="32"/>
        </w:rPr>
        <w:t>、项目支出:指在基本支出之外为完成特定行政任务和事业发展目标所发生的支出。</w:t>
      </w:r>
    </w:p>
    <w:p>
      <w:pPr>
        <w:pStyle w:val="5"/>
        <w:shd w:val="clear" w:color="auto" w:fill="FFFFFF"/>
        <w:spacing w:before="0" w:beforeAutospacing="0" w:after="0" w:afterAutospacing="0" w:line="300" w:lineRule="atLeast"/>
        <w:ind w:firstLine="200"/>
        <w:rPr>
          <w:rFonts w:cs="黑体"/>
          <w:color w:val="000000"/>
          <w:sz w:val="32"/>
          <w:szCs w:val="32"/>
        </w:rPr>
      </w:pPr>
      <w:r>
        <w:rPr>
          <w:rFonts w:hint="eastAsia" w:cs="黑体"/>
          <w:color w:val="000000"/>
          <w:sz w:val="32"/>
          <w:szCs w:val="32"/>
          <w:lang w:val="en-US" w:eastAsia="zh-CN"/>
        </w:rPr>
        <w:t xml:space="preserve">    </w:t>
      </w:r>
      <w:r>
        <w:rPr>
          <w:rFonts w:hint="eastAsia" w:cs="黑体"/>
          <w:color w:val="000000"/>
          <w:sz w:val="32"/>
          <w:szCs w:val="32"/>
          <w:lang w:eastAsia="zh-CN"/>
        </w:rPr>
        <w:t>四、</w:t>
      </w:r>
      <w:r>
        <w:rPr>
          <w:rFonts w:hint="eastAsia" w:cs="黑体"/>
          <w:color w:val="000000"/>
          <w:sz w:val="32"/>
          <w:szCs w:val="32"/>
        </w:rPr>
        <w:t>机关运行经费:</w:t>
      </w:r>
      <w:r>
        <w:rPr>
          <w:rFonts w:hint="eastAsia" w:cs="黑体"/>
          <w:color w:val="000000"/>
          <w:sz w:val="32"/>
          <w:szCs w:val="32"/>
          <w:lang w:eastAsia="zh-CN"/>
        </w:rPr>
        <w:t>指为保障行政单位</w:t>
      </w:r>
      <w:r>
        <w:rPr>
          <w:rFonts w:hint="eastAsia" w:cs="黑体"/>
          <w:color w:val="000000"/>
          <w:sz w:val="32"/>
          <w:szCs w:val="32"/>
          <w:lang w:val="en-US" w:eastAsia="zh-CN"/>
        </w:rPr>
        <w:t>(含参照公务员法管理的事业单位)</w:t>
      </w:r>
      <w:r>
        <w:rPr>
          <w:rFonts w:hint="eastAsia" w:cs="黑体"/>
          <w:color w:val="000000"/>
          <w:sz w:val="32"/>
          <w:szCs w:val="32"/>
          <w:lang w:eastAsia="zh-CN"/>
        </w:rPr>
        <w:t>运行用于购买货物和服务的各项资金</w:t>
      </w:r>
      <w:r>
        <w:rPr>
          <w:rFonts w:hint="eastAsia" w:cs="黑体"/>
          <w:color w:val="000000"/>
          <w:sz w:val="32"/>
          <w:szCs w:val="32"/>
        </w:rPr>
        <w:t>,包括办公及印刷费、邮电费、差旅费、会议费、福利费、日常维修费、专用资料及一般设备购置费、办公用房水电费、办公用房取暖费、办公用房物业管理费、公务用车运行维护费以及其他费用。</w:t>
      </w:r>
    </w:p>
    <w:p>
      <w:pPr>
        <w:pStyle w:val="5"/>
        <w:shd w:val="clear" w:color="auto" w:fill="FFFFFF"/>
        <w:spacing w:before="0" w:beforeAutospacing="0" w:after="0" w:afterAutospacing="0" w:line="300" w:lineRule="atLeast"/>
        <w:ind w:firstLine="200"/>
        <w:rPr>
          <w:rFonts w:cs="黑体"/>
          <w:color w:val="000000"/>
          <w:sz w:val="32"/>
          <w:szCs w:val="32"/>
        </w:rPr>
      </w:pPr>
      <w:r>
        <w:rPr>
          <w:rFonts w:hint="eastAsia" w:cs="黑体"/>
          <w:color w:val="000000"/>
          <w:sz w:val="32"/>
          <w:szCs w:val="32"/>
        </w:rPr>
        <w:t>　　</w:t>
      </w:r>
      <w:r>
        <w:rPr>
          <w:rFonts w:hint="eastAsia" w:cs="黑体"/>
          <w:color w:val="000000"/>
          <w:sz w:val="32"/>
          <w:szCs w:val="32"/>
          <w:lang w:val="en-US" w:eastAsia="zh-CN"/>
        </w:rPr>
        <w:t>五</w:t>
      </w:r>
      <w:r>
        <w:rPr>
          <w:rFonts w:hint="eastAsia" w:cs="黑体"/>
          <w:color w:val="000000"/>
          <w:sz w:val="32"/>
          <w:szCs w:val="32"/>
        </w:rPr>
        <w:t>、“三公”经费:</w:t>
      </w:r>
      <w:r>
        <w:rPr>
          <w:rFonts w:hint="eastAsia" w:cs="黑体"/>
          <w:color w:val="000000"/>
          <w:sz w:val="32"/>
          <w:szCs w:val="32"/>
          <w:lang w:eastAsia="zh-CN"/>
        </w:rPr>
        <w:t>指通过财政拨款资金安排</w:t>
      </w:r>
      <w:r>
        <w:rPr>
          <w:rFonts w:hint="eastAsia" w:cs="黑体"/>
          <w:color w:val="000000"/>
          <w:sz w:val="32"/>
          <w:szCs w:val="32"/>
        </w:rPr>
        <w:t>的公务接待费、公务用车购置及运行维护费和因公出国(境)费。其中,公务接待费反映单位按规定开支的各类公务接待</w:t>
      </w:r>
      <w:r>
        <w:rPr>
          <w:rFonts w:hint="eastAsia" w:cs="黑体"/>
          <w:color w:val="000000"/>
          <w:sz w:val="32"/>
          <w:szCs w:val="32"/>
          <w:lang w:eastAsia="zh-CN"/>
        </w:rPr>
        <w:t>（含外宾接待）</w:t>
      </w:r>
      <w:r>
        <w:rPr>
          <w:rFonts w:hint="eastAsia" w:cs="黑体"/>
          <w:color w:val="000000"/>
          <w:sz w:val="32"/>
          <w:szCs w:val="32"/>
        </w:rPr>
        <w:t>支出;公务用车购置及运行费反映单位公务用车车辆购置支出(含车辆购置税),以及燃料费、维修费、保险费等支出;因公出国(境)费反映单位公务出国(境)的国际旅费、国外城市间交通费、食宿费等支出。</w:t>
      </w:r>
    </w:p>
    <w:p>
      <w:pPr>
        <w:ind w:firstLine="640" w:firstLineChars="200"/>
        <w:jc w:val="left"/>
        <w:rPr>
          <w:rFonts w:cs="黑体" w:asciiTheme="minorEastAsia" w:hAnsiTheme="minorEastAsia"/>
          <w:color w:val="000000"/>
          <w:kern w:val="0"/>
          <w:sz w:val="32"/>
          <w:szCs w:val="32"/>
        </w:rPr>
      </w:pP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both"/>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ind w:firstLine="640" w:firstLineChars="200"/>
        <w:jc w:val="center"/>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lang w:eastAsia="zh-CN"/>
        </w:rPr>
        <w:t>2020</w:t>
      </w:r>
      <w:r>
        <w:rPr>
          <w:rFonts w:hint="eastAsia" w:cs="黑体" w:asciiTheme="minorEastAsia" w:hAnsiTheme="minorEastAsia"/>
          <w:b/>
          <w:color w:val="000000"/>
          <w:kern w:val="0"/>
          <w:sz w:val="32"/>
          <w:szCs w:val="32"/>
        </w:rPr>
        <w:t>年度部门整体支出绩效评价报告</w:t>
      </w:r>
    </w:p>
    <w:p>
      <w:pPr>
        <w:widowControl/>
        <w:spacing w:line="480" w:lineRule="auto"/>
        <w:ind w:firstLine="600" w:firstLineChars="200"/>
        <w:jc w:val="left"/>
        <w:rPr>
          <w:rFonts w:hint="eastAsia" w:ascii="仿宋_GB2312" w:hAnsi="黑体" w:eastAsia="仿宋_GB2312" w:cs="宋体"/>
          <w:b w:val="0"/>
          <w:bCs/>
          <w:color w:val="000000"/>
          <w:kern w:val="0"/>
          <w:sz w:val="30"/>
          <w:szCs w:val="30"/>
        </w:rPr>
      </w:pPr>
      <w:r>
        <w:rPr>
          <w:rFonts w:hint="eastAsia" w:ascii="仿宋_GB2312" w:hAnsi="黑体" w:eastAsia="仿宋_GB2312" w:cs="宋体"/>
          <w:b w:val="0"/>
          <w:bCs/>
          <w:color w:val="000000"/>
          <w:kern w:val="0"/>
          <w:sz w:val="30"/>
          <w:szCs w:val="30"/>
          <w:lang w:val="en-US" w:eastAsia="zh-CN"/>
        </w:rPr>
        <w:t>根据《零陵区财政局关于开展2020年度部门整体支出绩效评价工作的通知》（零财绩〔2021〕1号）的文件精神</w:t>
      </w:r>
      <w:r>
        <w:rPr>
          <w:rFonts w:hint="default" w:ascii="仿宋_GB2312" w:hAnsi="黑体" w:eastAsia="仿宋_GB2312" w:cs="宋体"/>
          <w:b w:val="0"/>
          <w:bCs/>
          <w:color w:val="000000"/>
          <w:kern w:val="0"/>
          <w:sz w:val="30"/>
          <w:szCs w:val="30"/>
          <w:lang w:val="en-US" w:eastAsia="zh-CN"/>
        </w:rPr>
        <w:t>，我</w:t>
      </w:r>
      <w:r>
        <w:rPr>
          <w:rFonts w:hint="eastAsia" w:ascii="仿宋_GB2312" w:hAnsi="黑体" w:eastAsia="仿宋_GB2312" w:cs="宋体"/>
          <w:b w:val="0"/>
          <w:bCs/>
          <w:color w:val="000000"/>
          <w:kern w:val="0"/>
          <w:sz w:val="30"/>
          <w:szCs w:val="30"/>
          <w:lang w:val="en-US" w:eastAsia="zh-CN"/>
        </w:rPr>
        <w:t>局</w:t>
      </w:r>
      <w:r>
        <w:rPr>
          <w:rFonts w:hint="default" w:ascii="仿宋_GB2312" w:hAnsi="黑体" w:eastAsia="仿宋_GB2312" w:cs="宋体"/>
          <w:b w:val="0"/>
          <w:bCs/>
          <w:color w:val="000000"/>
          <w:kern w:val="0"/>
          <w:sz w:val="30"/>
          <w:szCs w:val="30"/>
          <w:lang w:val="en-US" w:eastAsia="zh-CN"/>
        </w:rPr>
        <w:t>对部门整体支出进行了绩效评价，现报告如下： </w:t>
      </w:r>
    </w:p>
    <w:p>
      <w:pPr>
        <w:numPr>
          <w:ilvl w:val="0"/>
          <w:numId w:val="4"/>
        </w:numPr>
        <w:adjustRightInd w:val="0"/>
        <w:snapToGrid w:val="0"/>
        <w:spacing w:line="600" w:lineRule="exact"/>
        <w:ind w:firstLine="640" w:firstLineChars="200"/>
        <w:rPr>
          <w:rFonts w:hint="eastAsia" w:eastAsia="黑体"/>
          <w:sz w:val="32"/>
          <w:szCs w:val="32"/>
        </w:rPr>
      </w:pPr>
      <w:r>
        <w:rPr>
          <w:rFonts w:hint="eastAsia" w:eastAsia="黑体"/>
          <w:sz w:val="32"/>
          <w:szCs w:val="32"/>
          <w:lang w:eastAsia="zh-CN"/>
        </w:rPr>
        <w:t>基本情况</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零陵区发改局内设机构为16个：办公室、行政审批股、招投标管理办公室、工业基础产业和高新技术股、农村经济股、固定资产投资股、社会发展股、财政经贸股、能源股、前期办、价格调控和价费管理股、商品、服务价格管理股、政工股、重点项目管理股、粮食调控与物质储备股、粮食行业发展和秩序监督股。下辖1个正股级单位（价格认证中心）。</w:t>
      </w: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人员编制。</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2019年部门预算编报范围本部门核定编制数31名，全额编制31名，实有人数98名，其中：在职人员48人，退休人员50人。</w:t>
      </w: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部门2020年度整体绩效目标及专项绩效目标</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目标1：组织编制全区各类重大规划纲要；</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目标2：狠抓固定资产投资和重大项目协调管理；</w:t>
      </w:r>
    </w:p>
    <w:p>
      <w:pPr>
        <w:widowControl/>
        <w:spacing w:line="480" w:lineRule="auto"/>
        <w:ind w:firstLine="600" w:firstLineChars="200"/>
        <w:jc w:val="left"/>
        <w:rPr>
          <w:rFonts w:hint="eastAsia" w:ascii="仿宋" w:hAnsi="仿宋" w:eastAsia="仿宋" w:cs="仿宋"/>
          <w:b/>
          <w:bCs/>
          <w:sz w:val="30"/>
          <w:szCs w:val="30"/>
          <w:lang w:val="en-US" w:eastAsia="zh-CN"/>
        </w:rPr>
      </w:pPr>
      <w:r>
        <w:rPr>
          <w:rFonts w:hint="eastAsia" w:ascii="仿宋_GB2312" w:hAnsi="黑体" w:eastAsia="仿宋_GB2312" w:cs="宋体"/>
          <w:b w:val="0"/>
          <w:bCs/>
          <w:color w:val="000000"/>
          <w:kern w:val="0"/>
          <w:sz w:val="30"/>
          <w:szCs w:val="30"/>
          <w:lang w:val="en-US" w:eastAsia="zh-CN"/>
        </w:rPr>
        <w:t>目标3：大抓向上争资和项目融资工作；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目标4：扎实推进重大项目前期工作；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目标5：稳定好市场价格，抓好粮食与物资储备工作；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目标6：做好区易地扶贫搬迁工作；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目标7：做好招投标工作。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目标8：承办区人民政府交办的其他事项。</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专项目标：完成区级储备粮的收储任务，协调处理好价格纠纷案件鉴定、足额发放企业负责人工资及退休人员山区补贴、做好粮食监测、储备等工作、完成重点项目管理工作、完成十四五规划编制工作、做好重大项目前期及向上争资工作。</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eastAsia="zh-CN"/>
        </w:rPr>
      </w:pPr>
      <w:r>
        <w:rPr>
          <w:rFonts w:hint="default" w:eastAsia="黑体"/>
          <w:sz w:val="32"/>
          <w:szCs w:val="32"/>
        </w:rPr>
        <w:t>二、</w:t>
      </w:r>
      <w:r>
        <w:rPr>
          <w:rFonts w:hint="eastAsia" w:eastAsia="黑体"/>
          <w:sz w:val="32"/>
          <w:szCs w:val="32"/>
          <w:lang w:eastAsia="zh-CN"/>
        </w:rPr>
        <w:t>一般公共预算支出情况</w:t>
      </w:r>
    </w:p>
    <w:p>
      <w:pPr>
        <w:widowControl/>
        <w:spacing w:line="480" w:lineRule="auto"/>
        <w:ind w:firstLine="600" w:firstLineChars="200"/>
        <w:jc w:val="left"/>
        <w:rPr>
          <w:rFonts w:hint="default"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rPr>
        <w:t>（一）</w:t>
      </w:r>
      <w:r>
        <w:rPr>
          <w:rFonts w:hint="eastAsia" w:ascii="仿宋_GB2312" w:hAnsi="黑体" w:eastAsia="仿宋_GB2312" w:cs="宋体"/>
          <w:b w:val="0"/>
          <w:bCs/>
          <w:color w:val="000000"/>
          <w:kern w:val="0"/>
          <w:sz w:val="30"/>
          <w:szCs w:val="30"/>
          <w:lang w:val="en-US" w:eastAsia="zh-CN"/>
        </w:rPr>
        <w:t>基本支出情况</w:t>
      </w:r>
      <w:r>
        <w:rPr>
          <w:rFonts w:hint="default" w:ascii="仿宋_GB2312" w:hAnsi="黑体" w:eastAsia="仿宋_GB2312" w:cs="宋体"/>
          <w:b w:val="0"/>
          <w:bCs/>
          <w:color w:val="000000"/>
          <w:kern w:val="0"/>
          <w:sz w:val="30"/>
          <w:szCs w:val="30"/>
          <w:lang w:val="en-US" w:eastAsia="zh-CN"/>
        </w:rPr>
        <w:t> </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基本支出系保障我</w:t>
      </w:r>
      <w:r>
        <w:rPr>
          <w:rFonts w:hint="eastAsia" w:ascii="仿宋_GB2312" w:hAnsi="黑体" w:eastAsia="仿宋_GB2312" w:cs="宋体"/>
          <w:b w:val="0"/>
          <w:bCs/>
          <w:color w:val="000000"/>
          <w:kern w:val="0"/>
          <w:sz w:val="30"/>
          <w:szCs w:val="30"/>
          <w:lang w:val="en-US" w:eastAsia="zh-CN" w:bidi="ar-SA"/>
        </w:rPr>
        <w:t>局日常工作</w:t>
      </w:r>
      <w:r>
        <w:rPr>
          <w:rFonts w:hint="default" w:ascii="仿宋_GB2312" w:hAnsi="黑体" w:eastAsia="仿宋_GB2312" w:cs="宋体"/>
          <w:b w:val="0"/>
          <w:bCs/>
          <w:color w:val="000000"/>
          <w:kern w:val="0"/>
          <w:sz w:val="30"/>
          <w:szCs w:val="30"/>
          <w:lang w:val="en-US" w:eastAsia="zh-CN" w:bidi="ar-SA"/>
        </w:rPr>
        <w:t>正常运转、完成日常工作任务而发生的各项支出，包括用于在职人员基本工资、津贴补贴</w:t>
      </w:r>
      <w:r>
        <w:rPr>
          <w:rFonts w:hint="eastAsia" w:ascii="仿宋_GB2312" w:hAnsi="黑体" w:eastAsia="仿宋_GB2312" w:cs="宋体"/>
          <w:b w:val="0"/>
          <w:bCs/>
          <w:color w:val="000000"/>
          <w:kern w:val="0"/>
          <w:sz w:val="30"/>
          <w:szCs w:val="30"/>
          <w:lang w:val="en-US" w:eastAsia="zh-CN" w:bidi="ar-SA"/>
        </w:rPr>
        <w:t>、奖金</w:t>
      </w:r>
      <w:r>
        <w:rPr>
          <w:rFonts w:hint="default" w:ascii="仿宋_GB2312" w:hAnsi="黑体" w:eastAsia="仿宋_GB2312" w:cs="宋体"/>
          <w:b w:val="0"/>
          <w:bCs/>
          <w:color w:val="000000"/>
          <w:kern w:val="0"/>
          <w:sz w:val="30"/>
          <w:szCs w:val="30"/>
          <w:lang w:val="en-US" w:eastAsia="zh-CN" w:bidi="ar-SA"/>
        </w:rPr>
        <w:t>等人员经费以及办公费、印刷费、</w:t>
      </w:r>
      <w:r>
        <w:rPr>
          <w:rFonts w:hint="eastAsia" w:ascii="仿宋_GB2312" w:hAnsi="黑体" w:eastAsia="仿宋_GB2312" w:cs="宋体"/>
          <w:b w:val="0"/>
          <w:bCs/>
          <w:color w:val="000000"/>
          <w:kern w:val="0"/>
          <w:sz w:val="30"/>
          <w:szCs w:val="30"/>
          <w:lang w:val="en-US" w:eastAsia="zh-CN" w:bidi="ar-SA"/>
        </w:rPr>
        <w:t>咨询费、</w:t>
      </w:r>
      <w:r>
        <w:rPr>
          <w:rFonts w:hint="default" w:ascii="仿宋_GB2312" w:hAnsi="黑体" w:eastAsia="仿宋_GB2312" w:cs="宋体"/>
          <w:b w:val="0"/>
          <w:bCs/>
          <w:color w:val="000000"/>
          <w:kern w:val="0"/>
          <w:sz w:val="30"/>
          <w:szCs w:val="30"/>
          <w:lang w:val="en-US" w:eastAsia="zh-CN" w:bidi="ar-SA"/>
        </w:rPr>
        <w:t>水电费、</w:t>
      </w:r>
      <w:r>
        <w:rPr>
          <w:rFonts w:hint="eastAsia" w:ascii="仿宋_GB2312" w:hAnsi="黑体" w:eastAsia="仿宋_GB2312" w:cs="宋体"/>
          <w:b w:val="0"/>
          <w:bCs/>
          <w:color w:val="000000"/>
          <w:kern w:val="0"/>
          <w:sz w:val="30"/>
          <w:szCs w:val="30"/>
          <w:lang w:val="en-US" w:eastAsia="zh-CN" w:bidi="ar-SA"/>
        </w:rPr>
        <w:t>维修（护）费、</w:t>
      </w:r>
      <w:r>
        <w:rPr>
          <w:rFonts w:hint="default" w:ascii="仿宋_GB2312" w:hAnsi="黑体" w:eastAsia="仿宋_GB2312" w:cs="宋体"/>
          <w:b w:val="0"/>
          <w:bCs/>
          <w:color w:val="000000"/>
          <w:kern w:val="0"/>
          <w:sz w:val="30"/>
          <w:szCs w:val="30"/>
          <w:lang w:val="en-US" w:eastAsia="zh-CN" w:bidi="ar-SA"/>
        </w:rPr>
        <w:t>办公设备购置等日常公用经费。20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年基本支出</w:t>
      </w:r>
      <w:r>
        <w:rPr>
          <w:rFonts w:hint="eastAsia" w:ascii="仿宋_GB2312" w:hAnsi="黑体" w:eastAsia="仿宋_GB2312" w:cs="宋体"/>
          <w:b w:val="0"/>
          <w:bCs/>
          <w:color w:val="000000"/>
          <w:kern w:val="0"/>
          <w:sz w:val="30"/>
          <w:szCs w:val="30"/>
          <w:lang w:val="en-US" w:eastAsia="zh-CN" w:bidi="ar-SA"/>
        </w:rPr>
        <w:t>1105.21</w:t>
      </w:r>
      <w:r>
        <w:rPr>
          <w:rFonts w:hint="default" w:ascii="仿宋_GB2312" w:hAnsi="黑体" w:eastAsia="仿宋_GB2312" w:cs="宋体"/>
          <w:b w:val="0"/>
          <w:bCs/>
          <w:color w:val="000000"/>
          <w:kern w:val="0"/>
          <w:sz w:val="30"/>
          <w:szCs w:val="30"/>
          <w:lang w:val="en-US" w:eastAsia="zh-CN" w:bidi="ar-SA"/>
        </w:rPr>
        <w:t>万元，。基本支出中人员经费</w:t>
      </w:r>
      <w:r>
        <w:rPr>
          <w:rFonts w:hint="eastAsia" w:ascii="仿宋_GB2312" w:hAnsi="黑体" w:eastAsia="仿宋_GB2312" w:cs="宋体"/>
          <w:b w:val="0"/>
          <w:bCs/>
          <w:color w:val="000000"/>
          <w:kern w:val="0"/>
          <w:sz w:val="30"/>
          <w:szCs w:val="30"/>
          <w:lang w:val="en-US" w:eastAsia="zh-CN" w:bidi="ar-SA"/>
        </w:rPr>
        <w:t>641.85</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58.08</w:t>
      </w:r>
      <w:r>
        <w:rPr>
          <w:rFonts w:hint="default" w:ascii="仿宋_GB2312" w:hAnsi="黑体" w:eastAsia="仿宋_GB2312" w:cs="宋体"/>
          <w:b w:val="0"/>
          <w:bCs/>
          <w:color w:val="000000"/>
          <w:kern w:val="0"/>
          <w:sz w:val="30"/>
          <w:szCs w:val="30"/>
          <w:lang w:val="en-US" w:eastAsia="zh-CN" w:bidi="ar-SA"/>
        </w:rPr>
        <w:t>%，日常公用经费</w:t>
      </w:r>
      <w:r>
        <w:rPr>
          <w:rFonts w:hint="eastAsia" w:ascii="仿宋_GB2312" w:hAnsi="黑体" w:eastAsia="仿宋_GB2312" w:cs="宋体"/>
          <w:b w:val="0"/>
          <w:bCs/>
          <w:color w:val="000000"/>
          <w:kern w:val="0"/>
          <w:sz w:val="30"/>
          <w:szCs w:val="30"/>
          <w:lang w:val="en-US" w:eastAsia="zh-CN" w:bidi="ar-SA"/>
        </w:rPr>
        <w:t>463.35</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41.92</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rPr>
        <w:t>（</w:t>
      </w:r>
      <w:r>
        <w:rPr>
          <w:rFonts w:hint="eastAsia" w:ascii="仿宋_GB2312" w:hAnsi="黑体" w:eastAsia="仿宋_GB2312" w:cs="宋体"/>
          <w:b w:val="0"/>
          <w:bCs/>
          <w:color w:val="000000"/>
          <w:kern w:val="0"/>
          <w:sz w:val="30"/>
          <w:szCs w:val="30"/>
          <w:lang w:val="en-US" w:eastAsia="zh-CN"/>
        </w:rPr>
        <w:t>二</w:t>
      </w:r>
      <w:r>
        <w:rPr>
          <w:rFonts w:hint="default" w:ascii="仿宋_GB2312" w:hAnsi="黑体" w:eastAsia="仿宋_GB2312" w:cs="宋体"/>
          <w:b w:val="0"/>
          <w:bCs/>
          <w:color w:val="000000"/>
          <w:kern w:val="0"/>
          <w:sz w:val="30"/>
          <w:szCs w:val="30"/>
          <w:lang w:val="en-US" w:eastAsia="zh-CN"/>
        </w:rPr>
        <w:t>）</w:t>
      </w:r>
      <w:r>
        <w:rPr>
          <w:rFonts w:hint="default" w:ascii="仿宋_GB2312" w:hAnsi="黑体" w:eastAsia="仿宋_GB2312" w:cs="宋体"/>
          <w:b w:val="0"/>
          <w:bCs/>
          <w:color w:val="000000"/>
          <w:kern w:val="0"/>
          <w:sz w:val="30"/>
          <w:szCs w:val="30"/>
          <w:lang w:val="en-US" w:eastAsia="zh-CN" w:bidi="ar-SA"/>
        </w:rPr>
        <w:t>项目支出</w:t>
      </w:r>
      <w:r>
        <w:rPr>
          <w:rFonts w:hint="eastAsia" w:ascii="仿宋_GB2312" w:hAnsi="黑体" w:eastAsia="仿宋_GB2312" w:cs="宋体"/>
          <w:b w:val="0"/>
          <w:bCs/>
          <w:color w:val="000000"/>
          <w:kern w:val="0"/>
          <w:sz w:val="30"/>
          <w:szCs w:val="30"/>
          <w:lang w:val="en-US" w:eastAsia="zh-CN" w:bidi="ar-SA"/>
        </w:rPr>
        <w:t>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项目支出系我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为完成</w:t>
      </w:r>
      <w:r>
        <w:rPr>
          <w:rFonts w:hint="eastAsia" w:ascii="仿宋_GB2312" w:hAnsi="黑体" w:eastAsia="仿宋_GB2312" w:cs="宋体"/>
          <w:b w:val="0"/>
          <w:bCs/>
          <w:color w:val="000000"/>
          <w:kern w:val="0"/>
          <w:sz w:val="30"/>
          <w:szCs w:val="30"/>
          <w:lang w:val="en-US" w:eastAsia="zh-CN" w:bidi="ar-SA"/>
        </w:rPr>
        <w:t>各项业务</w:t>
      </w:r>
      <w:r>
        <w:rPr>
          <w:rFonts w:hint="default" w:ascii="仿宋_GB2312" w:hAnsi="黑体" w:eastAsia="仿宋_GB2312" w:cs="宋体"/>
          <w:b w:val="0"/>
          <w:bCs/>
          <w:color w:val="000000"/>
          <w:kern w:val="0"/>
          <w:sz w:val="30"/>
          <w:szCs w:val="30"/>
          <w:lang w:val="en-US" w:eastAsia="zh-CN" w:bidi="ar-SA"/>
        </w:rPr>
        <w:t>管理工作而发生的支出，包括</w:t>
      </w:r>
      <w:r>
        <w:rPr>
          <w:rFonts w:hint="eastAsia" w:ascii="仿宋_GB2312" w:hAnsi="黑体" w:eastAsia="仿宋_GB2312" w:cs="宋体"/>
          <w:b w:val="0"/>
          <w:bCs/>
          <w:color w:val="000000"/>
          <w:kern w:val="0"/>
          <w:sz w:val="30"/>
          <w:szCs w:val="30"/>
          <w:lang w:val="en-US" w:eastAsia="zh-CN" w:bidi="ar-SA"/>
        </w:rPr>
        <w:t>各类业务工作经费</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项目</w:t>
      </w:r>
      <w:r>
        <w:rPr>
          <w:rFonts w:hint="default" w:ascii="仿宋_GB2312" w:hAnsi="黑体" w:eastAsia="仿宋_GB2312" w:cs="宋体"/>
          <w:b w:val="0"/>
          <w:bCs/>
          <w:color w:val="000000"/>
          <w:kern w:val="0"/>
          <w:sz w:val="30"/>
          <w:szCs w:val="30"/>
          <w:lang w:val="en-US" w:eastAsia="zh-CN" w:bidi="ar-SA"/>
        </w:rPr>
        <w:t>支出</w:t>
      </w:r>
      <w:r>
        <w:rPr>
          <w:rFonts w:hint="eastAsia" w:ascii="仿宋_GB2312" w:hAnsi="黑体" w:eastAsia="仿宋_GB2312" w:cs="宋体"/>
          <w:b w:val="0"/>
          <w:bCs/>
          <w:color w:val="000000"/>
          <w:kern w:val="0"/>
          <w:sz w:val="30"/>
          <w:szCs w:val="30"/>
          <w:lang w:val="en-US" w:eastAsia="zh-CN" w:bidi="ar-SA"/>
        </w:rPr>
        <w:t>主要包括前期项目管理、重点项目管理、十四五规划工作经费</w:t>
      </w:r>
      <w:r>
        <w:rPr>
          <w:rFonts w:hint="default" w:ascii="仿宋_GB2312" w:hAnsi="黑体" w:eastAsia="仿宋_GB2312" w:cs="宋体"/>
          <w:b w:val="0"/>
          <w:bCs/>
          <w:color w:val="000000"/>
          <w:kern w:val="0"/>
          <w:sz w:val="30"/>
          <w:szCs w:val="30"/>
          <w:lang w:val="en-US" w:eastAsia="zh-CN" w:bidi="ar-SA"/>
        </w:rPr>
        <w:t>等方面</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年项目支出</w:t>
      </w:r>
      <w:r>
        <w:rPr>
          <w:rFonts w:hint="eastAsia" w:ascii="仿宋_GB2312" w:hAnsi="黑体" w:eastAsia="仿宋_GB2312" w:cs="宋体"/>
          <w:b w:val="0"/>
          <w:bCs/>
          <w:color w:val="000000"/>
          <w:kern w:val="0"/>
          <w:sz w:val="30"/>
          <w:szCs w:val="30"/>
          <w:lang w:val="en-US" w:eastAsia="zh-CN" w:bidi="ar-SA"/>
        </w:rPr>
        <w:t>1115.43</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，其中包括“135”工程升级版奖补资金及省级储备粮收购资金。</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Chars="200" w:right="0" w:rightChars="0"/>
        <w:jc w:val="both"/>
        <w:rPr>
          <w:rFonts w:hint="eastAsia" w:ascii="Times New Roman" w:hAnsi="Times New Roman" w:eastAsia="黑体" w:cs="Times New Roman"/>
          <w:kern w:val="2"/>
          <w:sz w:val="32"/>
          <w:szCs w:val="32"/>
          <w:lang w:val="en-US" w:eastAsia="zh-CN" w:bidi="ar-SA"/>
        </w:rPr>
      </w:pPr>
      <w:r>
        <w:rPr>
          <w:rFonts w:hint="eastAsia" w:eastAsia="黑体" w:cs="Times New Roman"/>
          <w:kern w:val="2"/>
          <w:sz w:val="32"/>
          <w:szCs w:val="32"/>
          <w:lang w:val="en-US" w:eastAsia="zh-CN" w:bidi="ar-SA"/>
        </w:rPr>
        <w:t>三、</w:t>
      </w:r>
      <w:r>
        <w:rPr>
          <w:rFonts w:hint="eastAsia" w:ascii="Times New Roman" w:hAnsi="Times New Roman" w:eastAsia="黑体" w:cs="Times New Roman"/>
          <w:kern w:val="2"/>
          <w:sz w:val="32"/>
          <w:szCs w:val="32"/>
          <w:lang w:val="en-US" w:eastAsia="zh-CN" w:bidi="ar-SA"/>
        </w:rPr>
        <w:t>社会保险基金预算支出情况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2020年社会保障和就业支出88.35万元，主要用于单位基本养老保险缴费及职工基本医疗保险缴费及其他社会保障缴费。</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Times New Roman" w:hAnsi="Times New Roman" w:eastAsia="黑体" w:cs="Times New Roman"/>
          <w:kern w:val="2"/>
          <w:sz w:val="32"/>
          <w:szCs w:val="32"/>
          <w:lang w:val="en-US" w:eastAsia="zh-CN" w:bidi="ar-SA"/>
        </w:rPr>
      </w:pPr>
      <w:r>
        <w:rPr>
          <w:rFonts w:hint="default" w:ascii="Times New Roman" w:hAnsi="Times New Roman" w:eastAsia="黑体" w:cs="Times New Roman"/>
          <w:kern w:val="2"/>
          <w:sz w:val="32"/>
          <w:szCs w:val="32"/>
          <w:lang w:val="en-US" w:eastAsia="zh-CN" w:bidi="ar-SA"/>
        </w:rPr>
        <w:t>　　</w:t>
      </w:r>
      <w:r>
        <w:rPr>
          <w:rFonts w:hint="eastAsia" w:eastAsia="黑体" w:cs="Times New Roman"/>
          <w:kern w:val="2"/>
          <w:sz w:val="32"/>
          <w:szCs w:val="32"/>
          <w:lang w:val="en-US" w:eastAsia="zh-CN" w:bidi="ar-SA"/>
        </w:rPr>
        <w:t>四</w:t>
      </w:r>
      <w:r>
        <w:rPr>
          <w:rFonts w:hint="default" w:ascii="Times New Roman" w:hAnsi="Times New Roman" w:eastAsia="黑体" w:cs="Times New Roman"/>
          <w:kern w:val="2"/>
          <w:sz w:val="32"/>
          <w:szCs w:val="32"/>
          <w:lang w:val="en-US" w:eastAsia="zh-CN" w:bidi="ar-SA"/>
        </w:rPr>
        <w:t>、部门整体支出绩效指标评价情况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Times New Roman" w:hAnsi="Times New Roman" w:eastAsia="黑体" w:cs="Times New Roman"/>
          <w:kern w:val="2"/>
          <w:sz w:val="32"/>
          <w:szCs w:val="32"/>
          <w:lang w:val="en-US" w:eastAsia="zh-CN" w:bidi="ar-SA"/>
        </w:rPr>
        <w:t>　　</w:t>
      </w:r>
      <w:r>
        <w:rPr>
          <w:rFonts w:hint="default" w:ascii="仿宋_GB2312" w:hAnsi="黑体" w:eastAsia="仿宋_GB2312" w:cs="宋体"/>
          <w:b w:val="0"/>
          <w:bCs/>
          <w:color w:val="000000"/>
          <w:kern w:val="0"/>
          <w:sz w:val="30"/>
          <w:szCs w:val="30"/>
          <w:lang w:val="en-US" w:eastAsia="zh-CN" w:bidi="ar-SA"/>
        </w:rPr>
        <w:t>对照</w:t>
      </w:r>
      <w:r>
        <w:rPr>
          <w:rFonts w:hint="eastAsia" w:ascii="仿宋_GB2312" w:hAnsi="黑体" w:eastAsia="仿宋_GB2312" w:cs="宋体"/>
          <w:b w:val="0"/>
          <w:bCs/>
          <w:color w:val="000000"/>
          <w:kern w:val="0"/>
          <w:sz w:val="30"/>
          <w:szCs w:val="30"/>
          <w:lang w:val="en-US" w:eastAsia="zh-CN" w:bidi="ar-SA"/>
        </w:rPr>
        <w:t>零财</w:t>
      </w:r>
      <w:r>
        <w:rPr>
          <w:rFonts w:hint="default" w:ascii="仿宋_GB2312" w:hAnsi="黑体" w:eastAsia="仿宋_GB2312" w:cs="宋体"/>
          <w:b w:val="0"/>
          <w:bCs/>
          <w:color w:val="000000"/>
          <w:kern w:val="0"/>
          <w:sz w:val="30"/>
          <w:szCs w:val="30"/>
          <w:lang w:val="en-US" w:eastAsia="zh-CN" w:bidi="ar-SA"/>
        </w:rPr>
        <w:t>绩〔20</w:t>
      </w:r>
      <w:r>
        <w:rPr>
          <w:rFonts w:hint="eastAsia" w:ascii="仿宋_GB2312" w:hAnsi="黑体" w:eastAsia="仿宋_GB2312" w:cs="宋体"/>
          <w:b w:val="0"/>
          <w:bCs/>
          <w:color w:val="000000"/>
          <w:kern w:val="0"/>
          <w:sz w:val="30"/>
          <w:szCs w:val="30"/>
          <w:lang w:val="en-US" w:eastAsia="zh-CN" w:bidi="ar-SA"/>
        </w:rPr>
        <w:t>21</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号文件规定的考核指标，我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从预算配置、预算执行、预算管理、履职效益等方面对20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年部门整体支出绩效开展了评价，自评得分9</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分，具体情况如下：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（一）预算配置方面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在职人员控制率：</w:t>
      </w:r>
      <w:r>
        <w:rPr>
          <w:rFonts w:hint="eastAsia" w:ascii="仿宋_GB2312" w:hAnsi="黑体" w:eastAsia="仿宋_GB2312" w:cs="宋体"/>
          <w:b w:val="0"/>
          <w:bCs/>
          <w:color w:val="000000"/>
          <w:kern w:val="0"/>
          <w:sz w:val="30"/>
          <w:szCs w:val="30"/>
          <w:lang w:val="en-US" w:eastAsia="zh-CN" w:bidi="ar-SA"/>
        </w:rPr>
        <w:t>财政预算48</w:t>
      </w:r>
      <w:r>
        <w:rPr>
          <w:rFonts w:hint="default" w:ascii="仿宋_GB2312" w:hAnsi="黑体" w:eastAsia="仿宋_GB2312" w:cs="宋体"/>
          <w:b w:val="0"/>
          <w:bCs/>
          <w:color w:val="000000"/>
          <w:kern w:val="0"/>
          <w:sz w:val="30"/>
          <w:szCs w:val="30"/>
          <w:lang w:val="en-US" w:eastAsia="zh-CN" w:bidi="ar-SA"/>
        </w:rPr>
        <w:t>人，在职人员</w:t>
      </w:r>
      <w:r>
        <w:rPr>
          <w:rFonts w:hint="eastAsia" w:ascii="仿宋_GB2312" w:hAnsi="黑体" w:eastAsia="仿宋_GB2312" w:cs="宋体"/>
          <w:b w:val="0"/>
          <w:bCs/>
          <w:color w:val="000000"/>
          <w:kern w:val="0"/>
          <w:sz w:val="30"/>
          <w:szCs w:val="30"/>
          <w:lang w:val="en-US" w:eastAsia="zh-CN" w:bidi="ar-SA"/>
        </w:rPr>
        <w:t>48</w:t>
      </w:r>
      <w:r>
        <w:rPr>
          <w:rFonts w:hint="default" w:ascii="仿宋_GB2312" w:hAnsi="黑体" w:eastAsia="仿宋_GB2312" w:cs="宋体"/>
          <w:b w:val="0"/>
          <w:bCs/>
          <w:color w:val="000000"/>
          <w:kern w:val="0"/>
          <w:sz w:val="30"/>
          <w:szCs w:val="30"/>
          <w:lang w:val="en-US" w:eastAsia="zh-CN" w:bidi="ar-SA"/>
        </w:rPr>
        <w:t>人，在</w:t>
      </w:r>
      <w:r>
        <w:rPr>
          <w:rFonts w:hint="eastAsia" w:ascii="仿宋_GB2312" w:hAnsi="黑体" w:eastAsia="仿宋_GB2312" w:cs="宋体"/>
          <w:b w:val="0"/>
          <w:bCs/>
          <w:color w:val="000000"/>
          <w:kern w:val="0"/>
          <w:sz w:val="30"/>
          <w:szCs w:val="30"/>
          <w:lang w:val="en-US" w:eastAsia="zh-CN" w:bidi="ar-SA"/>
        </w:rPr>
        <w:t>财政供养</w:t>
      </w:r>
      <w:r>
        <w:rPr>
          <w:rFonts w:hint="default" w:ascii="仿宋_GB2312" w:hAnsi="黑体" w:eastAsia="仿宋_GB2312" w:cs="宋体"/>
          <w:b w:val="0"/>
          <w:bCs/>
          <w:color w:val="000000"/>
          <w:kern w:val="0"/>
          <w:sz w:val="30"/>
          <w:szCs w:val="30"/>
          <w:lang w:val="en-US" w:eastAsia="zh-CN" w:bidi="ar-SA"/>
        </w:rPr>
        <w:t>控制范围内，在职人员控制率为</w:t>
      </w:r>
      <w:r>
        <w:rPr>
          <w:rFonts w:hint="eastAsia" w:ascii="仿宋_GB2312" w:hAnsi="黑体" w:eastAsia="仿宋_GB2312" w:cs="宋体"/>
          <w:b w:val="0"/>
          <w:bCs/>
          <w:color w:val="000000"/>
          <w:kern w:val="0"/>
          <w:sz w:val="30"/>
          <w:szCs w:val="30"/>
          <w:lang w:val="en-US" w:eastAsia="zh-CN" w:bidi="ar-SA"/>
        </w:rPr>
        <w:t>100</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“三公经费”变动率：三公经费本年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9.56</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上年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10.7</w:t>
      </w:r>
      <w:r>
        <w:rPr>
          <w:rFonts w:hint="default" w:ascii="仿宋_GB2312" w:hAnsi="黑体" w:eastAsia="仿宋_GB2312" w:cs="宋体"/>
          <w:b w:val="0"/>
          <w:bCs/>
          <w:color w:val="000000"/>
          <w:kern w:val="0"/>
          <w:sz w:val="30"/>
          <w:szCs w:val="30"/>
          <w:lang w:val="en-US" w:eastAsia="zh-CN" w:bidi="ar-SA"/>
        </w:rPr>
        <w:t>万元， “三公经费”</w:t>
      </w:r>
      <w:r>
        <w:rPr>
          <w:rFonts w:hint="eastAsia" w:ascii="仿宋_GB2312" w:hAnsi="黑体" w:eastAsia="仿宋_GB2312" w:cs="宋体"/>
          <w:b w:val="0"/>
          <w:bCs/>
          <w:color w:val="000000"/>
          <w:kern w:val="0"/>
          <w:sz w:val="30"/>
          <w:szCs w:val="30"/>
          <w:lang w:val="en-US" w:eastAsia="zh-CN" w:bidi="ar-SA"/>
        </w:rPr>
        <w:t>费用跟上年比压缩10%以上，</w:t>
      </w:r>
      <w:r>
        <w:rPr>
          <w:rFonts w:hint="default" w:ascii="仿宋_GB2312" w:hAnsi="黑体" w:eastAsia="仿宋_GB2312" w:cs="宋体"/>
          <w:b w:val="0"/>
          <w:bCs/>
          <w:color w:val="000000"/>
          <w:kern w:val="0"/>
          <w:sz w:val="30"/>
          <w:szCs w:val="30"/>
          <w:lang w:val="en-US" w:eastAsia="zh-CN" w:bidi="ar-SA"/>
        </w:rPr>
        <w:t>控制较好。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二</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预算执行方面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预算完成率：</w:t>
      </w:r>
      <w:r>
        <w:rPr>
          <w:rFonts w:hint="eastAsia" w:ascii="仿宋_GB2312" w:hAnsi="黑体" w:eastAsia="仿宋_GB2312" w:cs="宋体"/>
          <w:b w:val="0"/>
          <w:bCs/>
          <w:color w:val="000000"/>
          <w:kern w:val="0"/>
          <w:sz w:val="30"/>
          <w:szCs w:val="30"/>
          <w:lang w:val="en-US" w:eastAsia="zh-CN" w:bidi="ar-SA"/>
        </w:rPr>
        <w:t>2020年，响应上级政府号召，紧缩开支，所有经费预算跟上年比下调10%，全年经费全部下达，下达率100%，当年无结余。</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年年初预算</w:t>
      </w:r>
      <w:r>
        <w:rPr>
          <w:rFonts w:hint="eastAsia" w:ascii="仿宋_GB2312" w:hAnsi="黑体" w:eastAsia="仿宋_GB2312" w:cs="宋体"/>
          <w:b w:val="0"/>
          <w:bCs/>
          <w:color w:val="000000"/>
          <w:kern w:val="0"/>
          <w:sz w:val="30"/>
          <w:szCs w:val="30"/>
          <w:lang w:val="en-US" w:eastAsia="zh-CN" w:bidi="ar-SA"/>
        </w:rPr>
        <w:t>898.92</w:t>
      </w:r>
      <w:r>
        <w:rPr>
          <w:rFonts w:hint="default" w:ascii="仿宋_GB2312" w:hAnsi="黑体" w:eastAsia="仿宋_GB2312" w:cs="宋体"/>
          <w:b w:val="0"/>
          <w:bCs/>
          <w:color w:val="000000"/>
          <w:kern w:val="0"/>
          <w:sz w:val="30"/>
          <w:szCs w:val="30"/>
          <w:lang w:val="en-US" w:eastAsia="zh-CN" w:bidi="ar-SA"/>
        </w:rPr>
        <w:t>万元，年中</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2220.64</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调整率为147.03%。主要是“135”工程升级版奖补资金及省级储备粮收购资金致使预算调整率较大。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三</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预算管理方面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Arial" w:hAnsi="Arial" w:cs="Arial"/>
          <w:i w:val="0"/>
          <w:caps w:val="0"/>
          <w:color w:val="333333"/>
          <w:spacing w:val="0"/>
          <w:sz w:val="32"/>
          <w:szCs w:val="32"/>
          <w:shd w:val="clear" w:fill="FFFFFF"/>
        </w:rPr>
        <w:t>　　</w:t>
      </w:r>
      <w:r>
        <w:rPr>
          <w:rFonts w:hint="default" w:ascii="仿宋_GB2312" w:hAnsi="黑体" w:eastAsia="仿宋_GB2312" w:cs="宋体"/>
          <w:b w:val="0"/>
          <w:bCs/>
          <w:color w:val="000000"/>
          <w:kern w:val="0"/>
          <w:sz w:val="30"/>
          <w:szCs w:val="30"/>
          <w:lang w:val="en-US" w:eastAsia="zh-CN" w:bidi="ar-SA"/>
        </w:rPr>
        <w:t>公用经费控制率：20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年我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预算管理各项指标控制较好。实际支出公用经费总额</w:t>
      </w:r>
      <w:r>
        <w:rPr>
          <w:rFonts w:hint="eastAsia" w:ascii="仿宋_GB2312" w:hAnsi="黑体" w:eastAsia="仿宋_GB2312" w:cs="宋体"/>
          <w:b w:val="0"/>
          <w:bCs/>
          <w:color w:val="000000"/>
          <w:kern w:val="0"/>
          <w:sz w:val="30"/>
          <w:szCs w:val="30"/>
          <w:lang w:val="en-US" w:eastAsia="zh-CN" w:bidi="ar-SA"/>
        </w:rPr>
        <w:t>463.35</w:t>
      </w:r>
      <w:r>
        <w:rPr>
          <w:rFonts w:hint="default" w:ascii="仿宋_GB2312" w:hAnsi="黑体" w:eastAsia="仿宋_GB2312" w:cs="宋体"/>
          <w:b w:val="0"/>
          <w:bCs/>
          <w:color w:val="000000"/>
          <w:kern w:val="0"/>
          <w:sz w:val="30"/>
          <w:szCs w:val="30"/>
          <w:lang w:val="en-US" w:eastAsia="zh-CN" w:bidi="ar-SA"/>
        </w:rPr>
        <w:t>万元，预算安排公用经费总额</w:t>
      </w:r>
      <w:r>
        <w:rPr>
          <w:rFonts w:hint="eastAsia" w:ascii="仿宋_GB2312" w:hAnsi="黑体" w:eastAsia="仿宋_GB2312" w:cs="宋体"/>
          <w:b w:val="0"/>
          <w:bCs/>
          <w:color w:val="000000"/>
          <w:kern w:val="0"/>
          <w:sz w:val="30"/>
          <w:szCs w:val="30"/>
          <w:lang w:val="en-US" w:eastAsia="zh-CN" w:bidi="ar-SA"/>
        </w:rPr>
        <w:t>38.88</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，相差较大的主要原因是我局做的前期项目可研咨询费为预算追加，咨询费开支较大。另外易地扶贫搬迁联席办的经费也列入我局开支，致使公用经费较大。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“三公经费”控制率：“三公”经费实际支出数为</w:t>
      </w:r>
      <w:r>
        <w:rPr>
          <w:rFonts w:hint="eastAsia" w:ascii="仿宋_GB2312" w:hAnsi="黑体" w:eastAsia="仿宋_GB2312" w:cs="宋体"/>
          <w:b w:val="0"/>
          <w:bCs/>
          <w:color w:val="000000"/>
          <w:kern w:val="0"/>
          <w:sz w:val="30"/>
          <w:szCs w:val="30"/>
          <w:lang w:val="en-US" w:eastAsia="zh-CN" w:bidi="ar-SA"/>
        </w:rPr>
        <w:t>9.56</w:t>
      </w:r>
      <w:r>
        <w:rPr>
          <w:rFonts w:hint="default" w:ascii="仿宋_GB2312" w:hAnsi="黑体" w:eastAsia="仿宋_GB2312" w:cs="宋体"/>
          <w:b w:val="0"/>
          <w:bCs/>
          <w:color w:val="000000"/>
          <w:kern w:val="0"/>
          <w:sz w:val="30"/>
          <w:szCs w:val="30"/>
          <w:lang w:val="en-US" w:eastAsia="zh-CN" w:bidi="ar-SA"/>
        </w:rPr>
        <w:t>万元，预算安排数</w:t>
      </w:r>
      <w:r>
        <w:rPr>
          <w:rFonts w:hint="eastAsia" w:ascii="仿宋_GB2312" w:hAnsi="黑体" w:eastAsia="仿宋_GB2312" w:cs="宋体"/>
          <w:b w:val="0"/>
          <w:bCs/>
          <w:color w:val="000000"/>
          <w:kern w:val="0"/>
          <w:sz w:val="30"/>
          <w:szCs w:val="30"/>
          <w:lang w:val="en-US" w:eastAsia="zh-CN" w:bidi="ar-SA"/>
        </w:rPr>
        <w:t>15</w:t>
      </w:r>
      <w:r>
        <w:rPr>
          <w:rFonts w:hint="default" w:ascii="仿宋_GB2312" w:hAnsi="黑体" w:eastAsia="仿宋_GB2312" w:cs="宋体"/>
          <w:b w:val="0"/>
          <w:bCs/>
          <w:color w:val="000000"/>
          <w:kern w:val="0"/>
          <w:sz w:val="30"/>
          <w:szCs w:val="30"/>
          <w:lang w:val="en-US" w:eastAsia="zh-CN" w:bidi="ar-SA"/>
        </w:rPr>
        <w:t>万元，“三公”经费控制率为</w:t>
      </w:r>
      <w:r>
        <w:rPr>
          <w:rFonts w:hint="eastAsia" w:ascii="仿宋_GB2312" w:hAnsi="黑体" w:eastAsia="仿宋_GB2312" w:cs="宋体"/>
          <w:b w:val="0"/>
          <w:bCs/>
          <w:color w:val="000000"/>
          <w:kern w:val="0"/>
          <w:sz w:val="30"/>
          <w:szCs w:val="30"/>
          <w:lang w:val="en-US" w:eastAsia="zh-CN" w:bidi="ar-SA"/>
        </w:rPr>
        <w:t>63.73</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管理制度健全性：</w:t>
      </w:r>
      <w:r>
        <w:rPr>
          <w:rFonts w:hint="eastAsia" w:ascii="仿宋_GB2312" w:hAnsi="黑体" w:eastAsia="仿宋_GB2312" w:cs="宋体"/>
          <w:b w:val="0"/>
          <w:bCs/>
          <w:color w:val="000000"/>
          <w:kern w:val="0"/>
          <w:sz w:val="30"/>
          <w:szCs w:val="30"/>
          <w:lang w:val="en-US" w:eastAsia="zh-CN" w:bidi="ar-SA"/>
        </w:rPr>
        <w:t>制定单位</w:t>
      </w:r>
      <w:r>
        <w:rPr>
          <w:rFonts w:hint="default" w:ascii="仿宋_GB2312" w:hAnsi="黑体" w:eastAsia="仿宋_GB2312" w:cs="宋体"/>
          <w:b w:val="0"/>
          <w:bCs/>
          <w:color w:val="000000"/>
          <w:kern w:val="0"/>
          <w:sz w:val="30"/>
          <w:szCs w:val="30"/>
          <w:lang w:val="en-US" w:eastAsia="zh-CN" w:bidi="ar-SA"/>
        </w:rPr>
        <w:t>财务管理办法</w:t>
      </w:r>
      <w:r>
        <w:rPr>
          <w:rFonts w:hint="eastAsia" w:ascii="仿宋_GB2312" w:hAnsi="黑体" w:eastAsia="仿宋_GB2312" w:cs="宋体"/>
          <w:b w:val="0"/>
          <w:bCs/>
          <w:color w:val="000000"/>
          <w:kern w:val="0"/>
          <w:sz w:val="30"/>
          <w:szCs w:val="30"/>
          <w:lang w:val="en-US" w:eastAsia="zh-CN" w:bidi="ar-SA"/>
        </w:rPr>
        <w:t>,各类专项资金使用办法</w:t>
      </w:r>
      <w:r>
        <w:rPr>
          <w:rFonts w:hint="default" w:ascii="仿宋_GB2312" w:hAnsi="黑体" w:eastAsia="仿宋_GB2312" w:cs="宋体"/>
          <w:b w:val="0"/>
          <w:bCs/>
          <w:color w:val="000000"/>
          <w:kern w:val="0"/>
          <w:sz w:val="30"/>
          <w:szCs w:val="30"/>
          <w:lang w:val="en-US" w:eastAsia="zh-CN" w:bidi="ar-SA"/>
        </w:rPr>
        <w:t>等有关管理制度，规范财务审批程序，严格差旅费和接待费支出标准、范围和程序的审核</w:t>
      </w:r>
      <w:r>
        <w:rPr>
          <w:rFonts w:hint="eastAsia" w:ascii="仿宋_GB2312" w:hAnsi="黑体" w:eastAsia="仿宋_GB2312" w:cs="宋体"/>
          <w:b w:val="0"/>
          <w:bCs/>
          <w:color w:val="000000"/>
          <w:kern w:val="0"/>
          <w:sz w:val="30"/>
          <w:szCs w:val="30"/>
          <w:lang w:val="en-US" w:eastAsia="zh-CN" w:bidi="ar-SA"/>
        </w:rPr>
        <w:t>，以相关管理制度指导财务管理。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资金使用合规性：配合</w:t>
      </w:r>
      <w:r>
        <w:rPr>
          <w:rFonts w:hint="eastAsia" w:ascii="仿宋_GB2312" w:hAnsi="黑体" w:eastAsia="仿宋_GB2312" w:cs="宋体"/>
          <w:b w:val="0"/>
          <w:bCs/>
          <w:color w:val="000000"/>
          <w:kern w:val="0"/>
          <w:sz w:val="30"/>
          <w:szCs w:val="30"/>
          <w:lang w:val="en-US" w:eastAsia="zh-CN" w:bidi="ar-SA"/>
        </w:rPr>
        <w:t>区</w:t>
      </w:r>
      <w:r>
        <w:rPr>
          <w:rFonts w:hint="default" w:ascii="仿宋_GB2312" w:hAnsi="黑体" w:eastAsia="仿宋_GB2312" w:cs="宋体"/>
          <w:b w:val="0"/>
          <w:bCs/>
          <w:color w:val="000000"/>
          <w:kern w:val="0"/>
          <w:sz w:val="30"/>
          <w:szCs w:val="30"/>
          <w:lang w:val="en-US" w:eastAsia="zh-CN" w:bidi="ar-SA"/>
        </w:rPr>
        <w:t>纪委开展违反中央八项规定突出问题专项整治，严格落实中央八项规定和有关公务支出标准。加强经费合法合规性审核和预算控制，严格按制度政策办事，资金使用合法合规，支出手续齐全，程序到位。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预决算信息公开性：加快预算执行，盘活存量资金，减少追加资金。真实准确编制部门预算和决算，按时上报基础数据资料。对上年度部门整体支出进行了绩效评价，对标找差距。按规定时限和规定内容公开部门预算、部门决算以及绩效自评报告。各项应向社会公开的信息及时、完整、真实，更加细化，部门预决算信息透明度进一步提高。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（四）职责履行和履职效益方面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1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年，我们较好的完成了各项目标工作任务，取得了较好的社会效益，行政效能明显提高，社会公众满意度不断提升。 </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零陵区高质量发展，获得湖南省委、省政府省真抓实干先进县区称号。</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right="0" w:firstLine="640" w:firstLineChars="200"/>
        <w:jc w:val="both"/>
        <w:rPr>
          <w:rFonts w:hint="eastAsia" w:ascii="仿宋" w:hAnsi="仿宋" w:eastAsia="仿宋" w:cs="仿宋"/>
          <w:b w:val="0"/>
          <w:bCs/>
          <w:color w:val="auto"/>
          <w:kern w:val="0"/>
          <w:sz w:val="32"/>
          <w:szCs w:val="32"/>
          <w:lang w:val="en-US" w:eastAsia="zh-CN" w:bidi="ar-SA"/>
        </w:rPr>
      </w:pPr>
      <w:r>
        <w:rPr>
          <w:rFonts w:hint="eastAsia" w:ascii="仿宋" w:hAnsi="仿宋" w:eastAsia="仿宋" w:cs="仿宋"/>
          <w:b w:val="0"/>
          <w:bCs/>
          <w:color w:val="auto"/>
          <w:kern w:val="0"/>
          <w:sz w:val="32"/>
          <w:szCs w:val="32"/>
          <w:lang w:val="en-US" w:eastAsia="zh-CN" w:bidi="ar-SA"/>
        </w:rPr>
        <w:t>固定资产投资，2020年度固定资产投资增幅8.5%。</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right="0" w:firstLine="640" w:firstLineChars="200"/>
        <w:jc w:val="both"/>
        <w:rPr>
          <w:rFonts w:hint="eastAsia" w:ascii="仿宋" w:hAnsi="仿宋" w:eastAsia="仿宋" w:cs="仿宋"/>
          <w:b w:val="0"/>
          <w:bCs/>
          <w:color w:val="auto"/>
          <w:kern w:val="0"/>
          <w:sz w:val="32"/>
          <w:szCs w:val="32"/>
          <w:lang w:val="en-US" w:eastAsia="zh-CN" w:bidi="ar-SA"/>
        </w:rPr>
      </w:pPr>
      <w:r>
        <w:rPr>
          <w:rFonts w:hint="eastAsia" w:ascii="仿宋_GB2312" w:eastAsia="仿宋_GB2312"/>
          <w:color w:val="auto"/>
          <w:sz w:val="32"/>
          <w:szCs w:val="32"/>
          <w:lang w:val="en-US" w:eastAsia="zh-CN"/>
        </w:rPr>
        <w:t>向上争资工作成绩明显，2020年积极申报各项中央预算内资金项目，局争取资金约1.3亿元。</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right="0" w:firstLine="640" w:firstLineChars="200"/>
        <w:jc w:val="both"/>
        <w:rPr>
          <w:rFonts w:hint="eastAsia" w:ascii="仿宋" w:hAnsi="仿宋" w:eastAsia="仿宋" w:cs="仿宋"/>
          <w:b w:val="0"/>
          <w:bCs/>
          <w:color w:val="auto"/>
          <w:kern w:val="0"/>
          <w:sz w:val="32"/>
          <w:szCs w:val="32"/>
          <w:lang w:val="en-US" w:eastAsia="zh-CN" w:bidi="ar-SA"/>
        </w:rPr>
      </w:pPr>
      <w:r>
        <w:rPr>
          <w:rFonts w:hint="eastAsia" w:ascii="仿宋" w:hAnsi="仿宋" w:eastAsia="仿宋" w:cs="仿宋"/>
          <w:b w:val="0"/>
          <w:bCs/>
          <w:color w:val="auto"/>
          <w:kern w:val="0"/>
          <w:sz w:val="32"/>
          <w:szCs w:val="32"/>
          <w:lang w:val="en-US" w:eastAsia="zh-CN" w:bidi="ar-SA"/>
        </w:rPr>
        <w:t>重点项目建设取得明显成效，2020年全年共实施重点项目148个，年度投资219.72亿元，完成投资230.7亿元，完成年度计划投资的105%；其中市重点项目42个全部开工，新入统5000万以上项目54个，去年同期41个，同比增长31.7%。</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right="0" w:firstLine="640" w:firstLineChars="200"/>
        <w:jc w:val="both"/>
        <w:rPr>
          <w:rFonts w:hint="eastAsia" w:ascii="仿宋" w:hAnsi="仿宋" w:eastAsia="仿宋" w:cs="仿宋"/>
          <w:color w:val="auto"/>
          <w:sz w:val="32"/>
          <w:szCs w:val="32"/>
        </w:rPr>
      </w:pPr>
      <w:r>
        <w:rPr>
          <w:rFonts w:hint="eastAsia" w:ascii="仿宋" w:hAnsi="仿宋" w:eastAsia="仿宋" w:cs="仿宋"/>
          <w:b w:val="0"/>
          <w:bCs/>
          <w:color w:val="auto"/>
          <w:kern w:val="0"/>
          <w:sz w:val="32"/>
          <w:szCs w:val="32"/>
          <w:lang w:val="en-US" w:eastAsia="zh-CN" w:bidi="ar-SA"/>
        </w:rPr>
        <w:t>我局在农网改造，光伏扶贫，文化教育旅游，价格管理等方面的工作也取得了非常显著的成效，另外，成功创建市级文明标兵单位。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eastAsia="黑体"/>
          <w:sz w:val="32"/>
          <w:szCs w:val="32"/>
          <w:lang w:val="en-US" w:eastAsia="zh-CN"/>
        </w:rPr>
      </w:pPr>
      <w:r>
        <w:rPr>
          <w:rFonts w:hint="eastAsia" w:eastAsia="黑体"/>
          <w:sz w:val="32"/>
          <w:szCs w:val="32"/>
          <w:lang w:val="en-US" w:eastAsia="zh-CN"/>
        </w:rPr>
        <w:t>五</w:t>
      </w:r>
      <w:r>
        <w:rPr>
          <w:rFonts w:hint="default" w:eastAsia="黑体"/>
          <w:sz w:val="32"/>
          <w:szCs w:val="32"/>
          <w:lang w:val="en-US" w:eastAsia="zh-CN"/>
        </w:rPr>
        <w:t>、存在的主要问题</w:t>
      </w:r>
      <w:r>
        <w:rPr>
          <w:rFonts w:hint="eastAsia" w:eastAsia="黑体"/>
          <w:sz w:val="32"/>
          <w:szCs w:val="32"/>
          <w:lang w:val="en-US" w:eastAsia="zh-CN"/>
        </w:rPr>
        <w:t>及原因分析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（一）预算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率有待</w:t>
      </w:r>
      <w:r>
        <w:rPr>
          <w:rFonts w:hint="eastAsia" w:ascii="仿宋_GB2312" w:hAnsi="黑体" w:eastAsia="仿宋_GB2312" w:cs="宋体"/>
          <w:b w:val="0"/>
          <w:bCs/>
          <w:color w:val="000000"/>
          <w:kern w:val="0"/>
          <w:sz w:val="30"/>
          <w:szCs w:val="30"/>
          <w:lang w:val="en-US" w:eastAsia="zh-CN" w:bidi="ar-SA"/>
        </w:rPr>
        <w:t>控制</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受年中追加经费影响，2020年预算调整率147.03%，超过30%，主要是人员费用以及对下属和招商企业的补助等一些上级转移支付资金的不可控。应在下年加以重视，尽量减少追加资金，逐步降低预算控制率。</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六、下一步改进措施</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（一）整改措施：</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针对上述存在的问题，拟采取以下改进措施：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硬化预算执行的约束性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增强预算编制的全面性、准确性，强化预算执行的严肃性。对年初没有预算安排的支出原则上不安排支出，不申请新增追加资金。严格按预算批复的用途使用资金，减少预算调整事项。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（二）、下一步建议：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cs="仿宋_GB2312"/>
          <w:sz w:val="28"/>
          <w:szCs w:val="28"/>
        </w:rPr>
        <w:t>为了进一步提高本部门整体绩效水平，在预算编制和预算执行过程中，我们提出如下建议：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sz w:val="28"/>
          <w:szCs w:val="28"/>
          <w:lang w:val="en-US" w:eastAsia="zh-CN"/>
        </w:rPr>
        <w:t>1、</w:t>
      </w:r>
      <w:r>
        <w:rPr>
          <w:rFonts w:hint="eastAsia" w:ascii="仿宋_GB2312" w:eastAsia="仿宋_GB2312" w:cs="仿宋_GB2312"/>
          <w:sz w:val="28"/>
          <w:szCs w:val="28"/>
        </w:rPr>
        <w:t>继续加强队伍建设。要抓好绩效评价的队伍建设和业务学习，加强业务培训。</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eastAsia="仿宋_GB2312"/>
          <w:sz w:val="28"/>
          <w:szCs w:val="28"/>
          <w:lang w:val="en-US" w:eastAsia="zh-CN"/>
        </w:rPr>
        <w:t>2、</w:t>
      </w:r>
      <w:r>
        <w:rPr>
          <w:rFonts w:hint="eastAsia" w:ascii="仿宋_GB2312" w:eastAsia="仿宋_GB2312" w:cs="仿宋_GB2312"/>
          <w:sz w:val="28"/>
          <w:szCs w:val="28"/>
        </w:rPr>
        <w:t>建立和完善长效机制。把绩效评价作为部门的日常性工作，建立绩效评价管理工作考核的长效机制。</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七、绩效自评结果拟应用和公开情况</w:t>
      </w: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附绩效自评表，依法依规在部门政府网公开。</w:t>
      </w: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p>
    <w:p>
      <w:pPr>
        <w:adjustRightInd w:val="0"/>
        <w:snapToGrid w:val="0"/>
        <w:spacing w:line="600" w:lineRule="exact"/>
        <w:ind w:firstLine="5700" w:firstLineChars="1900"/>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 xml:space="preserve">                             </w:t>
      </w:r>
    </w:p>
    <w:p>
      <w:pPr>
        <w:ind w:firstLine="640" w:firstLineChars="200"/>
        <w:jc w:val="left"/>
        <w:rPr>
          <w:rFonts w:cs="黑体" w:asciiTheme="minorEastAsia" w:hAnsiTheme="minorEastAsia"/>
          <w:color w:val="000000"/>
          <w:kern w:val="0"/>
          <w:sz w:val="32"/>
          <w:szCs w:val="32"/>
        </w:rPr>
      </w:pPr>
    </w:p>
    <w:sectPr>
      <w:pgSz w:w="16838" w:h="11906" w:orient="landscape"/>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5AFADC"/>
    <w:multiLevelType w:val="singleLevel"/>
    <w:tmpl w:val="855AFADC"/>
    <w:lvl w:ilvl="0" w:tentative="0">
      <w:start w:val="2"/>
      <w:numFmt w:val="decimal"/>
      <w:suff w:val="nothing"/>
      <w:lvlText w:val="%1、"/>
      <w:lvlJc w:val="left"/>
    </w:lvl>
  </w:abstractNum>
  <w:abstractNum w:abstractNumId="1">
    <w:nsid w:val="B65D9FFA"/>
    <w:multiLevelType w:val="singleLevel"/>
    <w:tmpl w:val="B65D9FFA"/>
    <w:lvl w:ilvl="0" w:tentative="0">
      <w:start w:val="9"/>
      <w:numFmt w:val="decimal"/>
      <w:suff w:val="nothing"/>
      <w:lvlText w:val="%1、"/>
      <w:lvlJc w:val="left"/>
    </w:lvl>
  </w:abstractNum>
  <w:abstractNum w:abstractNumId="2">
    <w:nsid w:val="D2D571D4"/>
    <w:multiLevelType w:val="singleLevel"/>
    <w:tmpl w:val="D2D571D4"/>
    <w:lvl w:ilvl="0" w:tentative="0">
      <w:start w:val="1"/>
      <w:numFmt w:val="decimal"/>
      <w:suff w:val="nothing"/>
      <w:lvlText w:val="%1、"/>
      <w:lvlJc w:val="left"/>
    </w:lvl>
  </w:abstractNum>
  <w:abstractNum w:abstractNumId="3">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8575151"/>
    <w:multiLevelType w:val="singleLevel"/>
    <w:tmpl w:val="58575151"/>
    <w:lvl w:ilvl="0" w:tentative="0">
      <w:start w:val="1"/>
      <w:numFmt w:val="chineseCounting"/>
      <w:suff w:val="nothing"/>
      <w:lvlText w:val="（%1）"/>
      <w:lvlJc w:val="left"/>
    </w:lvl>
  </w:abstractNum>
  <w:abstractNum w:abstractNumId="5">
    <w:nsid w:val="5A407433"/>
    <w:multiLevelType w:val="singleLevel"/>
    <w:tmpl w:val="5A407433"/>
    <w:lvl w:ilvl="0" w:tentative="0">
      <w:start w:val="1"/>
      <w:numFmt w:val="chineseCounting"/>
      <w:suff w:val="nothing"/>
      <w:lvlText w:val="%1、"/>
      <w:lvlJc w:val="left"/>
    </w:lvl>
  </w:abstractNum>
  <w:num w:numId="1">
    <w:abstractNumId w:val="3"/>
  </w:num>
  <w:num w:numId="2">
    <w:abstractNumId w:val="0"/>
  </w:num>
  <w:num w:numId="3">
    <w:abstractNumId w:val="1"/>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29714D8"/>
    <w:rsid w:val="034F087C"/>
    <w:rsid w:val="06FB26F9"/>
    <w:rsid w:val="0E440FE2"/>
    <w:rsid w:val="11685A42"/>
    <w:rsid w:val="1882339E"/>
    <w:rsid w:val="19412EAB"/>
    <w:rsid w:val="19553B2E"/>
    <w:rsid w:val="1EA62C6A"/>
    <w:rsid w:val="215F5D29"/>
    <w:rsid w:val="22741FEF"/>
    <w:rsid w:val="27564177"/>
    <w:rsid w:val="285D6CBB"/>
    <w:rsid w:val="2BB74EBA"/>
    <w:rsid w:val="300A3B71"/>
    <w:rsid w:val="30B93FAF"/>
    <w:rsid w:val="32894778"/>
    <w:rsid w:val="34FD5F50"/>
    <w:rsid w:val="36516055"/>
    <w:rsid w:val="382F5DD3"/>
    <w:rsid w:val="38643201"/>
    <w:rsid w:val="3D71347B"/>
    <w:rsid w:val="3D714372"/>
    <w:rsid w:val="3DEE5E84"/>
    <w:rsid w:val="3F553445"/>
    <w:rsid w:val="3FF447D7"/>
    <w:rsid w:val="420A6E41"/>
    <w:rsid w:val="42F25041"/>
    <w:rsid w:val="448A23CA"/>
    <w:rsid w:val="544B7733"/>
    <w:rsid w:val="54D628D1"/>
    <w:rsid w:val="56B6703C"/>
    <w:rsid w:val="58B273E9"/>
    <w:rsid w:val="5A3A72D8"/>
    <w:rsid w:val="5BE53EC1"/>
    <w:rsid w:val="616E04AF"/>
    <w:rsid w:val="638D2610"/>
    <w:rsid w:val="66FE16CF"/>
    <w:rsid w:val="68201A5C"/>
    <w:rsid w:val="6BE14A2A"/>
    <w:rsid w:val="6DA95806"/>
    <w:rsid w:val="72853863"/>
    <w:rsid w:val="774D08FC"/>
    <w:rsid w:val="77BB4247"/>
    <w:rsid w:val="798402FF"/>
    <w:rsid w:val="79987FFD"/>
    <w:rsid w:val="7E83116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alloon Text"/>
    <w:basedOn w:val="1"/>
    <w:link w:val="12"/>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customStyle="1"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character" w:customStyle="1" w:styleId="13">
    <w:name w:val="font01"/>
    <w:basedOn w:val="7"/>
    <w:qFormat/>
    <w:uiPriority w:val="0"/>
    <w:rPr>
      <w:rFonts w:hint="eastAsia" w:ascii="宋体" w:hAnsi="宋体" w:eastAsia="宋体" w:cs="宋体"/>
      <w:color w:val="000000"/>
      <w:sz w:val="22"/>
      <w:szCs w:val="22"/>
      <w:u w:val="none"/>
    </w:rPr>
  </w:style>
  <w:style w:type="character" w:customStyle="1" w:styleId="14">
    <w:name w:val="font41"/>
    <w:basedOn w:val="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1258</Words>
  <Characters>7176</Characters>
  <Lines>59</Lines>
  <Paragraphs>16</Paragraphs>
  <TotalTime>5</TotalTime>
  <ScaleCrop>false</ScaleCrop>
  <LinksUpToDate>false</LinksUpToDate>
  <CharactersWithSpaces>8418</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LENOVO</cp:lastModifiedBy>
  <cp:lastPrinted>2020-07-15T07:25:00Z</cp:lastPrinted>
  <dcterms:modified xsi:type="dcterms:W3CDTF">2021-08-24T01:33:07Z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