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jc w:val="center"/>
        <w:rPr>
          <w:sz w:val="56"/>
          <w:szCs w:val="56"/>
        </w:rPr>
      </w:pPr>
    </w:p>
    <w:p>
      <w:pPr>
        <w:pStyle w:val="11"/>
        <w:jc w:val="center"/>
        <w:rPr>
          <w:sz w:val="56"/>
          <w:szCs w:val="56"/>
        </w:rPr>
      </w:pPr>
    </w:p>
    <w:p>
      <w:pPr>
        <w:pStyle w:val="11"/>
        <w:jc w:val="center"/>
        <w:rPr>
          <w:sz w:val="84"/>
          <w:szCs w:val="84"/>
        </w:rPr>
      </w:pPr>
    </w:p>
    <w:p>
      <w:pPr>
        <w:pStyle w:val="11"/>
        <w:jc w:val="center"/>
        <w:rPr>
          <w:sz w:val="84"/>
          <w:szCs w:val="84"/>
        </w:rPr>
      </w:pPr>
    </w:p>
    <w:p>
      <w:pPr>
        <w:pStyle w:val="11"/>
        <w:jc w:val="center"/>
        <w:rPr>
          <w:sz w:val="84"/>
          <w:szCs w:val="84"/>
        </w:rPr>
      </w:pPr>
      <w:r>
        <w:rPr>
          <w:rFonts w:hint="eastAsia"/>
          <w:sz w:val="84"/>
          <w:szCs w:val="84"/>
        </w:rPr>
        <w:t>2019年度</w:t>
      </w:r>
    </w:p>
    <w:p>
      <w:pPr>
        <w:pStyle w:val="11"/>
        <w:jc w:val="center"/>
        <w:rPr>
          <w:sz w:val="84"/>
          <w:szCs w:val="84"/>
        </w:rPr>
      </w:pPr>
      <w:r>
        <w:rPr>
          <w:rFonts w:hint="eastAsia"/>
          <w:sz w:val="84"/>
          <w:szCs w:val="84"/>
          <w:lang w:eastAsia="zh-CN"/>
        </w:rPr>
        <w:t>永州市零陵区重点办</w:t>
      </w:r>
      <w:r>
        <w:rPr>
          <w:rFonts w:hint="eastAsia"/>
          <w:sz w:val="84"/>
          <w:szCs w:val="84"/>
        </w:rPr>
        <w:t>单位部门决算</w:t>
      </w:r>
    </w:p>
    <w:p>
      <w:pPr>
        <w:pStyle w:val="11"/>
        <w:jc w:val="center"/>
        <w:rPr>
          <w:sz w:val="56"/>
          <w:szCs w:val="56"/>
        </w:rPr>
      </w:pPr>
    </w:p>
    <w:p>
      <w:pPr>
        <w:pStyle w:val="11"/>
        <w:jc w:val="center"/>
        <w:rPr>
          <w:sz w:val="56"/>
          <w:szCs w:val="56"/>
        </w:rPr>
      </w:pPr>
    </w:p>
    <w:p>
      <w:pPr>
        <w:pStyle w:val="11"/>
        <w:jc w:val="center"/>
        <w:rPr>
          <w:sz w:val="56"/>
          <w:szCs w:val="56"/>
        </w:rPr>
      </w:pPr>
    </w:p>
    <w:p>
      <w:pPr>
        <w:pStyle w:val="11"/>
        <w:jc w:val="center"/>
        <w:rPr>
          <w:sz w:val="56"/>
          <w:szCs w:val="56"/>
        </w:rPr>
      </w:pPr>
    </w:p>
    <w:p>
      <w:pPr>
        <w:pStyle w:val="11"/>
        <w:jc w:val="center"/>
        <w:rPr>
          <w:sz w:val="56"/>
          <w:szCs w:val="56"/>
        </w:rPr>
      </w:pPr>
    </w:p>
    <w:p>
      <w:pPr>
        <w:pStyle w:val="11"/>
        <w:spacing w:line="540" w:lineRule="exact"/>
        <w:jc w:val="both"/>
        <w:rPr>
          <w:sz w:val="56"/>
          <w:szCs w:val="56"/>
        </w:rPr>
      </w:pPr>
    </w:p>
    <w:p>
      <w:pPr>
        <w:pStyle w:val="11"/>
        <w:spacing w:line="540" w:lineRule="exact"/>
        <w:jc w:val="both"/>
        <w:rPr>
          <w:sz w:val="56"/>
          <w:szCs w:val="56"/>
        </w:rPr>
      </w:pPr>
    </w:p>
    <w:p>
      <w:pPr>
        <w:pStyle w:val="11"/>
        <w:spacing w:line="520" w:lineRule="exact"/>
        <w:jc w:val="center"/>
        <w:rPr>
          <w:sz w:val="56"/>
          <w:szCs w:val="56"/>
        </w:rPr>
      </w:pPr>
      <w:r>
        <w:rPr>
          <w:rFonts w:hint="eastAsia"/>
          <w:sz w:val="56"/>
          <w:szCs w:val="56"/>
        </w:rPr>
        <w:t>目录</w:t>
      </w:r>
    </w:p>
    <w:p>
      <w:pPr>
        <w:pStyle w:val="11"/>
        <w:spacing w:line="520" w:lineRule="exact"/>
        <w:rPr>
          <w:rFonts w:ascii="仿宋_GB2312" w:hAnsi="仿宋_GB2312" w:cs="仿宋_GB2312"/>
          <w:b/>
          <w:sz w:val="28"/>
          <w:szCs w:val="28"/>
        </w:rPr>
      </w:pPr>
      <w:r>
        <w:rPr>
          <w:rFonts w:hint="eastAsia"/>
          <w:b/>
          <w:sz w:val="28"/>
          <w:szCs w:val="28"/>
        </w:rPr>
        <w:t>第一部分XX单位概况</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1"/>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1"/>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11"/>
        <w:jc w:val="center"/>
        <w:rPr>
          <w:sz w:val="84"/>
          <w:szCs w:val="84"/>
        </w:rPr>
      </w:pPr>
      <w:r>
        <w:rPr>
          <w:rFonts w:hint="eastAsia"/>
          <w:sz w:val="84"/>
          <w:szCs w:val="84"/>
        </w:rPr>
        <w:t>第一部分</w:t>
      </w:r>
      <w:r>
        <w:rPr>
          <w:sz w:val="84"/>
          <w:szCs w:val="84"/>
        </w:rPr>
        <w:t xml:space="preserve"> </w:t>
      </w:r>
    </w:p>
    <w:p>
      <w:pPr>
        <w:pStyle w:val="11"/>
        <w:jc w:val="center"/>
        <w:rPr>
          <w:sz w:val="84"/>
          <w:szCs w:val="84"/>
        </w:rPr>
      </w:pPr>
    </w:p>
    <w:p>
      <w:pPr>
        <w:pStyle w:val="11"/>
        <w:jc w:val="center"/>
        <w:rPr>
          <w:sz w:val="84"/>
          <w:szCs w:val="84"/>
        </w:rPr>
      </w:pPr>
      <w:r>
        <w:rPr>
          <w:rFonts w:hint="eastAsia"/>
          <w:sz w:val="84"/>
          <w:szCs w:val="84"/>
          <w:lang w:eastAsia="zh-CN"/>
        </w:rPr>
        <w:t>零陵区重点办</w:t>
      </w:r>
      <w:r>
        <w:rPr>
          <w:rFonts w:hint="eastAsia"/>
          <w:sz w:val="84"/>
          <w:szCs w:val="84"/>
        </w:rPr>
        <w:t>单位概况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12"/>
        <w:ind w:left="720" w:firstLine="0" w:firstLineChars="0"/>
        <w:jc w:val="left"/>
        <w:rPr>
          <w:rFonts w:ascii="黑体" w:hAnsi="黑体" w:eastAsia="黑体"/>
          <w:sz w:val="32"/>
          <w:szCs w:val="32"/>
        </w:rPr>
      </w:pPr>
    </w:p>
    <w:p>
      <w:pPr>
        <w:pStyle w:val="12"/>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widowControl/>
        <w:spacing w:line="600" w:lineRule="exact"/>
        <w:rPr>
          <w:rFonts w:hint="eastAsia" w:asciiTheme="minorEastAsia" w:hAnsiTheme="minorEastAsia"/>
          <w:bCs/>
          <w:kern w:val="0"/>
          <w:sz w:val="32"/>
          <w:szCs w:val="32"/>
          <w:lang w:val="en-US" w:eastAsia="zh-CN"/>
        </w:rPr>
      </w:pPr>
      <w:r>
        <w:rPr>
          <w:rFonts w:hint="eastAsia" w:asciiTheme="minorEastAsia" w:hAnsiTheme="minorEastAsia"/>
          <w:bCs/>
          <w:kern w:val="0"/>
          <w:sz w:val="32"/>
          <w:szCs w:val="32"/>
          <w:lang w:val="en-US" w:eastAsia="zh-CN"/>
        </w:rPr>
        <w:t>（1）、负责全区重大建设项目计划调度、稽查考核的日常管理工作。</w:t>
      </w:r>
    </w:p>
    <w:p>
      <w:pPr>
        <w:widowControl/>
        <w:spacing w:line="600" w:lineRule="exact"/>
        <w:rPr>
          <w:rFonts w:hint="eastAsia" w:asciiTheme="minorEastAsia" w:hAnsiTheme="minorEastAsia"/>
          <w:bCs/>
          <w:kern w:val="0"/>
          <w:sz w:val="32"/>
          <w:szCs w:val="32"/>
          <w:lang w:val="en-US" w:eastAsia="zh-CN"/>
        </w:rPr>
      </w:pPr>
      <w:r>
        <w:rPr>
          <w:rFonts w:hint="eastAsia" w:asciiTheme="minorEastAsia" w:hAnsiTheme="minorEastAsia"/>
          <w:bCs/>
          <w:kern w:val="0"/>
          <w:sz w:val="32"/>
          <w:szCs w:val="32"/>
          <w:lang w:val="en-US" w:eastAsia="zh-CN"/>
        </w:rPr>
        <w:t>（2）、研究拟定重大建设项目监督管理的具体规定和稽查考核办法。</w:t>
      </w:r>
    </w:p>
    <w:p>
      <w:pPr>
        <w:widowControl/>
        <w:spacing w:line="600" w:lineRule="exact"/>
        <w:rPr>
          <w:rFonts w:hint="eastAsia" w:asciiTheme="minorEastAsia" w:hAnsiTheme="minorEastAsia"/>
          <w:bCs/>
          <w:kern w:val="0"/>
          <w:sz w:val="32"/>
          <w:szCs w:val="32"/>
          <w:lang w:val="en-US" w:eastAsia="zh-CN"/>
        </w:rPr>
      </w:pPr>
      <w:r>
        <w:rPr>
          <w:rFonts w:hint="eastAsia" w:asciiTheme="minorEastAsia" w:hAnsiTheme="minorEastAsia"/>
          <w:bCs/>
          <w:kern w:val="0"/>
          <w:sz w:val="32"/>
          <w:szCs w:val="32"/>
          <w:lang w:val="en-US" w:eastAsia="zh-CN"/>
        </w:rPr>
        <w:t>（3）、组织、引导和协调区域经济合作。</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widowControl/>
        <w:spacing w:line="600" w:lineRule="exact"/>
        <w:rPr>
          <w:rFonts w:hint="eastAsia" w:asciiTheme="minorEastAsia" w:hAnsiTheme="minorEastAsia"/>
          <w:bCs/>
          <w:kern w:val="0"/>
          <w:sz w:val="32"/>
          <w:szCs w:val="32"/>
        </w:rPr>
      </w:pPr>
      <w:r>
        <w:rPr>
          <w:rFonts w:hint="eastAsia" w:asciiTheme="minorEastAsia" w:hAnsiTheme="minorEastAsia"/>
          <w:bCs/>
          <w:kern w:val="0"/>
          <w:sz w:val="32"/>
          <w:szCs w:val="32"/>
        </w:rPr>
        <w:t>（一）内设机构设置。</w:t>
      </w:r>
      <w:r>
        <w:rPr>
          <w:rFonts w:hint="eastAsia" w:asciiTheme="minorEastAsia" w:hAnsiTheme="minorEastAsia"/>
          <w:bCs/>
          <w:kern w:val="0"/>
          <w:sz w:val="32"/>
          <w:szCs w:val="32"/>
          <w:lang w:val="en-US" w:eastAsia="zh-CN"/>
        </w:rPr>
        <w:t>因机构改革职能，零陵区重点建设工程领导小组办公室划入</w:t>
      </w:r>
      <w:r>
        <w:rPr>
          <w:rFonts w:hint="eastAsia" w:asciiTheme="minorEastAsia" w:hAnsiTheme="minorEastAsia"/>
          <w:bCs/>
          <w:kern w:val="0"/>
          <w:sz w:val="32"/>
          <w:szCs w:val="32"/>
        </w:rPr>
        <w:t>零陵区发</w:t>
      </w:r>
      <w:r>
        <w:rPr>
          <w:rFonts w:hint="eastAsia" w:asciiTheme="minorEastAsia" w:hAnsiTheme="minorEastAsia"/>
          <w:bCs/>
          <w:kern w:val="0"/>
          <w:sz w:val="32"/>
          <w:szCs w:val="32"/>
          <w:lang w:eastAsia="zh-CN"/>
        </w:rPr>
        <w:t>展和</w:t>
      </w:r>
      <w:r>
        <w:rPr>
          <w:rFonts w:hint="eastAsia" w:asciiTheme="minorEastAsia" w:hAnsiTheme="minorEastAsia"/>
          <w:bCs/>
          <w:kern w:val="0"/>
          <w:sz w:val="32"/>
          <w:szCs w:val="32"/>
        </w:rPr>
        <w:t>改</w:t>
      </w:r>
      <w:r>
        <w:rPr>
          <w:rFonts w:hint="eastAsia" w:asciiTheme="minorEastAsia" w:hAnsiTheme="minorEastAsia"/>
          <w:bCs/>
          <w:kern w:val="0"/>
          <w:sz w:val="32"/>
          <w:szCs w:val="32"/>
          <w:lang w:eastAsia="zh-CN"/>
        </w:rPr>
        <w:t>革</w:t>
      </w:r>
      <w:r>
        <w:rPr>
          <w:rFonts w:hint="eastAsia" w:asciiTheme="minorEastAsia" w:hAnsiTheme="minorEastAsia"/>
          <w:bCs/>
          <w:kern w:val="0"/>
          <w:sz w:val="32"/>
          <w:szCs w:val="32"/>
        </w:rPr>
        <w:t>局内设机构</w:t>
      </w:r>
      <w:r>
        <w:rPr>
          <w:rFonts w:hint="eastAsia" w:asciiTheme="minorEastAsia" w:hAnsiTheme="minorEastAsia"/>
          <w:bCs/>
          <w:kern w:val="0"/>
          <w:sz w:val="32"/>
          <w:szCs w:val="32"/>
          <w:lang w:eastAsia="zh-CN"/>
        </w:rPr>
        <w:t>为</w:t>
      </w:r>
      <w:r>
        <w:rPr>
          <w:rFonts w:hint="eastAsia" w:asciiTheme="minorEastAsia" w:hAnsiTheme="minorEastAsia"/>
          <w:bCs/>
          <w:kern w:val="0"/>
          <w:sz w:val="32"/>
          <w:szCs w:val="32"/>
        </w:rPr>
        <w:t>重点项目管理股</w:t>
      </w:r>
      <w:r>
        <w:rPr>
          <w:rFonts w:hint="eastAsia" w:asciiTheme="minorEastAsia" w:hAnsiTheme="minorEastAsia"/>
          <w:bCs/>
          <w:kern w:val="0"/>
          <w:sz w:val="32"/>
          <w:szCs w:val="32"/>
          <w:lang w:val="en-US" w:eastAsia="zh-CN"/>
        </w:rPr>
        <w:t>。</w:t>
      </w:r>
    </w:p>
    <w:p>
      <w:pPr>
        <w:widowControl/>
        <w:spacing w:line="600" w:lineRule="exact"/>
        <w:rPr>
          <w:rFonts w:hint="eastAsia" w:asciiTheme="minorEastAsia" w:hAnsiTheme="minorEastAsia" w:eastAsiaTheme="minorEastAsia"/>
          <w:bCs/>
          <w:kern w:val="0"/>
          <w:sz w:val="32"/>
          <w:szCs w:val="32"/>
          <w:lang w:eastAsia="zh-CN"/>
        </w:rPr>
      </w:pPr>
      <w:r>
        <w:rPr>
          <w:rFonts w:hint="eastAsia" w:asciiTheme="minorEastAsia" w:hAnsiTheme="minorEastAsia"/>
          <w:bCs/>
          <w:kern w:val="0"/>
          <w:sz w:val="32"/>
          <w:szCs w:val="32"/>
        </w:rPr>
        <w:t>（二）决算单位构成。</w:t>
      </w:r>
      <w:r>
        <w:rPr>
          <w:rFonts w:hint="eastAsia" w:asciiTheme="minorEastAsia" w:hAnsiTheme="minorEastAsia"/>
          <w:bCs/>
          <w:kern w:val="0"/>
          <w:sz w:val="32"/>
          <w:szCs w:val="32"/>
          <w:lang w:eastAsia="zh-CN"/>
        </w:rPr>
        <w:t>本部门</w:t>
      </w:r>
      <w:r>
        <w:rPr>
          <w:rFonts w:asciiTheme="minorEastAsia" w:hAnsiTheme="minorEastAsia"/>
          <w:bCs/>
          <w:kern w:val="0"/>
          <w:sz w:val="32"/>
          <w:szCs w:val="32"/>
        </w:rPr>
        <w:t>2019</w:t>
      </w:r>
      <w:r>
        <w:rPr>
          <w:rFonts w:hint="eastAsia" w:asciiTheme="minorEastAsia" w:hAnsiTheme="minorEastAsia"/>
          <w:bCs/>
          <w:kern w:val="0"/>
          <w:sz w:val="32"/>
          <w:szCs w:val="32"/>
        </w:rPr>
        <w:t>年部门决算汇总公开单位构成包括</w:t>
      </w:r>
      <w:r>
        <w:rPr>
          <w:rFonts w:hint="eastAsia" w:asciiTheme="minorEastAsia" w:hAnsiTheme="minorEastAsia"/>
          <w:bCs/>
          <w:kern w:val="0"/>
          <w:sz w:val="32"/>
          <w:szCs w:val="32"/>
          <w:lang w:eastAsia="zh-CN"/>
        </w:rPr>
        <w:t>：零陵区重点办</w:t>
      </w:r>
      <w:r>
        <w:rPr>
          <w:rFonts w:hint="eastAsia" w:asciiTheme="minorEastAsia" w:hAnsiTheme="minorEastAsia"/>
          <w:bCs/>
          <w:kern w:val="0"/>
          <w:sz w:val="32"/>
          <w:szCs w:val="32"/>
        </w:rPr>
        <w:t>单位本级</w:t>
      </w:r>
      <w:r>
        <w:rPr>
          <w:rFonts w:hint="eastAsia" w:asciiTheme="minorEastAsia" w:hAnsiTheme="minorEastAsia"/>
          <w:bCs/>
          <w:kern w:val="0"/>
          <w:sz w:val="32"/>
          <w:szCs w:val="32"/>
          <w:lang w:eastAsia="zh-CN"/>
        </w:rPr>
        <w:t>。</w:t>
      </w:r>
    </w:p>
    <w:p>
      <w:pPr>
        <w:jc w:val="both"/>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both"/>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jc w:val="center"/>
        <w:rPr>
          <w:rFonts w:ascii="黑体" w:hAnsi="黑体" w:eastAsia="黑体"/>
          <w:sz w:val="36"/>
          <w:szCs w:val="32"/>
        </w:rPr>
      </w:pPr>
      <w:r>
        <w:rPr>
          <w:rFonts w:hint="eastAsia" w:ascii="黑体" w:hAnsi="黑体" w:eastAsia="黑体"/>
          <w:sz w:val="36"/>
          <w:szCs w:val="32"/>
        </w:rPr>
        <w:t>收入支出决算总表</w:t>
      </w:r>
    </w:p>
    <w:p>
      <w:pPr>
        <w:widowControl/>
        <w:spacing w:line="320" w:lineRule="exact"/>
        <w:ind w:right="198"/>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lang w:eastAsia="zh-CN"/>
        </w:rPr>
        <w:t>零陵区重点办</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lang w:val="en-US" w:eastAsia="zh-CN"/>
        </w:rPr>
        <w:t xml:space="preserve">    </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公开</w:t>
      </w:r>
      <w:r>
        <w:rPr>
          <w:rFonts w:ascii="Times New Roman" w:hAnsi="Times New Roman" w:eastAsia="仿宋_GB2312" w:cs="Times New Roman"/>
          <w:color w:val="000000"/>
          <w:kern w:val="0"/>
          <w:szCs w:val="21"/>
        </w:rPr>
        <w:t>01</w:t>
      </w:r>
      <w:r>
        <w:rPr>
          <w:rFonts w:hint="eastAsia" w:ascii="Times New Roman" w:hAnsi="Times New Roman" w:eastAsia="仿宋_GB2312" w:cs="Times New Roman"/>
          <w:color w:val="000000"/>
          <w:kern w:val="0"/>
          <w:szCs w:val="21"/>
        </w:rPr>
        <w:t>表</w:t>
      </w:r>
    </w:p>
    <w:p>
      <w:pPr>
        <w:widowControl/>
        <w:spacing w:line="320" w:lineRule="exact"/>
        <w:ind w:right="198"/>
        <w:jc w:val="right"/>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lang w:val="en-US" w:eastAsia="zh-CN"/>
        </w:rPr>
        <w:t xml:space="preserve"> </w:t>
      </w:r>
      <w:r>
        <w:rPr>
          <w:rFonts w:hint="eastAsia" w:ascii="Times New Roman" w:hAnsi="Times New Roman" w:eastAsia="仿宋_GB2312" w:cs="Times New Roman"/>
          <w:color w:val="000000"/>
          <w:kern w:val="0"/>
          <w:szCs w:val="21"/>
        </w:rPr>
        <w:t>单位：万元</w:t>
      </w:r>
    </w:p>
    <w:tbl>
      <w:tblPr>
        <w:tblStyle w:val="6"/>
        <w:tblW w:w="14061" w:type="dxa"/>
        <w:jc w:val="center"/>
        <w:tblLayout w:type="fixed"/>
        <w:tblCellMar>
          <w:top w:w="0" w:type="dxa"/>
          <w:left w:w="108" w:type="dxa"/>
          <w:bottom w:w="0" w:type="dxa"/>
          <w:right w:w="108" w:type="dxa"/>
        </w:tblCellMar>
      </w:tblPr>
      <w:tblGrid>
        <w:gridCol w:w="4932"/>
        <w:gridCol w:w="702"/>
        <w:gridCol w:w="1224"/>
        <w:gridCol w:w="4820"/>
        <w:gridCol w:w="702"/>
        <w:gridCol w:w="1681"/>
      </w:tblGrid>
      <w:tr>
        <w:trPr>
          <w:trHeight w:val="340" w:hRule="atLeast"/>
          <w:jc w:val="center"/>
        </w:trPr>
        <w:tc>
          <w:tcPr>
            <w:tcW w:w="6858"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收入</w:t>
            </w:r>
          </w:p>
        </w:tc>
        <w:tc>
          <w:tcPr>
            <w:tcW w:w="7203" w:type="dxa"/>
            <w:gridSpan w:val="3"/>
            <w:tcBorders>
              <w:top w:val="single" w:color="auto" w:sz="4" w:space="0"/>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支出</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项</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目</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c>
          <w:tcPr>
            <w:tcW w:w="4820"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项</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目</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681"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次</w:t>
            </w:r>
          </w:p>
        </w:tc>
        <w:tc>
          <w:tcPr>
            <w:tcW w:w="702" w:type="dxa"/>
            <w:tcBorders>
              <w:top w:val="nil"/>
              <w:left w:val="nil"/>
              <w:bottom w:val="single" w:color="auto" w:sz="4" w:space="0"/>
              <w:right w:val="single" w:color="auto" w:sz="4" w:space="0"/>
            </w:tcBorders>
            <w:vAlign w:val="center"/>
          </w:tcPr>
          <w:p>
            <w:pP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4820"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次</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681"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一、一般公共预算财政拨款收入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188.39</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一、一般公共服务支出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14</w:t>
            </w:r>
          </w:p>
        </w:tc>
        <w:tc>
          <w:tcPr>
            <w:tcW w:w="1681"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176.73</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二、政府性基金预算财政拨款收入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二、社会保障和就业支出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15</w:t>
            </w:r>
          </w:p>
        </w:tc>
        <w:tc>
          <w:tcPr>
            <w:tcW w:w="1681"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4.67</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三、上级补助收入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三、节能环保支出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16</w:t>
            </w:r>
          </w:p>
        </w:tc>
        <w:tc>
          <w:tcPr>
            <w:tcW w:w="1681"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7</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四、事业收入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四、城乡社区支出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17</w:t>
            </w:r>
          </w:p>
        </w:tc>
        <w:tc>
          <w:tcPr>
            <w:tcW w:w="1681"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五、经营收入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五、农林水支出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18</w:t>
            </w:r>
          </w:p>
        </w:tc>
        <w:tc>
          <w:tcPr>
            <w:tcW w:w="1681"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六、附属单位上缴收入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六、资源勘探信息等支出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19</w:t>
            </w:r>
          </w:p>
        </w:tc>
        <w:tc>
          <w:tcPr>
            <w:tcW w:w="1681"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七、其他收入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20</w:t>
            </w:r>
          </w:p>
        </w:tc>
        <w:tc>
          <w:tcPr>
            <w:tcW w:w="1681"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pPr>
              <w:widowControl/>
              <w:jc w:val="left"/>
              <w:rPr>
                <w:rFonts w:hint="eastAsia" w:ascii="Times New Roman" w:hAnsi="Times New Roman" w:eastAsia="仿宋_GB2312" w:cs="Times New Roman"/>
                <w:kern w:val="0"/>
                <w:szCs w:val="21"/>
                <w:lang w:eastAsia="zh-CN"/>
              </w:rPr>
            </w:pPr>
            <w:r>
              <w:rPr>
                <w:rFonts w:hint="eastAsia" w:ascii="Times New Roman" w:hAnsi="Times New Roman" w:eastAsia="仿宋_GB2312" w:cs="Times New Roman"/>
                <w:kern w:val="0"/>
                <w:szCs w:val="21"/>
                <w:lang w:eastAsia="zh-CN"/>
              </w:rPr>
              <w:t>八、</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21</w:t>
            </w:r>
          </w:p>
        </w:tc>
        <w:tc>
          <w:tcPr>
            <w:tcW w:w="1681"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 xml:space="preserve">       </w:t>
            </w: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本年收入合计</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224" w:type="dxa"/>
            <w:tcBorders>
              <w:top w:val="nil"/>
              <w:left w:val="nil"/>
              <w:bottom w:val="single" w:color="auto" w:sz="4" w:space="0"/>
              <w:right w:val="single" w:color="auto" w:sz="4" w:space="0"/>
            </w:tcBorders>
            <w:vAlign w:val="center"/>
          </w:tcPr>
          <w:p>
            <w:pPr>
              <w:widowControl/>
              <w:tabs>
                <w:tab w:val="left" w:pos="412"/>
                <w:tab w:val="right" w:pos="1338"/>
              </w:tabs>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eastAsia="zh-CN"/>
              </w:rPr>
              <w:t>188.39</w:t>
            </w:r>
          </w:p>
        </w:tc>
        <w:tc>
          <w:tcPr>
            <w:tcW w:w="4820"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本年支出合计</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22</w:t>
            </w:r>
          </w:p>
        </w:tc>
        <w:tc>
          <w:tcPr>
            <w:tcW w:w="1681"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　</w:t>
            </w:r>
            <w:r>
              <w:rPr>
                <w:rFonts w:hint="eastAsia" w:ascii="Times New Roman" w:hAnsi="Times New Roman" w:eastAsia="仿宋_GB2312" w:cs="Times New Roman"/>
                <w:kern w:val="0"/>
                <w:szCs w:val="21"/>
                <w:lang w:eastAsia="zh-CN"/>
              </w:rPr>
              <w:t>188.39</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用事业基金弥补收支差额</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结余分配</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23</w:t>
            </w:r>
          </w:p>
        </w:tc>
        <w:tc>
          <w:tcPr>
            <w:tcW w:w="1681"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年初结转和结余</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年末结转和结余</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24</w:t>
            </w:r>
          </w:p>
        </w:tc>
        <w:tc>
          <w:tcPr>
            <w:tcW w:w="1681"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25</w:t>
            </w:r>
          </w:p>
        </w:tc>
        <w:tc>
          <w:tcPr>
            <w:tcW w:w="1681"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13</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188.39</w:t>
            </w:r>
          </w:p>
        </w:tc>
        <w:tc>
          <w:tcPr>
            <w:tcW w:w="4820"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26</w:t>
            </w:r>
          </w:p>
        </w:tc>
        <w:tc>
          <w:tcPr>
            <w:tcW w:w="1681"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　</w:t>
            </w:r>
            <w:r>
              <w:rPr>
                <w:rFonts w:hint="eastAsia" w:ascii="Times New Roman" w:hAnsi="Times New Roman" w:eastAsia="仿宋_GB2312" w:cs="Times New Roman"/>
                <w:kern w:val="0"/>
                <w:szCs w:val="21"/>
                <w:lang w:eastAsia="zh-CN"/>
              </w:rPr>
              <w:t>188.39</w:t>
            </w:r>
          </w:p>
        </w:tc>
      </w:tr>
    </w:tbl>
    <w:p>
      <w:pPr>
        <w:widowControl/>
        <w:jc w:val="left"/>
        <w:rPr>
          <w:rFonts w:ascii="黑体" w:hAnsi="黑体" w:eastAsia="黑体"/>
          <w:sz w:val="28"/>
          <w:szCs w:val="28"/>
        </w:rPr>
        <w:sectPr>
          <w:pgSz w:w="16838" w:h="11906" w:orient="landscape"/>
          <w:pgMar w:top="1797" w:right="1440" w:bottom="1797" w:left="1440" w:header="851" w:footer="992" w:gutter="0"/>
          <w:cols w:space="425" w:num="1"/>
          <w:docGrid w:type="linesAndChars" w:linePitch="312" w:charSpace="0"/>
        </w:sectPr>
      </w:pPr>
      <w:r>
        <w:rPr>
          <w:rFonts w:hint="eastAsia" w:ascii="Times New Roman" w:hAnsi="Times New Roman" w:eastAsia="仿宋_GB2312" w:cs="Times New Roman"/>
          <w:kern w:val="0"/>
          <w:szCs w:val="21"/>
        </w:rPr>
        <w:t>注：本表反映部门本年度的总收支和年末结转结余情况。</w:t>
      </w:r>
    </w:p>
    <w:p>
      <w:pPr>
        <w:widowControl/>
        <w:jc w:val="center"/>
        <w:rPr>
          <w:rFonts w:ascii="Times New Roman" w:hAnsi="Times New Roman" w:eastAsia="方正小标宋_GBK" w:cs="Times New Roman"/>
          <w:color w:val="000000"/>
          <w:kern w:val="0"/>
          <w:sz w:val="36"/>
          <w:szCs w:val="36"/>
        </w:rPr>
      </w:pPr>
      <w:r>
        <w:rPr>
          <w:rFonts w:ascii="Times New Roman" w:hAnsi="Times New Roman" w:eastAsia="方正小标宋_GBK" w:cs="Times New Roman"/>
          <w:color w:val="000000"/>
          <w:kern w:val="0"/>
          <w:sz w:val="36"/>
          <w:szCs w:val="36"/>
        </w:rPr>
        <w:t>收入决算表</w:t>
      </w:r>
    </w:p>
    <w:p>
      <w:pPr>
        <w:widowControl/>
        <w:ind w:firstLine="630" w:firstLineChars="300"/>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 xml:space="preserve">部门： </w:t>
      </w:r>
      <w:r>
        <w:rPr>
          <w:rFonts w:hint="eastAsia" w:ascii="Times New Roman" w:hAnsi="Times New Roman" w:eastAsia="仿宋_GB2312" w:cs="Times New Roman"/>
          <w:color w:val="000000"/>
          <w:kern w:val="0"/>
          <w:szCs w:val="21"/>
          <w:lang w:eastAsia="zh-CN"/>
        </w:rPr>
        <w:t>零陵区重点办</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lang w:val="en-US" w:eastAsia="zh-CN"/>
        </w:rPr>
        <w:t xml:space="preserve">    </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公开02表</w:t>
      </w:r>
    </w:p>
    <w:p>
      <w:pPr>
        <w:widowControl/>
        <w:ind w:right="630"/>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6"/>
        <w:tblW w:w="13716" w:type="dxa"/>
        <w:jc w:val="center"/>
        <w:tblLayout w:type="fixed"/>
        <w:tblCellMar>
          <w:top w:w="0" w:type="dxa"/>
          <w:left w:w="108" w:type="dxa"/>
          <w:bottom w:w="0" w:type="dxa"/>
          <w:right w:w="108" w:type="dxa"/>
        </w:tblCellMar>
      </w:tblPr>
      <w:tblGrid>
        <w:gridCol w:w="1188"/>
        <w:gridCol w:w="2477"/>
        <w:gridCol w:w="1206"/>
        <w:gridCol w:w="1564"/>
        <w:gridCol w:w="1445"/>
        <w:gridCol w:w="1400"/>
        <w:gridCol w:w="1638"/>
        <w:gridCol w:w="1221"/>
        <w:gridCol w:w="1577"/>
      </w:tblGrid>
      <w:tr>
        <w:tblPrEx>
          <w:tblCellMar>
            <w:top w:w="0" w:type="dxa"/>
            <w:left w:w="108" w:type="dxa"/>
            <w:bottom w:w="0" w:type="dxa"/>
            <w:right w:w="108" w:type="dxa"/>
          </w:tblCellMar>
        </w:tblPrEx>
        <w:trPr>
          <w:trHeight w:val="90" w:hRule="atLeast"/>
          <w:jc w:val="center"/>
        </w:trPr>
        <w:tc>
          <w:tcPr>
            <w:tcW w:w="3665" w:type="dxa"/>
            <w:gridSpan w:val="2"/>
            <w:tcBorders>
              <w:top w:val="single" w:color="auto" w:sz="8" w:space="0"/>
              <w:left w:val="single" w:color="auto" w:sz="8" w:space="0"/>
              <w:bottom w:val="single" w:color="auto" w:sz="4" w:space="0"/>
              <w:right w:val="nil"/>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    目</w:t>
            </w:r>
          </w:p>
        </w:tc>
        <w:tc>
          <w:tcPr>
            <w:tcW w:w="120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本年收入合计</w:t>
            </w:r>
          </w:p>
        </w:tc>
        <w:tc>
          <w:tcPr>
            <w:tcW w:w="1564"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财政拨款收入</w:t>
            </w:r>
          </w:p>
        </w:tc>
        <w:tc>
          <w:tcPr>
            <w:tcW w:w="1445"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上级补助收入</w:t>
            </w:r>
          </w:p>
        </w:tc>
        <w:tc>
          <w:tcPr>
            <w:tcW w:w="1400"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事业收入</w:t>
            </w:r>
          </w:p>
        </w:tc>
        <w:tc>
          <w:tcPr>
            <w:tcW w:w="1638"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经营收入</w:t>
            </w:r>
          </w:p>
        </w:tc>
        <w:tc>
          <w:tcPr>
            <w:tcW w:w="1221"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附属单位上缴收入</w:t>
            </w:r>
          </w:p>
        </w:tc>
        <w:tc>
          <w:tcPr>
            <w:tcW w:w="1577" w:type="dxa"/>
            <w:vMerge w:val="restart"/>
            <w:tcBorders>
              <w:top w:val="single" w:color="auto" w:sz="8" w:space="0"/>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其他收入</w:t>
            </w:r>
          </w:p>
        </w:tc>
      </w:tr>
      <w:tr>
        <w:tblPrEx>
          <w:tblCellMar>
            <w:top w:w="0" w:type="dxa"/>
            <w:left w:w="108" w:type="dxa"/>
            <w:bottom w:w="0" w:type="dxa"/>
            <w:right w:w="108" w:type="dxa"/>
          </w:tblCellMar>
        </w:tblPrEx>
        <w:trPr>
          <w:trHeight w:val="312" w:hRule="atLeast"/>
          <w:jc w:val="center"/>
        </w:trPr>
        <w:tc>
          <w:tcPr>
            <w:tcW w:w="1188" w:type="dxa"/>
            <w:vMerge w:val="restart"/>
            <w:tcBorders>
              <w:top w:val="single" w:color="auto" w:sz="4" w:space="0"/>
              <w:left w:val="single" w:color="auto" w:sz="8" w:space="0"/>
              <w:bottom w:val="single" w:color="000000" w:sz="4" w:space="0"/>
              <w:right w:val="nil"/>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功能分类科目编码</w:t>
            </w:r>
          </w:p>
        </w:tc>
        <w:tc>
          <w:tcPr>
            <w:tcW w:w="2477"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科目名称</w:t>
            </w:r>
          </w:p>
        </w:tc>
        <w:tc>
          <w:tcPr>
            <w:tcW w:w="120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564"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445"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400"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38"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1"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577" w:type="dxa"/>
            <w:vMerge w:val="continue"/>
            <w:tcBorders>
              <w:top w:val="single" w:color="auto" w:sz="8" w:space="0"/>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312" w:hRule="atLeast"/>
          <w:jc w:val="center"/>
        </w:trPr>
        <w:tc>
          <w:tcPr>
            <w:tcW w:w="1188" w:type="dxa"/>
            <w:vMerge w:val="continue"/>
            <w:tcBorders>
              <w:top w:val="single" w:color="auto" w:sz="4" w:space="0"/>
              <w:left w:val="single" w:color="auto" w:sz="8" w:space="0"/>
              <w:bottom w:val="single" w:color="000000" w:sz="4" w:space="0"/>
              <w:right w:val="nil"/>
            </w:tcBorders>
            <w:vAlign w:val="center"/>
          </w:tcPr>
          <w:p>
            <w:pPr>
              <w:widowControl/>
              <w:jc w:val="left"/>
              <w:rPr>
                <w:rFonts w:ascii="Times New Roman" w:hAnsi="Times New Roman" w:eastAsia="仿宋_GB2312" w:cs="Times New Roman"/>
                <w:kern w:val="0"/>
                <w:szCs w:val="21"/>
              </w:rPr>
            </w:pPr>
          </w:p>
        </w:tc>
        <w:tc>
          <w:tcPr>
            <w:tcW w:w="2477"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0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564"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445"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400"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38"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1"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577" w:type="dxa"/>
            <w:vMerge w:val="continue"/>
            <w:tcBorders>
              <w:top w:val="single" w:color="auto" w:sz="8" w:space="0"/>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90" w:hRule="atLeast"/>
          <w:jc w:val="center"/>
        </w:trPr>
        <w:tc>
          <w:tcPr>
            <w:tcW w:w="3665" w:type="dxa"/>
            <w:gridSpan w:val="2"/>
            <w:tcBorders>
              <w:top w:val="single" w:color="auto" w:sz="4" w:space="0"/>
              <w:left w:val="single" w:color="auto" w:sz="8" w:space="0"/>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206"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564"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445"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40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638"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221"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577"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r>
      <w:tr>
        <w:tblPrEx>
          <w:tblCellMar>
            <w:top w:w="0" w:type="dxa"/>
            <w:left w:w="108" w:type="dxa"/>
            <w:bottom w:w="0" w:type="dxa"/>
            <w:right w:w="108" w:type="dxa"/>
          </w:tblCellMar>
        </w:tblPrEx>
        <w:trPr>
          <w:trHeight w:val="90" w:hRule="atLeast"/>
          <w:jc w:val="center"/>
        </w:trPr>
        <w:tc>
          <w:tcPr>
            <w:tcW w:w="3665" w:type="dxa"/>
            <w:gridSpan w:val="2"/>
            <w:tcBorders>
              <w:top w:val="nil"/>
              <w:left w:val="single" w:color="auto" w:sz="8" w:space="0"/>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206" w:type="dxa"/>
            <w:tcBorders>
              <w:top w:val="nil"/>
              <w:left w:val="nil"/>
              <w:bottom w:val="single" w:color="auto" w:sz="4" w:space="0"/>
              <w:right w:val="single" w:color="auto" w:sz="4" w:space="0"/>
            </w:tcBorders>
            <w:shd w:val="clear" w:color="auto" w:fill="auto"/>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188.39</w:t>
            </w:r>
            <w:r>
              <w:rPr>
                <w:rFonts w:ascii="Times New Roman" w:hAnsi="Times New Roman" w:eastAsia="仿宋_GB2312" w:cs="Times New Roman"/>
                <w:kern w:val="0"/>
                <w:szCs w:val="21"/>
              </w:rPr>
              <w:t>　</w:t>
            </w:r>
          </w:p>
        </w:tc>
        <w:tc>
          <w:tcPr>
            <w:tcW w:w="1564" w:type="dxa"/>
            <w:tcBorders>
              <w:top w:val="nil"/>
              <w:left w:val="nil"/>
              <w:bottom w:val="single" w:color="auto" w:sz="4" w:space="0"/>
              <w:right w:val="single" w:color="auto" w:sz="4" w:space="0"/>
            </w:tcBorders>
            <w:shd w:val="clear" w:color="auto" w:fill="auto"/>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188.39</w:t>
            </w:r>
            <w:r>
              <w:rPr>
                <w:rFonts w:ascii="Times New Roman" w:hAnsi="Times New Roman" w:eastAsia="仿宋_GB2312" w:cs="Times New Roman"/>
                <w:kern w:val="0"/>
                <w:szCs w:val="21"/>
              </w:rPr>
              <w:t>　</w:t>
            </w:r>
          </w:p>
        </w:tc>
        <w:tc>
          <w:tcPr>
            <w:tcW w:w="1445" w:type="dxa"/>
            <w:tcBorders>
              <w:top w:val="nil"/>
              <w:left w:val="nil"/>
              <w:bottom w:val="single" w:color="auto" w:sz="4" w:space="0"/>
              <w:right w:val="single" w:color="auto" w:sz="4" w:space="0"/>
            </w:tcBorders>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00" w:type="dxa"/>
            <w:tcBorders>
              <w:top w:val="nil"/>
              <w:left w:val="nil"/>
              <w:bottom w:val="single" w:color="auto" w:sz="4" w:space="0"/>
              <w:right w:val="single" w:color="auto" w:sz="4" w:space="0"/>
            </w:tcBorders>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38" w:type="dxa"/>
            <w:tcBorders>
              <w:top w:val="nil"/>
              <w:left w:val="nil"/>
              <w:bottom w:val="single" w:color="auto" w:sz="4" w:space="0"/>
              <w:right w:val="single" w:color="auto" w:sz="4" w:space="0"/>
            </w:tcBorders>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21" w:type="dxa"/>
            <w:tcBorders>
              <w:top w:val="nil"/>
              <w:left w:val="nil"/>
              <w:bottom w:val="single" w:color="auto" w:sz="4" w:space="0"/>
              <w:right w:val="single" w:color="auto" w:sz="4" w:space="0"/>
            </w:tcBorders>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7" w:type="dxa"/>
            <w:tcBorders>
              <w:top w:val="nil"/>
              <w:left w:val="nil"/>
              <w:bottom w:val="single" w:color="auto" w:sz="4" w:space="0"/>
              <w:right w:val="single" w:color="auto" w:sz="8" w:space="0"/>
            </w:tcBorders>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90" w:hRule="atLeast"/>
          <w:jc w:val="center"/>
        </w:trPr>
        <w:tc>
          <w:tcPr>
            <w:tcW w:w="1188"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w:t>
            </w:r>
          </w:p>
        </w:tc>
        <w:tc>
          <w:tcPr>
            <w:tcW w:w="24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一般公共服务支出</w:t>
            </w:r>
          </w:p>
        </w:tc>
        <w:tc>
          <w:tcPr>
            <w:tcW w:w="120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176.73</w:t>
            </w:r>
          </w:p>
        </w:tc>
        <w:tc>
          <w:tcPr>
            <w:tcW w:w="1564"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176.73</w:t>
            </w:r>
          </w:p>
        </w:tc>
        <w:tc>
          <w:tcPr>
            <w:tcW w:w="144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4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63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22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577"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r>
      <w:tr>
        <w:trPr>
          <w:trHeight w:val="90" w:hRule="atLeast"/>
          <w:jc w:val="center"/>
        </w:trPr>
        <w:tc>
          <w:tcPr>
            <w:tcW w:w="1188"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20103</w:t>
            </w:r>
          </w:p>
        </w:tc>
        <w:tc>
          <w:tcPr>
            <w:tcW w:w="24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政府办公厅（室）及相关机构事务</w:t>
            </w:r>
          </w:p>
        </w:tc>
        <w:tc>
          <w:tcPr>
            <w:tcW w:w="120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92.00</w:t>
            </w:r>
          </w:p>
        </w:tc>
        <w:tc>
          <w:tcPr>
            <w:tcW w:w="1564"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92.00</w:t>
            </w:r>
          </w:p>
        </w:tc>
        <w:tc>
          <w:tcPr>
            <w:tcW w:w="144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4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63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22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577"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90" w:hRule="atLeast"/>
          <w:jc w:val="center"/>
        </w:trPr>
        <w:tc>
          <w:tcPr>
            <w:tcW w:w="1188"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2010301</w:t>
            </w:r>
          </w:p>
        </w:tc>
        <w:tc>
          <w:tcPr>
            <w:tcW w:w="24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行政运行</w:t>
            </w:r>
          </w:p>
        </w:tc>
        <w:tc>
          <w:tcPr>
            <w:tcW w:w="120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92.00</w:t>
            </w:r>
          </w:p>
        </w:tc>
        <w:tc>
          <w:tcPr>
            <w:tcW w:w="1564"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92.00</w:t>
            </w:r>
          </w:p>
        </w:tc>
        <w:tc>
          <w:tcPr>
            <w:tcW w:w="144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4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63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22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577"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r>
      <w:tr>
        <w:trPr>
          <w:trHeight w:val="90" w:hRule="atLeast"/>
          <w:jc w:val="center"/>
        </w:trPr>
        <w:tc>
          <w:tcPr>
            <w:tcW w:w="1188"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20104</w:t>
            </w:r>
          </w:p>
        </w:tc>
        <w:tc>
          <w:tcPr>
            <w:tcW w:w="24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发展与改革事务</w:t>
            </w:r>
          </w:p>
        </w:tc>
        <w:tc>
          <w:tcPr>
            <w:tcW w:w="120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84.73</w:t>
            </w:r>
          </w:p>
        </w:tc>
        <w:tc>
          <w:tcPr>
            <w:tcW w:w="1564"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84.73</w:t>
            </w:r>
          </w:p>
        </w:tc>
        <w:tc>
          <w:tcPr>
            <w:tcW w:w="144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4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63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22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577"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90" w:hRule="atLeast"/>
          <w:jc w:val="center"/>
        </w:trPr>
        <w:tc>
          <w:tcPr>
            <w:tcW w:w="1188"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2010401</w:t>
            </w:r>
          </w:p>
        </w:tc>
        <w:tc>
          <w:tcPr>
            <w:tcW w:w="24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行政运行</w:t>
            </w:r>
          </w:p>
        </w:tc>
        <w:tc>
          <w:tcPr>
            <w:tcW w:w="120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74.73</w:t>
            </w:r>
          </w:p>
        </w:tc>
        <w:tc>
          <w:tcPr>
            <w:tcW w:w="1564"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74.73</w:t>
            </w:r>
          </w:p>
        </w:tc>
        <w:tc>
          <w:tcPr>
            <w:tcW w:w="144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4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63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22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577"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90" w:hRule="atLeast"/>
          <w:jc w:val="center"/>
        </w:trPr>
        <w:tc>
          <w:tcPr>
            <w:tcW w:w="1188"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2010499</w:t>
            </w:r>
          </w:p>
        </w:tc>
        <w:tc>
          <w:tcPr>
            <w:tcW w:w="24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其他发展与改革事务支出</w:t>
            </w:r>
          </w:p>
        </w:tc>
        <w:tc>
          <w:tcPr>
            <w:tcW w:w="120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10.00</w:t>
            </w:r>
          </w:p>
        </w:tc>
        <w:tc>
          <w:tcPr>
            <w:tcW w:w="1564"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10.00</w:t>
            </w:r>
          </w:p>
        </w:tc>
        <w:tc>
          <w:tcPr>
            <w:tcW w:w="144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4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63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22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c>
          <w:tcPr>
            <w:tcW w:w="1577"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90" w:hRule="atLeast"/>
          <w:jc w:val="center"/>
        </w:trPr>
        <w:tc>
          <w:tcPr>
            <w:tcW w:w="1188"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w:t>
            </w:r>
          </w:p>
        </w:tc>
        <w:tc>
          <w:tcPr>
            <w:tcW w:w="24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社会保障和就业支出</w:t>
            </w:r>
          </w:p>
        </w:tc>
        <w:tc>
          <w:tcPr>
            <w:tcW w:w="120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1564"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144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77"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rPr>
          <w:trHeight w:val="90" w:hRule="atLeast"/>
          <w:jc w:val="center"/>
        </w:trPr>
        <w:tc>
          <w:tcPr>
            <w:tcW w:w="1188"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w:t>
            </w:r>
          </w:p>
        </w:tc>
        <w:tc>
          <w:tcPr>
            <w:tcW w:w="24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行政事业单位离退休</w:t>
            </w:r>
          </w:p>
        </w:tc>
        <w:tc>
          <w:tcPr>
            <w:tcW w:w="120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1564"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144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77"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90" w:hRule="atLeast"/>
          <w:jc w:val="center"/>
        </w:trPr>
        <w:tc>
          <w:tcPr>
            <w:tcW w:w="1188"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2080505</w:t>
            </w:r>
          </w:p>
        </w:tc>
        <w:tc>
          <w:tcPr>
            <w:tcW w:w="24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机关事业单位基本养老保险缴费支出</w:t>
            </w:r>
          </w:p>
        </w:tc>
        <w:tc>
          <w:tcPr>
            <w:tcW w:w="120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1564"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144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77"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90" w:hRule="atLeast"/>
          <w:jc w:val="center"/>
        </w:trPr>
        <w:tc>
          <w:tcPr>
            <w:tcW w:w="1188"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211</w:t>
            </w:r>
          </w:p>
        </w:tc>
        <w:tc>
          <w:tcPr>
            <w:tcW w:w="24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节能环保支出</w:t>
            </w:r>
          </w:p>
        </w:tc>
        <w:tc>
          <w:tcPr>
            <w:tcW w:w="120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1564"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144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77"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90" w:hRule="atLeast"/>
          <w:jc w:val="center"/>
        </w:trPr>
        <w:tc>
          <w:tcPr>
            <w:tcW w:w="1188"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21103</w:t>
            </w:r>
          </w:p>
        </w:tc>
        <w:tc>
          <w:tcPr>
            <w:tcW w:w="24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污染防治</w:t>
            </w:r>
          </w:p>
        </w:tc>
        <w:tc>
          <w:tcPr>
            <w:tcW w:w="120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1564"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144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77"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90" w:hRule="atLeast"/>
          <w:jc w:val="center"/>
        </w:trPr>
        <w:tc>
          <w:tcPr>
            <w:tcW w:w="1188"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2110399</w:t>
            </w:r>
          </w:p>
        </w:tc>
        <w:tc>
          <w:tcPr>
            <w:tcW w:w="24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其他污染防治支出</w:t>
            </w:r>
          </w:p>
        </w:tc>
        <w:tc>
          <w:tcPr>
            <w:tcW w:w="120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1564"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144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4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77"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90" w:hRule="atLeast"/>
          <w:jc w:val="center"/>
        </w:trPr>
        <w:tc>
          <w:tcPr>
            <w:tcW w:w="13716" w:type="dxa"/>
            <w:gridSpan w:val="9"/>
            <w:tcBorders>
              <w:top w:val="single" w:color="auto" w:sz="8" w:space="0"/>
              <w:left w:val="nil"/>
              <w:bottom w:val="single" w:color="auto" w:sz="8" w:space="0"/>
              <w:right w:val="nil"/>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注：本表反映部门本年度取得的各项收入情况。</w:t>
            </w:r>
          </w:p>
        </w:tc>
      </w:tr>
      <w:tr>
        <w:tblPrEx>
          <w:tblCellMar>
            <w:top w:w="0" w:type="dxa"/>
            <w:left w:w="108" w:type="dxa"/>
            <w:bottom w:w="0" w:type="dxa"/>
            <w:right w:w="108" w:type="dxa"/>
          </w:tblCellMar>
        </w:tblPrEx>
        <w:trPr>
          <w:trHeight w:val="90" w:hRule="atLeast"/>
          <w:jc w:val="center"/>
        </w:trPr>
        <w:tc>
          <w:tcPr>
            <w:tcW w:w="13716" w:type="dxa"/>
            <w:gridSpan w:val="9"/>
            <w:tcBorders>
              <w:top w:val="single" w:color="auto" w:sz="8" w:space="0"/>
              <w:left w:val="nil"/>
              <w:bottom w:val="nil"/>
              <w:right w:val="nil"/>
            </w:tcBorders>
            <w:shd w:val="clear" w:color="auto" w:fill="auto"/>
            <w:vAlign w:val="center"/>
          </w:tcPr>
          <w:p>
            <w:pPr>
              <w:widowControl/>
              <w:jc w:val="left"/>
              <w:rPr>
                <w:rFonts w:ascii="Times New Roman" w:hAnsi="Times New Roman" w:eastAsia="仿宋_GB2312" w:cs="Times New Roman"/>
                <w:kern w:val="0"/>
                <w:szCs w:val="21"/>
              </w:rPr>
            </w:pPr>
          </w:p>
        </w:tc>
      </w:tr>
    </w:tbl>
    <w:p>
      <w:pPr>
        <w:widowControl/>
        <w:jc w:val="left"/>
        <w:rPr>
          <w:rFonts w:ascii="Times New Roman" w:hAnsi="Times New Roman" w:eastAsia="黑体" w:cs="Times New Roman"/>
          <w:bCs/>
          <w:kern w:val="0"/>
          <w:sz w:val="32"/>
          <w:szCs w:val="32"/>
        </w:rPr>
      </w:pPr>
    </w:p>
    <w:p>
      <w:pPr>
        <w:widowControl/>
        <w:jc w:val="left"/>
        <w:rPr>
          <w:rFonts w:ascii="Times New Roman" w:hAnsi="Times New Roman" w:eastAsia="黑体" w:cs="Times New Roman"/>
          <w:bCs/>
          <w:kern w:val="0"/>
          <w:sz w:val="32"/>
          <w:szCs w:val="32"/>
        </w:rPr>
      </w:pPr>
      <w:r>
        <w:rPr>
          <w:rFonts w:ascii="Times New Roman" w:hAnsi="Times New Roman" w:eastAsia="黑体" w:cs="Times New Roman"/>
          <w:bCs/>
          <w:kern w:val="0"/>
          <w:sz w:val="32"/>
          <w:szCs w:val="32"/>
        </w:rPr>
        <w:br w:type="page"/>
      </w:r>
    </w:p>
    <w:p>
      <w:pPr>
        <w:widowControl/>
        <w:rPr>
          <w:rFonts w:ascii="Times New Roman" w:hAnsi="Times New Roman" w:eastAsia="方正小标宋_GBK" w:cs="Times New Roman"/>
          <w:color w:val="000000"/>
          <w:kern w:val="0"/>
          <w:sz w:val="36"/>
          <w:szCs w:val="36"/>
        </w:rPr>
      </w:pPr>
    </w:p>
    <w:p>
      <w:pPr>
        <w:widowControl/>
        <w:jc w:val="center"/>
        <w:rPr>
          <w:rFonts w:ascii="Times New Roman" w:hAnsi="Times New Roman" w:eastAsia="方正小标宋_GBK" w:cs="Times New Roman"/>
          <w:color w:val="000000"/>
          <w:kern w:val="0"/>
          <w:sz w:val="36"/>
          <w:szCs w:val="36"/>
        </w:rPr>
      </w:pPr>
      <w:r>
        <w:rPr>
          <w:rFonts w:ascii="Times New Roman" w:hAnsi="Times New Roman" w:eastAsia="方正小标宋_GBK" w:cs="Times New Roman"/>
          <w:color w:val="000000"/>
          <w:kern w:val="0"/>
          <w:sz w:val="36"/>
          <w:szCs w:val="36"/>
        </w:rPr>
        <w:t>支出决算表</w:t>
      </w:r>
    </w:p>
    <w:p>
      <w:pPr>
        <w:widowControl/>
        <w:spacing w:line="400" w:lineRule="exact"/>
        <w:ind w:firstLine="600" w:firstLineChars="300"/>
        <w:jc w:val="left"/>
        <w:rPr>
          <w:rFonts w:ascii="Times New Roman" w:hAnsi="Times New Roman" w:eastAsia="仿宋_GB2312" w:cs="Times New Roman"/>
          <w:color w:val="000000"/>
          <w:kern w:val="0"/>
          <w:sz w:val="20"/>
          <w:szCs w:val="20"/>
        </w:rPr>
      </w:pPr>
      <w:r>
        <w:rPr>
          <w:rFonts w:ascii="Times New Roman" w:hAnsi="Times New Roman" w:eastAsia="仿宋_GB2312" w:cs="Times New Roman"/>
          <w:color w:val="000000"/>
          <w:kern w:val="0"/>
          <w:sz w:val="20"/>
          <w:szCs w:val="20"/>
        </w:rPr>
        <w:t xml:space="preserve">部门：   </w:t>
      </w:r>
      <w:r>
        <w:rPr>
          <w:rFonts w:hint="eastAsia" w:ascii="Times New Roman" w:hAnsi="Times New Roman" w:eastAsia="仿宋_GB2312" w:cs="Times New Roman"/>
          <w:color w:val="000000"/>
          <w:kern w:val="0"/>
          <w:szCs w:val="21"/>
          <w:lang w:eastAsia="zh-CN"/>
        </w:rPr>
        <w:t>零陵区重点办</w:t>
      </w:r>
      <w:r>
        <w:rPr>
          <w:rFonts w:ascii="Times New Roman" w:hAnsi="Times New Roman" w:eastAsia="仿宋_GB2312" w:cs="Times New Roman"/>
          <w:color w:val="000000"/>
          <w:kern w:val="0"/>
          <w:sz w:val="20"/>
          <w:szCs w:val="20"/>
        </w:rPr>
        <w:t xml:space="preserve">                                                                                                             公开03表</w:t>
      </w:r>
    </w:p>
    <w:p>
      <w:pPr>
        <w:widowControl/>
        <w:spacing w:line="400" w:lineRule="exact"/>
        <w:ind w:right="700"/>
        <w:jc w:val="right"/>
        <w:rPr>
          <w:rFonts w:ascii="Times New Roman" w:hAnsi="Times New Roman" w:eastAsia="仿宋_GB2312" w:cs="Times New Roman"/>
          <w:color w:val="000000"/>
          <w:kern w:val="0"/>
          <w:sz w:val="20"/>
          <w:szCs w:val="20"/>
        </w:rPr>
      </w:pPr>
      <w:r>
        <w:rPr>
          <w:rFonts w:ascii="Times New Roman" w:hAnsi="Times New Roman" w:eastAsia="仿宋_GB2312" w:cs="Times New Roman"/>
          <w:color w:val="000000"/>
          <w:kern w:val="0"/>
          <w:sz w:val="20"/>
          <w:szCs w:val="20"/>
        </w:rPr>
        <w:t>单位：万元</w:t>
      </w:r>
    </w:p>
    <w:tbl>
      <w:tblPr>
        <w:tblStyle w:val="6"/>
        <w:tblW w:w="14175"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08"/>
        <w:gridCol w:w="2548"/>
        <w:gridCol w:w="1811"/>
        <w:gridCol w:w="1825"/>
        <w:gridCol w:w="1872"/>
        <w:gridCol w:w="1902"/>
        <w:gridCol w:w="1599"/>
        <w:gridCol w:w="151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5" w:hRule="atLeast"/>
          <w:jc w:val="center"/>
        </w:trPr>
        <w:tc>
          <w:tcPr>
            <w:tcW w:w="3656"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    目</w:t>
            </w:r>
          </w:p>
        </w:tc>
        <w:tc>
          <w:tcPr>
            <w:tcW w:w="1811"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本年支出合计</w:t>
            </w:r>
          </w:p>
        </w:tc>
        <w:tc>
          <w:tcPr>
            <w:tcW w:w="1825"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基本支出</w:t>
            </w:r>
          </w:p>
        </w:tc>
        <w:tc>
          <w:tcPr>
            <w:tcW w:w="1872"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项目支出</w:t>
            </w:r>
          </w:p>
        </w:tc>
        <w:tc>
          <w:tcPr>
            <w:tcW w:w="1902"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上缴上级支出</w:t>
            </w:r>
          </w:p>
        </w:tc>
        <w:tc>
          <w:tcPr>
            <w:tcW w:w="1599"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经营支出</w:t>
            </w:r>
          </w:p>
        </w:tc>
        <w:tc>
          <w:tcPr>
            <w:tcW w:w="1510"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对附属单位补助支出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5" w:hRule="atLeast"/>
          <w:jc w:val="center"/>
        </w:trPr>
        <w:tc>
          <w:tcPr>
            <w:tcW w:w="1108"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功能分类科目编码</w:t>
            </w:r>
          </w:p>
        </w:tc>
        <w:tc>
          <w:tcPr>
            <w:tcW w:w="2548"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科目名称</w:t>
            </w:r>
          </w:p>
        </w:tc>
        <w:tc>
          <w:tcPr>
            <w:tcW w:w="1811"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2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72"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902"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599"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510" w:type="dxa"/>
            <w:vMerge w:val="continue"/>
            <w:shd w:val="clear" w:color="auto" w:fill="auto"/>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5" w:hRule="atLeast"/>
          <w:jc w:val="center"/>
        </w:trPr>
        <w:tc>
          <w:tcPr>
            <w:tcW w:w="1108"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2548"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11"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2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72"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902"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599"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510" w:type="dxa"/>
            <w:vMerge w:val="continue"/>
            <w:shd w:val="clear" w:color="auto" w:fill="auto"/>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5" w:hRule="atLeast"/>
          <w:jc w:val="center"/>
        </w:trPr>
        <w:tc>
          <w:tcPr>
            <w:tcW w:w="3656"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811"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825"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872"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902"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599"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51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5" w:hRule="atLeast"/>
          <w:jc w:val="center"/>
        </w:trPr>
        <w:tc>
          <w:tcPr>
            <w:tcW w:w="3656"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811"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188.39</w:t>
            </w:r>
          </w:p>
        </w:tc>
        <w:tc>
          <w:tcPr>
            <w:tcW w:w="1825"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188.39</w:t>
            </w:r>
          </w:p>
        </w:tc>
        <w:tc>
          <w:tcPr>
            <w:tcW w:w="18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0.00</w:t>
            </w:r>
          </w:p>
        </w:tc>
        <w:tc>
          <w:tcPr>
            <w:tcW w:w="1902"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9"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1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5" w:hRule="atLeast"/>
          <w:jc w:val="center"/>
        </w:trPr>
        <w:tc>
          <w:tcPr>
            <w:tcW w:w="110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w:t>
            </w:r>
          </w:p>
        </w:tc>
        <w:tc>
          <w:tcPr>
            <w:tcW w:w="254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一般公共服务支出</w:t>
            </w:r>
          </w:p>
        </w:tc>
        <w:tc>
          <w:tcPr>
            <w:tcW w:w="181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176.73</w:t>
            </w:r>
          </w:p>
        </w:tc>
        <w:tc>
          <w:tcPr>
            <w:tcW w:w="182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176.73</w:t>
            </w:r>
          </w:p>
        </w:tc>
        <w:tc>
          <w:tcPr>
            <w:tcW w:w="187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9"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27" w:hRule="atLeast"/>
          <w:jc w:val="center"/>
        </w:trPr>
        <w:tc>
          <w:tcPr>
            <w:tcW w:w="110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20103</w:t>
            </w:r>
          </w:p>
        </w:tc>
        <w:tc>
          <w:tcPr>
            <w:tcW w:w="254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政府办公厅（室）及相关机构事务</w:t>
            </w:r>
          </w:p>
        </w:tc>
        <w:tc>
          <w:tcPr>
            <w:tcW w:w="181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92.00</w:t>
            </w:r>
          </w:p>
        </w:tc>
        <w:tc>
          <w:tcPr>
            <w:tcW w:w="182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92.00</w:t>
            </w:r>
          </w:p>
        </w:tc>
        <w:tc>
          <w:tcPr>
            <w:tcW w:w="187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9"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5" w:hRule="atLeast"/>
          <w:jc w:val="center"/>
        </w:trPr>
        <w:tc>
          <w:tcPr>
            <w:tcW w:w="110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2010301</w:t>
            </w:r>
          </w:p>
        </w:tc>
        <w:tc>
          <w:tcPr>
            <w:tcW w:w="254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行政运行</w:t>
            </w:r>
          </w:p>
        </w:tc>
        <w:tc>
          <w:tcPr>
            <w:tcW w:w="181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92.00</w:t>
            </w:r>
          </w:p>
        </w:tc>
        <w:tc>
          <w:tcPr>
            <w:tcW w:w="182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92.00</w:t>
            </w:r>
          </w:p>
        </w:tc>
        <w:tc>
          <w:tcPr>
            <w:tcW w:w="187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9"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5" w:hRule="atLeast"/>
          <w:jc w:val="center"/>
        </w:trPr>
        <w:tc>
          <w:tcPr>
            <w:tcW w:w="110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w:t>
            </w:r>
          </w:p>
        </w:tc>
        <w:tc>
          <w:tcPr>
            <w:tcW w:w="254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发展与改革事务</w:t>
            </w:r>
          </w:p>
        </w:tc>
        <w:tc>
          <w:tcPr>
            <w:tcW w:w="181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84.73</w:t>
            </w:r>
          </w:p>
        </w:tc>
        <w:tc>
          <w:tcPr>
            <w:tcW w:w="182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84.73</w:t>
            </w:r>
          </w:p>
        </w:tc>
        <w:tc>
          <w:tcPr>
            <w:tcW w:w="187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9"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5" w:hRule="atLeast"/>
          <w:jc w:val="center"/>
        </w:trPr>
        <w:tc>
          <w:tcPr>
            <w:tcW w:w="110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2010401</w:t>
            </w:r>
          </w:p>
        </w:tc>
        <w:tc>
          <w:tcPr>
            <w:tcW w:w="254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行政运行</w:t>
            </w:r>
          </w:p>
        </w:tc>
        <w:tc>
          <w:tcPr>
            <w:tcW w:w="181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74.73</w:t>
            </w:r>
          </w:p>
        </w:tc>
        <w:tc>
          <w:tcPr>
            <w:tcW w:w="182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74.73</w:t>
            </w:r>
          </w:p>
        </w:tc>
        <w:tc>
          <w:tcPr>
            <w:tcW w:w="187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9"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27" w:hRule="atLeast"/>
          <w:jc w:val="center"/>
        </w:trPr>
        <w:tc>
          <w:tcPr>
            <w:tcW w:w="110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2010499</w:t>
            </w:r>
          </w:p>
        </w:tc>
        <w:tc>
          <w:tcPr>
            <w:tcW w:w="254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其他发展与改革事务支出</w:t>
            </w:r>
          </w:p>
        </w:tc>
        <w:tc>
          <w:tcPr>
            <w:tcW w:w="181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182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187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9"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5" w:hRule="atLeast"/>
          <w:jc w:val="center"/>
        </w:trPr>
        <w:tc>
          <w:tcPr>
            <w:tcW w:w="110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w:t>
            </w:r>
          </w:p>
        </w:tc>
        <w:tc>
          <w:tcPr>
            <w:tcW w:w="254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社会保障和就业支出</w:t>
            </w:r>
          </w:p>
        </w:tc>
        <w:tc>
          <w:tcPr>
            <w:tcW w:w="181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182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187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9"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5" w:hRule="atLeast"/>
          <w:jc w:val="center"/>
        </w:trPr>
        <w:tc>
          <w:tcPr>
            <w:tcW w:w="110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w:t>
            </w:r>
          </w:p>
        </w:tc>
        <w:tc>
          <w:tcPr>
            <w:tcW w:w="254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行政事业单位离退休</w:t>
            </w:r>
          </w:p>
        </w:tc>
        <w:tc>
          <w:tcPr>
            <w:tcW w:w="181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182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187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9"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27" w:hRule="atLeast"/>
          <w:jc w:val="center"/>
        </w:trPr>
        <w:tc>
          <w:tcPr>
            <w:tcW w:w="110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2080505</w:t>
            </w:r>
          </w:p>
        </w:tc>
        <w:tc>
          <w:tcPr>
            <w:tcW w:w="254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机关事业单位基本养老保险缴费支出</w:t>
            </w:r>
          </w:p>
        </w:tc>
        <w:tc>
          <w:tcPr>
            <w:tcW w:w="181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182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187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9"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5" w:hRule="atLeast"/>
          <w:jc w:val="center"/>
        </w:trPr>
        <w:tc>
          <w:tcPr>
            <w:tcW w:w="110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211</w:t>
            </w:r>
          </w:p>
        </w:tc>
        <w:tc>
          <w:tcPr>
            <w:tcW w:w="254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节能环保支出</w:t>
            </w:r>
          </w:p>
        </w:tc>
        <w:tc>
          <w:tcPr>
            <w:tcW w:w="181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182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187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9"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5" w:hRule="atLeast"/>
          <w:jc w:val="center"/>
        </w:trPr>
        <w:tc>
          <w:tcPr>
            <w:tcW w:w="110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21103</w:t>
            </w:r>
          </w:p>
        </w:tc>
        <w:tc>
          <w:tcPr>
            <w:tcW w:w="254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污染防治</w:t>
            </w:r>
          </w:p>
        </w:tc>
        <w:tc>
          <w:tcPr>
            <w:tcW w:w="181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182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187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9"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110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2110399</w:t>
            </w:r>
          </w:p>
        </w:tc>
        <w:tc>
          <w:tcPr>
            <w:tcW w:w="2548"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其他污染防治支出</w:t>
            </w:r>
          </w:p>
        </w:tc>
        <w:tc>
          <w:tcPr>
            <w:tcW w:w="181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182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187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9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9"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bl>
    <w:p>
      <w:pPr>
        <w:widowControl/>
        <w:ind w:firstLine="630" w:firstLineChars="300"/>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注：本表反映部门本年度各项支出情况。</w:t>
      </w:r>
    </w:p>
    <w:p>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pPr>
        <w:widowControl/>
        <w:ind w:left="93"/>
        <w:jc w:val="center"/>
        <w:rPr>
          <w:rFonts w:ascii="Times New Roman" w:hAnsi="Times New Roman" w:eastAsia="方正小标宋_GBK" w:cs="Times New Roman"/>
          <w:color w:val="000000"/>
          <w:kern w:val="0"/>
          <w:sz w:val="36"/>
          <w:szCs w:val="21"/>
        </w:rPr>
      </w:pPr>
      <w:r>
        <w:rPr>
          <w:rFonts w:ascii="Times New Roman" w:hAnsi="Times New Roman" w:eastAsia="方正小标宋_GBK" w:cs="Times New Roman"/>
          <w:color w:val="000000"/>
          <w:kern w:val="0"/>
          <w:sz w:val="36"/>
          <w:szCs w:val="21"/>
        </w:rPr>
        <w:t>财政拨款收入支出决算总表</w:t>
      </w:r>
    </w:p>
    <w:p>
      <w:pPr>
        <w:widowControl/>
        <w:tabs>
          <w:tab w:val="left" w:pos="4453"/>
          <w:tab w:val="left" w:pos="4933"/>
          <w:tab w:val="left" w:pos="6813"/>
          <w:tab w:val="left" w:pos="11113"/>
          <w:tab w:val="left" w:pos="11549"/>
          <w:tab w:val="left" w:pos="13429"/>
          <w:tab w:val="left" w:pos="15089"/>
        </w:tabs>
        <w:spacing w:line="240" w:lineRule="exact"/>
        <w:ind w:left="91" w:right="630"/>
        <w:jc w:val="right"/>
        <w:rPr>
          <w:rFonts w:ascii="Times New Roman" w:hAnsi="Times New Roman" w:eastAsia="宋体" w:cs="Times New Roman"/>
          <w:color w:val="000000"/>
          <w:kern w:val="0"/>
          <w:szCs w:val="21"/>
        </w:rPr>
      </w:pPr>
      <w:r>
        <w:rPr>
          <w:rFonts w:ascii="Times New Roman" w:hAnsi="Times New Roman" w:eastAsia="宋体" w:cs="Times New Roman"/>
          <w:color w:val="000000"/>
          <w:kern w:val="0"/>
          <w:szCs w:val="21"/>
        </w:rPr>
        <w:t>公开04表</w:t>
      </w:r>
    </w:p>
    <w:p>
      <w:pPr>
        <w:widowControl/>
        <w:tabs>
          <w:tab w:val="left" w:pos="13725"/>
          <w:tab w:val="left" w:pos="13755"/>
          <w:tab w:val="left" w:pos="13800"/>
        </w:tabs>
        <w:spacing w:line="240" w:lineRule="exact"/>
        <w:ind w:left="91" w:firstLine="315" w:firstLineChars="150"/>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lang w:eastAsia="zh-CN"/>
        </w:rPr>
        <w:t>零陵区重点办</w:t>
      </w:r>
      <w:r>
        <w:rPr>
          <w:rFonts w:ascii="Times New Roman" w:hAnsi="Times New Roman" w:eastAsia="仿宋_GB2312" w:cs="Times New Roman"/>
          <w:color w:val="000000"/>
          <w:kern w:val="0"/>
          <w:sz w:val="20"/>
          <w:szCs w:val="20"/>
        </w:rPr>
        <w:t xml:space="preserve"> </w:t>
      </w:r>
      <w:r>
        <w:rPr>
          <w:rFonts w:ascii="Times New Roman" w:hAnsi="Times New Roman" w:eastAsia="仿宋_GB2312" w:cs="Times New Roman"/>
          <w:color w:val="000000"/>
          <w:kern w:val="0"/>
          <w:szCs w:val="21"/>
        </w:rPr>
        <w:tab/>
      </w:r>
      <w:r>
        <w:rPr>
          <w:rFonts w:ascii="Times New Roman" w:hAnsi="Times New Roman" w:eastAsia="仿宋_GB2312" w:cs="Times New Roman"/>
          <w:color w:val="000000"/>
          <w:kern w:val="0"/>
          <w:szCs w:val="21"/>
        </w:rPr>
        <w:t>单位：万元</w:t>
      </w:r>
    </w:p>
    <w:tbl>
      <w:tblPr>
        <w:tblStyle w:val="6"/>
        <w:tblW w:w="1465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2994"/>
        <w:gridCol w:w="480"/>
        <w:gridCol w:w="1880"/>
        <w:gridCol w:w="3761"/>
        <w:gridCol w:w="430"/>
        <w:gridCol w:w="1880"/>
        <w:gridCol w:w="1660"/>
        <w:gridCol w:w="1572"/>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2" w:hRule="atLeast"/>
          <w:jc w:val="center"/>
        </w:trPr>
        <w:tc>
          <w:tcPr>
            <w:tcW w:w="5354" w:type="dxa"/>
            <w:gridSpan w:val="3"/>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收入</w:t>
            </w:r>
          </w:p>
        </w:tc>
        <w:tc>
          <w:tcPr>
            <w:tcW w:w="9303" w:type="dxa"/>
            <w:gridSpan w:val="5"/>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支出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3" w:hRule="atLeast"/>
          <w:jc w:val="center"/>
        </w:trPr>
        <w:tc>
          <w:tcPr>
            <w:tcW w:w="2994"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48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行次</w:t>
            </w:r>
          </w:p>
        </w:tc>
        <w:tc>
          <w:tcPr>
            <w:tcW w:w="188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金额</w:t>
            </w:r>
          </w:p>
        </w:tc>
        <w:tc>
          <w:tcPr>
            <w:tcW w:w="3761"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43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行次</w:t>
            </w:r>
          </w:p>
        </w:tc>
        <w:tc>
          <w:tcPr>
            <w:tcW w:w="188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合计</w:t>
            </w:r>
          </w:p>
        </w:tc>
        <w:tc>
          <w:tcPr>
            <w:tcW w:w="166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一般公共预算财政拨款</w:t>
            </w:r>
          </w:p>
        </w:tc>
        <w:tc>
          <w:tcPr>
            <w:tcW w:w="1572"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政府性基金预算财政拨款</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    次</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761"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    次</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572"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一、一般公共预算财政拨款</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188.39</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一、一般公共服务支出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15</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176.73</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176.73</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二、政府性基金预算财政拨款</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880" w:type="dxa"/>
            <w:shd w:val="clear" w:color="auto" w:fill="auto"/>
            <w:vAlign w:val="center"/>
          </w:tcPr>
          <w:p>
            <w:pPr>
              <w:widowControl/>
              <w:jc w:val="center"/>
              <w:rPr>
                <w:rFonts w:ascii="Times New Roman" w:hAnsi="Times New Roman" w:eastAsia="仿宋_GB2312" w:cs="Times New Roman"/>
                <w:kern w:val="0"/>
                <w:szCs w:val="21"/>
              </w:rPr>
            </w:pP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二、社会保障和就业支出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16</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4.67</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4.67</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880" w:type="dxa"/>
            <w:shd w:val="clear" w:color="auto" w:fill="auto"/>
            <w:vAlign w:val="center"/>
          </w:tcPr>
          <w:p>
            <w:pPr>
              <w:widowControl/>
              <w:jc w:val="center"/>
              <w:rPr>
                <w:rFonts w:ascii="Times New Roman" w:hAnsi="Times New Roman" w:eastAsia="仿宋_GB2312" w:cs="Times New Roman"/>
                <w:kern w:val="0"/>
                <w:szCs w:val="21"/>
              </w:rPr>
            </w:pP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三、节能环保支出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17</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7</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7</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880" w:type="dxa"/>
            <w:shd w:val="clear" w:color="auto" w:fill="auto"/>
            <w:vAlign w:val="center"/>
          </w:tcPr>
          <w:p>
            <w:pPr>
              <w:widowControl/>
              <w:jc w:val="center"/>
              <w:rPr>
                <w:rFonts w:ascii="Times New Roman" w:hAnsi="Times New Roman" w:eastAsia="仿宋_GB2312" w:cs="Times New Roman"/>
                <w:kern w:val="0"/>
                <w:szCs w:val="21"/>
              </w:rPr>
            </w:pP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四、城乡社区支出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18</w:t>
            </w:r>
          </w:p>
        </w:tc>
        <w:tc>
          <w:tcPr>
            <w:tcW w:w="1880" w:type="dxa"/>
            <w:shd w:val="clear" w:color="auto" w:fill="auto"/>
            <w:vAlign w:val="center"/>
          </w:tcPr>
          <w:p>
            <w:pPr>
              <w:widowControl/>
              <w:jc w:val="center"/>
              <w:rPr>
                <w:rFonts w:ascii="Times New Roman" w:hAnsi="Times New Roman" w:eastAsia="仿宋_GB2312" w:cs="Times New Roman"/>
                <w:kern w:val="0"/>
                <w:szCs w:val="21"/>
              </w:rPr>
            </w:pPr>
          </w:p>
        </w:tc>
        <w:tc>
          <w:tcPr>
            <w:tcW w:w="1660" w:type="dxa"/>
            <w:shd w:val="clear" w:color="auto" w:fill="auto"/>
            <w:vAlign w:val="center"/>
          </w:tcPr>
          <w:p>
            <w:pPr>
              <w:widowControl/>
              <w:jc w:val="center"/>
              <w:rPr>
                <w:rFonts w:ascii="Times New Roman" w:hAnsi="Times New Roman" w:eastAsia="仿宋_GB2312" w:cs="Times New Roman"/>
                <w:kern w:val="0"/>
                <w:szCs w:val="21"/>
              </w:rPr>
            </w:pPr>
          </w:p>
        </w:tc>
        <w:tc>
          <w:tcPr>
            <w:tcW w:w="157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880" w:type="dxa"/>
            <w:shd w:val="clear" w:color="auto" w:fill="auto"/>
            <w:vAlign w:val="center"/>
          </w:tcPr>
          <w:p>
            <w:pPr>
              <w:widowControl/>
              <w:jc w:val="center"/>
              <w:rPr>
                <w:rFonts w:ascii="Times New Roman" w:hAnsi="Times New Roman" w:eastAsia="仿宋_GB2312" w:cs="Times New Roman"/>
                <w:kern w:val="0"/>
                <w:szCs w:val="21"/>
              </w:rPr>
            </w:pP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五、农林水支出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19</w:t>
            </w:r>
          </w:p>
        </w:tc>
        <w:tc>
          <w:tcPr>
            <w:tcW w:w="1880" w:type="dxa"/>
            <w:shd w:val="clear" w:color="auto" w:fill="auto"/>
            <w:vAlign w:val="center"/>
          </w:tcPr>
          <w:p>
            <w:pPr>
              <w:widowControl/>
              <w:jc w:val="center"/>
              <w:rPr>
                <w:rFonts w:ascii="Times New Roman" w:hAnsi="Times New Roman" w:eastAsia="仿宋_GB2312" w:cs="Times New Roman"/>
                <w:kern w:val="0"/>
                <w:szCs w:val="21"/>
              </w:rPr>
            </w:pPr>
          </w:p>
        </w:tc>
        <w:tc>
          <w:tcPr>
            <w:tcW w:w="1660" w:type="dxa"/>
            <w:shd w:val="clear" w:color="auto" w:fill="auto"/>
            <w:vAlign w:val="center"/>
          </w:tcPr>
          <w:p>
            <w:pPr>
              <w:widowControl/>
              <w:jc w:val="center"/>
              <w:rPr>
                <w:rFonts w:ascii="Times New Roman" w:hAnsi="Times New Roman" w:eastAsia="仿宋_GB2312" w:cs="Times New Roman"/>
                <w:kern w:val="0"/>
                <w:szCs w:val="21"/>
              </w:rPr>
            </w:pP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880" w:type="dxa"/>
            <w:shd w:val="clear" w:color="auto" w:fill="auto"/>
            <w:vAlign w:val="center"/>
          </w:tcPr>
          <w:p>
            <w:pPr>
              <w:widowControl/>
              <w:jc w:val="center"/>
              <w:rPr>
                <w:rFonts w:ascii="Times New Roman" w:hAnsi="Times New Roman" w:eastAsia="仿宋_GB2312" w:cs="Times New Roman"/>
                <w:kern w:val="0"/>
                <w:szCs w:val="21"/>
              </w:rPr>
            </w:pP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六、资源勘探信息等支出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20</w:t>
            </w:r>
          </w:p>
        </w:tc>
        <w:tc>
          <w:tcPr>
            <w:tcW w:w="1880" w:type="dxa"/>
            <w:shd w:val="clear" w:color="auto" w:fill="auto"/>
            <w:vAlign w:val="center"/>
          </w:tcPr>
          <w:p>
            <w:pPr>
              <w:widowControl/>
              <w:jc w:val="center"/>
              <w:rPr>
                <w:rFonts w:ascii="Times New Roman" w:hAnsi="Times New Roman" w:eastAsia="仿宋_GB2312" w:cs="Times New Roman"/>
                <w:kern w:val="0"/>
                <w:szCs w:val="21"/>
              </w:rPr>
            </w:pPr>
          </w:p>
        </w:tc>
        <w:tc>
          <w:tcPr>
            <w:tcW w:w="1660" w:type="dxa"/>
            <w:shd w:val="clear" w:color="auto" w:fill="auto"/>
            <w:vAlign w:val="center"/>
          </w:tcPr>
          <w:p>
            <w:pPr>
              <w:widowControl/>
              <w:jc w:val="center"/>
              <w:rPr>
                <w:rFonts w:ascii="Times New Roman" w:hAnsi="Times New Roman" w:eastAsia="仿宋_GB2312" w:cs="Times New Roman"/>
                <w:kern w:val="0"/>
                <w:szCs w:val="21"/>
              </w:rPr>
            </w:pP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880" w:type="dxa"/>
            <w:shd w:val="clear" w:color="auto" w:fill="auto"/>
            <w:vAlign w:val="center"/>
          </w:tcPr>
          <w:p>
            <w:pPr>
              <w:widowControl/>
              <w:jc w:val="center"/>
              <w:rPr>
                <w:rFonts w:ascii="Times New Roman" w:hAnsi="Times New Roman" w:eastAsia="仿宋_GB2312" w:cs="Times New Roman"/>
                <w:kern w:val="0"/>
                <w:szCs w:val="21"/>
              </w:rPr>
            </w:pP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21</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660" w:type="dxa"/>
            <w:shd w:val="clear" w:color="auto" w:fill="auto"/>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880" w:type="dxa"/>
            <w:shd w:val="clear" w:color="auto" w:fill="auto"/>
            <w:vAlign w:val="center"/>
          </w:tcPr>
          <w:p>
            <w:pPr>
              <w:widowControl/>
              <w:jc w:val="center"/>
              <w:rPr>
                <w:rFonts w:ascii="Times New Roman" w:hAnsi="Times New Roman" w:eastAsia="仿宋_GB2312" w:cs="Times New Roman"/>
                <w:kern w:val="0"/>
                <w:szCs w:val="21"/>
              </w:rPr>
            </w:pP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eastAsia="zh-CN"/>
              </w:rPr>
              <w:t>八、</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22</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 xml:space="preserve">       </w:t>
            </w:r>
            <w:r>
              <w:rPr>
                <w:rFonts w:hint="eastAsia"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 xml:space="preserve">       </w:t>
            </w:r>
            <w:r>
              <w:rPr>
                <w:rFonts w:hint="eastAsia" w:ascii="Times New Roman" w:hAnsi="Times New Roman" w:eastAsia="仿宋_GB2312" w:cs="Times New Roman"/>
                <w:kern w:val="0"/>
                <w:szCs w:val="21"/>
              </w:rPr>
              <w:t>　</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本年收入合计</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880" w:type="dxa"/>
            <w:shd w:val="clear" w:color="auto" w:fill="auto"/>
            <w:vAlign w:val="center"/>
          </w:tcPr>
          <w:p>
            <w:pPr>
              <w:widowControl/>
              <w:tabs>
                <w:tab w:val="left" w:pos="412"/>
                <w:tab w:val="right" w:pos="1338"/>
              </w:tabs>
              <w:jc w:val="center"/>
              <w:rPr>
                <w:rFonts w:hint="eastAsia" w:ascii="宋体" w:hAnsi="宋体" w:eastAsia="宋体" w:cs="宋体"/>
                <w:i w:val="0"/>
                <w:color w:val="000000"/>
                <w:kern w:val="2"/>
                <w:sz w:val="22"/>
                <w:szCs w:val="22"/>
                <w:u w:val="none"/>
                <w:lang w:val="en-US" w:eastAsia="zh-CN" w:bidi="ar-SA"/>
              </w:rPr>
            </w:pPr>
            <w:r>
              <w:rPr>
                <w:rFonts w:hint="eastAsia" w:ascii="Times New Roman" w:hAnsi="Times New Roman" w:eastAsia="仿宋_GB2312" w:cs="Times New Roman"/>
                <w:kern w:val="0"/>
                <w:szCs w:val="21"/>
                <w:lang w:eastAsia="zh-CN"/>
              </w:rPr>
              <w:t>188.39</w:t>
            </w:r>
          </w:p>
        </w:tc>
        <w:tc>
          <w:tcPr>
            <w:tcW w:w="3761" w:type="dxa"/>
            <w:shd w:val="clear" w:color="auto" w:fill="auto"/>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本年支出合计</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23</w:t>
            </w:r>
          </w:p>
        </w:tc>
        <w:tc>
          <w:tcPr>
            <w:tcW w:w="1880" w:type="dxa"/>
            <w:shd w:val="clear" w:color="auto" w:fill="auto"/>
            <w:vAlign w:val="center"/>
          </w:tcPr>
          <w:p>
            <w:pPr>
              <w:widowControl/>
              <w:ind w:firstLine="211" w:firstLineChars="100"/>
              <w:jc w:val="left"/>
              <w:rPr>
                <w:rFonts w:ascii="Times New Roman" w:hAnsi="Times New Roman" w:eastAsia="仿宋_GB2312" w:cs="Times New Roman"/>
                <w:kern w:val="0"/>
                <w:szCs w:val="21"/>
              </w:rPr>
            </w:pPr>
            <w:r>
              <w:rPr>
                <w:rFonts w:hint="eastAsia" w:ascii="Times New Roman" w:hAnsi="Times New Roman" w:eastAsia="仿宋_GB2312" w:cs="Times New Roman"/>
                <w:b/>
                <w:bCs/>
                <w:kern w:val="0"/>
                <w:szCs w:val="21"/>
              </w:rPr>
              <w:t>　</w:t>
            </w:r>
            <w:r>
              <w:rPr>
                <w:rFonts w:hint="eastAsia" w:ascii="Times New Roman" w:hAnsi="Times New Roman" w:eastAsia="仿宋_GB2312" w:cs="Times New Roman"/>
                <w:kern w:val="0"/>
                <w:szCs w:val="21"/>
                <w:lang w:eastAsia="zh-CN"/>
              </w:rPr>
              <w:t>188.39</w:t>
            </w:r>
          </w:p>
        </w:tc>
        <w:tc>
          <w:tcPr>
            <w:tcW w:w="1660" w:type="dxa"/>
            <w:shd w:val="clear" w:color="auto" w:fill="auto"/>
            <w:vAlign w:val="center"/>
          </w:tcPr>
          <w:p>
            <w:pPr>
              <w:widowControl/>
              <w:ind w:firstLine="211" w:firstLineChars="100"/>
              <w:jc w:val="left"/>
              <w:rPr>
                <w:rFonts w:ascii="Times New Roman" w:hAnsi="Times New Roman" w:eastAsia="仿宋_GB2312" w:cs="Times New Roman"/>
                <w:kern w:val="0"/>
                <w:szCs w:val="21"/>
              </w:rPr>
            </w:pPr>
            <w:r>
              <w:rPr>
                <w:rFonts w:hint="eastAsia" w:ascii="Times New Roman" w:hAnsi="Times New Roman" w:eastAsia="仿宋_GB2312" w:cs="Times New Roman"/>
                <w:b/>
                <w:bCs/>
                <w:kern w:val="0"/>
                <w:szCs w:val="21"/>
              </w:rPr>
              <w:t>　</w:t>
            </w:r>
            <w:r>
              <w:rPr>
                <w:rFonts w:hint="eastAsia" w:ascii="Times New Roman" w:hAnsi="Times New Roman" w:eastAsia="仿宋_GB2312" w:cs="Times New Roman"/>
                <w:kern w:val="0"/>
                <w:szCs w:val="21"/>
                <w:lang w:eastAsia="zh-CN"/>
              </w:rPr>
              <w:t>188.39</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b/>
                <w:bCs/>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年初财政拨款结转和结余</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880" w:type="dxa"/>
            <w:shd w:val="clear" w:color="auto" w:fill="auto"/>
            <w:vAlign w:val="center"/>
          </w:tcPr>
          <w:p>
            <w:pPr>
              <w:widowControl/>
              <w:jc w:val="center"/>
              <w:rPr>
                <w:rFonts w:ascii="Times New Roman" w:hAnsi="Times New Roman" w:eastAsia="仿宋_GB2312" w:cs="Times New Roman"/>
                <w:kern w:val="0"/>
                <w:szCs w:val="21"/>
              </w:rPr>
            </w:pPr>
          </w:p>
        </w:tc>
        <w:tc>
          <w:tcPr>
            <w:tcW w:w="3761"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年末财政拨款结转和结余</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24</w:t>
            </w:r>
          </w:p>
        </w:tc>
        <w:tc>
          <w:tcPr>
            <w:tcW w:w="1880"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660"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572"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67" w:hRule="atLeast"/>
          <w:jc w:val="center"/>
        </w:trPr>
        <w:tc>
          <w:tcPr>
            <w:tcW w:w="2994"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w:t>
            </w:r>
            <w:r>
              <w:rPr>
                <w:rFonts w:ascii="Times New Roman" w:hAnsi="Times New Roman" w:eastAsia="仿宋_GB2312" w:cs="Times New Roman"/>
                <w:kern w:val="0"/>
                <w:szCs w:val="21"/>
              </w:rPr>
              <w:t>一般公共预算财政拨款</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880" w:type="dxa"/>
            <w:shd w:val="clear" w:color="auto" w:fill="auto"/>
            <w:vAlign w:val="center"/>
          </w:tcPr>
          <w:p>
            <w:pPr>
              <w:widowControl/>
              <w:jc w:val="center"/>
              <w:rPr>
                <w:rFonts w:ascii="Times New Roman" w:hAnsi="Times New Roman" w:eastAsia="仿宋_GB2312" w:cs="Times New Roman"/>
                <w:kern w:val="0"/>
                <w:szCs w:val="21"/>
              </w:rPr>
            </w:pP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25</w:t>
            </w:r>
          </w:p>
        </w:tc>
        <w:tc>
          <w:tcPr>
            <w:tcW w:w="1880"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660"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572"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w:t>
            </w:r>
            <w:r>
              <w:rPr>
                <w:rFonts w:ascii="Times New Roman" w:hAnsi="Times New Roman" w:eastAsia="仿宋_GB2312" w:cs="Times New Roman"/>
                <w:kern w:val="0"/>
                <w:szCs w:val="21"/>
              </w:rPr>
              <w:t>政府性基金预算财政拨款</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c>
          <w:tcPr>
            <w:tcW w:w="1880" w:type="dxa"/>
            <w:shd w:val="clear" w:color="auto" w:fill="auto"/>
            <w:vAlign w:val="center"/>
          </w:tcPr>
          <w:p>
            <w:pPr>
              <w:widowControl/>
              <w:jc w:val="center"/>
              <w:rPr>
                <w:rFonts w:ascii="Times New Roman" w:hAnsi="Times New Roman" w:eastAsia="仿宋_GB2312" w:cs="Times New Roman"/>
                <w:kern w:val="0"/>
                <w:szCs w:val="21"/>
              </w:rPr>
            </w:pP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26</w:t>
            </w:r>
          </w:p>
        </w:tc>
        <w:tc>
          <w:tcPr>
            <w:tcW w:w="1880"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660"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572"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13</w:t>
            </w:r>
          </w:p>
        </w:tc>
        <w:tc>
          <w:tcPr>
            <w:tcW w:w="1880" w:type="dxa"/>
            <w:shd w:val="clear" w:color="auto" w:fill="auto"/>
            <w:vAlign w:val="center"/>
          </w:tcPr>
          <w:p>
            <w:pPr>
              <w:widowControl/>
              <w:jc w:val="center"/>
              <w:rPr>
                <w:rFonts w:ascii="Times New Roman" w:hAnsi="Times New Roman" w:eastAsia="仿宋_GB2312" w:cs="Times New Roman"/>
                <w:kern w:val="0"/>
                <w:szCs w:val="21"/>
              </w:rPr>
            </w:pP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27</w:t>
            </w:r>
          </w:p>
        </w:tc>
        <w:tc>
          <w:tcPr>
            <w:tcW w:w="1880"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b/>
                <w:bCs/>
                <w:kern w:val="0"/>
                <w:szCs w:val="21"/>
              </w:rPr>
              <w:t>　</w:t>
            </w:r>
          </w:p>
        </w:tc>
        <w:tc>
          <w:tcPr>
            <w:tcW w:w="1660"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b/>
                <w:bCs/>
                <w:kern w:val="0"/>
                <w:szCs w:val="21"/>
              </w:rPr>
              <w:t>　</w:t>
            </w:r>
          </w:p>
        </w:tc>
        <w:tc>
          <w:tcPr>
            <w:tcW w:w="1572"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总计</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14</w:t>
            </w:r>
          </w:p>
        </w:tc>
        <w:tc>
          <w:tcPr>
            <w:tcW w:w="1880" w:type="dxa"/>
            <w:shd w:val="clear" w:color="auto" w:fill="auto"/>
            <w:vAlign w:val="center"/>
          </w:tcPr>
          <w:p>
            <w:pPr>
              <w:widowControl/>
              <w:jc w:val="center"/>
              <w:rPr>
                <w:rFonts w:hint="eastAsia" w:ascii="宋体" w:hAnsi="宋体" w:eastAsia="宋体" w:cs="宋体"/>
                <w:i w:val="0"/>
                <w:color w:val="000000"/>
                <w:kern w:val="2"/>
                <w:sz w:val="22"/>
                <w:szCs w:val="22"/>
                <w:u w:val="none"/>
                <w:lang w:val="en-US" w:eastAsia="zh-CN" w:bidi="ar-SA"/>
              </w:rPr>
            </w:pPr>
            <w:r>
              <w:rPr>
                <w:rFonts w:hint="eastAsia" w:ascii="Times New Roman" w:hAnsi="Times New Roman" w:eastAsia="仿宋_GB2312" w:cs="Times New Roman"/>
                <w:kern w:val="0"/>
                <w:szCs w:val="21"/>
              </w:rPr>
              <w:t>188.39</w:t>
            </w:r>
          </w:p>
        </w:tc>
        <w:tc>
          <w:tcPr>
            <w:tcW w:w="3761" w:type="dxa"/>
            <w:shd w:val="clear" w:color="auto" w:fill="auto"/>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总计</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28</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eastAsia="zh-CN"/>
              </w:rPr>
              <w:t>188.39</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eastAsia="zh-CN"/>
              </w:rPr>
              <w:t>188.39</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b/>
                <w:bCs/>
                <w:kern w:val="0"/>
                <w:szCs w:val="21"/>
              </w:rPr>
            </w:pPr>
          </w:p>
        </w:tc>
      </w:tr>
    </w:tbl>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注：本表反映部门本年度一般公共预算财政拨款和政府性基金预算财政拨款的总收支和年末结转结余情况。</w:t>
      </w:r>
    </w:p>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br w:type="page"/>
      </w:r>
    </w:p>
    <w:p>
      <w:pPr>
        <w:widowControl/>
        <w:jc w:val="center"/>
        <w:rPr>
          <w:rFonts w:ascii="Times New Roman" w:hAnsi="Times New Roman" w:eastAsia="方正小标宋_GBK" w:cs="Times New Roman"/>
          <w:kern w:val="0"/>
          <w:sz w:val="36"/>
          <w:szCs w:val="36"/>
        </w:rPr>
      </w:pPr>
      <w:bookmarkStart w:id="0" w:name="RANGE!A1:F16"/>
      <w:r>
        <w:rPr>
          <w:rFonts w:ascii="Times New Roman" w:hAnsi="Times New Roman" w:eastAsia="方正小标宋_GBK" w:cs="Times New Roman"/>
          <w:kern w:val="0"/>
          <w:sz w:val="36"/>
          <w:szCs w:val="36"/>
        </w:rPr>
        <w:t>一般公共预算财政拨款支出决算表</w:t>
      </w:r>
      <w:bookmarkEnd w:id="0"/>
    </w:p>
    <w:p>
      <w:pPr>
        <w:widowControl/>
        <w:spacing w:before="156" w:beforeLines="50"/>
        <w:jc w:val="left"/>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lang w:eastAsia="zh-CN"/>
        </w:rPr>
        <w:t>零陵区重点办</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公开05表</w:t>
      </w:r>
    </w:p>
    <w:p>
      <w:pPr>
        <w:widowControl/>
        <w:jc w:val="left"/>
        <w:rPr>
          <w:rFonts w:ascii="Times New Roman" w:hAnsi="Times New Roman" w:eastAsia="宋体" w:cs="Times New Roman"/>
          <w:color w:val="000000"/>
          <w:kern w:val="0"/>
          <w:sz w:val="20"/>
          <w:szCs w:val="20"/>
        </w:rPr>
      </w:pP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单位：万元</w:t>
      </w:r>
    </w:p>
    <w:tbl>
      <w:tblPr>
        <w:tblStyle w:val="6"/>
        <w:tblW w:w="14219" w:type="dxa"/>
        <w:jc w:val="center"/>
        <w:tblLayout w:type="fixed"/>
        <w:tblCellMar>
          <w:top w:w="0" w:type="dxa"/>
          <w:left w:w="108" w:type="dxa"/>
          <w:bottom w:w="0" w:type="dxa"/>
          <w:right w:w="108" w:type="dxa"/>
        </w:tblCellMar>
      </w:tblPr>
      <w:tblGrid>
        <w:gridCol w:w="1200"/>
        <w:gridCol w:w="4073"/>
        <w:gridCol w:w="2955"/>
        <w:gridCol w:w="3375"/>
        <w:gridCol w:w="2616"/>
      </w:tblGrid>
      <w:tr>
        <w:tblPrEx>
          <w:tblCellMar>
            <w:top w:w="0" w:type="dxa"/>
            <w:left w:w="108" w:type="dxa"/>
            <w:bottom w:w="0" w:type="dxa"/>
            <w:right w:w="108" w:type="dxa"/>
          </w:tblCellMar>
        </w:tblPrEx>
        <w:trPr>
          <w:trHeight w:val="405" w:hRule="atLeast"/>
          <w:jc w:val="center"/>
        </w:trPr>
        <w:tc>
          <w:tcPr>
            <w:tcW w:w="5273" w:type="dxa"/>
            <w:gridSpan w:val="2"/>
            <w:tcBorders>
              <w:top w:val="single" w:color="auto" w:sz="8"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项 </w:t>
            </w:r>
            <w:r>
              <w:rPr>
                <w:rFonts w:ascii="Times New Roman" w:hAnsi="Times New Roman" w:eastAsia="仿宋_GB2312" w:cs="Times New Roman"/>
                <w:b/>
                <w:color w:val="000000"/>
                <w:kern w:val="0"/>
                <w:szCs w:val="21"/>
              </w:rPr>
              <w:t xml:space="preserve">   </w:t>
            </w:r>
            <w:r>
              <w:rPr>
                <w:rFonts w:ascii="Times New Roman" w:hAnsi="Times New Roman" w:eastAsia="仿宋_GB2312" w:cs="Times New Roman"/>
                <w:b/>
                <w:kern w:val="0"/>
                <w:szCs w:val="21"/>
              </w:rPr>
              <w:t>目</w:t>
            </w:r>
          </w:p>
        </w:tc>
        <w:tc>
          <w:tcPr>
            <w:tcW w:w="8946" w:type="dxa"/>
            <w:gridSpan w:val="3"/>
            <w:tcBorders>
              <w:top w:val="single" w:color="auto" w:sz="8" w:space="0"/>
              <w:left w:val="nil"/>
              <w:bottom w:val="single" w:color="auto" w:sz="4" w:space="0"/>
              <w:right w:val="single" w:color="000000" w:sz="8"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本年支出</w:t>
            </w:r>
          </w:p>
        </w:tc>
      </w:tr>
      <w:tr>
        <w:tblPrEx>
          <w:tblCellMar>
            <w:top w:w="0" w:type="dxa"/>
            <w:left w:w="108" w:type="dxa"/>
            <w:bottom w:w="0" w:type="dxa"/>
            <w:right w:w="108" w:type="dxa"/>
          </w:tblCellMar>
        </w:tblPrEx>
        <w:trPr>
          <w:trHeight w:val="495" w:hRule="atLeast"/>
          <w:jc w:val="center"/>
        </w:trPr>
        <w:tc>
          <w:tcPr>
            <w:tcW w:w="1200" w:type="dxa"/>
            <w:vMerge w:val="restart"/>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功能分类科目编码</w:t>
            </w:r>
          </w:p>
        </w:tc>
        <w:tc>
          <w:tcPr>
            <w:tcW w:w="4073"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科目名称</w:t>
            </w:r>
          </w:p>
        </w:tc>
        <w:tc>
          <w:tcPr>
            <w:tcW w:w="2955"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小计</w:t>
            </w:r>
          </w:p>
        </w:tc>
        <w:tc>
          <w:tcPr>
            <w:tcW w:w="3375"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基本支出</w:t>
            </w:r>
          </w:p>
        </w:tc>
        <w:tc>
          <w:tcPr>
            <w:tcW w:w="2616" w:type="dxa"/>
            <w:vMerge w:val="restart"/>
            <w:tcBorders>
              <w:top w:val="nil"/>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项目支出</w:t>
            </w:r>
          </w:p>
        </w:tc>
      </w:tr>
      <w:tr>
        <w:tblPrEx>
          <w:tblCellMar>
            <w:top w:w="0" w:type="dxa"/>
            <w:left w:w="108" w:type="dxa"/>
            <w:bottom w:w="0" w:type="dxa"/>
            <w:right w:w="108" w:type="dxa"/>
          </w:tblCellMar>
        </w:tblPrEx>
        <w:trPr>
          <w:trHeight w:val="36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4073"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955"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375"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616"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rPr>
          <w:trHeight w:val="45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4073"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955"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375"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616"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5273"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2955"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375"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2616"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r>
      <w:tr>
        <w:tblPrEx>
          <w:tblCellMar>
            <w:top w:w="0" w:type="dxa"/>
            <w:left w:w="108" w:type="dxa"/>
            <w:bottom w:w="0" w:type="dxa"/>
            <w:right w:w="108" w:type="dxa"/>
          </w:tblCellMar>
        </w:tblPrEx>
        <w:trPr>
          <w:trHeight w:val="450" w:hRule="atLeast"/>
          <w:jc w:val="center"/>
        </w:trPr>
        <w:tc>
          <w:tcPr>
            <w:tcW w:w="5273"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188.39</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188.39</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一般公共服务支出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176.73</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176.73</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20103</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政府办公厅（室）及相关机构事务</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92.00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92.00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2010301</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行政运行</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92.00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92.00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发展与改革事务</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84.73</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84.73</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2010401</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行政运行</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74.73</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74.73</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2010499</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其他发展与改革事务支出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社会保障和就业支出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行政事业单位离退休</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2080505</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机关事业单位基本养老保险缴费支出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4.67</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211</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节能环保支出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21103</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污染防治</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2110399</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其他污染防治支出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645" w:hRule="atLeast"/>
          <w:jc w:val="center"/>
        </w:trPr>
        <w:tc>
          <w:tcPr>
            <w:tcW w:w="14219" w:type="dxa"/>
            <w:gridSpan w:val="5"/>
            <w:tcBorders>
              <w:top w:val="nil"/>
              <w:left w:val="nil"/>
              <w:bottom w:val="nil"/>
              <w:right w:val="nil"/>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注：本表反映部门本年度一般公共预算财政拨款支出情况。</w:t>
            </w:r>
          </w:p>
        </w:tc>
      </w:tr>
    </w:tbl>
    <w:p>
      <w:pPr>
        <w:widowControl/>
        <w:jc w:val="left"/>
        <w:rPr>
          <w:rFonts w:ascii="Times New Roman" w:hAnsi="Times New Roman" w:eastAsia="仿宋_GB2312" w:cs="Times New Roman"/>
          <w:bCs/>
          <w:kern w:val="0"/>
          <w:szCs w:val="21"/>
        </w:rPr>
      </w:pPr>
    </w:p>
    <w:p>
      <w:pPr>
        <w:widowControl/>
        <w:jc w:val="center"/>
        <w:rPr>
          <w:rFonts w:ascii="Times New Roman" w:hAnsi="Times New Roman" w:eastAsia="方正小标宋_GBK" w:cs="Times New Roman"/>
          <w:color w:val="000000"/>
          <w:kern w:val="0"/>
          <w:sz w:val="28"/>
          <w:szCs w:val="36"/>
        </w:rPr>
      </w:pPr>
      <w:bookmarkStart w:id="1" w:name="RANGE!A1:I39"/>
      <w:r>
        <w:rPr>
          <w:rFonts w:ascii="Times New Roman" w:hAnsi="Times New Roman" w:eastAsia="方正小标宋_GBK" w:cs="Times New Roman"/>
          <w:color w:val="000000"/>
          <w:kern w:val="0"/>
          <w:sz w:val="28"/>
          <w:szCs w:val="36"/>
        </w:rPr>
        <w:t>一般公共预算财政拨款基本支出决算表</w:t>
      </w:r>
      <w:bookmarkEnd w:id="1"/>
    </w:p>
    <w:p>
      <w:pPr>
        <w:widowControl/>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lang w:eastAsia="zh-CN"/>
        </w:rPr>
        <w:t>零陵区重点办</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公开06表</w:t>
      </w:r>
    </w:p>
    <w:p>
      <w:pPr>
        <w:widowControl/>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6"/>
        <w:tblW w:w="15900" w:type="dxa"/>
        <w:tblInd w:w="93" w:type="dxa"/>
        <w:tblLayout w:type="fixed"/>
        <w:tblCellMar>
          <w:top w:w="0" w:type="dxa"/>
          <w:left w:w="108" w:type="dxa"/>
          <w:bottom w:w="0" w:type="dxa"/>
          <w:right w:w="108" w:type="dxa"/>
        </w:tblCellMar>
      </w:tblPr>
      <w:tblGrid>
        <w:gridCol w:w="1149"/>
        <w:gridCol w:w="2763"/>
        <w:gridCol w:w="1290"/>
        <w:gridCol w:w="1095"/>
        <w:gridCol w:w="2010"/>
        <w:gridCol w:w="1267"/>
        <w:gridCol w:w="1076"/>
        <w:gridCol w:w="3972"/>
        <w:gridCol w:w="1278"/>
      </w:tblGrid>
      <w:tr>
        <w:tblPrEx>
          <w:tblCellMar>
            <w:top w:w="0" w:type="dxa"/>
            <w:left w:w="108" w:type="dxa"/>
            <w:bottom w:w="0" w:type="dxa"/>
            <w:right w:w="108" w:type="dxa"/>
          </w:tblCellMar>
        </w:tblPrEx>
        <w:trPr>
          <w:trHeight w:val="585" w:hRule="atLeas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2763"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290"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095"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2010"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267"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07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3972"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278"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w:t>
            </w:r>
          </w:p>
        </w:tc>
        <w:tc>
          <w:tcPr>
            <w:tcW w:w="2763"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工资福利支出</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41.05</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w:t>
            </w:r>
          </w:p>
        </w:tc>
        <w:tc>
          <w:tcPr>
            <w:tcW w:w="2010"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商品和服务支出</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43.51</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w:t>
            </w:r>
          </w:p>
        </w:tc>
        <w:tc>
          <w:tcPr>
            <w:tcW w:w="3972"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债务利息及费用支出</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30101</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基本工资</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7.22</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30201</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办公费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15.12</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30701</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国内债务付息</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30102</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津贴补贴</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15.36</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30202</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印刷费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15.00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30702</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国外债务付息</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30103</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奖金</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30203</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咨询费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w:t>
            </w:r>
          </w:p>
        </w:tc>
        <w:tc>
          <w:tcPr>
            <w:tcW w:w="3972"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资本性支出</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30106</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伙食补助费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1.31</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30204</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手续费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31001</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房屋建筑物购建</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30107</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绩效工资</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12.49</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30205</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水费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31002</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办公设备购置</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30108</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机关事业单位基本养老保险费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4.26</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30206</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电费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31003</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专用设备购置</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30109</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职业年金缴费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30207</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邮电费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0.17</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31005</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基础设施建设</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30110</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职工基本医疗保险缴费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0.37</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30208</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取暖费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31006</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大型修缮</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30111</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公务员医疗补助缴费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30209</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物业管理费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31007</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信息网络及软件购置更新</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30112</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其他社会保障缴费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0.04</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30211</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差旅费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31008</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物资储备</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30113</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住房公积金</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30212</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因公出国（境）费用</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31009</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土地补偿</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30114</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医疗费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30213</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维修（护）费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31010</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安置补助</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30199</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其他工资福利支出</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30214</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租赁费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31011</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地上附着物和青苗补偿</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w:t>
            </w:r>
          </w:p>
        </w:tc>
        <w:tc>
          <w:tcPr>
            <w:tcW w:w="2763"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对个人和家庭的补助</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103.83</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30215</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会议费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31012</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拆迁补偿</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30301</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离休费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30216</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培训费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31013</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公务用车购置</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30302</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退休费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30217</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公务接待费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31019</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其他交通工具购置</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30303</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退职（役）费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30218</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专用材料费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31021</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文物和陈列品购置</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30304</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抚恤金</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30224</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被装购置费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31022</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无形资产购置</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30305</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生活补助</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30225</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专用燃料费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31099</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其他资本性支出</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30306</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救济费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30226</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劳务费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0.06</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w:t>
            </w:r>
          </w:p>
        </w:tc>
        <w:tc>
          <w:tcPr>
            <w:tcW w:w="3972"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其他支出</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30307</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医疗费补助</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30227</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委托业务费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39906</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赠与</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30308</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助学金</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30228</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工会经费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39907</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国家赔偿费用支出</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30309</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奖励金</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103.83</w:t>
            </w:r>
          </w:p>
        </w:tc>
        <w:tc>
          <w:tcPr>
            <w:tcW w:w="1095"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30229</w:t>
            </w:r>
          </w:p>
        </w:tc>
        <w:tc>
          <w:tcPr>
            <w:tcW w:w="2010"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福利费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39908</w:t>
            </w:r>
          </w:p>
        </w:tc>
        <w:tc>
          <w:tcPr>
            <w:tcW w:w="3972"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对民间非营利组织和群众性自治组织补贴</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30310</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个人农业生产补贴</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30231</w:t>
            </w:r>
          </w:p>
        </w:tc>
        <w:tc>
          <w:tcPr>
            <w:tcW w:w="2010"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公务用车运行维护费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39999</w:t>
            </w:r>
          </w:p>
        </w:tc>
        <w:tc>
          <w:tcPr>
            <w:tcW w:w="3972"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其他支出</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30399</w:t>
            </w:r>
          </w:p>
        </w:tc>
        <w:tc>
          <w:tcPr>
            <w:tcW w:w="2763" w:type="dxa"/>
            <w:tcBorders>
              <w:top w:val="single" w:color="auto" w:sz="8" w:space="0"/>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对其他个人和家庭的补助支出</w:t>
            </w:r>
          </w:p>
        </w:tc>
        <w:tc>
          <w:tcPr>
            <w:tcW w:w="1290" w:type="dxa"/>
            <w:tcBorders>
              <w:top w:val="single" w:color="auto" w:sz="8" w:space="0"/>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single" w:color="auto" w:sz="8" w:space="0"/>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30239</w:t>
            </w:r>
          </w:p>
        </w:tc>
        <w:tc>
          <w:tcPr>
            <w:tcW w:w="2010" w:type="dxa"/>
            <w:tcBorders>
              <w:top w:val="single" w:color="auto" w:sz="8" w:space="0"/>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其他交通费用</w:t>
            </w:r>
          </w:p>
        </w:tc>
        <w:tc>
          <w:tcPr>
            <w:tcW w:w="1267" w:type="dxa"/>
            <w:tcBorders>
              <w:top w:val="single" w:color="auto" w:sz="8" w:space="0"/>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1.05</w:t>
            </w:r>
          </w:p>
        </w:tc>
        <w:tc>
          <w:tcPr>
            <w:tcW w:w="1076" w:type="dxa"/>
            <w:tcBorders>
              <w:top w:val="single" w:color="auto" w:sz="8" w:space="0"/>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3972" w:type="dxa"/>
            <w:tcBorders>
              <w:top w:val="single" w:color="auto" w:sz="8" w:space="0"/>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78" w:type="dxa"/>
            <w:tcBorders>
              <w:top w:val="single" w:color="auto" w:sz="8" w:space="0"/>
              <w:left w:val="nil"/>
              <w:bottom w:val="single" w:color="auto" w:sz="8" w:space="0"/>
              <w:right w:val="single" w:color="auto" w:sz="8" w:space="0"/>
            </w:tcBorders>
            <w:shd w:val="clear" w:color="auto" w:fill="auto"/>
            <w:vAlign w:val="center"/>
          </w:tcPr>
          <w:p>
            <w:pPr>
              <w:jc w:val="righ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290" w:type="dxa"/>
            <w:tcBorders>
              <w:top w:val="nil"/>
              <w:left w:val="nil"/>
              <w:bottom w:val="single" w:color="auto" w:sz="8" w:space="0"/>
              <w:right w:val="single" w:color="auto" w:sz="8" w:space="0"/>
            </w:tcBorders>
            <w:shd w:val="clear" w:color="auto" w:fill="auto"/>
            <w:vAlign w:val="center"/>
          </w:tcPr>
          <w:p>
            <w:pPr>
              <w:jc w:val="right"/>
              <w:rPr>
                <w:rFonts w:ascii="Times New Roman" w:hAnsi="Times New Roman" w:eastAsia="宋体" w:cs="Times New Roman"/>
                <w:color w:val="000000"/>
                <w:kern w:val="0"/>
                <w:sz w:val="18"/>
                <w:szCs w:val="18"/>
              </w:rPr>
            </w:pPr>
          </w:p>
        </w:tc>
        <w:tc>
          <w:tcPr>
            <w:tcW w:w="1095"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30240</w:t>
            </w:r>
          </w:p>
        </w:tc>
        <w:tc>
          <w:tcPr>
            <w:tcW w:w="2010"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税金及附加费用</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3972"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78" w:type="dxa"/>
            <w:tcBorders>
              <w:top w:val="nil"/>
              <w:left w:val="nil"/>
              <w:bottom w:val="single" w:color="auto" w:sz="8" w:space="0"/>
              <w:right w:val="single" w:color="auto" w:sz="8" w:space="0"/>
            </w:tcBorders>
            <w:shd w:val="clear" w:color="auto" w:fill="auto"/>
            <w:vAlign w:val="center"/>
          </w:tcPr>
          <w:p>
            <w:pPr>
              <w:jc w:val="righ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290" w:type="dxa"/>
            <w:tcBorders>
              <w:top w:val="nil"/>
              <w:left w:val="nil"/>
              <w:bottom w:val="single" w:color="auto" w:sz="8" w:space="0"/>
              <w:right w:val="single" w:color="auto" w:sz="8" w:space="0"/>
            </w:tcBorders>
            <w:shd w:val="clear" w:color="auto" w:fill="auto"/>
            <w:vAlign w:val="center"/>
          </w:tcPr>
          <w:p>
            <w:pPr>
              <w:jc w:val="right"/>
              <w:rPr>
                <w:rFonts w:ascii="Times New Roman" w:hAnsi="Times New Roman" w:eastAsia="宋体" w:cs="Times New Roman"/>
                <w:color w:val="000000"/>
                <w:kern w:val="0"/>
                <w:sz w:val="18"/>
                <w:szCs w:val="18"/>
              </w:rPr>
            </w:pPr>
          </w:p>
        </w:tc>
        <w:tc>
          <w:tcPr>
            <w:tcW w:w="1095"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30299</w:t>
            </w:r>
          </w:p>
        </w:tc>
        <w:tc>
          <w:tcPr>
            <w:tcW w:w="2010"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其他商品和服务支出</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12.12</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3972"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78" w:type="dxa"/>
            <w:tcBorders>
              <w:top w:val="nil"/>
              <w:left w:val="nil"/>
              <w:bottom w:val="single" w:color="auto" w:sz="8" w:space="0"/>
              <w:right w:val="single" w:color="auto" w:sz="8" w:space="0"/>
            </w:tcBorders>
            <w:shd w:val="clear" w:color="auto" w:fill="auto"/>
            <w:vAlign w:val="center"/>
          </w:tcPr>
          <w:p>
            <w:pPr>
              <w:jc w:val="righ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255" w:hRule="exact"/>
        </w:trPr>
        <w:tc>
          <w:tcPr>
            <w:tcW w:w="3912" w:type="dxa"/>
            <w:gridSpan w:val="2"/>
            <w:tcBorders>
              <w:top w:val="nil"/>
              <w:left w:val="single" w:color="auto" w:sz="8" w:space="0"/>
              <w:bottom w:val="single" w:color="auto" w:sz="8" w:space="0"/>
              <w:right w:val="single" w:color="auto" w:sz="8" w:space="0"/>
            </w:tcBorders>
            <w:shd w:val="clear" w:color="auto" w:fill="auto"/>
          </w:tcPr>
          <w:p>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人员经费合计</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144.88</w:t>
            </w:r>
          </w:p>
        </w:tc>
        <w:tc>
          <w:tcPr>
            <w:tcW w:w="9420" w:type="dxa"/>
            <w:gridSpan w:val="5"/>
            <w:tcBorders>
              <w:top w:val="nil"/>
              <w:left w:val="nil"/>
              <w:bottom w:val="single" w:color="auto" w:sz="8" w:space="0"/>
              <w:right w:val="single" w:color="auto" w:sz="8" w:space="0"/>
            </w:tcBorders>
            <w:shd w:val="clear" w:color="auto" w:fill="auto"/>
          </w:tcPr>
          <w:p>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公用经费合计</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43.51</w:t>
            </w:r>
          </w:p>
        </w:tc>
      </w:tr>
    </w:tbl>
    <w:p>
      <w:pPr>
        <w:widowControl/>
        <w:jc w:val="left"/>
        <w:rPr>
          <w:rFonts w:ascii="黑体" w:hAnsi="黑体" w:eastAsia="黑体"/>
          <w:szCs w:val="21"/>
        </w:rPr>
      </w:pPr>
      <w:r>
        <w:rPr>
          <w:rFonts w:hint="eastAsia" w:ascii="黑体" w:hAnsi="黑体" w:eastAsia="黑体"/>
          <w:szCs w:val="21"/>
        </w:rPr>
        <w:t>注：本表反映部门年度一般公共预算财政拨款基本支出明细情况。</w:t>
      </w:r>
      <w:r>
        <w:rPr>
          <w:rFonts w:ascii="黑体" w:hAnsi="黑体" w:eastAsia="黑体"/>
          <w:szCs w:val="21"/>
        </w:rPr>
        <w:br w:type="page"/>
      </w:r>
    </w:p>
    <w:p>
      <w:pPr>
        <w:widowControl/>
        <w:jc w:val="center"/>
        <w:rPr>
          <w:rFonts w:ascii="Times New Roman" w:hAnsi="Times New Roman" w:eastAsia="方正小标宋_GBK" w:cs="Times New Roman"/>
          <w:color w:val="000000"/>
          <w:kern w:val="0"/>
          <w:sz w:val="36"/>
          <w:szCs w:val="36"/>
        </w:rPr>
      </w:pPr>
      <w:r>
        <w:rPr>
          <w:rFonts w:hint="eastAsia" w:ascii="Times New Roman" w:hAnsi="Times New Roman" w:eastAsia="方正小标宋_GBK" w:cs="Times New Roman"/>
          <w:color w:val="000000"/>
          <w:kern w:val="0"/>
          <w:sz w:val="36"/>
          <w:szCs w:val="36"/>
        </w:rPr>
        <w:t>一般公共预算财政拨款“三公”经费支出决算表</w:t>
      </w:r>
    </w:p>
    <w:p>
      <w:pPr>
        <w:widowControl/>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 xml:space="preserve">部门：    </w:t>
      </w:r>
      <w:r>
        <w:rPr>
          <w:rFonts w:hint="eastAsia" w:ascii="Times New Roman" w:hAnsi="Times New Roman" w:eastAsia="仿宋_GB2312" w:cs="Times New Roman"/>
          <w:color w:val="000000"/>
          <w:kern w:val="0"/>
          <w:szCs w:val="21"/>
          <w:lang w:eastAsia="zh-CN"/>
        </w:rPr>
        <w:t>零陵区重点办</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lang w:val="en-US" w:eastAsia="zh-CN"/>
        </w:rPr>
        <w:t xml:space="preserve">   </w:t>
      </w:r>
      <w:r>
        <w:rPr>
          <w:rFonts w:ascii="Times New Roman" w:hAnsi="Times New Roman" w:eastAsia="仿宋_GB2312" w:cs="Times New Roman"/>
          <w:color w:val="000000"/>
          <w:kern w:val="0"/>
          <w:szCs w:val="21"/>
        </w:rPr>
        <w:t xml:space="preserve">   公开0</w:t>
      </w:r>
      <w:r>
        <w:rPr>
          <w:rFonts w:hint="eastAsia" w:ascii="Times New Roman" w:hAnsi="Times New Roman" w:eastAsia="仿宋_GB2312" w:cs="Times New Roman"/>
          <w:color w:val="000000"/>
          <w:kern w:val="0"/>
          <w:szCs w:val="21"/>
        </w:rPr>
        <w:t>7</w:t>
      </w:r>
      <w:r>
        <w:rPr>
          <w:rFonts w:ascii="Times New Roman" w:hAnsi="Times New Roman" w:eastAsia="仿宋_GB2312" w:cs="Times New Roman"/>
          <w:color w:val="000000"/>
          <w:kern w:val="0"/>
          <w:szCs w:val="21"/>
        </w:rPr>
        <w:t>表</w:t>
      </w:r>
    </w:p>
    <w:p>
      <w:pPr>
        <w:widowControl/>
        <w:ind w:right="420"/>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6"/>
        <w:tblW w:w="14640" w:type="dxa"/>
        <w:jc w:val="center"/>
        <w:tblLayout w:type="fixed"/>
        <w:tblCellMar>
          <w:top w:w="0" w:type="dxa"/>
          <w:left w:w="108" w:type="dxa"/>
          <w:bottom w:w="0" w:type="dxa"/>
          <w:right w:w="108" w:type="dxa"/>
        </w:tblCellMar>
      </w:tblPr>
      <w:tblGrid>
        <w:gridCol w:w="1220"/>
        <w:gridCol w:w="1220"/>
        <w:gridCol w:w="1220"/>
        <w:gridCol w:w="1220"/>
        <w:gridCol w:w="1220"/>
        <w:gridCol w:w="1220"/>
        <w:gridCol w:w="1220"/>
        <w:gridCol w:w="1220"/>
        <w:gridCol w:w="1220"/>
        <w:gridCol w:w="1220"/>
        <w:gridCol w:w="1220"/>
        <w:gridCol w:w="1220"/>
      </w:tblGrid>
      <w:tr>
        <w:tblPrEx>
          <w:tblCellMar>
            <w:top w:w="0" w:type="dxa"/>
            <w:left w:w="108" w:type="dxa"/>
            <w:bottom w:w="0" w:type="dxa"/>
            <w:right w:w="108" w:type="dxa"/>
          </w:tblCellMar>
        </w:tblPrEx>
        <w:trPr>
          <w:trHeight w:val="397" w:hRule="atLeast"/>
          <w:jc w:val="center"/>
        </w:trPr>
        <w:tc>
          <w:tcPr>
            <w:tcW w:w="7320" w:type="dxa"/>
            <w:gridSpan w:val="6"/>
            <w:tcBorders>
              <w:top w:val="single" w:color="auto" w:sz="8" w:space="0"/>
              <w:left w:val="single" w:color="auto" w:sz="8" w:space="0"/>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预算数</w:t>
            </w:r>
          </w:p>
        </w:tc>
        <w:tc>
          <w:tcPr>
            <w:tcW w:w="7320" w:type="dxa"/>
            <w:gridSpan w:val="6"/>
            <w:tcBorders>
              <w:top w:val="single" w:color="auto" w:sz="8" w:space="0"/>
              <w:left w:val="nil"/>
              <w:bottom w:val="single" w:color="auto" w:sz="4" w:space="0"/>
              <w:right w:val="single" w:color="000000"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决算数</w:t>
            </w:r>
          </w:p>
        </w:tc>
      </w:tr>
      <w:tr>
        <w:tblPrEx>
          <w:tblCellMar>
            <w:top w:w="0" w:type="dxa"/>
            <w:left w:w="108" w:type="dxa"/>
            <w:bottom w:w="0" w:type="dxa"/>
            <w:right w:w="108" w:type="dxa"/>
          </w:tblCellMar>
        </w:tblPrEx>
        <w:trPr>
          <w:trHeight w:val="397" w:hRule="atLeast"/>
          <w:jc w:val="center"/>
        </w:trPr>
        <w:tc>
          <w:tcPr>
            <w:tcW w:w="1220" w:type="dxa"/>
            <w:vMerge w:val="restart"/>
            <w:tcBorders>
              <w:top w:val="nil"/>
              <w:left w:val="single" w:color="auto" w:sz="8"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2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因公出国（境）费</w:t>
            </w:r>
          </w:p>
        </w:tc>
        <w:tc>
          <w:tcPr>
            <w:tcW w:w="3660" w:type="dxa"/>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公务用车购置及运行费</w:t>
            </w:r>
          </w:p>
        </w:tc>
        <w:tc>
          <w:tcPr>
            <w:tcW w:w="12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w:t>
            </w:r>
          </w:p>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接待费</w:t>
            </w:r>
          </w:p>
        </w:tc>
        <w:tc>
          <w:tcPr>
            <w:tcW w:w="1220" w:type="dxa"/>
            <w:vMerge w:val="restart"/>
            <w:tcBorders>
              <w:top w:val="nil"/>
              <w:left w:val="nil"/>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2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因公出国（境）费</w:t>
            </w:r>
          </w:p>
        </w:tc>
        <w:tc>
          <w:tcPr>
            <w:tcW w:w="3660" w:type="dxa"/>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公务用车购置及运行费</w:t>
            </w:r>
          </w:p>
        </w:tc>
        <w:tc>
          <w:tcPr>
            <w:tcW w:w="1220" w:type="dxa"/>
            <w:vMerge w:val="restart"/>
            <w:tcBorders>
              <w:top w:val="nil"/>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w:t>
            </w:r>
          </w:p>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接待费</w:t>
            </w:r>
          </w:p>
        </w:tc>
      </w:tr>
      <w:tr>
        <w:tblPrEx>
          <w:tblCellMar>
            <w:top w:w="0" w:type="dxa"/>
            <w:left w:w="108" w:type="dxa"/>
            <w:bottom w:w="0" w:type="dxa"/>
            <w:right w:w="108" w:type="dxa"/>
          </w:tblCellMar>
        </w:tblPrEx>
        <w:trPr>
          <w:trHeight w:val="397" w:hRule="atLeast"/>
          <w:jc w:val="center"/>
        </w:trPr>
        <w:tc>
          <w:tcPr>
            <w:tcW w:w="1220" w:type="dxa"/>
            <w:vMerge w:val="continue"/>
            <w:tcBorders>
              <w:top w:val="nil"/>
              <w:left w:val="single" w:color="auto" w:sz="8"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小计</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购置费</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运行费</w:t>
            </w:r>
          </w:p>
        </w:tc>
        <w:tc>
          <w:tcPr>
            <w:tcW w:w="122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vMerge w:val="continue"/>
            <w:tcBorders>
              <w:top w:val="nil"/>
              <w:left w:val="nil"/>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小计</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购置费</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运行费</w:t>
            </w:r>
          </w:p>
        </w:tc>
        <w:tc>
          <w:tcPr>
            <w:tcW w:w="1220"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220"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r>
      <w:tr>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8" w:space="0"/>
              <w:right w:val="single" w:color="auto" w:sz="4" w:space="0"/>
            </w:tcBorders>
            <w:shd w:val="clear" w:color="auto" w:fill="auto"/>
            <w:vAlign w:val="center"/>
          </w:tcPr>
          <w:p>
            <w:pPr>
              <w:jc w:val="right"/>
              <w:rPr>
                <w:rFonts w:ascii="Times New Roman" w:hAnsi="Times New Roman" w:eastAsia="仿宋_GB2312" w:cs="Times New Roman"/>
                <w:kern w:val="0"/>
                <w:szCs w:val="21"/>
              </w:rPr>
            </w:pPr>
          </w:p>
        </w:tc>
        <w:tc>
          <w:tcPr>
            <w:tcW w:w="1220" w:type="dxa"/>
            <w:tcBorders>
              <w:top w:val="nil"/>
              <w:left w:val="nil"/>
              <w:bottom w:val="single" w:color="auto" w:sz="8" w:space="0"/>
              <w:right w:val="single" w:color="auto" w:sz="4" w:space="0"/>
            </w:tcBorders>
            <w:shd w:val="clear" w:color="auto" w:fill="auto"/>
            <w:vAlign w:val="center"/>
          </w:tcPr>
          <w:p>
            <w:pPr>
              <w:jc w:val="right"/>
              <w:rPr>
                <w:rFonts w:ascii="Times New Roman" w:hAnsi="Times New Roman" w:eastAsia="仿宋_GB2312" w:cs="Times New Roman"/>
                <w:kern w:val="0"/>
                <w:szCs w:val="21"/>
              </w:rPr>
            </w:pPr>
          </w:p>
        </w:tc>
        <w:tc>
          <w:tcPr>
            <w:tcW w:w="1220" w:type="dxa"/>
            <w:tcBorders>
              <w:top w:val="nil"/>
              <w:left w:val="nil"/>
              <w:bottom w:val="single" w:color="auto" w:sz="8" w:space="0"/>
              <w:right w:val="single" w:color="auto" w:sz="4" w:space="0"/>
            </w:tcBorders>
            <w:shd w:val="clear" w:color="auto" w:fill="auto"/>
            <w:vAlign w:val="center"/>
          </w:tcPr>
          <w:p>
            <w:pPr>
              <w:jc w:val="right"/>
              <w:rPr>
                <w:rFonts w:ascii="Times New Roman" w:hAnsi="Times New Roman" w:eastAsia="仿宋_GB2312" w:cs="Times New Roman"/>
                <w:kern w:val="0"/>
                <w:szCs w:val="21"/>
              </w:rPr>
            </w:pPr>
          </w:p>
        </w:tc>
        <w:tc>
          <w:tcPr>
            <w:tcW w:w="1220" w:type="dxa"/>
            <w:tcBorders>
              <w:top w:val="nil"/>
              <w:left w:val="nil"/>
              <w:bottom w:val="single" w:color="auto" w:sz="8" w:space="0"/>
              <w:right w:val="single" w:color="auto" w:sz="4" w:space="0"/>
            </w:tcBorders>
            <w:shd w:val="clear" w:color="auto" w:fill="auto"/>
            <w:vAlign w:val="center"/>
          </w:tcPr>
          <w:p>
            <w:pPr>
              <w:jc w:val="right"/>
              <w:rPr>
                <w:rFonts w:ascii="Times New Roman" w:hAnsi="Times New Roman" w:eastAsia="仿宋_GB2312" w:cs="Times New Roman"/>
                <w:kern w:val="0"/>
                <w:szCs w:val="21"/>
              </w:rPr>
            </w:pPr>
          </w:p>
        </w:tc>
        <w:tc>
          <w:tcPr>
            <w:tcW w:w="1220" w:type="dxa"/>
            <w:tcBorders>
              <w:top w:val="nil"/>
              <w:left w:val="nil"/>
              <w:bottom w:val="single" w:color="auto" w:sz="8" w:space="0"/>
              <w:right w:val="single" w:color="auto" w:sz="4" w:space="0"/>
            </w:tcBorders>
            <w:shd w:val="clear" w:color="auto" w:fill="auto"/>
            <w:vAlign w:val="center"/>
          </w:tcPr>
          <w:p>
            <w:pPr>
              <w:jc w:val="right"/>
              <w:rPr>
                <w:rFonts w:ascii="Times New Roman" w:hAnsi="Times New Roman" w:eastAsia="仿宋_GB2312" w:cs="Times New Roman"/>
                <w:kern w:val="0"/>
                <w:szCs w:val="21"/>
              </w:rPr>
            </w:pPr>
          </w:p>
        </w:tc>
        <w:tc>
          <w:tcPr>
            <w:tcW w:w="1220" w:type="dxa"/>
            <w:tcBorders>
              <w:top w:val="nil"/>
              <w:left w:val="nil"/>
              <w:bottom w:val="single" w:color="auto" w:sz="8" w:space="0"/>
              <w:right w:val="single" w:color="auto" w:sz="4" w:space="0"/>
            </w:tcBorders>
            <w:shd w:val="clear" w:color="auto" w:fill="auto"/>
            <w:vAlign w:val="center"/>
          </w:tcPr>
          <w:p>
            <w:pPr>
              <w:jc w:val="right"/>
              <w:rPr>
                <w:rFonts w:ascii="Times New Roman" w:hAnsi="Times New Roman" w:eastAsia="仿宋_GB2312" w:cs="Times New Roman"/>
                <w:kern w:val="0"/>
                <w:szCs w:val="21"/>
              </w:rPr>
            </w:pPr>
          </w:p>
        </w:tc>
        <w:tc>
          <w:tcPr>
            <w:tcW w:w="1220" w:type="dxa"/>
            <w:tcBorders>
              <w:top w:val="nil"/>
              <w:left w:val="nil"/>
              <w:bottom w:val="single" w:color="auto" w:sz="8" w:space="0"/>
              <w:right w:val="single" w:color="auto" w:sz="4" w:space="0"/>
            </w:tcBorders>
            <w:shd w:val="clear" w:color="auto" w:fill="auto"/>
            <w:vAlign w:val="center"/>
          </w:tcPr>
          <w:p>
            <w:pPr>
              <w:jc w:val="right"/>
              <w:rPr>
                <w:rFonts w:ascii="Times New Roman" w:hAnsi="Times New Roman" w:eastAsia="仿宋_GB2312" w:cs="Times New Roman"/>
                <w:kern w:val="0"/>
                <w:szCs w:val="21"/>
              </w:rPr>
            </w:pPr>
          </w:p>
        </w:tc>
        <w:tc>
          <w:tcPr>
            <w:tcW w:w="1220" w:type="dxa"/>
            <w:tcBorders>
              <w:top w:val="nil"/>
              <w:left w:val="nil"/>
              <w:bottom w:val="single" w:color="auto" w:sz="8" w:space="0"/>
              <w:right w:val="single" w:color="auto" w:sz="4" w:space="0"/>
            </w:tcBorders>
            <w:shd w:val="clear" w:color="auto" w:fill="auto"/>
            <w:vAlign w:val="center"/>
          </w:tcPr>
          <w:p>
            <w:pPr>
              <w:jc w:val="right"/>
              <w:rPr>
                <w:rFonts w:ascii="Times New Roman" w:hAnsi="Times New Roman" w:eastAsia="仿宋_GB2312" w:cs="Times New Roman"/>
                <w:kern w:val="0"/>
                <w:szCs w:val="21"/>
              </w:rPr>
            </w:pPr>
          </w:p>
        </w:tc>
        <w:tc>
          <w:tcPr>
            <w:tcW w:w="1220" w:type="dxa"/>
            <w:tcBorders>
              <w:top w:val="nil"/>
              <w:left w:val="nil"/>
              <w:bottom w:val="single" w:color="auto" w:sz="8" w:space="0"/>
              <w:right w:val="single" w:color="auto" w:sz="4" w:space="0"/>
            </w:tcBorders>
            <w:shd w:val="clear" w:color="auto" w:fill="auto"/>
            <w:vAlign w:val="center"/>
          </w:tcPr>
          <w:p>
            <w:pPr>
              <w:jc w:val="right"/>
              <w:rPr>
                <w:rFonts w:ascii="Times New Roman" w:hAnsi="Times New Roman" w:eastAsia="仿宋_GB2312" w:cs="Times New Roman"/>
                <w:kern w:val="0"/>
                <w:szCs w:val="21"/>
              </w:rPr>
            </w:pPr>
          </w:p>
        </w:tc>
        <w:tc>
          <w:tcPr>
            <w:tcW w:w="1220" w:type="dxa"/>
            <w:tcBorders>
              <w:top w:val="nil"/>
              <w:left w:val="nil"/>
              <w:bottom w:val="single" w:color="auto" w:sz="8" w:space="0"/>
              <w:right w:val="single" w:color="auto" w:sz="4" w:space="0"/>
            </w:tcBorders>
            <w:shd w:val="clear" w:color="auto" w:fill="auto"/>
            <w:vAlign w:val="center"/>
          </w:tcPr>
          <w:p>
            <w:pPr>
              <w:jc w:val="right"/>
              <w:rPr>
                <w:rFonts w:ascii="Times New Roman" w:hAnsi="Times New Roman" w:eastAsia="仿宋_GB2312" w:cs="Times New Roman"/>
                <w:kern w:val="0"/>
                <w:szCs w:val="21"/>
              </w:rPr>
            </w:pPr>
          </w:p>
        </w:tc>
        <w:tc>
          <w:tcPr>
            <w:tcW w:w="1220" w:type="dxa"/>
            <w:tcBorders>
              <w:top w:val="nil"/>
              <w:left w:val="nil"/>
              <w:bottom w:val="single" w:color="auto" w:sz="8" w:space="0"/>
              <w:right w:val="nil"/>
            </w:tcBorders>
            <w:shd w:val="clear" w:color="auto" w:fill="auto"/>
            <w:vAlign w:val="center"/>
          </w:tcPr>
          <w:p>
            <w:pPr>
              <w:jc w:val="right"/>
              <w:rPr>
                <w:rFonts w:ascii="Times New Roman" w:hAnsi="Times New Roman" w:eastAsia="仿宋_GB2312" w:cs="Times New Roman"/>
                <w:kern w:val="0"/>
                <w:szCs w:val="21"/>
              </w:rPr>
            </w:pPr>
          </w:p>
        </w:tc>
        <w:tc>
          <w:tcPr>
            <w:tcW w:w="1220" w:type="dxa"/>
            <w:tcBorders>
              <w:top w:val="nil"/>
              <w:left w:val="single" w:color="auto" w:sz="4" w:space="0"/>
              <w:bottom w:val="single" w:color="auto" w:sz="8" w:space="0"/>
              <w:right w:val="single" w:color="auto" w:sz="8" w:space="0"/>
            </w:tcBorders>
            <w:shd w:val="clear" w:color="auto" w:fill="auto"/>
            <w:vAlign w:val="center"/>
          </w:tcPr>
          <w:p>
            <w:pPr>
              <w:jc w:val="right"/>
              <w:rPr>
                <w:rFonts w:ascii="Times New Roman" w:hAnsi="Times New Roman" w:eastAsia="仿宋_GB2312" w:cs="Times New Roman"/>
                <w:kern w:val="0"/>
                <w:szCs w:val="21"/>
              </w:rPr>
            </w:pPr>
          </w:p>
        </w:tc>
      </w:tr>
    </w:tbl>
    <w:p>
      <w:pPr>
        <w:autoSpaceDE w:val="0"/>
        <w:autoSpaceDN w:val="0"/>
        <w:adjustRightInd w:val="0"/>
        <w:ind w:left="315" w:leftChars="150"/>
        <w:jc w:val="left"/>
        <w:rPr>
          <w:rFonts w:ascii="宋体" w:eastAsia="宋体" w:cs="宋体"/>
          <w:kern w:val="0"/>
          <w:sz w:val="24"/>
          <w:szCs w:val="24"/>
        </w:rPr>
      </w:pPr>
      <w:r>
        <w:rPr>
          <w:rFonts w:hint="eastAsia" w:ascii="宋体" w:eastAsia="宋体" w:cs="宋体"/>
          <w:kern w:val="0"/>
          <w:sz w:val="24"/>
          <w:szCs w:val="24"/>
        </w:rPr>
        <w:t>注：本表反映部门本年度“三公”经费支出预决算情况。其中，预算数为“三公”经费全年预算数，反映按规定程序调整后的预算数；决算数是包括当年一般公共预算财政拨款和以前年度结转资金安排的实际支出。</w:t>
      </w:r>
    </w:p>
    <w:p>
      <w:pPr>
        <w:widowControl/>
        <w:jc w:val="left"/>
        <w:rPr>
          <w:rFonts w:ascii="宋体" w:eastAsia="宋体" w:cs="宋体"/>
          <w:kern w:val="0"/>
          <w:sz w:val="24"/>
          <w:szCs w:val="24"/>
        </w:rPr>
      </w:pPr>
      <w:r>
        <w:rPr>
          <w:rFonts w:ascii="宋体" w:eastAsia="宋体" w:cs="宋体"/>
          <w:kern w:val="0"/>
          <w:sz w:val="24"/>
          <w:szCs w:val="24"/>
        </w:rPr>
        <w:br w:type="page"/>
      </w:r>
    </w:p>
    <w:p>
      <w:pPr>
        <w:autoSpaceDE w:val="0"/>
        <w:autoSpaceDN w:val="0"/>
        <w:adjustRightInd w:val="0"/>
        <w:ind w:left="315" w:leftChars="150"/>
        <w:jc w:val="left"/>
        <w:rPr>
          <w:rFonts w:ascii="宋体" w:eastAsia="宋体" w:cs="宋体"/>
          <w:kern w:val="0"/>
          <w:sz w:val="24"/>
          <w:szCs w:val="24"/>
        </w:rPr>
      </w:pPr>
    </w:p>
    <w:p>
      <w:pPr>
        <w:widowControl/>
        <w:jc w:val="center"/>
        <w:rPr>
          <w:rFonts w:ascii="Times New Roman" w:hAnsi="Times New Roman" w:eastAsia="方正小标宋_GBK" w:cs="Times New Roman"/>
          <w:kern w:val="0"/>
          <w:sz w:val="36"/>
          <w:szCs w:val="36"/>
        </w:rPr>
      </w:pPr>
      <w:r>
        <w:rPr>
          <w:rFonts w:ascii="Times New Roman" w:hAnsi="Times New Roman" w:eastAsia="方正小标宋_GBK" w:cs="Times New Roman"/>
          <w:kern w:val="0"/>
          <w:sz w:val="36"/>
          <w:szCs w:val="36"/>
        </w:rPr>
        <w:t>政府性基金预算财政拨款收入支出决算表</w:t>
      </w:r>
    </w:p>
    <w:p>
      <w:pPr>
        <w:widowControl/>
        <w:wordWrap w:val="0"/>
        <w:jc w:val="right"/>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lang w:val="en-US" w:eastAsia="zh-CN"/>
        </w:rPr>
        <w:t xml:space="preserve">  </w:t>
      </w: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lang w:eastAsia="zh-CN"/>
        </w:rPr>
        <w:t>：零陵区发改局</w:t>
      </w:r>
      <w:r>
        <w:rPr>
          <w:rFonts w:ascii="Times New Roman" w:hAnsi="Times New Roman" w:eastAsia="仿宋_GB2312" w:cs="Times New Roman"/>
          <w:color w:val="000000"/>
          <w:kern w:val="0"/>
          <w:szCs w:val="21"/>
        </w:rPr>
        <w:t xml:space="preserve">                                                                                                                  公开08表</w:t>
      </w:r>
    </w:p>
    <w:p>
      <w:pPr>
        <w:widowControl/>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6"/>
        <w:tblW w:w="1444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20"/>
        <w:gridCol w:w="1833"/>
        <w:gridCol w:w="1905"/>
        <w:gridCol w:w="2130"/>
        <w:gridCol w:w="1920"/>
        <w:gridCol w:w="1905"/>
        <w:gridCol w:w="1890"/>
        <w:gridCol w:w="1737"/>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953" w:type="dxa"/>
            <w:gridSpan w:val="2"/>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项 </w:t>
            </w:r>
            <w:r>
              <w:rPr>
                <w:rFonts w:ascii="Times New Roman" w:hAnsi="Times New Roman" w:eastAsia="仿宋_GB2312" w:cs="Times New Roman"/>
                <w:b/>
                <w:color w:val="000000"/>
                <w:kern w:val="0"/>
                <w:szCs w:val="21"/>
              </w:rPr>
              <w:t xml:space="preserve">   </w:t>
            </w:r>
            <w:r>
              <w:rPr>
                <w:rFonts w:ascii="Times New Roman" w:hAnsi="Times New Roman" w:eastAsia="仿宋_GB2312" w:cs="Times New Roman"/>
                <w:b/>
                <w:kern w:val="0"/>
                <w:szCs w:val="21"/>
              </w:rPr>
              <w:t>目</w:t>
            </w:r>
          </w:p>
        </w:tc>
        <w:tc>
          <w:tcPr>
            <w:tcW w:w="1905"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年初结转和结余</w:t>
            </w:r>
          </w:p>
        </w:tc>
        <w:tc>
          <w:tcPr>
            <w:tcW w:w="213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本年收入</w:t>
            </w:r>
          </w:p>
        </w:tc>
        <w:tc>
          <w:tcPr>
            <w:tcW w:w="5715" w:type="dxa"/>
            <w:gridSpan w:val="3"/>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本年支出</w:t>
            </w:r>
          </w:p>
        </w:tc>
        <w:tc>
          <w:tcPr>
            <w:tcW w:w="1737"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年末结转和结余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功能分类科目编码</w:t>
            </w:r>
          </w:p>
        </w:tc>
        <w:tc>
          <w:tcPr>
            <w:tcW w:w="1833"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科目名称</w:t>
            </w:r>
          </w:p>
        </w:tc>
        <w:tc>
          <w:tcPr>
            <w:tcW w:w="1905" w:type="dxa"/>
            <w:vMerge w:val="continue"/>
            <w:vAlign w:val="center"/>
          </w:tcPr>
          <w:p>
            <w:pPr>
              <w:widowControl/>
              <w:jc w:val="left"/>
              <w:rPr>
                <w:rFonts w:ascii="Times New Roman" w:hAnsi="Times New Roman" w:eastAsia="仿宋_GB2312" w:cs="Times New Roman"/>
                <w:b/>
                <w:kern w:val="0"/>
                <w:szCs w:val="21"/>
              </w:rPr>
            </w:pPr>
          </w:p>
        </w:tc>
        <w:tc>
          <w:tcPr>
            <w:tcW w:w="2130" w:type="dxa"/>
            <w:vMerge w:val="continue"/>
            <w:vAlign w:val="center"/>
          </w:tcPr>
          <w:p>
            <w:pPr>
              <w:widowControl/>
              <w:jc w:val="left"/>
              <w:rPr>
                <w:rFonts w:ascii="Times New Roman" w:hAnsi="Times New Roman" w:eastAsia="仿宋_GB2312" w:cs="Times New Roman"/>
                <w:b/>
                <w:kern w:val="0"/>
                <w:szCs w:val="21"/>
              </w:rPr>
            </w:pPr>
          </w:p>
        </w:tc>
        <w:tc>
          <w:tcPr>
            <w:tcW w:w="192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小计</w:t>
            </w:r>
          </w:p>
        </w:tc>
        <w:tc>
          <w:tcPr>
            <w:tcW w:w="1905"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基本支出  </w:t>
            </w:r>
          </w:p>
        </w:tc>
        <w:tc>
          <w:tcPr>
            <w:tcW w:w="189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项目支出</w:t>
            </w:r>
          </w:p>
        </w:tc>
        <w:tc>
          <w:tcPr>
            <w:tcW w:w="1737" w:type="dxa"/>
            <w:vMerge w:val="continue"/>
            <w:vAlign w:val="center"/>
          </w:tcPr>
          <w:p>
            <w:pPr>
              <w:widowControl/>
              <w:jc w:val="left"/>
              <w:rPr>
                <w:rFonts w:ascii="Times New Roman" w:hAnsi="Times New Roman" w:eastAsia="仿宋_GB2312" w:cs="Times New Roman"/>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continue"/>
            <w:vAlign w:val="center"/>
          </w:tcPr>
          <w:p>
            <w:pPr>
              <w:widowControl/>
              <w:jc w:val="left"/>
              <w:rPr>
                <w:rFonts w:ascii="Times New Roman" w:hAnsi="Times New Roman" w:eastAsia="仿宋_GB2312" w:cs="Times New Roman"/>
                <w:kern w:val="0"/>
                <w:szCs w:val="21"/>
              </w:rPr>
            </w:pPr>
          </w:p>
        </w:tc>
        <w:tc>
          <w:tcPr>
            <w:tcW w:w="1833" w:type="dxa"/>
            <w:vMerge w:val="continue"/>
            <w:vAlign w:val="center"/>
          </w:tcPr>
          <w:p>
            <w:pPr>
              <w:widowControl/>
              <w:jc w:val="left"/>
              <w:rPr>
                <w:rFonts w:ascii="Times New Roman" w:hAnsi="Times New Roman" w:eastAsia="仿宋_GB2312" w:cs="Times New Roman"/>
                <w:kern w:val="0"/>
                <w:szCs w:val="21"/>
              </w:rPr>
            </w:pPr>
          </w:p>
        </w:tc>
        <w:tc>
          <w:tcPr>
            <w:tcW w:w="1905" w:type="dxa"/>
            <w:vMerge w:val="continue"/>
            <w:vAlign w:val="center"/>
          </w:tcPr>
          <w:p>
            <w:pPr>
              <w:widowControl/>
              <w:jc w:val="left"/>
              <w:rPr>
                <w:rFonts w:ascii="Times New Roman" w:hAnsi="Times New Roman" w:eastAsia="仿宋_GB2312" w:cs="Times New Roman"/>
                <w:kern w:val="0"/>
                <w:szCs w:val="21"/>
              </w:rPr>
            </w:pPr>
          </w:p>
        </w:tc>
        <w:tc>
          <w:tcPr>
            <w:tcW w:w="2130" w:type="dxa"/>
            <w:vMerge w:val="continue"/>
            <w:vAlign w:val="center"/>
          </w:tcPr>
          <w:p>
            <w:pPr>
              <w:widowControl/>
              <w:jc w:val="left"/>
              <w:rPr>
                <w:rFonts w:ascii="Times New Roman" w:hAnsi="Times New Roman" w:eastAsia="仿宋_GB2312" w:cs="Times New Roman"/>
                <w:kern w:val="0"/>
                <w:szCs w:val="21"/>
              </w:rPr>
            </w:pPr>
          </w:p>
        </w:tc>
        <w:tc>
          <w:tcPr>
            <w:tcW w:w="1920" w:type="dxa"/>
            <w:vMerge w:val="continue"/>
            <w:vAlign w:val="center"/>
          </w:tcPr>
          <w:p>
            <w:pPr>
              <w:widowControl/>
              <w:jc w:val="left"/>
              <w:rPr>
                <w:rFonts w:ascii="Times New Roman" w:hAnsi="Times New Roman" w:eastAsia="仿宋_GB2312" w:cs="Times New Roman"/>
                <w:kern w:val="0"/>
                <w:szCs w:val="21"/>
              </w:rPr>
            </w:pPr>
          </w:p>
        </w:tc>
        <w:tc>
          <w:tcPr>
            <w:tcW w:w="1905" w:type="dxa"/>
            <w:vMerge w:val="continue"/>
            <w:vAlign w:val="center"/>
          </w:tcPr>
          <w:p>
            <w:pPr>
              <w:widowControl/>
              <w:jc w:val="left"/>
              <w:rPr>
                <w:rFonts w:ascii="Times New Roman" w:hAnsi="Times New Roman" w:eastAsia="仿宋_GB2312" w:cs="Times New Roman"/>
                <w:kern w:val="0"/>
                <w:szCs w:val="21"/>
              </w:rPr>
            </w:pPr>
          </w:p>
        </w:tc>
        <w:tc>
          <w:tcPr>
            <w:tcW w:w="1890" w:type="dxa"/>
            <w:vMerge w:val="continue"/>
            <w:vAlign w:val="center"/>
          </w:tcPr>
          <w:p>
            <w:pPr>
              <w:widowControl/>
              <w:jc w:val="left"/>
              <w:rPr>
                <w:rFonts w:ascii="Times New Roman" w:hAnsi="Times New Roman" w:eastAsia="仿宋_GB2312" w:cs="Times New Roman"/>
                <w:kern w:val="0"/>
                <w:szCs w:val="21"/>
              </w:rPr>
            </w:pPr>
          </w:p>
        </w:tc>
        <w:tc>
          <w:tcPr>
            <w:tcW w:w="1737" w:type="dxa"/>
            <w:vMerge w:val="continue"/>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continue"/>
            <w:vAlign w:val="center"/>
          </w:tcPr>
          <w:p>
            <w:pPr>
              <w:widowControl/>
              <w:jc w:val="left"/>
              <w:rPr>
                <w:rFonts w:ascii="Times New Roman" w:hAnsi="Times New Roman" w:eastAsia="仿宋_GB2312" w:cs="Times New Roman"/>
                <w:kern w:val="0"/>
                <w:szCs w:val="21"/>
              </w:rPr>
            </w:pPr>
          </w:p>
        </w:tc>
        <w:tc>
          <w:tcPr>
            <w:tcW w:w="1833" w:type="dxa"/>
            <w:vMerge w:val="continue"/>
            <w:vAlign w:val="center"/>
          </w:tcPr>
          <w:p>
            <w:pPr>
              <w:widowControl/>
              <w:jc w:val="left"/>
              <w:rPr>
                <w:rFonts w:ascii="Times New Roman" w:hAnsi="Times New Roman" w:eastAsia="仿宋_GB2312" w:cs="Times New Roman"/>
                <w:kern w:val="0"/>
                <w:szCs w:val="21"/>
              </w:rPr>
            </w:pPr>
          </w:p>
        </w:tc>
        <w:tc>
          <w:tcPr>
            <w:tcW w:w="1905" w:type="dxa"/>
            <w:vMerge w:val="continue"/>
            <w:vAlign w:val="center"/>
          </w:tcPr>
          <w:p>
            <w:pPr>
              <w:widowControl/>
              <w:jc w:val="left"/>
              <w:rPr>
                <w:rFonts w:ascii="Times New Roman" w:hAnsi="Times New Roman" w:eastAsia="仿宋_GB2312" w:cs="Times New Roman"/>
                <w:kern w:val="0"/>
                <w:szCs w:val="21"/>
              </w:rPr>
            </w:pPr>
          </w:p>
        </w:tc>
        <w:tc>
          <w:tcPr>
            <w:tcW w:w="2130" w:type="dxa"/>
            <w:vMerge w:val="continue"/>
            <w:vAlign w:val="center"/>
          </w:tcPr>
          <w:p>
            <w:pPr>
              <w:widowControl/>
              <w:jc w:val="left"/>
              <w:rPr>
                <w:rFonts w:ascii="Times New Roman" w:hAnsi="Times New Roman" w:eastAsia="仿宋_GB2312" w:cs="Times New Roman"/>
                <w:kern w:val="0"/>
                <w:szCs w:val="21"/>
              </w:rPr>
            </w:pPr>
          </w:p>
        </w:tc>
        <w:tc>
          <w:tcPr>
            <w:tcW w:w="1920" w:type="dxa"/>
            <w:vMerge w:val="continue"/>
            <w:vAlign w:val="center"/>
          </w:tcPr>
          <w:p>
            <w:pPr>
              <w:widowControl/>
              <w:jc w:val="left"/>
              <w:rPr>
                <w:rFonts w:ascii="Times New Roman" w:hAnsi="Times New Roman" w:eastAsia="仿宋_GB2312" w:cs="Times New Roman"/>
                <w:kern w:val="0"/>
                <w:szCs w:val="21"/>
              </w:rPr>
            </w:pPr>
          </w:p>
        </w:tc>
        <w:tc>
          <w:tcPr>
            <w:tcW w:w="1905" w:type="dxa"/>
            <w:vMerge w:val="continue"/>
            <w:vAlign w:val="center"/>
          </w:tcPr>
          <w:p>
            <w:pPr>
              <w:widowControl/>
              <w:jc w:val="left"/>
              <w:rPr>
                <w:rFonts w:ascii="Times New Roman" w:hAnsi="Times New Roman" w:eastAsia="仿宋_GB2312" w:cs="Times New Roman"/>
                <w:kern w:val="0"/>
                <w:szCs w:val="21"/>
              </w:rPr>
            </w:pPr>
          </w:p>
        </w:tc>
        <w:tc>
          <w:tcPr>
            <w:tcW w:w="1890" w:type="dxa"/>
            <w:vMerge w:val="continue"/>
            <w:vAlign w:val="center"/>
          </w:tcPr>
          <w:p>
            <w:pPr>
              <w:widowControl/>
              <w:jc w:val="left"/>
              <w:rPr>
                <w:rFonts w:ascii="Times New Roman" w:hAnsi="Times New Roman" w:eastAsia="仿宋_GB2312" w:cs="Times New Roman"/>
                <w:kern w:val="0"/>
                <w:szCs w:val="21"/>
              </w:rPr>
            </w:pPr>
          </w:p>
        </w:tc>
        <w:tc>
          <w:tcPr>
            <w:tcW w:w="1737" w:type="dxa"/>
            <w:vMerge w:val="continue"/>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953"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905"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21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9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905"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89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737"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953"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90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p>
        </w:tc>
        <w:tc>
          <w:tcPr>
            <w:tcW w:w="213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p>
        </w:tc>
        <w:tc>
          <w:tcPr>
            <w:tcW w:w="192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p>
        </w:tc>
        <w:tc>
          <w:tcPr>
            <w:tcW w:w="190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p>
        </w:tc>
        <w:tc>
          <w:tcPr>
            <w:tcW w:w="189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p>
        </w:tc>
        <w:tc>
          <w:tcPr>
            <w:tcW w:w="1737"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jc w:val="left"/>
              <w:rPr>
                <w:rFonts w:ascii="Times New Roman" w:hAnsi="Times New Roman" w:eastAsia="仿宋_GB2312" w:cs="Times New Roman"/>
                <w:kern w:val="0"/>
                <w:szCs w:val="21"/>
              </w:rPr>
            </w:pPr>
          </w:p>
        </w:tc>
        <w:tc>
          <w:tcPr>
            <w:tcW w:w="1833" w:type="dxa"/>
            <w:shd w:val="clear" w:color="auto" w:fill="auto"/>
            <w:vAlign w:val="center"/>
          </w:tcPr>
          <w:p>
            <w:pPr>
              <w:jc w:val="left"/>
              <w:rPr>
                <w:rFonts w:ascii="Times New Roman" w:hAnsi="Times New Roman" w:eastAsia="仿宋_GB2312" w:cs="Times New Roman"/>
                <w:kern w:val="0"/>
                <w:szCs w:val="21"/>
              </w:rPr>
            </w:pPr>
          </w:p>
        </w:tc>
        <w:tc>
          <w:tcPr>
            <w:tcW w:w="1905" w:type="dxa"/>
            <w:shd w:val="clear" w:color="auto" w:fill="auto"/>
            <w:vAlign w:val="center"/>
          </w:tcPr>
          <w:p>
            <w:pPr>
              <w:jc w:val="right"/>
              <w:rPr>
                <w:rFonts w:ascii="Times New Roman" w:hAnsi="Times New Roman" w:eastAsia="仿宋_GB2312" w:cs="Times New Roman"/>
                <w:kern w:val="0"/>
                <w:szCs w:val="21"/>
              </w:rPr>
            </w:pPr>
          </w:p>
        </w:tc>
        <w:tc>
          <w:tcPr>
            <w:tcW w:w="2130" w:type="dxa"/>
            <w:shd w:val="clear" w:color="auto" w:fill="auto"/>
            <w:vAlign w:val="center"/>
          </w:tcPr>
          <w:p>
            <w:pPr>
              <w:jc w:val="right"/>
              <w:rPr>
                <w:rFonts w:ascii="Times New Roman" w:hAnsi="Times New Roman" w:eastAsia="仿宋_GB2312" w:cs="Times New Roman"/>
                <w:kern w:val="0"/>
                <w:szCs w:val="21"/>
              </w:rPr>
            </w:pPr>
          </w:p>
        </w:tc>
        <w:tc>
          <w:tcPr>
            <w:tcW w:w="1920" w:type="dxa"/>
            <w:shd w:val="clear" w:color="auto" w:fill="auto"/>
            <w:vAlign w:val="center"/>
          </w:tcPr>
          <w:p>
            <w:pPr>
              <w:jc w:val="right"/>
              <w:rPr>
                <w:rFonts w:ascii="Times New Roman" w:hAnsi="Times New Roman" w:eastAsia="仿宋_GB2312" w:cs="Times New Roman"/>
                <w:kern w:val="0"/>
                <w:szCs w:val="21"/>
              </w:rPr>
            </w:pPr>
          </w:p>
        </w:tc>
        <w:tc>
          <w:tcPr>
            <w:tcW w:w="1905" w:type="dxa"/>
            <w:shd w:val="clear" w:color="auto" w:fill="auto"/>
            <w:vAlign w:val="center"/>
          </w:tcPr>
          <w:p>
            <w:pPr>
              <w:jc w:val="right"/>
              <w:rPr>
                <w:rFonts w:ascii="Times New Roman" w:hAnsi="Times New Roman" w:eastAsia="仿宋_GB2312" w:cs="Times New Roman"/>
                <w:kern w:val="0"/>
                <w:szCs w:val="21"/>
              </w:rPr>
            </w:pPr>
          </w:p>
        </w:tc>
        <w:tc>
          <w:tcPr>
            <w:tcW w:w="1890" w:type="dxa"/>
            <w:shd w:val="clear" w:color="auto" w:fill="auto"/>
            <w:vAlign w:val="center"/>
          </w:tcPr>
          <w:p>
            <w:pPr>
              <w:jc w:val="right"/>
              <w:rPr>
                <w:rFonts w:ascii="Times New Roman" w:hAnsi="Times New Roman" w:eastAsia="仿宋_GB2312" w:cs="Times New Roman"/>
                <w:kern w:val="0"/>
                <w:szCs w:val="21"/>
              </w:rPr>
            </w:pPr>
          </w:p>
        </w:tc>
        <w:tc>
          <w:tcPr>
            <w:tcW w:w="1737" w:type="dxa"/>
            <w:shd w:val="clear" w:color="auto" w:fill="auto"/>
            <w:vAlign w:val="center"/>
          </w:tcPr>
          <w:p>
            <w:pPr>
              <w:jc w:val="righ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jc w:val="left"/>
              <w:rPr>
                <w:rFonts w:ascii="Times New Roman" w:hAnsi="Times New Roman" w:eastAsia="仿宋_GB2312" w:cs="Times New Roman"/>
                <w:kern w:val="0"/>
                <w:szCs w:val="21"/>
              </w:rPr>
            </w:pPr>
          </w:p>
        </w:tc>
        <w:tc>
          <w:tcPr>
            <w:tcW w:w="1833" w:type="dxa"/>
            <w:shd w:val="clear" w:color="auto" w:fill="auto"/>
            <w:vAlign w:val="center"/>
          </w:tcPr>
          <w:p>
            <w:pPr>
              <w:jc w:val="left"/>
              <w:rPr>
                <w:rFonts w:ascii="Times New Roman" w:hAnsi="Times New Roman" w:eastAsia="仿宋_GB2312" w:cs="Times New Roman"/>
                <w:kern w:val="0"/>
                <w:szCs w:val="21"/>
              </w:rPr>
            </w:pPr>
          </w:p>
        </w:tc>
        <w:tc>
          <w:tcPr>
            <w:tcW w:w="1905" w:type="dxa"/>
            <w:shd w:val="clear" w:color="auto" w:fill="auto"/>
            <w:vAlign w:val="center"/>
          </w:tcPr>
          <w:p>
            <w:pPr>
              <w:jc w:val="right"/>
              <w:rPr>
                <w:rFonts w:ascii="Times New Roman" w:hAnsi="Times New Roman" w:eastAsia="仿宋_GB2312" w:cs="Times New Roman"/>
                <w:kern w:val="0"/>
                <w:szCs w:val="21"/>
              </w:rPr>
            </w:pPr>
          </w:p>
        </w:tc>
        <w:tc>
          <w:tcPr>
            <w:tcW w:w="2130" w:type="dxa"/>
            <w:shd w:val="clear" w:color="auto" w:fill="auto"/>
            <w:vAlign w:val="center"/>
          </w:tcPr>
          <w:p>
            <w:pPr>
              <w:jc w:val="right"/>
              <w:rPr>
                <w:rFonts w:ascii="Times New Roman" w:hAnsi="Times New Roman" w:eastAsia="仿宋_GB2312" w:cs="Times New Roman"/>
                <w:kern w:val="0"/>
                <w:szCs w:val="21"/>
              </w:rPr>
            </w:pPr>
          </w:p>
        </w:tc>
        <w:tc>
          <w:tcPr>
            <w:tcW w:w="1920" w:type="dxa"/>
            <w:shd w:val="clear" w:color="auto" w:fill="auto"/>
            <w:vAlign w:val="center"/>
          </w:tcPr>
          <w:p>
            <w:pPr>
              <w:jc w:val="right"/>
              <w:rPr>
                <w:rFonts w:ascii="Times New Roman" w:hAnsi="Times New Roman" w:eastAsia="仿宋_GB2312" w:cs="Times New Roman"/>
                <w:kern w:val="0"/>
                <w:szCs w:val="21"/>
              </w:rPr>
            </w:pPr>
          </w:p>
        </w:tc>
        <w:tc>
          <w:tcPr>
            <w:tcW w:w="1905" w:type="dxa"/>
            <w:shd w:val="clear" w:color="auto" w:fill="auto"/>
            <w:vAlign w:val="center"/>
          </w:tcPr>
          <w:p>
            <w:pPr>
              <w:jc w:val="right"/>
              <w:rPr>
                <w:rFonts w:ascii="Times New Roman" w:hAnsi="Times New Roman" w:eastAsia="仿宋_GB2312" w:cs="Times New Roman"/>
                <w:kern w:val="0"/>
                <w:szCs w:val="21"/>
              </w:rPr>
            </w:pPr>
          </w:p>
        </w:tc>
        <w:tc>
          <w:tcPr>
            <w:tcW w:w="1890" w:type="dxa"/>
            <w:shd w:val="clear" w:color="auto" w:fill="auto"/>
            <w:vAlign w:val="center"/>
          </w:tcPr>
          <w:p>
            <w:pPr>
              <w:jc w:val="right"/>
              <w:rPr>
                <w:rFonts w:ascii="Times New Roman" w:hAnsi="Times New Roman" w:eastAsia="仿宋_GB2312" w:cs="Times New Roman"/>
                <w:kern w:val="0"/>
                <w:szCs w:val="21"/>
              </w:rPr>
            </w:pPr>
          </w:p>
        </w:tc>
        <w:tc>
          <w:tcPr>
            <w:tcW w:w="1737" w:type="dxa"/>
            <w:shd w:val="clear" w:color="auto" w:fill="auto"/>
            <w:vAlign w:val="center"/>
          </w:tcPr>
          <w:p>
            <w:pPr>
              <w:jc w:val="righ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jc w:val="left"/>
              <w:rPr>
                <w:rFonts w:ascii="Times New Roman" w:hAnsi="Times New Roman" w:eastAsia="仿宋_GB2312" w:cs="Times New Roman"/>
                <w:kern w:val="0"/>
                <w:szCs w:val="21"/>
              </w:rPr>
            </w:pPr>
          </w:p>
        </w:tc>
        <w:tc>
          <w:tcPr>
            <w:tcW w:w="1833" w:type="dxa"/>
            <w:shd w:val="clear" w:color="auto" w:fill="auto"/>
            <w:vAlign w:val="center"/>
          </w:tcPr>
          <w:p>
            <w:pPr>
              <w:jc w:val="left"/>
              <w:rPr>
                <w:rFonts w:ascii="Times New Roman" w:hAnsi="Times New Roman" w:eastAsia="仿宋_GB2312" w:cs="Times New Roman"/>
                <w:kern w:val="0"/>
                <w:szCs w:val="21"/>
              </w:rPr>
            </w:pPr>
          </w:p>
        </w:tc>
        <w:tc>
          <w:tcPr>
            <w:tcW w:w="1905" w:type="dxa"/>
            <w:shd w:val="clear" w:color="auto" w:fill="auto"/>
            <w:vAlign w:val="center"/>
          </w:tcPr>
          <w:p>
            <w:pPr>
              <w:jc w:val="right"/>
              <w:rPr>
                <w:rFonts w:ascii="Times New Roman" w:hAnsi="Times New Roman" w:eastAsia="仿宋_GB2312" w:cs="Times New Roman"/>
                <w:kern w:val="0"/>
                <w:szCs w:val="21"/>
              </w:rPr>
            </w:pPr>
          </w:p>
        </w:tc>
        <w:tc>
          <w:tcPr>
            <w:tcW w:w="2130" w:type="dxa"/>
            <w:shd w:val="clear" w:color="auto" w:fill="auto"/>
            <w:vAlign w:val="center"/>
          </w:tcPr>
          <w:p>
            <w:pPr>
              <w:jc w:val="right"/>
              <w:rPr>
                <w:rFonts w:ascii="Times New Roman" w:hAnsi="Times New Roman" w:eastAsia="仿宋_GB2312" w:cs="Times New Roman"/>
                <w:kern w:val="0"/>
                <w:szCs w:val="21"/>
              </w:rPr>
            </w:pPr>
          </w:p>
        </w:tc>
        <w:tc>
          <w:tcPr>
            <w:tcW w:w="1920" w:type="dxa"/>
            <w:shd w:val="clear" w:color="auto" w:fill="auto"/>
            <w:vAlign w:val="center"/>
          </w:tcPr>
          <w:p>
            <w:pPr>
              <w:jc w:val="right"/>
              <w:rPr>
                <w:rFonts w:ascii="Times New Roman" w:hAnsi="Times New Roman" w:eastAsia="仿宋_GB2312" w:cs="Times New Roman"/>
                <w:kern w:val="0"/>
                <w:szCs w:val="21"/>
              </w:rPr>
            </w:pPr>
          </w:p>
        </w:tc>
        <w:tc>
          <w:tcPr>
            <w:tcW w:w="1905" w:type="dxa"/>
            <w:shd w:val="clear" w:color="auto" w:fill="auto"/>
            <w:vAlign w:val="center"/>
          </w:tcPr>
          <w:p>
            <w:pPr>
              <w:jc w:val="right"/>
              <w:rPr>
                <w:rFonts w:ascii="Times New Roman" w:hAnsi="Times New Roman" w:eastAsia="仿宋_GB2312" w:cs="Times New Roman"/>
                <w:kern w:val="0"/>
                <w:szCs w:val="21"/>
              </w:rPr>
            </w:pPr>
          </w:p>
        </w:tc>
        <w:tc>
          <w:tcPr>
            <w:tcW w:w="1890" w:type="dxa"/>
            <w:shd w:val="clear" w:color="auto" w:fill="auto"/>
            <w:vAlign w:val="center"/>
          </w:tcPr>
          <w:p>
            <w:pPr>
              <w:jc w:val="right"/>
              <w:rPr>
                <w:rFonts w:ascii="Times New Roman" w:hAnsi="Times New Roman" w:eastAsia="仿宋_GB2312" w:cs="Times New Roman"/>
                <w:kern w:val="0"/>
                <w:szCs w:val="21"/>
              </w:rPr>
            </w:pPr>
          </w:p>
        </w:tc>
        <w:tc>
          <w:tcPr>
            <w:tcW w:w="1737" w:type="dxa"/>
            <w:shd w:val="clear" w:color="auto" w:fill="auto"/>
            <w:vAlign w:val="center"/>
          </w:tcPr>
          <w:p>
            <w:pPr>
              <w:jc w:val="righ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33"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05"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13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05"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9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37"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bl>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注：本表反映部门本年度政府性基金预算财政拨款收入、支出及结转和结余情况</w:t>
      </w:r>
    </w:p>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(若本单位无政府性基金收支</w:t>
      </w:r>
      <w:r>
        <w:rPr>
          <w:rFonts w:hint="eastAsia" w:ascii="Times New Roman" w:hAnsi="Times New Roman" w:eastAsia="仿宋_GB2312" w:cs="Times New Roman"/>
          <w:kern w:val="0"/>
          <w:szCs w:val="21"/>
        </w:rPr>
        <w:t>,请说明：XX单位没有政府性基金收入，也没有使用政府性基金安排的支出，故本表无数据</w:t>
      </w:r>
      <w:r>
        <w:rPr>
          <w:rFonts w:ascii="Times New Roman" w:hAnsi="Times New Roman" w:eastAsia="仿宋_GB2312" w:cs="Times New Roman"/>
          <w:kern w:val="0"/>
          <w:szCs w:val="21"/>
        </w:rPr>
        <w:t>)。</w:t>
      </w:r>
    </w:p>
    <w:p>
      <w:pPr>
        <w:widowControl/>
        <w:jc w:val="left"/>
        <w:rPr>
          <w:sz w:val="72"/>
          <w:szCs w:val="72"/>
        </w:rPr>
        <w:sectPr>
          <w:pgSz w:w="16838" w:h="11906" w:orient="landscape"/>
          <w:pgMar w:top="720" w:right="720" w:bottom="720" w:left="720" w:header="851" w:footer="992" w:gutter="0"/>
          <w:cols w:space="425" w:num="1"/>
          <w:docGrid w:type="lines" w:linePitch="312" w:charSpace="0"/>
        </w:sectPr>
      </w:pPr>
    </w:p>
    <w:p>
      <w:pPr>
        <w:pStyle w:val="11"/>
        <w:rPr>
          <w:sz w:val="72"/>
          <w:szCs w:val="72"/>
        </w:rPr>
      </w:pPr>
    </w:p>
    <w:p>
      <w:pPr>
        <w:pStyle w:val="11"/>
        <w:rPr>
          <w:sz w:val="72"/>
          <w:szCs w:val="72"/>
        </w:rPr>
      </w:pPr>
    </w:p>
    <w:p>
      <w:pPr>
        <w:pStyle w:val="11"/>
        <w:rPr>
          <w:sz w:val="72"/>
          <w:szCs w:val="72"/>
        </w:rPr>
      </w:pPr>
    </w:p>
    <w:p>
      <w:pPr>
        <w:pStyle w:val="11"/>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r>
        <w:rPr>
          <w:rFonts w:hint="eastAsia"/>
          <w:sz w:val="72"/>
          <w:szCs w:val="72"/>
        </w:rPr>
        <w:t>第三部分</w:t>
      </w:r>
    </w:p>
    <w:p>
      <w:pPr>
        <w:pStyle w:val="11"/>
        <w:jc w:val="center"/>
        <w:rPr>
          <w:sz w:val="70"/>
          <w:szCs w:val="70"/>
        </w:rPr>
      </w:pPr>
    </w:p>
    <w:p>
      <w:pPr>
        <w:pStyle w:val="11"/>
        <w:jc w:val="center"/>
        <w:rPr>
          <w:sz w:val="70"/>
          <w:szCs w:val="70"/>
        </w:rPr>
      </w:pPr>
      <w:r>
        <w:rPr>
          <w:sz w:val="70"/>
          <w:szCs w:val="70"/>
        </w:rPr>
        <w:t>2019</w:t>
      </w:r>
      <w:r>
        <w:rPr>
          <w:rFonts w:hint="eastAsia"/>
          <w:sz w:val="70"/>
          <w:szCs w:val="70"/>
        </w:rPr>
        <w:t>年度部门决算情况说明</w:t>
      </w:r>
    </w:p>
    <w:p>
      <w:pPr>
        <w:widowControl/>
        <w:jc w:val="left"/>
        <w:rPr>
          <w:rFonts w:ascii="黑体" w:eastAsia="黑体" w:cs="黑体"/>
          <w:color w:val="000000"/>
          <w:kern w:val="0"/>
          <w:sz w:val="70"/>
          <w:szCs w:val="70"/>
        </w:rPr>
      </w:pPr>
      <w:r>
        <w:rPr>
          <w:sz w:val="70"/>
          <w:szCs w:val="70"/>
        </w:rPr>
        <w:br w:type="page"/>
      </w:r>
    </w:p>
    <w:p>
      <w:pPr>
        <w:pStyle w:val="11"/>
        <w:rPr>
          <w:rFonts w:asciiTheme="minorEastAsia" w:hAnsiTheme="minorEastAsia" w:eastAsiaTheme="minorEastAsia"/>
          <w:sz w:val="32"/>
          <w:szCs w:val="32"/>
        </w:rPr>
      </w:pPr>
    </w:p>
    <w:p>
      <w:pPr>
        <w:pStyle w:val="11"/>
        <w:rPr>
          <w:rFonts w:hAnsi="黑体"/>
          <w:b/>
          <w:sz w:val="32"/>
          <w:szCs w:val="32"/>
        </w:rPr>
      </w:pPr>
      <w:r>
        <w:rPr>
          <w:rFonts w:hint="eastAsia" w:hAnsi="黑体"/>
          <w:b/>
          <w:sz w:val="32"/>
          <w:szCs w:val="32"/>
        </w:rPr>
        <w:t>一、收入支出决算总体情况说明</w:t>
      </w:r>
    </w:p>
    <w:p>
      <w:pPr>
        <w:pStyle w:val="11"/>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本部门2019年度收入支出总决算</w:t>
      </w:r>
      <w:r>
        <w:rPr>
          <w:rFonts w:hint="eastAsia" w:asciiTheme="minorEastAsia" w:hAnsiTheme="minorEastAsia" w:eastAsiaTheme="minorEastAsia"/>
          <w:sz w:val="32"/>
          <w:szCs w:val="32"/>
          <w:lang w:val="en-US" w:eastAsia="zh-CN"/>
        </w:rPr>
        <w:t>188.39</w:t>
      </w:r>
      <w:r>
        <w:rPr>
          <w:rFonts w:hint="eastAsia" w:asciiTheme="minorEastAsia" w:hAnsiTheme="minorEastAsia" w:eastAsiaTheme="minorEastAsia"/>
          <w:sz w:val="32"/>
          <w:szCs w:val="32"/>
        </w:rPr>
        <w:t>万元，本部门2018年度收入支出总决算</w:t>
      </w:r>
      <w:r>
        <w:rPr>
          <w:rFonts w:hint="eastAsia" w:asciiTheme="minorEastAsia" w:hAnsiTheme="minorEastAsia" w:eastAsiaTheme="minorEastAsia"/>
          <w:sz w:val="32"/>
          <w:szCs w:val="32"/>
          <w:lang w:val="en-US" w:eastAsia="zh-CN"/>
        </w:rPr>
        <w:t>1062.32</w:t>
      </w:r>
      <w:r>
        <w:rPr>
          <w:rFonts w:hint="eastAsia" w:asciiTheme="minorEastAsia" w:hAnsiTheme="minorEastAsia" w:eastAsiaTheme="minorEastAsia"/>
          <w:sz w:val="32"/>
          <w:szCs w:val="32"/>
        </w:rPr>
        <w:t>万元，与2018年相比较</w:t>
      </w:r>
      <w:r>
        <w:rPr>
          <w:rFonts w:hint="eastAsia" w:asciiTheme="minorEastAsia" w:hAnsiTheme="minorEastAsia" w:eastAsiaTheme="minorEastAsia"/>
          <w:sz w:val="32"/>
          <w:szCs w:val="32"/>
          <w:lang w:eastAsia="zh-CN"/>
        </w:rPr>
        <w:t>减少</w:t>
      </w:r>
      <w:r>
        <w:rPr>
          <w:rFonts w:hint="eastAsia" w:asciiTheme="minorEastAsia" w:hAnsiTheme="minorEastAsia" w:eastAsiaTheme="minorEastAsia"/>
          <w:sz w:val="32"/>
          <w:szCs w:val="32"/>
          <w:lang w:val="en-US" w:eastAsia="zh-CN"/>
        </w:rPr>
        <w:t>873.93</w:t>
      </w:r>
      <w:r>
        <w:rPr>
          <w:rFonts w:hint="eastAsia" w:asciiTheme="minorEastAsia" w:hAnsiTheme="minorEastAsia" w:eastAsiaTheme="minorEastAsia"/>
          <w:sz w:val="32"/>
          <w:szCs w:val="32"/>
        </w:rPr>
        <w:t>万元，递</w:t>
      </w:r>
      <w:r>
        <w:rPr>
          <w:rFonts w:hint="eastAsia" w:asciiTheme="minorEastAsia" w:hAnsiTheme="minorEastAsia" w:eastAsiaTheme="minorEastAsia"/>
          <w:sz w:val="32"/>
          <w:szCs w:val="32"/>
          <w:lang w:eastAsia="zh-CN"/>
        </w:rPr>
        <w:t>减</w:t>
      </w:r>
      <w:r>
        <w:rPr>
          <w:rFonts w:hint="eastAsia" w:asciiTheme="minorEastAsia" w:hAnsiTheme="minorEastAsia" w:eastAsiaTheme="minorEastAsia"/>
          <w:sz w:val="32"/>
          <w:szCs w:val="32"/>
          <w:lang w:val="en-US" w:eastAsia="zh-CN"/>
        </w:rPr>
        <w:t>82.26</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主要是因为机构改革职能划入发改局，</w:t>
      </w:r>
      <w:r>
        <w:rPr>
          <w:rFonts w:hint="eastAsia" w:asciiTheme="minorEastAsia" w:hAnsiTheme="minorEastAsia" w:eastAsiaTheme="minorEastAsia"/>
          <w:sz w:val="32"/>
          <w:szCs w:val="32"/>
          <w:lang w:val="en-US" w:eastAsia="zh-CN"/>
        </w:rPr>
        <w:t>2018年年重点项目奖励划入发改局</w:t>
      </w:r>
      <w:r>
        <w:rPr>
          <w:rFonts w:hint="eastAsia" w:asciiTheme="minorEastAsia" w:hAnsiTheme="minorEastAsia" w:eastAsiaTheme="minorEastAsia"/>
          <w:sz w:val="32"/>
          <w:szCs w:val="32"/>
          <w:lang w:eastAsia="zh-CN"/>
        </w:rPr>
        <w:t>。</w:t>
      </w:r>
    </w:p>
    <w:p>
      <w:pPr>
        <w:pStyle w:val="11"/>
        <w:rPr>
          <w:rFonts w:hAnsi="黑体"/>
          <w:b/>
          <w:sz w:val="32"/>
          <w:szCs w:val="32"/>
        </w:rPr>
      </w:pPr>
      <w:r>
        <w:rPr>
          <w:rFonts w:hint="eastAsia" w:hAnsi="黑体"/>
          <w:b/>
          <w:sz w:val="32"/>
          <w:szCs w:val="32"/>
        </w:rPr>
        <w:t>二、收入决算情况说明</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本年收入合计</w:t>
      </w:r>
      <w:r>
        <w:rPr>
          <w:rFonts w:hint="eastAsia" w:asciiTheme="minorEastAsia" w:hAnsiTheme="minorEastAsia" w:eastAsiaTheme="minorEastAsia"/>
          <w:sz w:val="32"/>
          <w:szCs w:val="32"/>
          <w:lang w:val="en-US" w:eastAsia="zh-CN"/>
        </w:rPr>
        <w:t>188.39</w:t>
      </w:r>
      <w:r>
        <w:rPr>
          <w:rFonts w:hint="eastAsia" w:asciiTheme="minorEastAsia" w:hAnsiTheme="minorEastAsia" w:eastAsiaTheme="minorEastAsia"/>
          <w:sz w:val="32"/>
          <w:szCs w:val="32"/>
        </w:rPr>
        <w:t>万元，其中：财政拨款收入</w:t>
      </w:r>
      <w:r>
        <w:rPr>
          <w:rFonts w:hint="eastAsia" w:asciiTheme="minorEastAsia" w:hAnsiTheme="minorEastAsia" w:eastAsiaTheme="minorEastAsia"/>
          <w:sz w:val="32"/>
          <w:szCs w:val="32"/>
          <w:lang w:val="en-US" w:eastAsia="zh-CN"/>
        </w:rPr>
        <w:t>188.39</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w:t>
      </w:r>
    </w:p>
    <w:p>
      <w:pPr>
        <w:pStyle w:val="11"/>
        <w:rPr>
          <w:rFonts w:hAnsi="黑体"/>
          <w:b/>
          <w:sz w:val="32"/>
          <w:szCs w:val="32"/>
        </w:rPr>
      </w:pPr>
      <w:r>
        <w:rPr>
          <w:rFonts w:hint="eastAsia" w:hAnsi="黑体"/>
          <w:b/>
          <w:sz w:val="32"/>
          <w:szCs w:val="32"/>
        </w:rPr>
        <w:t>三、支出决算情况说明</w:t>
      </w:r>
    </w:p>
    <w:p>
      <w:pPr>
        <w:pStyle w:val="11"/>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本年支出合计</w:t>
      </w:r>
      <w:r>
        <w:rPr>
          <w:rFonts w:hint="eastAsia" w:asciiTheme="minorEastAsia" w:hAnsiTheme="minorEastAsia" w:eastAsiaTheme="minorEastAsia"/>
          <w:sz w:val="32"/>
          <w:szCs w:val="32"/>
          <w:lang w:val="en-US" w:eastAsia="zh-CN"/>
        </w:rPr>
        <w:t>188.39</w:t>
      </w:r>
      <w:r>
        <w:rPr>
          <w:rFonts w:hint="eastAsia" w:asciiTheme="minorEastAsia" w:hAnsiTheme="minorEastAsia" w:eastAsiaTheme="minorEastAsia"/>
          <w:sz w:val="32"/>
          <w:szCs w:val="32"/>
        </w:rPr>
        <w:t>万元，其中：基本支出</w:t>
      </w:r>
      <w:r>
        <w:rPr>
          <w:rFonts w:hint="eastAsia" w:asciiTheme="minorEastAsia" w:hAnsiTheme="minorEastAsia" w:eastAsiaTheme="minorEastAsia"/>
          <w:sz w:val="32"/>
          <w:szCs w:val="32"/>
          <w:lang w:val="en-US" w:eastAsia="zh-CN"/>
        </w:rPr>
        <w:t>188.39</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p>
    <w:p>
      <w:pPr>
        <w:pStyle w:val="11"/>
        <w:rPr>
          <w:rFonts w:hAnsi="黑体"/>
          <w:b/>
          <w:sz w:val="32"/>
          <w:szCs w:val="32"/>
        </w:rPr>
      </w:pPr>
      <w:r>
        <w:rPr>
          <w:rFonts w:hint="eastAsia" w:hAnsi="黑体"/>
          <w:b/>
          <w:sz w:val="32"/>
          <w:szCs w:val="32"/>
        </w:rPr>
        <w:t>四、财政拨款收入支出决算总体情况说明</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 xml:space="preserve"> 2019年度财政拨款收、支总计</w:t>
      </w:r>
      <w:r>
        <w:rPr>
          <w:rFonts w:hint="eastAsia" w:asciiTheme="minorEastAsia" w:hAnsiTheme="minorEastAsia" w:eastAsiaTheme="minorEastAsia"/>
          <w:sz w:val="32"/>
          <w:szCs w:val="32"/>
          <w:lang w:val="en-US" w:eastAsia="zh-CN"/>
        </w:rPr>
        <w:t>188.39</w:t>
      </w:r>
      <w:r>
        <w:rPr>
          <w:rFonts w:hint="eastAsia" w:asciiTheme="minorEastAsia" w:hAnsiTheme="minorEastAsia" w:eastAsiaTheme="minorEastAsia"/>
          <w:sz w:val="32"/>
          <w:szCs w:val="32"/>
        </w:rPr>
        <w:t>万元，与2018年相比较</w:t>
      </w:r>
      <w:r>
        <w:rPr>
          <w:rFonts w:hint="eastAsia" w:asciiTheme="minorEastAsia" w:hAnsiTheme="minorEastAsia" w:eastAsiaTheme="minorEastAsia"/>
          <w:sz w:val="32"/>
          <w:szCs w:val="32"/>
          <w:lang w:eastAsia="zh-CN"/>
        </w:rPr>
        <w:t>减少</w:t>
      </w:r>
      <w:r>
        <w:rPr>
          <w:rFonts w:hint="eastAsia" w:asciiTheme="minorEastAsia" w:hAnsiTheme="minorEastAsia" w:eastAsiaTheme="minorEastAsia"/>
          <w:sz w:val="32"/>
          <w:szCs w:val="32"/>
          <w:lang w:val="en-US" w:eastAsia="zh-CN"/>
        </w:rPr>
        <w:t>873.93</w:t>
      </w:r>
      <w:r>
        <w:rPr>
          <w:rFonts w:hint="eastAsia" w:asciiTheme="minorEastAsia" w:hAnsiTheme="minorEastAsia" w:eastAsiaTheme="minorEastAsia"/>
          <w:sz w:val="32"/>
          <w:szCs w:val="32"/>
        </w:rPr>
        <w:t>万元，递</w:t>
      </w:r>
      <w:r>
        <w:rPr>
          <w:rFonts w:hint="eastAsia" w:asciiTheme="minorEastAsia" w:hAnsiTheme="minorEastAsia" w:eastAsiaTheme="minorEastAsia"/>
          <w:sz w:val="32"/>
          <w:szCs w:val="32"/>
          <w:lang w:eastAsia="zh-CN"/>
        </w:rPr>
        <w:t>减</w:t>
      </w:r>
      <w:r>
        <w:rPr>
          <w:rFonts w:hint="eastAsia" w:asciiTheme="minorEastAsia" w:hAnsiTheme="minorEastAsia" w:eastAsiaTheme="minorEastAsia"/>
          <w:sz w:val="32"/>
          <w:szCs w:val="32"/>
          <w:lang w:val="en-US" w:eastAsia="zh-CN"/>
        </w:rPr>
        <w:t>82.26</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主要是因为机构改革职能划入发改局，</w:t>
      </w:r>
      <w:r>
        <w:rPr>
          <w:rFonts w:hint="eastAsia" w:asciiTheme="minorEastAsia" w:hAnsiTheme="minorEastAsia" w:eastAsiaTheme="minorEastAsia"/>
          <w:sz w:val="32"/>
          <w:szCs w:val="32"/>
          <w:lang w:val="en-US" w:eastAsia="zh-CN"/>
        </w:rPr>
        <w:t>2018年年重点项目奖励划入发改局</w:t>
      </w:r>
      <w:r>
        <w:rPr>
          <w:rFonts w:hint="eastAsia" w:asciiTheme="minorEastAsia" w:hAnsiTheme="minorEastAsia" w:eastAsiaTheme="minorEastAsia"/>
          <w:sz w:val="32"/>
          <w:szCs w:val="32"/>
          <w:lang w:eastAsia="zh-CN"/>
        </w:rPr>
        <w:t>。</w:t>
      </w:r>
    </w:p>
    <w:p>
      <w:pPr>
        <w:pStyle w:val="11"/>
        <w:rPr>
          <w:rFonts w:hAnsi="黑体"/>
          <w:b/>
          <w:sz w:val="32"/>
          <w:szCs w:val="32"/>
        </w:rPr>
      </w:pPr>
      <w:r>
        <w:rPr>
          <w:rFonts w:hint="eastAsia" w:hAnsi="黑体"/>
          <w:b/>
          <w:sz w:val="32"/>
          <w:szCs w:val="32"/>
        </w:rPr>
        <w:t>五、一般公共预算财政拨款支出决算情况说明</w:t>
      </w:r>
    </w:p>
    <w:p>
      <w:pPr>
        <w:pStyle w:val="11"/>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w:t>
      </w:r>
      <w:r>
        <w:rPr>
          <w:rFonts w:hint="eastAsia" w:asciiTheme="minorEastAsia" w:hAnsiTheme="minorEastAsia" w:eastAsiaTheme="minorEastAsia"/>
          <w:sz w:val="32"/>
          <w:szCs w:val="32"/>
          <w:lang w:val="en-US" w:eastAsia="zh-CN"/>
        </w:rPr>
        <w:t>188.39</w:t>
      </w:r>
      <w:r>
        <w:rPr>
          <w:rFonts w:hint="eastAsia" w:asciiTheme="minorEastAsia" w:hAnsiTheme="minorEastAsia" w:eastAsiaTheme="minorEastAsia"/>
          <w:sz w:val="32"/>
          <w:szCs w:val="32"/>
        </w:rPr>
        <w:t>万元，占本年支出合计的</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%，与2018年相比较</w:t>
      </w:r>
      <w:r>
        <w:rPr>
          <w:rFonts w:hint="eastAsia" w:asciiTheme="minorEastAsia" w:hAnsiTheme="minorEastAsia" w:eastAsiaTheme="minorEastAsia"/>
          <w:sz w:val="32"/>
          <w:szCs w:val="32"/>
          <w:lang w:eastAsia="zh-CN"/>
        </w:rPr>
        <w:t>减少</w:t>
      </w:r>
      <w:r>
        <w:rPr>
          <w:rFonts w:hint="eastAsia" w:asciiTheme="minorEastAsia" w:hAnsiTheme="minorEastAsia" w:eastAsiaTheme="minorEastAsia"/>
          <w:sz w:val="32"/>
          <w:szCs w:val="32"/>
          <w:lang w:val="en-US" w:eastAsia="zh-CN"/>
        </w:rPr>
        <w:t>873.93</w:t>
      </w:r>
      <w:r>
        <w:rPr>
          <w:rFonts w:hint="eastAsia" w:asciiTheme="minorEastAsia" w:hAnsiTheme="minorEastAsia" w:eastAsiaTheme="minorEastAsia"/>
          <w:sz w:val="32"/>
          <w:szCs w:val="32"/>
        </w:rPr>
        <w:t>万元，递</w:t>
      </w:r>
      <w:r>
        <w:rPr>
          <w:rFonts w:hint="eastAsia" w:asciiTheme="minorEastAsia" w:hAnsiTheme="minorEastAsia" w:eastAsiaTheme="minorEastAsia"/>
          <w:sz w:val="32"/>
          <w:szCs w:val="32"/>
          <w:lang w:eastAsia="zh-CN"/>
        </w:rPr>
        <w:t>减</w:t>
      </w:r>
      <w:r>
        <w:rPr>
          <w:rFonts w:hint="eastAsia" w:asciiTheme="minorEastAsia" w:hAnsiTheme="minorEastAsia" w:eastAsiaTheme="minorEastAsia"/>
          <w:sz w:val="32"/>
          <w:szCs w:val="32"/>
          <w:lang w:val="en-US" w:eastAsia="zh-CN"/>
        </w:rPr>
        <w:t>82.26</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主要是因为机构改革职能划入发改局，</w:t>
      </w:r>
      <w:r>
        <w:rPr>
          <w:rFonts w:hint="eastAsia" w:asciiTheme="minorEastAsia" w:hAnsiTheme="minorEastAsia" w:eastAsiaTheme="minorEastAsia"/>
          <w:sz w:val="32"/>
          <w:szCs w:val="32"/>
          <w:lang w:val="en-US" w:eastAsia="zh-CN"/>
        </w:rPr>
        <w:t>2018年年重点项目奖励划入发改局</w:t>
      </w:r>
      <w:r>
        <w:rPr>
          <w:rFonts w:hint="eastAsia" w:asciiTheme="minorEastAsia" w:hAnsiTheme="minorEastAsia" w:eastAsiaTheme="minorEastAsia"/>
          <w:sz w:val="32"/>
          <w:szCs w:val="32"/>
          <w:lang w:eastAsia="zh-CN"/>
        </w:rPr>
        <w:t>。</w:t>
      </w:r>
    </w:p>
    <w:p>
      <w:pPr>
        <w:pStyle w:val="11"/>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11"/>
        <w:ind w:firstLine="640" w:firstLineChars="200"/>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2019年度财政拨款支出</w:t>
      </w:r>
      <w:r>
        <w:rPr>
          <w:rFonts w:hint="eastAsia" w:asciiTheme="minorEastAsia" w:hAnsiTheme="minorEastAsia" w:eastAsiaTheme="minorEastAsia"/>
          <w:sz w:val="32"/>
          <w:szCs w:val="32"/>
          <w:lang w:val="en-US" w:eastAsia="zh-CN"/>
        </w:rPr>
        <w:t>188.39</w:t>
      </w:r>
      <w:r>
        <w:rPr>
          <w:rFonts w:hint="eastAsia" w:asciiTheme="minorEastAsia" w:hAnsiTheme="minorEastAsia" w:eastAsiaTheme="minorEastAsia"/>
          <w:sz w:val="32"/>
          <w:szCs w:val="32"/>
        </w:rPr>
        <w:t>万元，主要用于以下方面：一般公共服务（类）支出176.73万元，</w:t>
      </w:r>
      <w:r>
        <w:rPr>
          <w:rFonts w:hint="eastAsia" w:asciiTheme="minorEastAsia" w:hAnsiTheme="minorEastAsia" w:eastAsiaTheme="minorEastAsia"/>
          <w:sz w:val="32"/>
          <w:szCs w:val="32"/>
          <w:lang w:eastAsia="zh-CN"/>
        </w:rPr>
        <w:t>占比</w:t>
      </w:r>
      <w:r>
        <w:rPr>
          <w:rFonts w:hint="eastAsia" w:asciiTheme="minorEastAsia" w:hAnsiTheme="minorEastAsia" w:eastAsiaTheme="minorEastAsia"/>
          <w:sz w:val="32"/>
          <w:szCs w:val="32"/>
          <w:lang w:val="en-US" w:eastAsia="zh-CN"/>
        </w:rPr>
        <w:t>93.8%；</w:t>
      </w:r>
      <w:r>
        <w:rPr>
          <w:rFonts w:hint="eastAsia" w:asciiTheme="minorEastAsia" w:hAnsiTheme="minorEastAsia" w:eastAsiaTheme="minorEastAsia"/>
          <w:sz w:val="32"/>
          <w:szCs w:val="32"/>
        </w:rPr>
        <w:t>社会保障和就业支出</w:t>
      </w:r>
      <w:r>
        <w:rPr>
          <w:rFonts w:hint="eastAsia" w:asciiTheme="minorEastAsia" w:hAnsiTheme="minorEastAsia" w:eastAsiaTheme="minorEastAsia"/>
          <w:sz w:val="32"/>
          <w:szCs w:val="32"/>
          <w:lang w:val="en-US" w:eastAsia="zh-CN"/>
        </w:rPr>
        <w:t>4.67万元，</w:t>
      </w:r>
      <w:r>
        <w:rPr>
          <w:rFonts w:hint="eastAsia" w:asciiTheme="minorEastAsia" w:hAnsiTheme="minorEastAsia" w:eastAsiaTheme="minorEastAsia"/>
          <w:sz w:val="32"/>
          <w:szCs w:val="32"/>
          <w:lang w:val="en-US" w:eastAsia="zh-CN"/>
        </w:rPr>
        <w:t>占比2.5%，节能环保支出7万元。</w:t>
      </w:r>
      <w:r>
        <w:rPr>
          <w:rFonts w:hint="eastAsia" w:asciiTheme="minorEastAsia" w:hAnsiTheme="minorEastAsia" w:eastAsiaTheme="minorEastAsia"/>
          <w:sz w:val="32"/>
          <w:szCs w:val="32"/>
          <w:lang w:val="en-US" w:eastAsia="zh-CN"/>
        </w:rPr>
        <w:t>，占比3.7%；</w:t>
      </w:r>
    </w:p>
    <w:p>
      <w:pPr>
        <w:pStyle w:val="11"/>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2019年度财政拨款支出年初预算数为</w:t>
      </w:r>
      <w:r>
        <w:rPr>
          <w:rFonts w:hint="eastAsia" w:asciiTheme="minorEastAsia" w:hAnsiTheme="minorEastAsia" w:eastAsiaTheme="minorEastAsia"/>
          <w:sz w:val="32"/>
          <w:szCs w:val="32"/>
          <w:lang w:val="en-US" w:eastAsia="zh-CN"/>
        </w:rPr>
        <w:t>59.45</w:t>
      </w:r>
      <w:r>
        <w:rPr>
          <w:rFonts w:hint="eastAsia" w:asciiTheme="minorEastAsia" w:hAnsiTheme="minorEastAsia" w:eastAsiaTheme="minorEastAsia"/>
          <w:sz w:val="32"/>
          <w:szCs w:val="32"/>
        </w:rPr>
        <w:t>万元，支出决算数为</w:t>
      </w:r>
      <w:r>
        <w:rPr>
          <w:rFonts w:hint="eastAsia" w:asciiTheme="minorEastAsia" w:hAnsiTheme="minorEastAsia" w:eastAsiaTheme="minorEastAsia"/>
          <w:sz w:val="32"/>
          <w:szCs w:val="32"/>
          <w:lang w:val="en-US" w:eastAsia="zh-CN"/>
        </w:rPr>
        <w:t>188.39</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316.88</w:t>
      </w:r>
      <w:r>
        <w:rPr>
          <w:rFonts w:hint="eastAsia" w:asciiTheme="minorEastAsia" w:hAnsiTheme="minorEastAsia" w:eastAsiaTheme="minorEastAsia"/>
          <w:sz w:val="32"/>
          <w:szCs w:val="32"/>
        </w:rPr>
        <w:t>%，其中：</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1、一般公共服务。</w:t>
      </w:r>
    </w:p>
    <w:p>
      <w:pPr>
        <w:pStyle w:val="14"/>
        <w:spacing w:line="560" w:lineRule="exact"/>
        <w:ind w:firstLine="640" w:firstLineChars="200"/>
        <w:rPr>
          <w:rFonts w:hint="default" w:asciiTheme="minorEastAsia" w:hAnsiTheme="minorEastAsia" w:eastAsiaTheme="minorEastAsia"/>
          <w:sz w:val="32"/>
          <w:szCs w:val="32"/>
          <w:lang w:val="en-US"/>
        </w:rPr>
      </w:pPr>
      <w:r>
        <w:rPr>
          <w:rFonts w:hint="eastAsia" w:asciiTheme="minorEastAsia" w:hAnsiTheme="minorEastAsia" w:eastAsiaTheme="minorEastAsia"/>
          <w:sz w:val="32"/>
          <w:szCs w:val="32"/>
        </w:rPr>
        <w:t>年初预算为</w:t>
      </w:r>
      <w:r>
        <w:rPr>
          <w:rFonts w:hint="eastAsia" w:asciiTheme="minorEastAsia" w:hAnsiTheme="minorEastAsia"/>
          <w:sz w:val="32"/>
          <w:szCs w:val="32"/>
          <w:lang w:val="en-US" w:eastAsia="zh-CN"/>
        </w:rPr>
        <w:t>59.45</w:t>
      </w:r>
      <w:r>
        <w:rPr>
          <w:rFonts w:hint="eastAsia" w:asciiTheme="minorEastAsia" w:hAnsiTheme="minorEastAsia" w:eastAsiaTheme="minorEastAsia"/>
          <w:sz w:val="32"/>
          <w:szCs w:val="32"/>
        </w:rPr>
        <w:t>万元，支出决算为</w:t>
      </w:r>
      <w:r>
        <w:rPr>
          <w:rFonts w:hint="eastAsia" w:asciiTheme="minorEastAsia" w:hAnsiTheme="minorEastAsia"/>
          <w:sz w:val="32"/>
          <w:szCs w:val="32"/>
          <w:lang w:val="en-US" w:eastAsia="zh-CN"/>
        </w:rPr>
        <w:t>176.73</w:t>
      </w:r>
      <w:r>
        <w:rPr>
          <w:rFonts w:hint="eastAsia" w:asciiTheme="minorEastAsia" w:hAnsiTheme="minorEastAsia" w:eastAsiaTheme="minorEastAsia"/>
          <w:sz w:val="32"/>
          <w:szCs w:val="32"/>
        </w:rPr>
        <w:t>万元，完成年初预算的</w:t>
      </w:r>
      <w:r>
        <w:rPr>
          <w:rFonts w:hint="eastAsia" w:asciiTheme="minorEastAsia" w:hAnsiTheme="minorEastAsia"/>
          <w:sz w:val="32"/>
          <w:szCs w:val="32"/>
          <w:lang w:val="en-US" w:eastAsia="zh-CN"/>
        </w:rPr>
        <w:t>297.27</w:t>
      </w:r>
      <w:r>
        <w:rPr>
          <w:rFonts w:hint="eastAsia" w:asciiTheme="minorEastAsia" w:hAnsiTheme="minorEastAsia" w:eastAsiaTheme="minorEastAsia"/>
          <w:sz w:val="32"/>
          <w:szCs w:val="32"/>
        </w:rPr>
        <w:t>%，决算数大于年初预算数的主要原因是：</w:t>
      </w:r>
      <w:r>
        <w:rPr>
          <w:rFonts w:hint="eastAsia" w:asciiTheme="minorEastAsia" w:hAnsiTheme="minorEastAsia"/>
          <w:sz w:val="32"/>
          <w:szCs w:val="32"/>
          <w:lang w:eastAsia="zh-CN"/>
        </w:rPr>
        <w:t>增加</w:t>
      </w:r>
      <w:r>
        <w:rPr>
          <w:rFonts w:hint="eastAsia" w:asciiTheme="minorEastAsia" w:hAnsiTheme="minorEastAsia" w:eastAsiaTheme="minorEastAsia"/>
          <w:sz w:val="32"/>
          <w:szCs w:val="32"/>
          <w:lang w:eastAsia="zh-CN"/>
        </w:rPr>
        <w:t>年终考核奖励</w:t>
      </w:r>
      <w:r>
        <w:rPr>
          <w:rFonts w:hint="eastAsia" w:asciiTheme="minorEastAsia" w:hAnsiTheme="minorEastAsia"/>
          <w:sz w:val="32"/>
          <w:szCs w:val="32"/>
          <w:lang w:eastAsia="zh-CN"/>
        </w:rPr>
        <w:t>、综治奖励等人员经费，补发部分</w:t>
      </w:r>
      <w:r>
        <w:rPr>
          <w:rFonts w:hint="eastAsia" w:asciiTheme="minorEastAsia" w:hAnsiTheme="minorEastAsia"/>
          <w:sz w:val="32"/>
          <w:szCs w:val="32"/>
          <w:lang w:val="en-US" w:eastAsia="zh-CN"/>
        </w:rPr>
        <w:t>2017年重点项目奖励。</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2、社会保障和就业。</w:t>
      </w:r>
    </w:p>
    <w:p>
      <w:pPr>
        <w:pStyle w:val="11"/>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4.67</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rPr>
        <w:t>决算数大于年初预算数的主要原因是：</w:t>
      </w:r>
      <w:r>
        <w:rPr>
          <w:rFonts w:hint="eastAsia" w:asciiTheme="minorEastAsia" w:hAnsiTheme="minorEastAsia" w:eastAsiaTheme="minorEastAsia"/>
          <w:sz w:val="32"/>
          <w:szCs w:val="32"/>
          <w:lang w:eastAsia="zh-CN"/>
        </w:rPr>
        <w:t>预算临时增加。</w:t>
      </w:r>
    </w:p>
    <w:p>
      <w:pPr>
        <w:pStyle w:val="11"/>
        <w:numPr>
          <w:ilvl w:val="0"/>
          <w:numId w:val="2"/>
        </w:numPr>
        <w:ind w:firstLine="800" w:firstLineChars="25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节能环保支出。</w:t>
      </w:r>
    </w:p>
    <w:p>
      <w:pPr>
        <w:pStyle w:val="11"/>
        <w:numPr>
          <w:ilvl w:val="0"/>
          <w:numId w:val="0"/>
        </w:numPr>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val="en-US" w:eastAsia="zh-CN"/>
        </w:rPr>
        <w:t xml:space="preserve">     </w:t>
      </w: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7</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，较年初数增加</w:t>
      </w:r>
      <w:r>
        <w:rPr>
          <w:rFonts w:hint="eastAsia" w:asciiTheme="minorEastAsia" w:hAnsiTheme="minorEastAsia" w:eastAsiaTheme="minorEastAsia"/>
          <w:sz w:val="32"/>
          <w:szCs w:val="32"/>
          <w:lang w:val="en-US" w:eastAsia="zh-CN"/>
        </w:rPr>
        <w:t>7万元。主要原因是</w:t>
      </w:r>
      <w:r>
        <w:rPr>
          <w:rFonts w:hint="eastAsia" w:asciiTheme="minorEastAsia" w:hAnsiTheme="minorEastAsia" w:eastAsiaTheme="minorEastAsia"/>
          <w:sz w:val="32"/>
          <w:szCs w:val="32"/>
          <w:lang w:eastAsia="zh-CN"/>
        </w:rPr>
        <w:t>预算临时增加。</w:t>
      </w:r>
    </w:p>
    <w:p>
      <w:pPr>
        <w:pStyle w:val="11"/>
        <w:rPr>
          <w:rFonts w:hAnsi="黑体"/>
          <w:b/>
          <w:sz w:val="32"/>
          <w:szCs w:val="32"/>
        </w:rPr>
      </w:pPr>
      <w:r>
        <w:rPr>
          <w:rFonts w:hint="eastAsia" w:hAnsi="黑体"/>
          <w:b/>
          <w:sz w:val="32"/>
          <w:szCs w:val="32"/>
        </w:rPr>
        <w:t>六、一般公共预算财政拨款基本支出决算情况说明</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2019年度财政拨款基本支出</w:t>
      </w:r>
      <w:r>
        <w:rPr>
          <w:rFonts w:hint="eastAsia" w:ascii="仿宋" w:hAnsi="仿宋" w:eastAsia="仿宋" w:cs="仿宋"/>
          <w:sz w:val="36"/>
          <w:szCs w:val="36"/>
          <w:lang w:val="en-US" w:eastAsia="zh-CN"/>
        </w:rPr>
        <w:t>188.39</w:t>
      </w:r>
      <w:r>
        <w:rPr>
          <w:rFonts w:hint="eastAsia" w:asciiTheme="minorEastAsia" w:hAnsiTheme="minorEastAsia" w:eastAsiaTheme="minorEastAsia"/>
          <w:sz w:val="32"/>
          <w:szCs w:val="32"/>
        </w:rPr>
        <w:t>万元，其中：人员经费</w:t>
      </w:r>
      <w:r>
        <w:rPr>
          <w:rFonts w:hint="eastAsia" w:ascii="仿宋" w:hAnsi="仿宋" w:eastAsia="仿宋" w:cs="仿宋"/>
          <w:sz w:val="32"/>
          <w:szCs w:val="32"/>
          <w:lang w:val="en-US" w:eastAsia="zh-CN"/>
        </w:rPr>
        <w:t>144.88</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76.9</w:t>
      </w:r>
      <w:r>
        <w:rPr>
          <w:rFonts w:hint="eastAsia" w:asciiTheme="minorEastAsia" w:hAnsiTheme="minorEastAsia" w:eastAsiaTheme="minorEastAsia"/>
          <w:sz w:val="32"/>
          <w:szCs w:val="32"/>
        </w:rPr>
        <w:t>%,主要包括基本工资、津贴补贴、奖金</w:t>
      </w:r>
      <w:r>
        <w:rPr>
          <w:rFonts w:hint="eastAsia" w:asciiTheme="minorEastAsia" w:hAnsiTheme="minorEastAsia" w:eastAsiaTheme="minorEastAsia"/>
          <w:sz w:val="32"/>
          <w:szCs w:val="32"/>
          <w:lang w:eastAsia="zh-CN"/>
        </w:rPr>
        <w:t>、其他工资福利支出</w:t>
      </w:r>
      <w:r>
        <w:rPr>
          <w:rFonts w:hint="eastAsia" w:asciiTheme="minorEastAsia" w:hAnsiTheme="minorEastAsia" w:eastAsiaTheme="minorEastAsia"/>
          <w:sz w:val="32"/>
          <w:szCs w:val="32"/>
        </w:rPr>
        <w:t>；公用经费</w:t>
      </w:r>
      <w:r>
        <w:rPr>
          <w:rFonts w:hint="eastAsia" w:ascii="仿宋" w:hAnsi="仿宋" w:eastAsia="仿宋" w:cs="仿宋"/>
          <w:sz w:val="32"/>
          <w:szCs w:val="32"/>
          <w:lang w:val="en-US" w:eastAsia="zh-CN"/>
        </w:rPr>
        <w:t>43.51</w:t>
      </w:r>
      <w:r>
        <w:rPr>
          <w:rFonts w:hint="eastAsia" w:asciiTheme="minorEastAsia" w:hAnsiTheme="minorEastAsia" w:eastAsiaTheme="minorEastAsia"/>
          <w:sz w:val="32"/>
          <w:szCs w:val="32"/>
        </w:rPr>
        <w:t>万元，占基本支出的</w:t>
      </w:r>
      <w:r>
        <w:rPr>
          <w:rFonts w:hint="eastAsia" w:ascii="仿宋" w:hAnsi="仿宋" w:eastAsia="仿宋" w:cs="仿宋"/>
          <w:sz w:val="32"/>
          <w:szCs w:val="32"/>
          <w:lang w:val="en-US" w:eastAsia="zh-CN"/>
        </w:rPr>
        <w:t>23.1</w:t>
      </w:r>
      <w:r>
        <w:rPr>
          <w:rFonts w:hint="eastAsia" w:asciiTheme="minorEastAsia" w:hAnsiTheme="minorEastAsia" w:eastAsiaTheme="minorEastAsia"/>
          <w:sz w:val="32"/>
          <w:szCs w:val="32"/>
        </w:rPr>
        <w:t>%，主要包括办公费、印刷费</w:t>
      </w:r>
      <w:r>
        <w:rPr>
          <w:rFonts w:hint="eastAsia" w:asciiTheme="minorEastAsia" w:hAnsiTheme="minorEastAsia" w:eastAsiaTheme="minorEastAsia"/>
          <w:sz w:val="32"/>
          <w:szCs w:val="32"/>
          <w:lang w:eastAsia="zh-CN"/>
        </w:rPr>
        <w:t>、邮电费、其他交通费及其他费用</w:t>
      </w:r>
      <w:r>
        <w:rPr>
          <w:rFonts w:hint="eastAsia" w:asciiTheme="minorEastAsia" w:hAnsiTheme="minorEastAsia" w:eastAsiaTheme="minorEastAsia"/>
          <w:sz w:val="32"/>
          <w:szCs w:val="32"/>
        </w:rPr>
        <w:t>。</w:t>
      </w:r>
    </w:p>
    <w:p>
      <w:pPr>
        <w:pStyle w:val="11"/>
        <w:rPr>
          <w:rFonts w:hAnsi="黑体"/>
          <w:b/>
          <w:sz w:val="32"/>
          <w:szCs w:val="32"/>
        </w:rPr>
      </w:pPr>
      <w:r>
        <w:rPr>
          <w:rFonts w:hint="eastAsia" w:hAnsi="黑体"/>
          <w:b/>
          <w:sz w:val="32"/>
          <w:szCs w:val="32"/>
        </w:rPr>
        <w:t>七、一般公共预算财政拨款三公经费支出决算情况说明</w:t>
      </w:r>
    </w:p>
    <w:p>
      <w:pPr>
        <w:pStyle w:val="11"/>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w:t>
      </w:r>
      <w:r>
        <w:rPr>
          <w:rFonts w:hint="eastAsia" w:ascii="仿宋" w:hAnsi="仿宋" w:eastAsia="仿宋" w:cs="仿宋"/>
          <w:sz w:val="32"/>
          <w:szCs w:val="32"/>
          <w:lang w:val="en-US" w:eastAsia="zh-CN"/>
        </w:rPr>
        <w:t>1</w:t>
      </w:r>
      <w:r>
        <w:rPr>
          <w:rFonts w:hint="eastAsia" w:asciiTheme="minorEastAsia" w:hAnsiTheme="minorEastAsia" w:eastAsiaTheme="minorEastAsia"/>
          <w:sz w:val="32"/>
          <w:szCs w:val="32"/>
        </w:rPr>
        <w:t>万元，支出决算为</w:t>
      </w:r>
      <w:r>
        <w:rPr>
          <w:rFonts w:hint="eastAsia" w:ascii="仿宋" w:hAnsi="仿宋" w:eastAsia="仿宋" w:cs="仿宋"/>
          <w:sz w:val="32"/>
          <w:szCs w:val="32"/>
          <w:lang w:val="en-US" w:eastAsia="zh-CN"/>
        </w:rPr>
        <w:t>0</w:t>
      </w:r>
      <w:r>
        <w:rPr>
          <w:rFonts w:hint="eastAsia" w:asciiTheme="minorEastAsia" w:hAnsiTheme="minorEastAsia" w:eastAsiaTheme="minorEastAsia"/>
          <w:sz w:val="32"/>
          <w:szCs w:val="32"/>
        </w:rPr>
        <w:t>万元，，其中：</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w:t>
      </w:r>
      <w:r>
        <w:rPr>
          <w:rFonts w:hint="eastAsia" w:asciiTheme="minorEastAsia" w:hAnsiTheme="minorEastAsia" w:eastAsiaTheme="minorEastAsia"/>
          <w:sz w:val="32"/>
          <w:szCs w:val="32"/>
          <w:lang w:val="en-US" w:eastAsia="zh-CN"/>
        </w:rPr>
        <w:t>1</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万元，决算数小于年初预算数的主要原因是</w:t>
      </w:r>
      <w:r>
        <w:rPr>
          <w:rFonts w:hint="eastAsia" w:asciiTheme="minorEastAsia" w:hAnsiTheme="minorEastAsia" w:eastAsiaTheme="minorEastAsia"/>
          <w:sz w:val="32"/>
          <w:szCs w:val="32"/>
          <w:lang w:eastAsia="zh-CN"/>
        </w:rPr>
        <w:t>厉行节约，严格执行八项规定</w:t>
      </w:r>
      <w:r>
        <w:rPr>
          <w:rFonts w:hint="eastAsia" w:asciiTheme="minorEastAsia" w:hAnsiTheme="minorEastAsia" w:eastAsiaTheme="minorEastAsia"/>
          <w:sz w:val="32"/>
          <w:szCs w:val="32"/>
        </w:rPr>
        <w:t>，与</w:t>
      </w:r>
      <w:r>
        <w:rPr>
          <w:rFonts w:hint="eastAsia" w:asciiTheme="minorEastAsia" w:hAnsiTheme="minorEastAsia" w:eastAsiaTheme="minorEastAsia"/>
          <w:sz w:val="32"/>
          <w:szCs w:val="32"/>
          <w:lang w:eastAsia="zh-CN"/>
        </w:rPr>
        <w:t>预算</w:t>
      </w:r>
      <w:r>
        <w:rPr>
          <w:rFonts w:hint="eastAsia" w:asciiTheme="minorEastAsia" w:hAnsiTheme="minorEastAsia" w:eastAsiaTheme="minorEastAsia"/>
          <w:sz w:val="32"/>
          <w:szCs w:val="32"/>
        </w:rPr>
        <w:t>相比减少</w:t>
      </w:r>
      <w:r>
        <w:rPr>
          <w:rFonts w:hint="eastAsia" w:asciiTheme="minorEastAsia" w:hAnsiTheme="minorEastAsia" w:eastAsiaTheme="minorEastAsia"/>
          <w:sz w:val="32"/>
          <w:szCs w:val="32"/>
          <w:lang w:val="en-US" w:eastAsia="zh-CN"/>
        </w:rPr>
        <w:t>1</w:t>
      </w:r>
      <w:r>
        <w:rPr>
          <w:rFonts w:hint="eastAsia" w:asciiTheme="minorEastAsia" w:hAnsiTheme="minorEastAsia" w:eastAsiaTheme="minorEastAsia"/>
          <w:sz w:val="32"/>
          <w:szCs w:val="32"/>
        </w:rPr>
        <w:t>万元，减少</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%,减少的主要原因是</w:t>
      </w:r>
      <w:r>
        <w:rPr>
          <w:rFonts w:hint="eastAsia" w:asciiTheme="minorEastAsia" w:hAnsiTheme="minorEastAsia" w:eastAsiaTheme="minorEastAsia"/>
          <w:sz w:val="32"/>
          <w:szCs w:val="32"/>
          <w:lang w:eastAsia="zh-CN"/>
        </w:rPr>
        <w:t>厉行节约，严格执行八项规定</w:t>
      </w:r>
      <w:r>
        <w:rPr>
          <w:rFonts w:hint="eastAsia" w:asciiTheme="minorEastAsia" w:hAnsiTheme="minorEastAsia" w:eastAsiaTheme="minorEastAsia"/>
          <w:sz w:val="32"/>
          <w:szCs w:val="32"/>
        </w:rPr>
        <w:t>。</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公务用车购置费及运行维护费支出预算为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w:t>
      </w:r>
    </w:p>
    <w:p>
      <w:pPr>
        <w:pStyle w:val="11"/>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2019年度“三公”经费财政拨款支出决算中，公务接待费支出决算</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万元,因公出国（境）费支出决算</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万元，,公务用车购置费及运行维护费支出决算</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万元，。其中：</w:t>
      </w:r>
    </w:p>
    <w:p>
      <w:pPr>
        <w:pStyle w:val="11"/>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1、因公出国（境）费支出决算为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万元，全年安排因公出国（境）团组</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个，累计</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人次</w:t>
      </w:r>
      <w:r>
        <w:rPr>
          <w:rFonts w:hint="eastAsia" w:asciiTheme="minorEastAsia" w:hAnsiTheme="minorEastAsia" w:eastAsiaTheme="minorEastAsia"/>
          <w:sz w:val="32"/>
          <w:szCs w:val="32"/>
          <w:lang w:eastAsia="zh-CN"/>
        </w:rPr>
        <w:t>。</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万元，全年共接待来访团组</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个、来宾</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人次。</w:t>
      </w:r>
    </w:p>
    <w:p>
      <w:pPr>
        <w:ind w:firstLine="800" w:firstLineChars="250"/>
        <w:rPr>
          <w:rFonts w:hint="eastAsia" w:cs="黑体" w:asciiTheme="minorEastAsia" w:hAnsiTheme="minorEastAsia" w:eastAsiaTheme="minorEastAsia"/>
          <w:color w:val="000000"/>
          <w:kern w:val="0"/>
          <w:sz w:val="32"/>
          <w:szCs w:val="32"/>
          <w:lang w:eastAsia="zh-CN"/>
        </w:rPr>
      </w:pPr>
      <w:r>
        <w:rPr>
          <w:rFonts w:hint="eastAsia" w:asciiTheme="minorEastAsia" w:hAnsiTheme="minorEastAsia"/>
          <w:sz w:val="32"/>
          <w:szCs w:val="32"/>
        </w:rPr>
        <w:t>3、公务用车购置费及运行维护费支出决算为</w:t>
      </w:r>
      <w:r>
        <w:rPr>
          <w:rFonts w:hint="eastAsia" w:asciiTheme="minorEastAsia" w:hAnsiTheme="minorEastAsia"/>
          <w:sz w:val="32"/>
          <w:szCs w:val="32"/>
          <w:lang w:val="en-US" w:eastAsia="zh-CN"/>
        </w:rPr>
        <w:t>0</w:t>
      </w:r>
      <w:r>
        <w:rPr>
          <w:rFonts w:hint="eastAsia" w:asciiTheme="minorEastAsia" w:hAnsiTheme="minorEastAsia"/>
          <w:sz w:val="32"/>
          <w:szCs w:val="32"/>
        </w:rPr>
        <w:t>万元，其中：公务用车购置费</w:t>
      </w:r>
      <w:r>
        <w:rPr>
          <w:rFonts w:hint="eastAsia" w:asciiTheme="minorEastAsia" w:hAnsiTheme="minorEastAsia"/>
          <w:sz w:val="32"/>
          <w:szCs w:val="32"/>
          <w:lang w:val="en-US" w:eastAsia="zh-CN"/>
        </w:rPr>
        <w:t>0</w:t>
      </w:r>
      <w:r>
        <w:rPr>
          <w:rFonts w:hint="eastAsia" w:asciiTheme="minorEastAsia" w:hAnsiTheme="minorEastAsia"/>
          <w:sz w:val="32"/>
          <w:szCs w:val="32"/>
        </w:rPr>
        <w:t>万元</w:t>
      </w:r>
      <w:r>
        <w:rPr>
          <w:rFonts w:hint="eastAsia" w:asciiTheme="minorEastAsia" w:hAnsiTheme="minorEastAsia"/>
          <w:sz w:val="32"/>
          <w:szCs w:val="32"/>
          <w:lang w:eastAsia="zh-CN"/>
        </w:rPr>
        <w:t>。</w:t>
      </w:r>
    </w:p>
    <w:p>
      <w:pPr>
        <w:pStyle w:val="11"/>
        <w:rPr>
          <w:rFonts w:hAnsi="黑体"/>
          <w:b/>
          <w:sz w:val="32"/>
          <w:szCs w:val="32"/>
        </w:rPr>
      </w:pPr>
      <w:r>
        <w:rPr>
          <w:rFonts w:hint="eastAsia" w:hAnsi="黑体"/>
          <w:b/>
          <w:sz w:val="32"/>
          <w:szCs w:val="32"/>
        </w:rPr>
        <w:t>八、政府性基金预算收入支出决算情况</w:t>
      </w:r>
    </w:p>
    <w:p>
      <w:pPr>
        <w:pStyle w:val="11"/>
        <w:rPr>
          <w:rFonts w:hint="eastAsia" w:asciiTheme="minorEastAsia" w:hAnsiTheme="minorEastAsia" w:eastAsiaTheme="minorEastAsia"/>
          <w:sz w:val="32"/>
          <w:szCs w:val="32"/>
        </w:rPr>
      </w:pPr>
      <w:r>
        <w:rPr>
          <w:rFonts w:hint="eastAsia" w:asciiTheme="minorEastAsia" w:hAnsiTheme="minorEastAsia" w:eastAsiaTheme="minorEastAsia"/>
          <w:sz w:val="32"/>
          <w:szCs w:val="32"/>
        </w:rPr>
        <w:t xml:space="preserve">     2019年度政府性基金预算财政拨款收入</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万元；年初结转和结余</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w:t>
      </w:r>
      <w:r>
        <w:rPr>
          <w:rFonts w:hint="eastAsia" w:asciiTheme="minorEastAsia" w:hAnsiTheme="minorEastAsia" w:eastAsiaTheme="minorEastAsia"/>
          <w:sz w:val="32"/>
          <w:szCs w:val="32"/>
          <w:lang w:val="en-US" w:eastAsia="zh-CN"/>
        </w:rPr>
        <w:t>0</w:t>
      </w:r>
      <w:bookmarkStart w:id="2" w:name="_GoBack"/>
      <w:bookmarkEnd w:id="2"/>
      <w:r>
        <w:rPr>
          <w:rFonts w:hint="eastAsia" w:asciiTheme="minorEastAsia" w:hAnsiTheme="minorEastAsia" w:eastAsiaTheme="minorEastAsia"/>
          <w:sz w:val="32"/>
          <w:szCs w:val="32"/>
        </w:rPr>
        <w:t>万元，其中基本支出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万元，项目支出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万元；年末结转和结余</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w:t>
      </w:r>
    </w:p>
    <w:p>
      <w:pPr>
        <w:pStyle w:val="11"/>
        <w:rPr>
          <w:rFonts w:hAnsi="黑体"/>
          <w:b/>
          <w:sz w:val="32"/>
          <w:szCs w:val="32"/>
        </w:rPr>
      </w:pPr>
      <w:r>
        <w:rPr>
          <w:rFonts w:hint="eastAsia" w:hAnsi="黑体"/>
          <w:b/>
          <w:sz w:val="32"/>
          <w:szCs w:val="32"/>
        </w:rPr>
        <w:t>九、关于2019年度预算绩效情况说明</w:t>
      </w:r>
    </w:p>
    <w:p>
      <w:pPr>
        <w:pStyle w:val="11"/>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 xml:space="preserve">   2019年，本部门对单位整体绩效及项目资金进行了预算绩效评价，评价结果好。</w:t>
      </w:r>
    </w:p>
    <w:p>
      <w:pPr>
        <w:pStyle w:val="11"/>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 xml:space="preserve">  本单位整体支出绩效目标实现情况</w:t>
      </w:r>
    </w:p>
    <w:p>
      <w:pPr>
        <w:pStyle w:val="11"/>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1、固定资产投资，2019年度固定资产投资增幅10.7%，全市排名前三。</w:t>
      </w:r>
    </w:p>
    <w:p>
      <w:pPr>
        <w:pStyle w:val="11"/>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2、重点项目建设取得明显成效，2019年全年共实施重点项目136个，年度投资175.6亿元，完成投资180亿元，完成年度计划投资的102.5%；其中市重点项目52个全部开工，新入统5000万元以上项目45个，同比增长32%。</w:t>
      </w:r>
    </w:p>
    <w:p>
      <w:pPr>
        <w:pStyle w:val="11"/>
        <w:rPr>
          <w:rFonts w:hAnsi="黑体"/>
          <w:b/>
          <w:sz w:val="32"/>
          <w:szCs w:val="32"/>
        </w:rPr>
      </w:pPr>
      <w:r>
        <w:rPr>
          <w:rFonts w:hint="eastAsia" w:hAnsi="黑体"/>
          <w:b/>
          <w:sz w:val="32"/>
          <w:szCs w:val="32"/>
        </w:rPr>
        <w:t>十、其他重要事项情况说明</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0" w:firstLineChars="200"/>
        <w:rPr>
          <w:rFonts w:hint="eastAsia" w:cs="黑体" w:asciiTheme="minorEastAsia" w:hAnsiTheme="minorEastAsia" w:eastAsiaTheme="minorEastAsia"/>
          <w:color w:val="000000"/>
          <w:kern w:val="0"/>
          <w:sz w:val="32"/>
          <w:szCs w:val="32"/>
          <w:lang w:eastAsia="zh-CN"/>
        </w:rPr>
      </w:pPr>
      <w:r>
        <w:rPr>
          <w:rFonts w:hint="eastAsia" w:cs="黑体" w:asciiTheme="minorEastAsia" w:hAnsiTheme="minorEastAsia"/>
          <w:color w:val="000000"/>
          <w:kern w:val="0"/>
          <w:sz w:val="32"/>
          <w:szCs w:val="32"/>
        </w:rPr>
        <w:t>本部门2019 年度机关运行经费支出43.51万元，比年初预算数增加</w:t>
      </w:r>
      <w:r>
        <w:rPr>
          <w:rFonts w:hint="eastAsia" w:cs="黑体" w:asciiTheme="minorEastAsia" w:hAnsiTheme="minorEastAsia"/>
          <w:color w:val="000000"/>
          <w:kern w:val="0"/>
          <w:sz w:val="32"/>
          <w:szCs w:val="32"/>
          <w:lang w:val="en-US" w:eastAsia="zh-CN"/>
        </w:rPr>
        <w:t>16.11</w:t>
      </w:r>
      <w:r>
        <w:rPr>
          <w:rFonts w:hint="eastAsia" w:cs="黑体" w:asciiTheme="minorEastAsia" w:hAnsiTheme="minorEastAsia"/>
          <w:color w:val="000000"/>
          <w:kern w:val="0"/>
          <w:sz w:val="32"/>
          <w:szCs w:val="32"/>
        </w:rPr>
        <w:t>万元。主要原因是：</w:t>
      </w:r>
      <w:r>
        <w:rPr>
          <w:rFonts w:hint="eastAsia" w:cs="黑体" w:asciiTheme="minorEastAsia" w:hAnsiTheme="minorEastAsia"/>
          <w:color w:val="000000"/>
          <w:kern w:val="0"/>
          <w:sz w:val="32"/>
          <w:szCs w:val="32"/>
          <w:lang w:eastAsia="zh-CN"/>
        </w:rPr>
        <w:t>因业务开展追加预算。</w:t>
      </w:r>
    </w:p>
    <w:p>
      <w:pPr>
        <w:ind w:firstLine="640" w:firstLineChars="200"/>
        <w:rPr>
          <w:rFonts w:hint="eastAsia"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pPr>
        <w:ind w:firstLine="640" w:firstLineChars="200"/>
        <w:rPr>
          <w:rFonts w:hint="eastAsia" w:cs="黑体" w:asciiTheme="minorEastAsia" w:hAnsiTheme="minorEastAsia"/>
          <w:color w:val="000000"/>
          <w:kern w:val="0"/>
          <w:sz w:val="32"/>
          <w:szCs w:val="32"/>
          <w:lang w:eastAsia="zh-CN"/>
        </w:rPr>
      </w:pPr>
      <w:r>
        <w:rPr>
          <w:rFonts w:hint="eastAsia" w:cs="黑体" w:asciiTheme="minorEastAsia" w:hAnsiTheme="minorEastAsia"/>
          <w:color w:val="000000"/>
          <w:kern w:val="0"/>
          <w:sz w:val="32"/>
          <w:szCs w:val="32"/>
        </w:rPr>
        <w:t>2019年本部门开支会议费</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万元，；开支培训费</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w:t>
      </w:r>
      <w:r>
        <w:rPr>
          <w:rFonts w:hint="eastAsia" w:cs="黑体" w:asciiTheme="minorEastAsia" w:hAnsiTheme="minorEastAsia"/>
          <w:color w:val="000000"/>
          <w:kern w:val="0"/>
          <w:sz w:val="32"/>
          <w:szCs w:val="32"/>
          <w:lang w:eastAsia="zh-CN"/>
        </w:rPr>
        <w:t>。</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640" w:firstLineChars="200"/>
        <w:rPr>
          <w:rFonts w:cs="黑体" w:asciiTheme="minorEastAsia" w:hAnsiTheme="minorEastAsia"/>
          <w:i/>
          <w:color w:val="FF0000"/>
          <w:kern w:val="0"/>
          <w:sz w:val="32"/>
          <w:szCs w:val="32"/>
        </w:rPr>
      </w:pPr>
      <w:r>
        <w:rPr>
          <w:rFonts w:hint="eastAsia" w:cs="黑体" w:asciiTheme="minorEastAsia" w:hAnsiTheme="minorEastAsia"/>
          <w:color w:val="000000"/>
          <w:kern w:val="0"/>
          <w:sz w:val="32"/>
          <w:szCs w:val="32"/>
        </w:rPr>
        <w:t>本部门2019年度政府采购支出总额</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万元，其中：政府采购货物支出</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万元、政府采购工程支出</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万元、政府采购服务支出</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w:t>
      </w:r>
      <w:r>
        <w:rPr>
          <w:rFonts w:hint="eastAsia" w:ascii="宋体" w:hAnsi="宋体" w:cs="宋体"/>
          <w:color w:val="000000"/>
          <w:kern w:val="0"/>
          <w:sz w:val="32"/>
          <w:szCs w:val="32"/>
        </w:rPr>
        <w:t>授予中小企业合同金额</w:t>
      </w:r>
      <w:r>
        <w:rPr>
          <w:rFonts w:ascii="宋体" w:cs="宋体"/>
          <w:color w:val="000000"/>
          <w:kern w:val="0"/>
          <w:sz w:val="32"/>
          <w:szCs w:val="32"/>
        </w:rPr>
        <w:t>0</w:t>
      </w:r>
      <w:r>
        <w:rPr>
          <w:rFonts w:hint="eastAsia" w:ascii="宋体" w:hAnsi="宋体" w:cs="宋体"/>
          <w:color w:val="000000"/>
          <w:kern w:val="0"/>
          <w:sz w:val="32"/>
          <w:szCs w:val="32"/>
        </w:rPr>
        <w:t>万元，占政府采购支出总额的</w:t>
      </w:r>
      <w:r>
        <w:rPr>
          <w:rFonts w:ascii="宋体" w:hAnsi="宋体" w:cs="宋体"/>
          <w:color w:val="000000"/>
          <w:kern w:val="0"/>
          <w:sz w:val="32"/>
          <w:szCs w:val="32"/>
        </w:rPr>
        <w:t>0%</w:t>
      </w:r>
      <w:r>
        <w:rPr>
          <w:rFonts w:hint="eastAsia" w:ascii="宋体" w:hAnsi="宋体" w:cs="宋体"/>
          <w:color w:val="000000"/>
          <w:kern w:val="0"/>
          <w:sz w:val="32"/>
          <w:szCs w:val="32"/>
        </w:rPr>
        <w:t>，其中：授予小微企业合同金额</w:t>
      </w:r>
      <w:r>
        <w:rPr>
          <w:rFonts w:ascii="宋体" w:cs="宋体"/>
          <w:color w:val="000000"/>
          <w:kern w:val="0"/>
          <w:sz w:val="32"/>
          <w:szCs w:val="32"/>
        </w:rPr>
        <w:t>0</w:t>
      </w:r>
      <w:r>
        <w:rPr>
          <w:rFonts w:hint="eastAsia" w:ascii="宋体" w:hAnsi="宋体" w:cs="宋体"/>
          <w:color w:val="000000"/>
          <w:kern w:val="0"/>
          <w:sz w:val="32"/>
          <w:szCs w:val="32"/>
        </w:rPr>
        <w:t>万元，占政府采购支出总额的</w:t>
      </w:r>
      <w:r>
        <w:rPr>
          <w:rFonts w:ascii="宋体" w:hAnsi="宋体" w:cs="宋体"/>
          <w:color w:val="000000"/>
          <w:kern w:val="0"/>
          <w:sz w:val="32"/>
          <w:szCs w:val="32"/>
        </w:rPr>
        <w:t>0%</w:t>
      </w:r>
      <w:r>
        <w:rPr>
          <w:rFonts w:hint="eastAsia" w:ascii="宋体" w:hAnsi="宋体" w:cs="宋体"/>
          <w:color w:val="000000"/>
          <w:kern w:val="0"/>
          <w:sz w:val="32"/>
          <w:szCs w:val="32"/>
        </w:rPr>
        <w:t>。</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截至2019年12月31日，本单位共有车辆</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辆，其中，领导干部用车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辆、机要通信用车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辆、应急保障用车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辆、执法执勤用车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辆、特种专业技术用车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辆、其他用车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辆，；单位价值50万元以上通用设备</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台（套）；单位价值100万元以上专用设备</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台（套）。</w:t>
      </w: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widowControl/>
        <w:shd w:val="clear" w:color="auto" w:fill="FFFFFF"/>
        <w:spacing w:line="600" w:lineRule="atLeast"/>
        <w:ind w:firstLine="660"/>
        <w:jc w:val="left"/>
        <w:rPr>
          <w:rFonts w:ascii="??" w:hAnsi="??" w:cs="??"/>
          <w:color w:val="000000"/>
          <w:kern w:val="0"/>
          <w:sz w:val="30"/>
          <w:szCs w:val="30"/>
        </w:rPr>
      </w:pPr>
      <w:r>
        <w:rPr>
          <w:rFonts w:ascii="华文楷体" w:hAnsi="华文楷体" w:eastAsia="华文楷体" w:cs="华文楷体"/>
          <w:b/>
          <w:bCs/>
          <w:color w:val="000000"/>
          <w:kern w:val="0"/>
          <w:sz w:val="30"/>
          <w:szCs w:val="30"/>
        </w:rPr>
        <w:t>1</w:t>
      </w:r>
      <w:r>
        <w:rPr>
          <w:rFonts w:hint="eastAsia" w:ascii="华文楷体" w:hAnsi="华文楷体" w:eastAsia="华文楷体" w:cs="华文楷体"/>
          <w:b/>
          <w:bCs/>
          <w:color w:val="000000"/>
          <w:kern w:val="0"/>
          <w:sz w:val="30"/>
          <w:szCs w:val="30"/>
        </w:rPr>
        <w:t>、机关运行经费：</w:t>
      </w:r>
      <w:r>
        <w:rPr>
          <w:rFonts w:hint="eastAsia" w:ascii="??" w:hAnsi="??" w:cs="宋体"/>
          <w:color w:val="000000"/>
          <w:kern w:val="0"/>
          <w:sz w:val="30"/>
          <w:szCs w:val="30"/>
        </w:rPr>
        <w:t>是指各部门的公用经费，包括办公及印刷费、邮电费、差旅费、培训费、会议费、公务接待费、福利费、日常维修费、专用资料及一般设备购置费、办公用房水电费、办公用房取暖费、办公用房物业管理费、公务用车运行维护费以及其他费用。</w:t>
      </w:r>
    </w:p>
    <w:p>
      <w:pPr>
        <w:widowControl/>
        <w:shd w:val="clear" w:color="auto" w:fill="FFFFFF"/>
        <w:spacing w:line="600" w:lineRule="atLeast"/>
        <w:ind w:firstLine="660"/>
        <w:jc w:val="left"/>
        <w:rPr>
          <w:rFonts w:ascii="??" w:hAnsi="??" w:cs="??"/>
          <w:color w:val="000000"/>
          <w:kern w:val="0"/>
          <w:sz w:val="30"/>
          <w:szCs w:val="30"/>
        </w:rPr>
      </w:pPr>
      <w:r>
        <w:rPr>
          <w:rFonts w:ascii="华文楷体" w:hAnsi="华文楷体" w:eastAsia="华文楷体" w:cs="华文楷体"/>
          <w:b/>
          <w:bCs/>
          <w:color w:val="000000"/>
          <w:kern w:val="0"/>
          <w:sz w:val="30"/>
          <w:szCs w:val="30"/>
        </w:rPr>
        <w:t>2</w:t>
      </w:r>
      <w:r>
        <w:rPr>
          <w:rFonts w:hint="eastAsia" w:ascii="华文楷体" w:hAnsi="华文楷体" w:eastAsia="华文楷体" w:cs="华文楷体"/>
          <w:b/>
          <w:bCs/>
          <w:color w:val="000000"/>
          <w:kern w:val="0"/>
          <w:sz w:val="30"/>
          <w:szCs w:val="30"/>
        </w:rPr>
        <w:t>、“三公”经费：</w:t>
      </w:r>
      <w:r>
        <w:rPr>
          <w:rFonts w:hint="eastAsia" w:ascii="??" w:hAnsi="??" w:cs="宋体"/>
          <w:color w:val="000000"/>
          <w:kern w:val="0"/>
          <w:sz w:val="30"/>
          <w:szCs w:val="30"/>
        </w:rPr>
        <w:t>纳入财政预算管理的</w:t>
      </w:r>
      <w:r>
        <w:rPr>
          <w:rFonts w:ascii="??" w:hAnsi="??" w:cs="??"/>
          <w:color w:val="000000"/>
          <w:kern w:val="0"/>
          <w:sz w:val="30"/>
          <w:szCs w:val="30"/>
        </w:rPr>
        <w:t>“</w:t>
      </w:r>
      <w:r>
        <w:rPr>
          <w:rFonts w:hint="eastAsia" w:ascii="??" w:hAnsi="??" w:cs="宋体"/>
          <w:color w:val="000000"/>
          <w:kern w:val="0"/>
          <w:sz w:val="30"/>
          <w:szCs w:val="30"/>
        </w:rPr>
        <w:t>三公</w:t>
      </w:r>
      <w:r>
        <w:rPr>
          <w:rFonts w:ascii="??" w:hAnsi="??" w:cs="??"/>
          <w:color w:val="000000"/>
          <w:kern w:val="0"/>
          <w:sz w:val="30"/>
          <w:szCs w:val="30"/>
        </w:rPr>
        <w:t>“</w:t>
      </w:r>
      <w:r>
        <w:rPr>
          <w:rFonts w:hint="eastAsia" w:ascii="??" w:hAnsi="??" w:cs="宋体"/>
          <w:color w:val="000000"/>
          <w:kern w:val="0"/>
          <w:sz w:val="30"/>
          <w:szCs w:val="30"/>
        </w:rPr>
        <w:t>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pPr>
        <w:widowControl/>
        <w:ind w:firstLine="525"/>
        <w:jc w:val="left"/>
        <w:rPr>
          <w:rFonts w:ascii="宋体" w:cs="Times New Roman"/>
          <w:sz w:val="32"/>
          <w:szCs w:val="32"/>
        </w:rPr>
      </w:pPr>
      <w:r>
        <w:rPr>
          <w:rFonts w:ascii="宋体" w:hAnsi="宋体" w:cs="宋体"/>
          <w:b/>
          <w:sz w:val="32"/>
          <w:szCs w:val="32"/>
        </w:rPr>
        <w:t>3</w:t>
      </w:r>
      <w:r>
        <w:rPr>
          <w:rFonts w:hint="eastAsia" w:ascii="宋体" w:hAnsi="宋体" w:cs="宋体"/>
          <w:b/>
          <w:sz w:val="32"/>
          <w:szCs w:val="32"/>
        </w:rPr>
        <w:t>、固定资产</w:t>
      </w:r>
      <w:r>
        <w:rPr>
          <w:rFonts w:hint="eastAsia" w:ascii="宋体" w:hAnsi="宋体" w:cs="宋体"/>
          <w:sz w:val="32"/>
          <w:szCs w:val="32"/>
        </w:rPr>
        <w:t>：是指为生产商品、提供劳务、出租（非房产出租）或经营管理而持有，使用寿命超过一个会计年度的有形资产。</w:t>
      </w:r>
    </w:p>
    <w:p>
      <w:pPr>
        <w:widowControl/>
        <w:ind w:firstLine="525"/>
        <w:jc w:val="left"/>
        <w:rPr>
          <w:rFonts w:ascii="宋体" w:cs="Times New Roman"/>
          <w:kern w:val="0"/>
          <w:sz w:val="32"/>
          <w:szCs w:val="32"/>
        </w:rPr>
      </w:pPr>
      <w:r>
        <w:rPr>
          <w:rFonts w:ascii="宋体" w:hAnsi="宋体" w:cs="宋体"/>
          <w:b/>
          <w:kern w:val="0"/>
          <w:sz w:val="32"/>
          <w:szCs w:val="32"/>
        </w:rPr>
        <w:t>4</w:t>
      </w:r>
      <w:r>
        <w:rPr>
          <w:rFonts w:hint="eastAsia" w:ascii="宋体" w:hAnsi="宋体" w:cs="宋体"/>
          <w:b/>
          <w:kern w:val="0"/>
          <w:sz w:val="32"/>
          <w:szCs w:val="32"/>
        </w:rPr>
        <w:t>、财政拨款收入</w:t>
      </w:r>
      <w:r>
        <w:rPr>
          <w:rFonts w:hint="eastAsia" w:ascii="宋体" w:hAnsi="宋体" w:cs="宋体"/>
          <w:kern w:val="0"/>
          <w:sz w:val="32"/>
          <w:szCs w:val="32"/>
        </w:rPr>
        <w:t>：是指从同级财政部门取得的各项财政拨款。</w:t>
      </w:r>
    </w:p>
    <w:p>
      <w:pPr>
        <w:widowControl/>
        <w:spacing w:line="600" w:lineRule="exact"/>
        <w:ind w:firstLine="467" w:firstLineChars="146"/>
        <w:jc w:val="left"/>
        <w:rPr>
          <w:rFonts w:ascii="??_GB2312" w:hAnsi="??_GB2312" w:cs="Times New Roman"/>
          <w:kern w:val="0"/>
          <w:sz w:val="24"/>
          <w:szCs w:val="24"/>
        </w:rPr>
      </w:pPr>
      <w:r>
        <w:rPr>
          <w:rFonts w:ascii="宋体" w:hAnsi="宋体" w:cs="宋体"/>
          <w:b/>
          <w:kern w:val="0"/>
          <w:sz w:val="32"/>
          <w:szCs w:val="32"/>
        </w:rPr>
        <w:t>5</w:t>
      </w:r>
      <w:r>
        <w:rPr>
          <w:rFonts w:hint="eastAsia" w:ascii="宋体" w:hAnsi="宋体" w:cs="宋体"/>
          <w:b/>
          <w:kern w:val="0"/>
          <w:sz w:val="32"/>
          <w:szCs w:val="32"/>
        </w:rPr>
        <w:t>、财政拨款结转</w:t>
      </w:r>
      <w:r>
        <w:rPr>
          <w:rFonts w:hint="eastAsia" w:ascii="宋体" w:hAnsi="宋体" w:cs="宋体"/>
          <w:kern w:val="0"/>
          <w:sz w:val="32"/>
          <w:szCs w:val="32"/>
        </w:rPr>
        <w:t>：是指核算单位取得的同级财政拨款结转资金的调整、结转和滚存情况</w:t>
      </w:r>
      <w:r>
        <w:rPr>
          <w:rFonts w:hint="eastAsia" w:ascii="宋体" w:hAnsi="宋体" w:cs="宋体"/>
          <w:kern w:val="0"/>
          <w:sz w:val="24"/>
          <w:szCs w:val="24"/>
        </w:rPr>
        <w:t>。</w:t>
      </w:r>
    </w:p>
    <w:p>
      <w:pPr>
        <w:widowControl/>
        <w:jc w:val="left"/>
        <w:rPr>
          <w:rFonts w:asciiTheme="minorEastAsia" w:hAnsiTheme="minorEastAsia"/>
          <w:i/>
          <w:color w:val="FF0000"/>
          <w:sz w:val="32"/>
          <w:szCs w:val="32"/>
        </w:rPr>
      </w:pPr>
      <w:r>
        <w:rPr>
          <w:rFonts w:asciiTheme="minorEastAsia" w:hAnsiTheme="minorEastAsia"/>
          <w:i/>
          <w:color w:val="FF0000"/>
          <w:sz w:val="32"/>
          <w:szCs w:val="32"/>
        </w:rPr>
        <w:br w:type="page"/>
      </w: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ascii="黑体" w:eastAsia="黑体" w:cs="黑体"/>
          <w:color w:val="000000"/>
          <w:kern w:val="0"/>
          <w:sz w:val="70"/>
          <w:szCs w:val="70"/>
        </w:rPr>
      </w:pPr>
    </w:p>
    <w:p>
      <w:pPr>
        <w:adjustRightInd w:val="0"/>
        <w:spacing w:line="600" w:lineRule="exact"/>
        <w:jc w:val="center"/>
        <w:rPr>
          <w:rFonts w:eastAsia="方正小标宋_GBK"/>
          <w:sz w:val="36"/>
          <w:szCs w:val="36"/>
        </w:rPr>
      </w:pPr>
      <w:r>
        <w:rPr>
          <w:rFonts w:eastAsia="方正小标宋_GBK"/>
          <w:sz w:val="36"/>
          <w:szCs w:val="36"/>
        </w:rPr>
        <w:t>201</w:t>
      </w:r>
      <w:r>
        <w:rPr>
          <w:rFonts w:hint="eastAsia" w:eastAsia="方正小标宋_GBK"/>
          <w:sz w:val="36"/>
          <w:szCs w:val="36"/>
          <w:lang w:val="en-US" w:eastAsia="zh-CN"/>
        </w:rPr>
        <w:t>9</w:t>
      </w:r>
      <w:r>
        <w:rPr>
          <w:rFonts w:hint="eastAsia" w:eastAsia="方正小标宋_GBK"/>
          <w:sz w:val="36"/>
          <w:szCs w:val="36"/>
        </w:rPr>
        <w:t>年度</w:t>
      </w:r>
      <w:r>
        <w:rPr>
          <w:rFonts w:hint="eastAsia" w:eastAsia="方正小标宋_GBK"/>
          <w:sz w:val="36"/>
          <w:szCs w:val="36"/>
          <w:lang w:eastAsia="zh-CN"/>
        </w:rPr>
        <w:t>零陵区</w:t>
      </w:r>
      <w:r>
        <w:rPr>
          <w:rFonts w:hint="eastAsia" w:eastAsia="方正小标宋_GBK"/>
          <w:sz w:val="36"/>
          <w:szCs w:val="36"/>
          <w:lang w:val="en-US" w:eastAsia="zh-CN"/>
        </w:rPr>
        <w:t>重点办</w:t>
      </w:r>
      <w:r>
        <w:rPr>
          <w:rFonts w:hint="eastAsia" w:eastAsia="方正小标宋_GBK"/>
          <w:sz w:val="36"/>
          <w:szCs w:val="36"/>
        </w:rPr>
        <w:t>部门整体支出绩效评价报告</w:t>
      </w:r>
    </w:p>
    <w:p>
      <w:pPr>
        <w:adjustRightInd w:val="0"/>
        <w:spacing w:line="600" w:lineRule="exact"/>
        <w:rPr>
          <w:rFonts w:eastAsia="仿宋_GB2312"/>
          <w:sz w:val="32"/>
          <w:szCs w:val="32"/>
        </w:rPr>
      </w:pPr>
    </w:p>
    <w:p>
      <w:pPr>
        <w:widowControl/>
        <w:spacing w:line="480" w:lineRule="auto"/>
        <w:ind w:firstLine="600" w:firstLineChars="200"/>
        <w:jc w:val="left"/>
        <w:rPr>
          <w:rFonts w:hint="eastAsia" w:ascii="仿宋_GB2312" w:hAnsi="黑体" w:eastAsia="仿宋_GB2312" w:cs="宋体"/>
          <w:b w:val="0"/>
          <w:bCs/>
          <w:color w:val="000000"/>
          <w:kern w:val="0"/>
          <w:sz w:val="30"/>
          <w:szCs w:val="30"/>
        </w:rPr>
      </w:pPr>
      <w:r>
        <w:rPr>
          <w:rFonts w:hint="eastAsia" w:ascii="仿宋_GB2312" w:hAnsi="黑体" w:eastAsia="仿宋_GB2312" w:cs="宋体"/>
          <w:b w:val="0"/>
          <w:bCs/>
          <w:color w:val="000000"/>
          <w:kern w:val="0"/>
          <w:sz w:val="30"/>
          <w:szCs w:val="30"/>
          <w:lang w:val="en-US" w:eastAsia="zh-CN"/>
        </w:rPr>
        <w:t>根据《零陵区财政局关于开展2019年度部门整体支出绩效评价工作的通知》（零财绩〔2020〕1号）的文件精神</w:t>
      </w:r>
      <w:r>
        <w:rPr>
          <w:rFonts w:hint="default" w:ascii="仿宋_GB2312" w:hAnsi="黑体" w:eastAsia="仿宋_GB2312" w:cs="宋体"/>
          <w:b w:val="0"/>
          <w:bCs/>
          <w:color w:val="000000"/>
          <w:kern w:val="0"/>
          <w:sz w:val="30"/>
          <w:szCs w:val="30"/>
          <w:lang w:val="en-US" w:eastAsia="zh-CN"/>
        </w:rPr>
        <w:t>，我</w:t>
      </w:r>
      <w:r>
        <w:rPr>
          <w:rFonts w:hint="eastAsia" w:ascii="仿宋_GB2312" w:hAnsi="黑体" w:eastAsia="仿宋_GB2312" w:cs="宋体"/>
          <w:b w:val="0"/>
          <w:bCs/>
          <w:color w:val="000000"/>
          <w:kern w:val="0"/>
          <w:sz w:val="30"/>
          <w:szCs w:val="30"/>
          <w:lang w:val="en-US" w:eastAsia="zh-CN"/>
        </w:rPr>
        <w:t>办</w:t>
      </w:r>
      <w:r>
        <w:rPr>
          <w:rFonts w:hint="default" w:ascii="仿宋_GB2312" w:hAnsi="黑体" w:eastAsia="仿宋_GB2312" w:cs="宋体"/>
          <w:b w:val="0"/>
          <w:bCs/>
          <w:color w:val="000000"/>
          <w:kern w:val="0"/>
          <w:sz w:val="30"/>
          <w:szCs w:val="30"/>
          <w:lang w:val="en-US" w:eastAsia="zh-CN"/>
        </w:rPr>
        <w:t>对部门整体支出进行了绩效评价，现报告如下： </w:t>
      </w:r>
    </w:p>
    <w:p>
      <w:pPr>
        <w:numPr>
          <w:ilvl w:val="0"/>
          <w:numId w:val="3"/>
        </w:numPr>
        <w:adjustRightInd w:val="0"/>
        <w:snapToGrid w:val="0"/>
        <w:spacing w:line="600" w:lineRule="exact"/>
        <w:ind w:firstLine="640" w:firstLineChars="200"/>
        <w:rPr>
          <w:rFonts w:hint="eastAsia" w:eastAsia="黑体"/>
          <w:sz w:val="32"/>
          <w:szCs w:val="32"/>
        </w:rPr>
      </w:pPr>
      <w:r>
        <w:rPr>
          <w:rFonts w:hint="eastAsia" w:eastAsia="黑体"/>
          <w:sz w:val="32"/>
          <w:szCs w:val="32"/>
        </w:rPr>
        <w:t>部门概况</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零陵区重点办内设机构为1个：办公室。</w:t>
      </w:r>
    </w:p>
    <w:p>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Chars="200" w:right="0" w:rightChars="0"/>
        <w:jc w:val="left"/>
        <w:textAlignment w:val="auto"/>
        <w:outlineLvl w:val="9"/>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人员编制。</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本部门核定编制数5名，全额编制5名，实有人数3名。</w:t>
      </w:r>
    </w:p>
    <w:p>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Chars="200" w:right="0" w:rightChars="0"/>
        <w:jc w:val="left"/>
        <w:textAlignment w:val="auto"/>
        <w:outlineLvl w:val="9"/>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主要工作职能</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作为区人民政府工作部门，我办的主要职责为： </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（一）负责全区重大建设项目计划调度、稽查考核的日常管理工作。</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（二）研究拟定重大建设项目监督管理的具体规定和稽查考核办法。</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（三）组织、引导和协调区域经济合作。</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（四）承办市人民政府交办的其他事项。</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default" w:eastAsia="黑体"/>
          <w:sz w:val="32"/>
          <w:szCs w:val="32"/>
        </w:rPr>
      </w:pPr>
      <w:r>
        <w:rPr>
          <w:rFonts w:hint="default" w:eastAsia="黑体"/>
          <w:sz w:val="32"/>
          <w:szCs w:val="32"/>
        </w:rPr>
        <w:t>二、部门整体支出管理及使用情况 </w:t>
      </w:r>
    </w:p>
    <w:p>
      <w:pPr>
        <w:widowControl/>
        <w:spacing w:line="480" w:lineRule="auto"/>
        <w:ind w:firstLine="600" w:firstLineChars="200"/>
        <w:jc w:val="left"/>
        <w:rPr>
          <w:rFonts w:hint="default" w:ascii="仿宋_GB2312" w:hAnsi="黑体" w:eastAsia="仿宋_GB2312" w:cs="宋体"/>
          <w:b w:val="0"/>
          <w:bCs/>
          <w:color w:val="000000"/>
          <w:kern w:val="0"/>
          <w:sz w:val="30"/>
          <w:szCs w:val="30"/>
          <w:lang w:val="en-US" w:eastAsia="zh-CN"/>
        </w:rPr>
      </w:pPr>
      <w:r>
        <w:rPr>
          <w:rFonts w:hint="default" w:ascii="仿宋_GB2312" w:hAnsi="黑体" w:eastAsia="仿宋_GB2312" w:cs="宋体"/>
          <w:b w:val="0"/>
          <w:bCs/>
          <w:color w:val="000000"/>
          <w:kern w:val="0"/>
          <w:sz w:val="30"/>
          <w:szCs w:val="30"/>
          <w:lang w:val="en-US" w:eastAsia="zh-CN"/>
        </w:rPr>
        <w:t>（一）201</w:t>
      </w:r>
      <w:r>
        <w:rPr>
          <w:rFonts w:hint="eastAsia" w:ascii="仿宋_GB2312" w:hAnsi="黑体" w:eastAsia="仿宋_GB2312" w:cs="宋体"/>
          <w:b w:val="0"/>
          <w:bCs/>
          <w:color w:val="000000"/>
          <w:kern w:val="0"/>
          <w:sz w:val="30"/>
          <w:szCs w:val="30"/>
          <w:lang w:val="en-US" w:eastAsia="zh-CN"/>
        </w:rPr>
        <w:t>9</w:t>
      </w:r>
      <w:r>
        <w:rPr>
          <w:rFonts w:hint="default" w:ascii="仿宋_GB2312" w:hAnsi="黑体" w:eastAsia="仿宋_GB2312" w:cs="宋体"/>
          <w:b w:val="0"/>
          <w:bCs/>
          <w:color w:val="000000"/>
          <w:kern w:val="0"/>
          <w:sz w:val="30"/>
          <w:szCs w:val="30"/>
          <w:lang w:val="en-US" w:eastAsia="zh-CN"/>
        </w:rPr>
        <w:t>年部门预算情况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5"/>
        <w:jc w:val="both"/>
        <w:rPr>
          <w:rFonts w:hint="eastAsia" w:ascii="仿宋_GB2312" w:hAnsi="黑体" w:eastAsia="仿宋_GB2312" w:cs="宋体"/>
          <w:b w:val="0"/>
          <w:bCs/>
          <w:color w:val="000000"/>
          <w:kern w:val="0"/>
          <w:sz w:val="30"/>
          <w:szCs w:val="30"/>
          <w:lang w:val="en-US" w:eastAsia="zh-CN"/>
        </w:rPr>
      </w:pPr>
      <w:r>
        <w:rPr>
          <w:rFonts w:hint="default" w:ascii="仿宋_GB2312" w:hAnsi="黑体" w:eastAsia="仿宋_GB2312" w:cs="宋体"/>
          <w:b w:val="0"/>
          <w:bCs/>
          <w:color w:val="000000"/>
          <w:kern w:val="0"/>
          <w:sz w:val="30"/>
          <w:szCs w:val="30"/>
          <w:lang w:val="en-US" w:eastAsia="zh-CN"/>
        </w:rPr>
        <w:t>经</w:t>
      </w:r>
      <w:r>
        <w:rPr>
          <w:rFonts w:hint="eastAsia" w:ascii="仿宋_GB2312" w:hAnsi="黑体" w:eastAsia="仿宋_GB2312" w:cs="宋体"/>
          <w:b w:val="0"/>
          <w:bCs/>
          <w:color w:val="000000"/>
          <w:kern w:val="0"/>
          <w:sz w:val="30"/>
          <w:szCs w:val="30"/>
          <w:lang w:val="en-US" w:eastAsia="zh-CN"/>
        </w:rPr>
        <w:t>区级人大会议对</w:t>
      </w:r>
      <w:r>
        <w:rPr>
          <w:rFonts w:hint="default" w:ascii="仿宋_GB2312" w:hAnsi="黑体" w:eastAsia="仿宋_GB2312" w:cs="宋体"/>
          <w:b w:val="0"/>
          <w:bCs/>
          <w:color w:val="000000"/>
          <w:kern w:val="0"/>
          <w:sz w:val="30"/>
          <w:szCs w:val="30"/>
          <w:lang w:val="en-US" w:eastAsia="zh-CN"/>
        </w:rPr>
        <w:t>部门预算</w:t>
      </w:r>
      <w:r>
        <w:rPr>
          <w:rFonts w:hint="eastAsia" w:ascii="仿宋_GB2312" w:hAnsi="黑体" w:eastAsia="仿宋_GB2312" w:cs="宋体"/>
          <w:b w:val="0"/>
          <w:bCs/>
          <w:color w:val="000000"/>
          <w:kern w:val="0"/>
          <w:sz w:val="30"/>
          <w:szCs w:val="30"/>
          <w:lang w:val="en-US" w:eastAsia="zh-CN"/>
        </w:rPr>
        <w:t>的</w:t>
      </w:r>
      <w:r>
        <w:rPr>
          <w:rFonts w:hint="default" w:ascii="仿宋_GB2312" w:hAnsi="黑体" w:eastAsia="仿宋_GB2312" w:cs="宋体"/>
          <w:b w:val="0"/>
          <w:bCs/>
          <w:color w:val="000000"/>
          <w:kern w:val="0"/>
          <w:sz w:val="30"/>
          <w:szCs w:val="30"/>
          <w:lang w:val="en-US" w:eastAsia="zh-CN"/>
        </w:rPr>
        <w:t>批复，我</w:t>
      </w:r>
      <w:r>
        <w:rPr>
          <w:rFonts w:hint="eastAsia" w:ascii="仿宋_GB2312" w:hAnsi="黑体" w:eastAsia="仿宋_GB2312" w:cs="宋体"/>
          <w:b w:val="0"/>
          <w:bCs/>
          <w:color w:val="000000"/>
          <w:kern w:val="0"/>
          <w:sz w:val="30"/>
          <w:szCs w:val="30"/>
          <w:lang w:val="en-US" w:eastAsia="zh-CN"/>
        </w:rPr>
        <w:t>局</w:t>
      </w:r>
      <w:r>
        <w:rPr>
          <w:rFonts w:hint="default" w:ascii="仿宋_GB2312" w:hAnsi="黑体" w:eastAsia="仿宋_GB2312" w:cs="宋体"/>
          <w:b w:val="0"/>
          <w:bCs/>
          <w:color w:val="000000"/>
          <w:kern w:val="0"/>
          <w:sz w:val="30"/>
          <w:szCs w:val="30"/>
          <w:lang w:val="en-US" w:eastAsia="zh-CN"/>
        </w:rPr>
        <w:t>201</w:t>
      </w:r>
      <w:r>
        <w:rPr>
          <w:rFonts w:hint="eastAsia" w:ascii="仿宋_GB2312" w:hAnsi="黑体" w:eastAsia="仿宋_GB2312" w:cs="宋体"/>
          <w:b w:val="0"/>
          <w:bCs/>
          <w:color w:val="000000"/>
          <w:kern w:val="0"/>
          <w:sz w:val="30"/>
          <w:szCs w:val="30"/>
          <w:lang w:val="en-US" w:eastAsia="zh-CN"/>
        </w:rPr>
        <w:t>9</w:t>
      </w:r>
      <w:r>
        <w:rPr>
          <w:rFonts w:hint="default" w:ascii="仿宋_GB2312" w:hAnsi="黑体" w:eastAsia="仿宋_GB2312" w:cs="宋体"/>
          <w:b w:val="0"/>
          <w:bCs/>
          <w:color w:val="000000"/>
          <w:kern w:val="0"/>
          <w:sz w:val="30"/>
          <w:szCs w:val="30"/>
          <w:lang w:val="en-US" w:eastAsia="zh-CN"/>
        </w:rPr>
        <w:t>年年初收入预算</w:t>
      </w:r>
      <w:r>
        <w:rPr>
          <w:rFonts w:hint="eastAsia" w:ascii="仿宋_GB2312" w:hAnsi="黑体" w:eastAsia="仿宋_GB2312" w:cs="宋体"/>
          <w:b w:val="0"/>
          <w:bCs/>
          <w:color w:val="000000"/>
          <w:kern w:val="0"/>
          <w:sz w:val="30"/>
          <w:szCs w:val="30"/>
          <w:lang w:val="en-US" w:eastAsia="zh-CN"/>
        </w:rPr>
        <w:t>59.45</w:t>
      </w:r>
      <w:r>
        <w:rPr>
          <w:rFonts w:hint="default" w:ascii="仿宋_GB2312" w:hAnsi="黑体" w:eastAsia="仿宋_GB2312" w:cs="宋体"/>
          <w:b w:val="0"/>
          <w:bCs/>
          <w:color w:val="000000"/>
          <w:kern w:val="0"/>
          <w:sz w:val="30"/>
          <w:szCs w:val="30"/>
          <w:lang w:val="en-US" w:eastAsia="zh-CN"/>
        </w:rPr>
        <w:t>万元（其中：</w:t>
      </w:r>
      <w:r>
        <w:rPr>
          <w:rFonts w:hint="eastAsia" w:ascii="仿宋_GB2312" w:hAnsi="黑体" w:eastAsia="仿宋_GB2312" w:cs="宋体"/>
          <w:b w:val="0"/>
          <w:bCs/>
          <w:color w:val="000000"/>
          <w:kern w:val="0"/>
          <w:sz w:val="30"/>
          <w:szCs w:val="30"/>
          <w:lang w:val="en-US" w:eastAsia="zh-CN"/>
        </w:rPr>
        <w:t>一般预算拨算</w:t>
      </w:r>
      <w:r>
        <w:rPr>
          <w:rFonts w:hint="default" w:ascii="仿宋_GB2312" w:hAnsi="黑体" w:eastAsia="仿宋_GB2312" w:cs="宋体"/>
          <w:b w:val="0"/>
          <w:bCs/>
          <w:color w:val="000000"/>
          <w:kern w:val="0"/>
          <w:sz w:val="30"/>
          <w:szCs w:val="30"/>
          <w:lang w:val="en-US" w:eastAsia="zh-CN"/>
        </w:rPr>
        <w:t>拨款</w:t>
      </w:r>
      <w:r>
        <w:rPr>
          <w:rFonts w:hint="eastAsia" w:ascii="宋体" w:hAnsi="宋体" w:eastAsia="仿宋_GB2312" w:cs="宋体"/>
          <w:color w:val="000000"/>
          <w:kern w:val="0"/>
          <w:sz w:val="30"/>
          <w:szCs w:val="30"/>
          <w:lang w:val="en-US" w:eastAsia="zh-CN"/>
        </w:rPr>
        <w:t>59.45</w:t>
      </w:r>
      <w:r>
        <w:rPr>
          <w:rFonts w:hint="default" w:ascii="仿宋_GB2312" w:hAnsi="黑体" w:eastAsia="仿宋_GB2312" w:cs="宋体"/>
          <w:b w:val="0"/>
          <w:bCs/>
          <w:color w:val="000000"/>
          <w:kern w:val="0"/>
          <w:sz w:val="30"/>
          <w:szCs w:val="30"/>
          <w:lang w:val="en-US" w:eastAsia="zh-CN"/>
        </w:rPr>
        <w:t>万元）。年初支出总预算</w:t>
      </w:r>
      <w:r>
        <w:rPr>
          <w:rFonts w:hint="eastAsia" w:ascii="仿宋_GB2312" w:hAnsi="黑体" w:eastAsia="仿宋_GB2312" w:cs="宋体"/>
          <w:b w:val="0"/>
          <w:bCs/>
          <w:color w:val="000000"/>
          <w:kern w:val="0"/>
          <w:sz w:val="30"/>
          <w:szCs w:val="30"/>
          <w:lang w:val="en-US" w:eastAsia="zh-CN"/>
        </w:rPr>
        <w:t>59.45</w:t>
      </w:r>
      <w:r>
        <w:rPr>
          <w:rFonts w:hint="default" w:ascii="仿宋_GB2312" w:hAnsi="黑体" w:eastAsia="仿宋_GB2312" w:cs="宋体"/>
          <w:b w:val="0"/>
          <w:bCs/>
          <w:color w:val="000000"/>
          <w:kern w:val="0"/>
          <w:sz w:val="30"/>
          <w:szCs w:val="30"/>
          <w:lang w:val="en-US" w:eastAsia="zh-CN"/>
        </w:rPr>
        <w:t>万元，其中：基本支出</w:t>
      </w:r>
      <w:r>
        <w:rPr>
          <w:rFonts w:hint="eastAsia" w:ascii="宋体" w:hAnsi="宋体" w:eastAsia="仿宋_GB2312" w:cs="宋体"/>
          <w:color w:val="000000"/>
          <w:kern w:val="0"/>
          <w:sz w:val="30"/>
          <w:szCs w:val="30"/>
          <w:lang w:val="en-US" w:eastAsia="zh-CN"/>
        </w:rPr>
        <w:t>34.45</w:t>
      </w:r>
      <w:r>
        <w:rPr>
          <w:rFonts w:hint="default" w:ascii="仿宋_GB2312" w:hAnsi="黑体" w:eastAsia="仿宋_GB2312" w:cs="宋体"/>
          <w:b w:val="0"/>
          <w:bCs/>
          <w:color w:val="000000"/>
          <w:kern w:val="0"/>
          <w:sz w:val="30"/>
          <w:szCs w:val="30"/>
          <w:lang w:val="en-US" w:eastAsia="zh-CN"/>
        </w:rPr>
        <w:t>万元（工资福利支出</w:t>
      </w:r>
      <w:r>
        <w:rPr>
          <w:rFonts w:hint="eastAsia" w:ascii="宋体" w:hAnsi="宋体" w:eastAsia="仿宋_GB2312" w:cs="宋体"/>
          <w:color w:val="000000"/>
          <w:kern w:val="0"/>
          <w:sz w:val="30"/>
          <w:szCs w:val="30"/>
          <w:lang w:val="en-US" w:eastAsia="zh-CN"/>
        </w:rPr>
        <w:t>32.05</w:t>
      </w:r>
      <w:r>
        <w:rPr>
          <w:rFonts w:hint="default" w:ascii="仿宋_GB2312" w:hAnsi="黑体" w:eastAsia="仿宋_GB2312" w:cs="宋体"/>
          <w:b w:val="0"/>
          <w:bCs/>
          <w:color w:val="000000"/>
          <w:kern w:val="0"/>
          <w:sz w:val="30"/>
          <w:szCs w:val="30"/>
          <w:lang w:val="en-US" w:eastAsia="zh-CN"/>
        </w:rPr>
        <w:t>万元，商品和服务支出</w:t>
      </w:r>
      <w:r>
        <w:rPr>
          <w:rFonts w:hint="eastAsia" w:ascii="仿宋_GB2312" w:hAnsi="黑体" w:eastAsia="仿宋_GB2312" w:cs="宋体"/>
          <w:b w:val="0"/>
          <w:bCs/>
          <w:color w:val="000000"/>
          <w:kern w:val="0"/>
          <w:sz w:val="30"/>
          <w:szCs w:val="30"/>
          <w:lang w:val="en-US" w:eastAsia="zh-CN"/>
        </w:rPr>
        <w:t>2.4</w:t>
      </w:r>
      <w:r>
        <w:rPr>
          <w:rFonts w:hint="default" w:ascii="仿宋_GB2312" w:hAnsi="黑体" w:eastAsia="仿宋_GB2312" w:cs="宋体"/>
          <w:b w:val="0"/>
          <w:bCs/>
          <w:color w:val="000000"/>
          <w:kern w:val="0"/>
          <w:sz w:val="30"/>
          <w:szCs w:val="30"/>
          <w:lang w:val="en-US" w:eastAsia="zh-CN"/>
        </w:rPr>
        <w:t>万元，对个人和家庭补助支出</w:t>
      </w:r>
      <w:r>
        <w:rPr>
          <w:rFonts w:hint="eastAsia" w:ascii="仿宋_GB2312" w:hAnsi="黑体" w:eastAsia="仿宋_GB2312" w:cs="宋体"/>
          <w:b w:val="0"/>
          <w:bCs/>
          <w:color w:val="000000"/>
          <w:kern w:val="0"/>
          <w:sz w:val="30"/>
          <w:szCs w:val="30"/>
          <w:lang w:val="en-US" w:eastAsia="zh-CN"/>
        </w:rPr>
        <w:t>0</w:t>
      </w:r>
      <w:r>
        <w:rPr>
          <w:rFonts w:hint="default" w:ascii="仿宋_GB2312" w:hAnsi="黑体" w:eastAsia="仿宋_GB2312" w:cs="宋体"/>
          <w:b w:val="0"/>
          <w:bCs/>
          <w:color w:val="000000"/>
          <w:kern w:val="0"/>
          <w:sz w:val="30"/>
          <w:szCs w:val="30"/>
          <w:lang w:val="en-US" w:eastAsia="zh-CN"/>
        </w:rPr>
        <w:t>万元</w:t>
      </w:r>
      <w:r>
        <w:rPr>
          <w:rFonts w:hint="eastAsia" w:ascii="仿宋_GB2312" w:hAnsi="黑体" w:eastAsia="仿宋_GB2312" w:cs="宋体"/>
          <w:b w:val="0"/>
          <w:bCs/>
          <w:color w:val="000000"/>
          <w:kern w:val="0"/>
          <w:sz w:val="30"/>
          <w:szCs w:val="30"/>
          <w:lang w:val="en-US" w:eastAsia="zh-CN"/>
        </w:rPr>
        <w:t>,</w:t>
      </w:r>
      <w:r>
        <w:rPr>
          <w:rFonts w:hint="default" w:ascii="仿宋_GB2312" w:hAnsi="黑体" w:eastAsia="仿宋_GB2312" w:cs="宋体"/>
          <w:b w:val="0"/>
          <w:bCs/>
          <w:color w:val="000000"/>
          <w:kern w:val="0"/>
          <w:sz w:val="30"/>
          <w:szCs w:val="30"/>
          <w:lang w:val="en-US" w:eastAsia="zh-CN"/>
        </w:rPr>
        <w:t>201</w:t>
      </w:r>
      <w:r>
        <w:rPr>
          <w:rFonts w:hint="eastAsia" w:ascii="仿宋_GB2312" w:hAnsi="黑体" w:eastAsia="仿宋_GB2312" w:cs="宋体"/>
          <w:b w:val="0"/>
          <w:bCs/>
          <w:color w:val="000000"/>
          <w:kern w:val="0"/>
          <w:sz w:val="30"/>
          <w:szCs w:val="30"/>
          <w:lang w:val="en-US" w:eastAsia="zh-CN"/>
        </w:rPr>
        <w:t>9</w:t>
      </w:r>
      <w:r>
        <w:rPr>
          <w:rFonts w:hint="default" w:ascii="仿宋_GB2312" w:hAnsi="黑体" w:eastAsia="仿宋_GB2312" w:cs="宋体"/>
          <w:b w:val="0"/>
          <w:bCs/>
          <w:color w:val="000000"/>
          <w:kern w:val="0"/>
          <w:sz w:val="30"/>
          <w:szCs w:val="30"/>
          <w:lang w:val="en-US" w:eastAsia="zh-CN"/>
        </w:rPr>
        <w:t>年项目支出</w:t>
      </w:r>
      <w:r>
        <w:rPr>
          <w:rFonts w:hint="eastAsia" w:ascii="仿宋_GB2312" w:hAnsi="黑体" w:eastAsia="仿宋_GB2312" w:cs="宋体"/>
          <w:b w:val="0"/>
          <w:bCs/>
          <w:color w:val="000000"/>
          <w:kern w:val="0"/>
          <w:sz w:val="30"/>
          <w:szCs w:val="30"/>
          <w:lang w:val="en-US" w:eastAsia="zh-CN"/>
        </w:rPr>
        <w:t>25</w:t>
      </w:r>
      <w:r>
        <w:rPr>
          <w:rFonts w:hint="default" w:ascii="仿宋_GB2312" w:hAnsi="黑体" w:eastAsia="仿宋_GB2312" w:cs="宋体"/>
          <w:b w:val="0"/>
          <w:bCs/>
          <w:color w:val="000000"/>
          <w:kern w:val="0"/>
          <w:sz w:val="30"/>
          <w:szCs w:val="30"/>
          <w:lang w:val="en-US" w:eastAsia="zh-CN"/>
        </w:rPr>
        <w:t>万元</w:t>
      </w:r>
      <w:r>
        <w:rPr>
          <w:rFonts w:hint="eastAsia" w:ascii="仿宋_GB2312" w:hAnsi="黑体" w:eastAsia="仿宋_GB2312" w:cs="宋体"/>
          <w:b w:val="0"/>
          <w:bCs/>
          <w:color w:val="000000"/>
          <w:kern w:val="0"/>
          <w:sz w:val="30"/>
          <w:szCs w:val="30"/>
          <w:lang w:val="en-US" w:eastAsia="zh-CN"/>
        </w:rPr>
        <w:t>。</w:t>
      </w:r>
    </w:p>
    <w:p>
      <w:pPr>
        <w:widowControl/>
        <w:spacing w:line="480" w:lineRule="auto"/>
        <w:ind w:firstLine="600" w:firstLineChars="200"/>
        <w:jc w:val="left"/>
        <w:rPr>
          <w:rFonts w:hint="eastAsia" w:ascii="仿宋_GB2312" w:hAnsi="黑体" w:eastAsia="仿宋_GB2312" w:cs="宋体"/>
          <w:b w:val="0"/>
          <w:bCs/>
          <w:color w:val="000000"/>
          <w:kern w:val="0"/>
          <w:sz w:val="30"/>
          <w:szCs w:val="30"/>
          <w:highlight w:val="none"/>
          <w:lang w:val="en-US" w:eastAsia="zh-CN"/>
        </w:rPr>
      </w:pPr>
      <w:r>
        <w:rPr>
          <w:rFonts w:hint="default" w:ascii="仿宋_GB2312" w:hAnsi="黑体" w:eastAsia="仿宋_GB2312" w:cs="宋体"/>
          <w:b w:val="0"/>
          <w:bCs/>
          <w:color w:val="000000"/>
          <w:kern w:val="0"/>
          <w:sz w:val="30"/>
          <w:szCs w:val="30"/>
          <w:highlight w:val="none"/>
          <w:lang w:val="en-US" w:eastAsia="zh-CN"/>
        </w:rPr>
        <w:t>201</w:t>
      </w:r>
      <w:r>
        <w:rPr>
          <w:rFonts w:hint="eastAsia" w:ascii="仿宋_GB2312" w:hAnsi="黑体" w:eastAsia="仿宋_GB2312" w:cs="宋体"/>
          <w:b w:val="0"/>
          <w:bCs/>
          <w:color w:val="000000"/>
          <w:kern w:val="0"/>
          <w:sz w:val="30"/>
          <w:szCs w:val="30"/>
          <w:highlight w:val="none"/>
          <w:lang w:val="en-US" w:eastAsia="zh-CN"/>
        </w:rPr>
        <w:t>9</w:t>
      </w:r>
      <w:r>
        <w:rPr>
          <w:rFonts w:hint="default" w:ascii="仿宋_GB2312" w:hAnsi="黑体" w:eastAsia="仿宋_GB2312" w:cs="宋体"/>
          <w:b w:val="0"/>
          <w:bCs/>
          <w:color w:val="000000"/>
          <w:kern w:val="0"/>
          <w:sz w:val="30"/>
          <w:szCs w:val="30"/>
          <w:highlight w:val="none"/>
          <w:lang w:val="en-US" w:eastAsia="zh-CN"/>
        </w:rPr>
        <w:t>年收入预算调整数</w:t>
      </w:r>
      <w:r>
        <w:rPr>
          <w:rFonts w:hint="eastAsia" w:ascii="仿宋_GB2312" w:hAnsi="黑体" w:eastAsia="仿宋_GB2312" w:cs="宋体"/>
          <w:b w:val="0"/>
          <w:bCs/>
          <w:color w:val="000000"/>
          <w:kern w:val="0"/>
          <w:sz w:val="30"/>
          <w:szCs w:val="30"/>
          <w:highlight w:val="none"/>
          <w:lang w:val="en-US" w:eastAsia="zh-CN"/>
        </w:rPr>
        <w:t>188.39</w:t>
      </w:r>
      <w:r>
        <w:rPr>
          <w:rFonts w:hint="default" w:ascii="仿宋_GB2312" w:hAnsi="黑体" w:eastAsia="仿宋_GB2312" w:cs="宋体"/>
          <w:b w:val="0"/>
          <w:bCs/>
          <w:color w:val="000000"/>
          <w:kern w:val="0"/>
          <w:sz w:val="30"/>
          <w:szCs w:val="30"/>
          <w:highlight w:val="none"/>
          <w:lang w:val="en-US" w:eastAsia="zh-CN"/>
        </w:rPr>
        <w:t>万元，其中财政拨款收入调整预算数</w:t>
      </w:r>
      <w:r>
        <w:rPr>
          <w:rFonts w:hint="eastAsia" w:ascii="仿宋_GB2312" w:hAnsi="黑体" w:eastAsia="仿宋_GB2312" w:cs="宋体"/>
          <w:b w:val="0"/>
          <w:bCs/>
          <w:color w:val="000000"/>
          <w:kern w:val="0"/>
          <w:sz w:val="30"/>
          <w:szCs w:val="30"/>
          <w:highlight w:val="none"/>
          <w:lang w:val="en-US" w:eastAsia="zh-CN"/>
        </w:rPr>
        <w:t>188.39</w:t>
      </w:r>
      <w:r>
        <w:rPr>
          <w:rFonts w:hint="default" w:ascii="仿宋_GB2312" w:hAnsi="黑体" w:eastAsia="仿宋_GB2312" w:cs="宋体"/>
          <w:b w:val="0"/>
          <w:bCs/>
          <w:color w:val="000000"/>
          <w:kern w:val="0"/>
          <w:sz w:val="30"/>
          <w:szCs w:val="30"/>
          <w:highlight w:val="none"/>
          <w:lang w:val="en-US" w:eastAsia="zh-CN"/>
        </w:rPr>
        <w:t>万元。支出预算调整数</w:t>
      </w:r>
      <w:r>
        <w:rPr>
          <w:rFonts w:hint="eastAsia" w:ascii="仿宋_GB2312" w:hAnsi="黑体" w:eastAsia="仿宋_GB2312" w:cs="宋体"/>
          <w:b w:val="0"/>
          <w:bCs/>
          <w:color w:val="000000"/>
          <w:kern w:val="0"/>
          <w:sz w:val="30"/>
          <w:szCs w:val="30"/>
          <w:highlight w:val="none"/>
          <w:lang w:val="en-US" w:eastAsia="zh-CN"/>
        </w:rPr>
        <w:t>188.39</w:t>
      </w:r>
      <w:r>
        <w:rPr>
          <w:rFonts w:hint="default" w:ascii="仿宋_GB2312" w:hAnsi="黑体" w:eastAsia="仿宋_GB2312" w:cs="宋体"/>
          <w:b w:val="0"/>
          <w:bCs/>
          <w:color w:val="000000"/>
          <w:kern w:val="0"/>
          <w:sz w:val="30"/>
          <w:szCs w:val="30"/>
          <w:highlight w:val="none"/>
          <w:lang w:val="en-US" w:eastAsia="zh-CN"/>
        </w:rPr>
        <w:t>万元，与年初预算安排的差额主要</w:t>
      </w:r>
      <w:r>
        <w:rPr>
          <w:rFonts w:hint="eastAsia" w:ascii="仿宋_GB2312" w:hAnsi="黑体" w:eastAsia="仿宋_GB2312" w:cs="宋体"/>
          <w:b w:val="0"/>
          <w:bCs/>
          <w:color w:val="000000"/>
          <w:kern w:val="0"/>
          <w:sz w:val="30"/>
          <w:szCs w:val="30"/>
          <w:highlight w:val="none"/>
          <w:lang w:val="en-US" w:eastAsia="zh-CN"/>
        </w:rPr>
        <w:t>人员工资增加、追加2017年重点项目奖励以及重点项目协调小组资金增拨。</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52"/>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（二）201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年部门决算情况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1"/>
        <w:jc w:val="both"/>
        <w:rPr>
          <w:rFonts w:hint="eastAsia"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年度决算总收入</w:t>
      </w:r>
      <w:r>
        <w:rPr>
          <w:rFonts w:hint="eastAsia" w:ascii="仿宋_GB2312" w:hAnsi="黑体" w:eastAsia="仿宋_GB2312" w:cs="宋体"/>
          <w:b w:val="0"/>
          <w:bCs/>
          <w:color w:val="000000"/>
          <w:kern w:val="0"/>
          <w:sz w:val="30"/>
          <w:szCs w:val="30"/>
          <w:lang w:val="en-US" w:eastAsia="zh-CN" w:bidi="ar-SA"/>
        </w:rPr>
        <w:t>188.39</w:t>
      </w:r>
      <w:r>
        <w:rPr>
          <w:rFonts w:hint="default" w:ascii="仿宋_GB2312" w:hAnsi="黑体" w:eastAsia="仿宋_GB2312" w:cs="宋体"/>
          <w:b w:val="0"/>
          <w:bCs/>
          <w:color w:val="000000"/>
          <w:kern w:val="0"/>
          <w:sz w:val="30"/>
          <w:szCs w:val="30"/>
          <w:lang w:val="en-US" w:eastAsia="zh-CN" w:bidi="ar-SA"/>
        </w:rPr>
        <w:t>元。201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年度决算总支出</w:t>
      </w:r>
      <w:r>
        <w:rPr>
          <w:rFonts w:hint="eastAsia" w:ascii="仿宋_GB2312" w:hAnsi="黑体" w:eastAsia="仿宋_GB2312" w:cs="宋体"/>
          <w:b w:val="0"/>
          <w:bCs/>
          <w:color w:val="000000"/>
          <w:kern w:val="0"/>
          <w:sz w:val="30"/>
          <w:szCs w:val="30"/>
          <w:lang w:val="en-US" w:eastAsia="zh-CN" w:bidi="ar-SA"/>
        </w:rPr>
        <w:t>188.39</w:t>
      </w:r>
      <w:r>
        <w:rPr>
          <w:rFonts w:hint="default" w:ascii="仿宋_GB2312" w:hAnsi="黑体" w:eastAsia="仿宋_GB2312" w:cs="宋体"/>
          <w:b w:val="0"/>
          <w:bCs/>
          <w:color w:val="000000"/>
          <w:kern w:val="0"/>
          <w:sz w:val="30"/>
          <w:szCs w:val="30"/>
          <w:lang w:val="en-US" w:eastAsia="zh-CN" w:bidi="ar-SA"/>
        </w:rPr>
        <w:t>万元，其中：基本支出</w:t>
      </w:r>
      <w:r>
        <w:rPr>
          <w:rFonts w:hint="eastAsia" w:ascii="仿宋_GB2312" w:hAnsi="黑体" w:eastAsia="仿宋_GB2312" w:cs="宋体"/>
          <w:b w:val="0"/>
          <w:bCs/>
          <w:color w:val="000000"/>
          <w:kern w:val="0"/>
          <w:sz w:val="30"/>
          <w:szCs w:val="30"/>
          <w:lang w:val="en-US" w:eastAsia="zh-CN" w:bidi="ar-SA"/>
        </w:rPr>
        <w:t>163.39</w:t>
      </w:r>
      <w:r>
        <w:rPr>
          <w:rFonts w:hint="default" w:ascii="仿宋_GB2312" w:hAnsi="黑体" w:eastAsia="仿宋_GB2312" w:cs="宋体"/>
          <w:b w:val="0"/>
          <w:bCs/>
          <w:color w:val="000000"/>
          <w:kern w:val="0"/>
          <w:sz w:val="30"/>
          <w:szCs w:val="30"/>
          <w:lang w:val="en-US" w:eastAsia="zh-CN" w:bidi="ar-SA"/>
        </w:rPr>
        <w:t>万元，占总支出的</w:t>
      </w:r>
      <w:r>
        <w:rPr>
          <w:rFonts w:hint="eastAsia" w:ascii="仿宋_GB2312" w:hAnsi="黑体" w:eastAsia="仿宋_GB2312" w:cs="宋体"/>
          <w:b w:val="0"/>
          <w:bCs/>
          <w:color w:val="000000"/>
          <w:kern w:val="0"/>
          <w:sz w:val="30"/>
          <w:szCs w:val="30"/>
          <w:lang w:val="en-US" w:eastAsia="zh-CN" w:bidi="ar-SA"/>
        </w:rPr>
        <w:t>86.73</w:t>
      </w:r>
      <w:r>
        <w:rPr>
          <w:rFonts w:hint="default" w:ascii="仿宋_GB2312" w:hAnsi="黑体" w:eastAsia="仿宋_GB2312" w:cs="宋体"/>
          <w:b w:val="0"/>
          <w:bCs/>
          <w:color w:val="000000"/>
          <w:kern w:val="0"/>
          <w:sz w:val="30"/>
          <w:szCs w:val="30"/>
          <w:lang w:val="en-US" w:eastAsia="zh-CN" w:bidi="ar-SA"/>
        </w:rPr>
        <w:t>%；项目支出</w:t>
      </w:r>
      <w:r>
        <w:rPr>
          <w:rFonts w:hint="eastAsia" w:ascii="仿宋_GB2312" w:hAnsi="黑体" w:eastAsia="仿宋_GB2312" w:cs="宋体"/>
          <w:b w:val="0"/>
          <w:bCs/>
          <w:color w:val="000000"/>
          <w:kern w:val="0"/>
          <w:sz w:val="30"/>
          <w:szCs w:val="30"/>
          <w:lang w:val="en-US" w:eastAsia="zh-CN" w:bidi="ar-SA"/>
        </w:rPr>
        <w:t>25</w:t>
      </w:r>
      <w:r>
        <w:rPr>
          <w:rFonts w:hint="default" w:ascii="仿宋_GB2312" w:hAnsi="黑体" w:eastAsia="仿宋_GB2312" w:cs="宋体"/>
          <w:b w:val="0"/>
          <w:bCs/>
          <w:color w:val="000000"/>
          <w:kern w:val="0"/>
          <w:sz w:val="30"/>
          <w:szCs w:val="30"/>
          <w:lang w:val="en-US" w:eastAsia="zh-CN" w:bidi="ar-SA"/>
        </w:rPr>
        <w:t>万元，占总支出的</w:t>
      </w:r>
      <w:r>
        <w:rPr>
          <w:rFonts w:hint="eastAsia" w:ascii="仿宋_GB2312" w:hAnsi="黑体" w:eastAsia="仿宋_GB2312" w:cs="宋体"/>
          <w:b w:val="0"/>
          <w:bCs/>
          <w:color w:val="000000"/>
          <w:kern w:val="0"/>
          <w:sz w:val="30"/>
          <w:szCs w:val="30"/>
          <w:lang w:val="en-US" w:eastAsia="zh-CN" w:bidi="ar-SA"/>
        </w:rPr>
        <w:t>13.27</w:t>
      </w:r>
      <w:r>
        <w:rPr>
          <w:rFonts w:hint="default" w:ascii="仿宋_GB2312" w:hAnsi="黑体" w:eastAsia="仿宋_GB2312" w:cs="宋体"/>
          <w:b w:val="0"/>
          <w:bCs/>
          <w:color w:val="000000"/>
          <w:kern w:val="0"/>
          <w:sz w:val="30"/>
          <w:szCs w:val="30"/>
          <w:lang w:val="en-US" w:eastAsia="zh-CN" w:bidi="ar-SA"/>
        </w:rPr>
        <w:t>%。</w:t>
      </w:r>
      <w:r>
        <w:rPr>
          <w:rFonts w:hint="eastAsia" w:ascii="仿宋_GB2312" w:hAnsi="黑体" w:eastAsia="仿宋_GB2312" w:cs="宋体"/>
          <w:b w:val="0"/>
          <w:bCs/>
          <w:color w:val="000000"/>
          <w:kern w:val="0"/>
          <w:sz w:val="30"/>
          <w:szCs w:val="30"/>
          <w:lang w:val="en-US" w:eastAsia="zh-CN" w:bidi="ar-SA"/>
        </w:rPr>
        <w:t>上年无结余。</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1"/>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（三）201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年支出分类情况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1、基本支出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eastAsia"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基本支出系保障我</w:t>
      </w:r>
      <w:r>
        <w:rPr>
          <w:rFonts w:hint="eastAsia" w:ascii="仿宋_GB2312" w:hAnsi="黑体" w:eastAsia="仿宋_GB2312" w:cs="宋体"/>
          <w:b w:val="0"/>
          <w:bCs/>
          <w:color w:val="000000"/>
          <w:kern w:val="0"/>
          <w:sz w:val="30"/>
          <w:szCs w:val="30"/>
          <w:lang w:val="en-US" w:eastAsia="zh-CN" w:bidi="ar-SA"/>
        </w:rPr>
        <w:t>办</w:t>
      </w:r>
      <w:r>
        <w:rPr>
          <w:rFonts w:hint="default" w:ascii="仿宋_GB2312" w:hAnsi="黑体" w:eastAsia="仿宋_GB2312" w:cs="宋体"/>
          <w:b w:val="0"/>
          <w:bCs/>
          <w:color w:val="000000"/>
          <w:kern w:val="0"/>
          <w:sz w:val="30"/>
          <w:szCs w:val="30"/>
          <w:lang w:val="en-US" w:eastAsia="zh-CN" w:bidi="ar-SA"/>
        </w:rPr>
        <w:t>机构正常运转、完成日常工作任务而发生的各项支出，包括用于在职人员基本工资、津贴补贴</w:t>
      </w:r>
      <w:r>
        <w:rPr>
          <w:rFonts w:hint="eastAsia" w:ascii="仿宋_GB2312" w:hAnsi="黑体" w:eastAsia="仿宋_GB2312" w:cs="宋体"/>
          <w:b w:val="0"/>
          <w:bCs/>
          <w:color w:val="000000"/>
          <w:kern w:val="0"/>
          <w:sz w:val="30"/>
          <w:szCs w:val="30"/>
          <w:lang w:val="en-US" w:eastAsia="zh-CN" w:bidi="ar-SA"/>
        </w:rPr>
        <w:t>、奖金</w:t>
      </w:r>
      <w:r>
        <w:rPr>
          <w:rFonts w:hint="default" w:ascii="仿宋_GB2312" w:hAnsi="黑体" w:eastAsia="仿宋_GB2312" w:cs="宋体"/>
          <w:b w:val="0"/>
          <w:bCs/>
          <w:color w:val="000000"/>
          <w:kern w:val="0"/>
          <w:sz w:val="30"/>
          <w:szCs w:val="30"/>
          <w:lang w:val="en-US" w:eastAsia="zh-CN" w:bidi="ar-SA"/>
        </w:rPr>
        <w:t>等人员经费以及办公费、印刷费</w:t>
      </w:r>
      <w:r>
        <w:rPr>
          <w:rFonts w:hint="eastAsia" w:ascii="仿宋_GB2312" w:hAnsi="黑体" w:eastAsia="仿宋_GB2312" w:cs="宋体"/>
          <w:b w:val="0"/>
          <w:bCs/>
          <w:color w:val="000000"/>
          <w:kern w:val="0"/>
          <w:sz w:val="30"/>
          <w:szCs w:val="30"/>
          <w:lang w:val="en-US" w:eastAsia="zh-CN" w:bidi="ar-SA"/>
        </w:rPr>
        <w:t>、其他</w:t>
      </w:r>
      <w:r>
        <w:rPr>
          <w:rFonts w:hint="default" w:ascii="仿宋_GB2312" w:hAnsi="黑体" w:eastAsia="仿宋_GB2312" w:cs="宋体"/>
          <w:b w:val="0"/>
          <w:bCs/>
          <w:color w:val="000000"/>
          <w:kern w:val="0"/>
          <w:sz w:val="30"/>
          <w:szCs w:val="30"/>
          <w:lang w:val="en-US" w:eastAsia="zh-CN" w:bidi="ar-SA"/>
        </w:rPr>
        <w:t>等日常公用经费。201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年基本支出</w:t>
      </w:r>
      <w:r>
        <w:rPr>
          <w:rFonts w:hint="eastAsia" w:ascii="仿宋_GB2312" w:hAnsi="黑体" w:eastAsia="仿宋_GB2312" w:cs="宋体"/>
          <w:b w:val="0"/>
          <w:bCs/>
          <w:color w:val="000000"/>
          <w:kern w:val="0"/>
          <w:sz w:val="30"/>
          <w:szCs w:val="30"/>
          <w:lang w:val="en-US" w:eastAsia="zh-CN" w:bidi="ar-SA"/>
        </w:rPr>
        <w:t>163.39</w:t>
      </w:r>
      <w:r>
        <w:rPr>
          <w:rFonts w:hint="default" w:ascii="仿宋_GB2312" w:hAnsi="黑体" w:eastAsia="仿宋_GB2312" w:cs="宋体"/>
          <w:b w:val="0"/>
          <w:bCs/>
          <w:color w:val="000000"/>
          <w:kern w:val="0"/>
          <w:sz w:val="30"/>
          <w:szCs w:val="30"/>
          <w:lang w:val="en-US" w:eastAsia="zh-CN" w:bidi="ar-SA"/>
        </w:rPr>
        <w:t>万元。基本支出中人员经费</w:t>
      </w:r>
      <w:r>
        <w:rPr>
          <w:rFonts w:hint="eastAsia" w:ascii="仿宋_GB2312" w:hAnsi="黑体" w:eastAsia="仿宋_GB2312" w:cs="宋体"/>
          <w:b w:val="0"/>
          <w:bCs/>
          <w:color w:val="000000"/>
          <w:kern w:val="0"/>
          <w:sz w:val="30"/>
          <w:szCs w:val="30"/>
          <w:lang w:val="en-US" w:eastAsia="zh-CN" w:bidi="ar-SA"/>
        </w:rPr>
        <w:t>144.88</w:t>
      </w:r>
      <w:r>
        <w:rPr>
          <w:rFonts w:hint="default" w:ascii="仿宋_GB2312" w:hAnsi="黑体" w:eastAsia="仿宋_GB2312" w:cs="宋体"/>
          <w:b w:val="0"/>
          <w:bCs/>
          <w:color w:val="000000"/>
          <w:kern w:val="0"/>
          <w:sz w:val="30"/>
          <w:szCs w:val="30"/>
          <w:lang w:val="en-US" w:eastAsia="zh-CN" w:bidi="ar-SA"/>
        </w:rPr>
        <w:t>万元，占基本支出的</w:t>
      </w:r>
      <w:r>
        <w:rPr>
          <w:rFonts w:hint="eastAsia" w:ascii="仿宋_GB2312" w:hAnsi="黑体" w:eastAsia="仿宋_GB2312" w:cs="宋体"/>
          <w:b w:val="0"/>
          <w:bCs/>
          <w:color w:val="000000"/>
          <w:kern w:val="0"/>
          <w:sz w:val="30"/>
          <w:szCs w:val="30"/>
          <w:lang w:val="en-US" w:eastAsia="zh-CN" w:bidi="ar-SA"/>
        </w:rPr>
        <w:t>88.67</w:t>
      </w:r>
      <w:r>
        <w:rPr>
          <w:rFonts w:hint="default" w:ascii="仿宋_GB2312" w:hAnsi="黑体" w:eastAsia="仿宋_GB2312" w:cs="宋体"/>
          <w:b w:val="0"/>
          <w:bCs/>
          <w:color w:val="000000"/>
          <w:kern w:val="0"/>
          <w:sz w:val="30"/>
          <w:szCs w:val="30"/>
          <w:lang w:val="en-US" w:eastAsia="zh-CN" w:bidi="ar-SA"/>
        </w:rPr>
        <w:t>%，日常公用经费</w:t>
      </w:r>
      <w:r>
        <w:rPr>
          <w:rFonts w:hint="eastAsia" w:ascii="仿宋_GB2312" w:hAnsi="黑体" w:eastAsia="仿宋_GB2312" w:cs="宋体"/>
          <w:b w:val="0"/>
          <w:bCs/>
          <w:color w:val="000000"/>
          <w:kern w:val="0"/>
          <w:sz w:val="30"/>
          <w:szCs w:val="30"/>
          <w:lang w:val="en-US" w:eastAsia="zh-CN" w:bidi="ar-SA"/>
        </w:rPr>
        <w:t>18.51</w:t>
      </w:r>
      <w:r>
        <w:rPr>
          <w:rFonts w:hint="default" w:ascii="仿宋_GB2312" w:hAnsi="黑体" w:eastAsia="仿宋_GB2312" w:cs="宋体"/>
          <w:b w:val="0"/>
          <w:bCs/>
          <w:color w:val="000000"/>
          <w:kern w:val="0"/>
          <w:sz w:val="30"/>
          <w:szCs w:val="30"/>
          <w:lang w:val="en-US" w:eastAsia="zh-CN" w:bidi="ar-SA"/>
        </w:rPr>
        <w:t>万元，占基本支出的</w:t>
      </w:r>
      <w:r>
        <w:rPr>
          <w:rFonts w:hint="eastAsia" w:ascii="仿宋_GB2312" w:hAnsi="黑体" w:eastAsia="仿宋_GB2312" w:cs="宋体"/>
          <w:b w:val="0"/>
          <w:bCs/>
          <w:color w:val="000000"/>
          <w:kern w:val="0"/>
          <w:sz w:val="30"/>
          <w:szCs w:val="30"/>
          <w:lang w:val="en-US" w:eastAsia="zh-CN" w:bidi="ar-SA"/>
        </w:rPr>
        <w:t>11.33</w:t>
      </w:r>
      <w:r>
        <w:rPr>
          <w:rFonts w:hint="default" w:ascii="仿宋_GB2312" w:hAnsi="黑体" w:eastAsia="仿宋_GB2312" w:cs="宋体"/>
          <w:b w:val="0"/>
          <w:bCs/>
          <w:color w:val="000000"/>
          <w:kern w:val="0"/>
          <w:sz w:val="30"/>
          <w:szCs w:val="30"/>
          <w:lang w:val="en-US" w:eastAsia="zh-CN" w:bidi="ar-SA"/>
        </w:rPr>
        <w:t>%</w:t>
      </w:r>
      <w:r>
        <w:rPr>
          <w:rFonts w:hint="eastAsia" w:ascii="仿宋_GB2312" w:hAnsi="黑体" w:eastAsia="仿宋_GB2312" w:cs="宋体"/>
          <w:b w:val="0"/>
          <w:bCs/>
          <w:color w:val="000000"/>
          <w:kern w:val="0"/>
          <w:sz w:val="30"/>
          <w:szCs w:val="30"/>
          <w:lang w:val="en-US" w:eastAsia="zh-CN" w:bidi="ar-SA"/>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2、项目支出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5"/>
        <w:jc w:val="both"/>
        <w:rPr>
          <w:rFonts w:hint="eastAsia" w:ascii="仿宋_GB2312" w:hAnsi="黑体" w:eastAsia="仿宋_GB2312" w:cs="宋体"/>
          <w:b w:val="0"/>
          <w:bCs/>
          <w:color w:val="000000"/>
          <w:kern w:val="0"/>
          <w:sz w:val="30"/>
          <w:szCs w:val="30"/>
          <w:lang w:val="en-US" w:eastAsia="zh-CN"/>
        </w:rPr>
      </w:pPr>
      <w:r>
        <w:rPr>
          <w:rFonts w:hint="default" w:ascii="仿宋_GB2312" w:hAnsi="黑体" w:eastAsia="仿宋_GB2312" w:cs="宋体"/>
          <w:b w:val="0"/>
          <w:bCs/>
          <w:color w:val="000000"/>
          <w:kern w:val="0"/>
          <w:sz w:val="30"/>
          <w:szCs w:val="30"/>
          <w:lang w:val="en-US" w:eastAsia="zh-CN" w:bidi="ar-SA"/>
        </w:rPr>
        <w:t>项目支出系我</w:t>
      </w:r>
      <w:r>
        <w:rPr>
          <w:rFonts w:hint="eastAsia" w:ascii="仿宋_GB2312" w:hAnsi="黑体" w:eastAsia="仿宋_GB2312" w:cs="宋体"/>
          <w:b w:val="0"/>
          <w:bCs/>
          <w:color w:val="000000"/>
          <w:kern w:val="0"/>
          <w:sz w:val="30"/>
          <w:szCs w:val="30"/>
          <w:lang w:val="en-US" w:eastAsia="zh-CN" w:bidi="ar-SA"/>
        </w:rPr>
        <w:t>办</w:t>
      </w:r>
      <w:r>
        <w:rPr>
          <w:rFonts w:hint="default" w:ascii="仿宋_GB2312" w:hAnsi="黑体" w:eastAsia="仿宋_GB2312" w:cs="宋体"/>
          <w:b w:val="0"/>
          <w:bCs/>
          <w:color w:val="000000"/>
          <w:kern w:val="0"/>
          <w:sz w:val="30"/>
          <w:szCs w:val="30"/>
          <w:lang w:val="en-US" w:eastAsia="zh-CN" w:bidi="ar-SA"/>
        </w:rPr>
        <w:t>为完成</w:t>
      </w:r>
      <w:r>
        <w:rPr>
          <w:rFonts w:hint="eastAsia" w:ascii="仿宋_GB2312" w:hAnsi="黑体" w:eastAsia="仿宋_GB2312" w:cs="宋体"/>
          <w:b w:val="0"/>
          <w:bCs/>
          <w:color w:val="000000"/>
          <w:kern w:val="0"/>
          <w:sz w:val="30"/>
          <w:szCs w:val="30"/>
          <w:lang w:val="en-US" w:eastAsia="zh-CN" w:bidi="ar-SA"/>
        </w:rPr>
        <w:t>各项业务</w:t>
      </w:r>
      <w:r>
        <w:rPr>
          <w:rFonts w:hint="default" w:ascii="仿宋_GB2312" w:hAnsi="黑体" w:eastAsia="仿宋_GB2312" w:cs="宋体"/>
          <w:b w:val="0"/>
          <w:bCs/>
          <w:color w:val="000000"/>
          <w:kern w:val="0"/>
          <w:sz w:val="30"/>
          <w:szCs w:val="30"/>
          <w:lang w:val="en-US" w:eastAsia="zh-CN" w:bidi="ar-SA"/>
        </w:rPr>
        <w:t>管理工作而发生的支出，包括</w:t>
      </w:r>
      <w:r>
        <w:rPr>
          <w:rFonts w:hint="eastAsia" w:ascii="仿宋_GB2312" w:hAnsi="黑体" w:eastAsia="仿宋_GB2312" w:cs="宋体"/>
          <w:b w:val="0"/>
          <w:bCs/>
          <w:color w:val="000000"/>
          <w:kern w:val="0"/>
          <w:sz w:val="30"/>
          <w:szCs w:val="30"/>
          <w:lang w:val="en-US" w:eastAsia="zh-CN" w:bidi="ar-SA"/>
        </w:rPr>
        <w:t>各类业务工作经费</w:t>
      </w:r>
      <w:r>
        <w:rPr>
          <w:rFonts w:hint="default" w:ascii="仿宋_GB2312" w:hAnsi="黑体" w:eastAsia="仿宋_GB2312" w:cs="宋体"/>
          <w:b w:val="0"/>
          <w:bCs/>
          <w:color w:val="000000"/>
          <w:kern w:val="0"/>
          <w:sz w:val="30"/>
          <w:szCs w:val="30"/>
          <w:lang w:val="en-US" w:eastAsia="zh-CN" w:bidi="ar-SA"/>
        </w:rPr>
        <w:t>。</w:t>
      </w:r>
      <w:r>
        <w:rPr>
          <w:rFonts w:hint="eastAsia" w:ascii="仿宋_GB2312" w:hAnsi="黑体" w:eastAsia="仿宋_GB2312" w:cs="宋体"/>
          <w:b w:val="0"/>
          <w:bCs/>
          <w:color w:val="000000"/>
          <w:kern w:val="0"/>
          <w:sz w:val="30"/>
          <w:szCs w:val="30"/>
          <w:lang w:val="en-US" w:eastAsia="zh-CN" w:bidi="ar-SA"/>
        </w:rPr>
        <w:t>项目</w:t>
      </w:r>
      <w:r>
        <w:rPr>
          <w:rFonts w:hint="default" w:ascii="仿宋_GB2312" w:hAnsi="黑体" w:eastAsia="仿宋_GB2312" w:cs="宋体"/>
          <w:b w:val="0"/>
          <w:bCs/>
          <w:color w:val="000000"/>
          <w:kern w:val="0"/>
          <w:sz w:val="30"/>
          <w:szCs w:val="30"/>
          <w:lang w:val="en-US" w:eastAsia="zh-CN" w:bidi="ar-SA"/>
        </w:rPr>
        <w:t>支出</w:t>
      </w:r>
      <w:r>
        <w:rPr>
          <w:rFonts w:hint="eastAsia" w:ascii="仿宋_GB2312" w:hAnsi="黑体" w:eastAsia="仿宋_GB2312" w:cs="宋体"/>
          <w:b w:val="0"/>
          <w:bCs/>
          <w:color w:val="000000"/>
          <w:kern w:val="0"/>
          <w:sz w:val="30"/>
          <w:szCs w:val="30"/>
          <w:lang w:val="en-US" w:eastAsia="zh-CN" w:bidi="ar-SA"/>
        </w:rPr>
        <w:t>主要为重点项目管理经费开支，</w:t>
      </w:r>
      <w:r>
        <w:rPr>
          <w:rFonts w:hint="default" w:ascii="仿宋_GB2312" w:hAnsi="黑体" w:eastAsia="仿宋_GB2312" w:cs="宋体"/>
          <w:b w:val="0"/>
          <w:bCs/>
          <w:color w:val="000000"/>
          <w:kern w:val="0"/>
          <w:sz w:val="30"/>
          <w:szCs w:val="30"/>
          <w:lang w:val="en-US" w:eastAsia="zh-CN" w:bidi="ar-SA"/>
        </w:rPr>
        <w:t>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年项目支出</w:t>
      </w:r>
      <w:r>
        <w:rPr>
          <w:rFonts w:hint="eastAsia" w:ascii="仿宋_GB2312" w:hAnsi="黑体" w:eastAsia="仿宋_GB2312" w:cs="宋体"/>
          <w:b w:val="0"/>
          <w:bCs/>
          <w:color w:val="000000"/>
          <w:kern w:val="0"/>
          <w:sz w:val="30"/>
          <w:szCs w:val="30"/>
          <w:lang w:val="en-US" w:eastAsia="zh-CN" w:bidi="ar-SA"/>
        </w:rPr>
        <w:t>25</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5"/>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（四）“三公”经费情况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年三公经费支出</w:t>
      </w:r>
      <w:r>
        <w:rPr>
          <w:rFonts w:hint="eastAsia" w:ascii="仿宋_GB2312" w:hAnsi="黑体" w:eastAsia="仿宋_GB2312" w:cs="宋体"/>
          <w:b w:val="0"/>
          <w:bCs/>
          <w:color w:val="000000"/>
          <w:kern w:val="0"/>
          <w:sz w:val="30"/>
          <w:szCs w:val="30"/>
          <w:lang w:val="en-US" w:eastAsia="zh-CN" w:bidi="ar-SA"/>
        </w:rPr>
        <w:t>0</w:t>
      </w:r>
      <w:r>
        <w:rPr>
          <w:rFonts w:hint="default" w:ascii="仿宋_GB2312" w:hAnsi="黑体" w:eastAsia="仿宋_GB2312" w:cs="宋体"/>
          <w:b w:val="0"/>
          <w:bCs/>
          <w:color w:val="000000"/>
          <w:kern w:val="0"/>
          <w:sz w:val="30"/>
          <w:szCs w:val="30"/>
          <w:lang w:val="en-US" w:eastAsia="zh-CN" w:bidi="ar-SA"/>
        </w:rPr>
        <w:t>万元，年初预算</w:t>
      </w:r>
      <w:r>
        <w:rPr>
          <w:rFonts w:hint="eastAsia" w:ascii="仿宋_GB2312" w:hAnsi="黑体" w:eastAsia="仿宋_GB2312" w:cs="宋体"/>
          <w:b w:val="0"/>
          <w:bCs/>
          <w:color w:val="000000"/>
          <w:kern w:val="0"/>
          <w:sz w:val="30"/>
          <w:szCs w:val="30"/>
          <w:lang w:val="en-US" w:eastAsia="zh-CN" w:bidi="ar-SA"/>
        </w:rPr>
        <w:t>1</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比上年</w:t>
      </w:r>
      <w:r>
        <w:rPr>
          <w:rFonts w:hint="eastAsia" w:ascii="仿宋_GB2312" w:hAnsi="黑体" w:eastAsia="仿宋_GB2312" w:cs="宋体"/>
          <w:b w:val="0"/>
          <w:bCs/>
          <w:color w:val="000000"/>
          <w:kern w:val="0"/>
          <w:sz w:val="30"/>
          <w:szCs w:val="30"/>
          <w:lang w:val="en-US" w:eastAsia="zh-CN" w:bidi="ar-SA"/>
        </w:rPr>
        <w:t>0.6</w:t>
      </w:r>
      <w:r>
        <w:rPr>
          <w:rFonts w:hint="default" w:ascii="仿宋_GB2312" w:hAnsi="黑体" w:eastAsia="仿宋_GB2312" w:cs="宋体"/>
          <w:b w:val="0"/>
          <w:bCs/>
          <w:color w:val="000000"/>
          <w:kern w:val="0"/>
          <w:sz w:val="30"/>
          <w:szCs w:val="30"/>
          <w:lang w:val="en-US" w:eastAsia="zh-CN" w:bidi="ar-SA"/>
        </w:rPr>
        <w:t>万元减少</w:t>
      </w:r>
      <w:r>
        <w:rPr>
          <w:rFonts w:hint="eastAsia" w:ascii="仿宋_GB2312" w:hAnsi="黑体" w:eastAsia="仿宋_GB2312" w:cs="宋体"/>
          <w:b w:val="0"/>
          <w:bCs/>
          <w:color w:val="000000"/>
          <w:kern w:val="0"/>
          <w:sz w:val="30"/>
          <w:szCs w:val="30"/>
          <w:lang w:val="en-US" w:eastAsia="zh-CN" w:bidi="ar-SA"/>
        </w:rPr>
        <w:t>0.6万元，下降了100</w:t>
      </w:r>
      <w:r>
        <w:rPr>
          <w:rFonts w:hint="default" w:ascii="仿宋_GB2312" w:hAnsi="黑体" w:eastAsia="仿宋_GB2312" w:cs="宋体"/>
          <w:b w:val="0"/>
          <w:bCs/>
          <w:color w:val="000000"/>
          <w:kern w:val="0"/>
          <w:sz w:val="30"/>
          <w:szCs w:val="30"/>
          <w:lang w:val="en-US" w:eastAsia="zh-CN" w:bidi="ar-SA"/>
        </w:rPr>
        <w:t>%。其中：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公务用车购置及运行维护费支出</w:t>
      </w:r>
      <w:r>
        <w:rPr>
          <w:rFonts w:hint="eastAsia" w:ascii="仿宋_GB2312" w:hAnsi="黑体" w:eastAsia="仿宋_GB2312" w:cs="宋体"/>
          <w:b w:val="0"/>
          <w:bCs/>
          <w:color w:val="000000"/>
          <w:kern w:val="0"/>
          <w:sz w:val="30"/>
          <w:szCs w:val="30"/>
          <w:lang w:val="en-US" w:eastAsia="zh-CN" w:bidi="ar-SA"/>
        </w:rPr>
        <w:t>0</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，与上年持平</w:t>
      </w:r>
      <w:r>
        <w:rPr>
          <w:rFonts w:hint="default" w:ascii="仿宋_GB2312" w:hAnsi="黑体" w:eastAsia="仿宋_GB2312" w:cs="宋体"/>
          <w:b w:val="0"/>
          <w:bCs/>
          <w:color w:val="000000"/>
          <w:kern w:val="0"/>
          <w:sz w:val="30"/>
          <w:szCs w:val="30"/>
          <w:lang w:val="en-US" w:eastAsia="zh-CN" w:bidi="ar-SA"/>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Times New Roman" w:hAnsi="Times New Roman" w:eastAsia="黑体" w:cs="Times New Roman"/>
          <w:kern w:val="2"/>
          <w:sz w:val="32"/>
          <w:szCs w:val="32"/>
          <w:lang w:val="en-US" w:eastAsia="zh-CN" w:bidi="ar-SA"/>
        </w:rPr>
      </w:pPr>
      <w:r>
        <w:rPr>
          <w:rFonts w:hint="eastAsia" w:ascii="仿宋_GB2312" w:hAnsi="黑体" w:eastAsia="仿宋_GB2312" w:cs="宋体"/>
          <w:b w:val="0"/>
          <w:bCs/>
          <w:color w:val="000000"/>
          <w:kern w:val="0"/>
          <w:sz w:val="30"/>
          <w:szCs w:val="30"/>
          <w:lang w:val="en-US" w:eastAsia="zh-CN" w:bidi="ar-SA"/>
        </w:rPr>
        <w:t>公务接待费0万元。</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Times New Roman" w:hAnsi="Times New Roman" w:eastAsia="黑体" w:cs="Times New Roman"/>
          <w:kern w:val="2"/>
          <w:sz w:val="32"/>
          <w:szCs w:val="32"/>
          <w:lang w:val="en-US" w:eastAsia="zh-CN" w:bidi="ar-SA"/>
        </w:rPr>
      </w:pPr>
      <w:r>
        <w:rPr>
          <w:rFonts w:hint="default" w:ascii="Times New Roman" w:hAnsi="Times New Roman" w:eastAsia="黑体" w:cs="Times New Roman"/>
          <w:kern w:val="2"/>
          <w:sz w:val="32"/>
          <w:szCs w:val="32"/>
          <w:lang w:val="en-US" w:eastAsia="zh-CN" w:bidi="ar-SA"/>
        </w:rPr>
        <w:t>　　三、部门整体支出绩效指标评价情况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Times New Roman" w:hAnsi="Times New Roman" w:eastAsia="黑体" w:cs="Times New Roman"/>
          <w:kern w:val="2"/>
          <w:sz w:val="32"/>
          <w:szCs w:val="32"/>
          <w:lang w:val="en-US" w:eastAsia="zh-CN" w:bidi="ar-SA"/>
        </w:rPr>
        <w:t>　　</w:t>
      </w:r>
      <w:r>
        <w:rPr>
          <w:rFonts w:hint="default" w:ascii="仿宋_GB2312" w:hAnsi="黑体" w:eastAsia="仿宋_GB2312" w:cs="宋体"/>
          <w:b w:val="0"/>
          <w:bCs/>
          <w:color w:val="000000"/>
          <w:kern w:val="0"/>
          <w:sz w:val="30"/>
          <w:szCs w:val="30"/>
          <w:lang w:val="en-US" w:eastAsia="zh-CN" w:bidi="ar-SA"/>
        </w:rPr>
        <w:t>对照</w:t>
      </w:r>
      <w:r>
        <w:rPr>
          <w:rFonts w:hint="eastAsia" w:ascii="仿宋_GB2312" w:hAnsi="黑体" w:eastAsia="仿宋_GB2312" w:cs="宋体"/>
          <w:b w:val="0"/>
          <w:bCs/>
          <w:color w:val="000000"/>
          <w:kern w:val="0"/>
          <w:sz w:val="30"/>
          <w:szCs w:val="30"/>
          <w:lang w:val="en-US" w:eastAsia="zh-CN" w:bidi="ar-SA"/>
        </w:rPr>
        <w:t>零财</w:t>
      </w:r>
      <w:r>
        <w:rPr>
          <w:rFonts w:hint="default" w:ascii="仿宋_GB2312" w:hAnsi="黑体" w:eastAsia="仿宋_GB2312" w:cs="宋体"/>
          <w:b w:val="0"/>
          <w:bCs/>
          <w:color w:val="000000"/>
          <w:kern w:val="0"/>
          <w:sz w:val="30"/>
          <w:szCs w:val="30"/>
          <w:lang w:val="en-US" w:eastAsia="zh-CN" w:bidi="ar-SA"/>
        </w:rPr>
        <w:t>绩〔20</w:t>
      </w:r>
      <w:r>
        <w:rPr>
          <w:rFonts w:hint="eastAsia" w:ascii="仿宋_GB2312" w:hAnsi="黑体" w:eastAsia="仿宋_GB2312" w:cs="宋体"/>
          <w:b w:val="0"/>
          <w:bCs/>
          <w:color w:val="000000"/>
          <w:kern w:val="0"/>
          <w:sz w:val="30"/>
          <w:szCs w:val="30"/>
          <w:lang w:val="en-US" w:eastAsia="zh-CN" w:bidi="ar-SA"/>
        </w:rPr>
        <w:t>20</w:t>
      </w:r>
      <w:r>
        <w:rPr>
          <w:rFonts w:hint="default" w:ascii="仿宋_GB2312" w:hAnsi="黑体" w:eastAsia="仿宋_GB2312" w:cs="宋体"/>
          <w:b w:val="0"/>
          <w:bCs/>
          <w:color w:val="000000"/>
          <w:kern w:val="0"/>
          <w:sz w:val="30"/>
          <w:szCs w:val="30"/>
          <w:lang w:val="en-US" w:eastAsia="zh-CN" w:bidi="ar-SA"/>
        </w:rPr>
        <w:t>〕</w:t>
      </w:r>
      <w:r>
        <w:rPr>
          <w:rFonts w:hint="eastAsia" w:ascii="仿宋_GB2312" w:hAnsi="黑体" w:eastAsia="仿宋_GB2312" w:cs="宋体"/>
          <w:b w:val="0"/>
          <w:bCs/>
          <w:color w:val="000000"/>
          <w:kern w:val="0"/>
          <w:sz w:val="30"/>
          <w:szCs w:val="30"/>
          <w:lang w:val="en-US" w:eastAsia="zh-CN" w:bidi="ar-SA"/>
        </w:rPr>
        <w:t>1</w:t>
      </w:r>
      <w:r>
        <w:rPr>
          <w:rFonts w:hint="default" w:ascii="仿宋_GB2312" w:hAnsi="黑体" w:eastAsia="仿宋_GB2312" w:cs="宋体"/>
          <w:b w:val="0"/>
          <w:bCs/>
          <w:color w:val="000000"/>
          <w:kern w:val="0"/>
          <w:sz w:val="30"/>
          <w:szCs w:val="30"/>
          <w:lang w:val="en-US" w:eastAsia="zh-CN" w:bidi="ar-SA"/>
        </w:rPr>
        <w:t>号文件规定的考核指标，我</w:t>
      </w:r>
      <w:r>
        <w:rPr>
          <w:rFonts w:hint="eastAsia" w:ascii="仿宋_GB2312" w:hAnsi="黑体" w:eastAsia="仿宋_GB2312" w:cs="宋体"/>
          <w:b w:val="0"/>
          <w:bCs/>
          <w:color w:val="000000"/>
          <w:kern w:val="0"/>
          <w:sz w:val="30"/>
          <w:szCs w:val="30"/>
          <w:lang w:val="en-US" w:eastAsia="zh-CN" w:bidi="ar-SA"/>
        </w:rPr>
        <w:t>办</w:t>
      </w:r>
      <w:r>
        <w:rPr>
          <w:rFonts w:hint="default" w:ascii="仿宋_GB2312" w:hAnsi="黑体" w:eastAsia="仿宋_GB2312" w:cs="宋体"/>
          <w:b w:val="0"/>
          <w:bCs/>
          <w:color w:val="000000"/>
          <w:kern w:val="0"/>
          <w:sz w:val="30"/>
          <w:szCs w:val="30"/>
          <w:lang w:val="en-US" w:eastAsia="zh-CN" w:bidi="ar-SA"/>
        </w:rPr>
        <w:t>从预算配置、预算执行、预算管理、履职效益等方面对201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年部门整体支出绩效开展了评价，自评得分9</w:t>
      </w:r>
      <w:r>
        <w:rPr>
          <w:rFonts w:hint="eastAsia" w:ascii="仿宋_GB2312" w:hAnsi="黑体" w:eastAsia="仿宋_GB2312" w:cs="宋体"/>
          <w:b w:val="0"/>
          <w:bCs/>
          <w:color w:val="000000"/>
          <w:kern w:val="0"/>
          <w:sz w:val="30"/>
          <w:szCs w:val="30"/>
          <w:lang w:val="en-US" w:eastAsia="zh-CN" w:bidi="ar-SA"/>
        </w:rPr>
        <w:t>5</w:t>
      </w:r>
      <w:r>
        <w:rPr>
          <w:rFonts w:hint="default" w:ascii="仿宋_GB2312" w:hAnsi="黑体" w:eastAsia="仿宋_GB2312" w:cs="宋体"/>
          <w:b w:val="0"/>
          <w:bCs/>
          <w:color w:val="000000"/>
          <w:kern w:val="0"/>
          <w:sz w:val="30"/>
          <w:szCs w:val="30"/>
          <w:lang w:val="en-US" w:eastAsia="zh-CN" w:bidi="ar-SA"/>
        </w:rPr>
        <w:t>分，具体情况如下：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（一）预算配置方面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在职人员控制率：</w:t>
      </w:r>
      <w:r>
        <w:rPr>
          <w:rFonts w:hint="eastAsia" w:ascii="仿宋_GB2312" w:hAnsi="黑体" w:eastAsia="仿宋_GB2312" w:cs="宋体"/>
          <w:b w:val="0"/>
          <w:bCs/>
          <w:color w:val="000000"/>
          <w:kern w:val="0"/>
          <w:sz w:val="30"/>
          <w:szCs w:val="30"/>
          <w:lang w:val="en-US" w:eastAsia="zh-CN" w:bidi="ar-SA"/>
        </w:rPr>
        <w:t>财政预算3</w:t>
      </w:r>
      <w:r>
        <w:rPr>
          <w:rFonts w:hint="default" w:ascii="仿宋_GB2312" w:hAnsi="黑体" w:eastAsia="仿宋_GB2312" w:cs="宋体"/>
          <w:b w:val="0"/>
          <w:bCs/>
          <w:color w:val="000000"/>
          <w:kern w:val="0"/>
          <w:sz w:val="30"/>
          <w:szCs w:val="30"/>
          <w:lang w:val="en-US" w:eastAsia="zh-CN" w:bidi="ar-SA"/>
        </w:rPr>
        <w:t>人，在职人员</w:t>
      </w:r>
      <w:r>
        <w:rPr>
          <w:rFonts w:hint="eastAsia" w:ascii="仿宋_GB2312" w:hAnsi="黑体" w:eastAsia="仿宋_GB2312" w:cs="宋体"/>
          <w:b w:val="0"/>
          <w:bCs/>
          <w:color w:val="000000"/>
          <w:kern w:val="0"/>
          <w:sz w:val="30"/>
          <w:szCs w:val="30"/>
          <w:lang w:val="en-US" w:eastAsia="zh-CN" w:bidi="ar-SA"/>
        </w:rPr>
        <w:t>3</w:t>
      </w:r>
      <w:r>
        <w:rPr>
          <w:rFonts w:hint="default" w:ascii="仿宋_GB2312" w:hAnsi="黑体" w:eastAsia="仿宋_GB2312" w:cs="宋体"/>
          <w:b w:val="0"/>
          <w:bCs/>
          <w:color w:val="000000"/>
          <w:kern w:val="0"/>
          <w:sz w:val="30"/>
          <w:szCs w:val="30"/>
          <w:lang w:val="en-US" w:eastAsia="zh-CN" w:bidi="ar-SA"/>
        </w:rPr>
        <w:t>人，在</w:t>
      </w:r>
      <w:r>
        <w:rPr>
          <w:rFonts w:hint="eastAsia" w:ascii="仿宋_GB2312" w:hAnsi="黑体" w:eastAsia="仿宋_GB2312" w:cs="宋体"/>
          <w:b w:val="0"/>
          <w:bCs/>
          <w:color w:val="000000"/>
          <w:kern w:val="0"/>
          <w:sz w:val="30"/>
          <w:szCs w:val="30"/>
          <w:lang w:val="en-US" w:eastAsia="zh-CN" w:bidi="ar-SA"/>
        </w:rPr>
        <w:t>财政供养</w:t>
      </w:r>
      <w:r>
        <w:rPr>
          <w:rFonts w:hint="default" w:ascii="仿宋_GB2312" w:hAnsi="黑体" w:eastAsia="仿宋_GB2312" w:cs="宋体"/>
          <w:b w:val="0"/>
          <w:bCs/>
          <w:color w:val="000000"/>
          <w:kern w:val="0"/>
          <w:sz w:val="30"/>
          <w:szCs w:val="30"/>
          <w:lang w:val="en-US" w:eastAsia="zh-CN" w:bidi="ar-SA"/>
        </w:rPr>
        <w:t>控制范围内，在职人员控制率为</w:t>
      </w:r>
      <w:r>
        <w:rPr>
          <w:rFonts w:hint="eastAsia" w:ascii="仿宋_GB2312" w:hAnsi="黑体" w:eastAsia="仿宋_GB2312" w:cs="宋体"/>
          <w:b w:val="0"/>
          <w:bCs/>
          <w:color w:val="000000"/>
          <w:kern w:val="0"/>
          <w:sz w:val="30"/>
          <w:szCs w:val="30"/>
          <w:lang w:val="en-US" w:eastAsia="zh-CN" w:bidi="ar-SA"/>
        </w:rPr>
        <w:t>100</w:t>
      </w:r>
      <w:r>
        <w:rPr>
          <w:rFonts w:hint="default" w:ascii="仿宋_GB2312" w:hAnsi="黑体" w:eastAsia="仿宋_GB2312" w:cs="宋体"/>
          <w:b w:val="0"/>
          <w:bCs/>
          <w:color w:val="000000"/>
          <w:kern w:val="0"/>
          <w:sz w:val="30"/>
          <w:szCs w:val="30"/>
          <w:lang w:val="en-US" w:eastAsia="zh-CN" w:bidi="ar-SA"/>
        </w:rPr>
        <w:t>%。</w:t>
      </w:r>
      <w:r>
        <w:rPr>
          <w:rFonts w:hint="eastAsia" w:ascii="仿宋_GB2312" w:hAnsi="黑体" w:eastAsia="仿宋_GB2312" w:cs="宋体"/>
          <w:b w:val="0"/>
          <w:bCs/>
          <w:color w:val="000000"/>
          <w:kern w:val="0"/>
          <w:sz w:val="30"/>
          <w:szCs w:val="30"/>
          <w:lang w:val="en-US" w:eastAsia="zh-CN" w:bidi="ar-SA"/>
        </w:rPr>
        <w:t>2019年机构改革后并入发改局。</w:t>
      </w:r>
      <w:r>
        <w:rPr>
          <w:rFonts w:hint="default" w:ascii="仿宋_GB2312" w:hAnsi="黑体" w:eastAsia="仿宋_GB2312" w:cs="宋体"/>
          <w:b w:val="0"/>
          <w:bCs/>
          <w:color w:val="000000"/>
          <w:kern w:val="0"/>
          <w:sz w:val="30"/>
          <w:szCs w:val="30"/>
          <w:lang w:val="en-US" w:eastAsia="zh-CN" w:bidi="ar-SA"/>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“三公经费”变动率：三公经费本年</w:t>
      </w:r>
      <w:r>
        <w:rPr>
          <w:rFonts w:hint="eastAsia" w:ascii="仿宋_GB2312" w:hAnsi="黑体" w:eastAsia="仿宋_GB2312" w:cs="宋体"/>
          <w:b w:val="0"/>
          <w:bCs/>
          <w:color w:val="000000"/>
          <w:kern w:val="0"/>
          <w:sz w:val="30"/>
          <w:szCs w:val="30"/>
          <w:lang w:val="en-US" w:eastAsia="zh-CN" w:bidi="ar-SA"/>
        </w:rPr>
        <w:t>发生</w:t>
      </w:r>
      <w:r>
        <w:rPr>
          <w:rFonts w:hint="default" w:ascii="仿宋_GB2312" w:hAnsi="黑体" w:eastAsia="仿宋_GB2312" w:cs="宋体"/>
          <w:b w:val="0"/>
          <w:bCs/>
          <w:color w:val="000000"/>
          <w:kern w:val="0"/>
          <w:sz w:val="30"/>
          <w:szCs w:val="30"/>
          <w:lang w:val="en-US" w:eastAsia="zh-CN" w:bidi="ar-SA"/>
        </w:rPr>
        <w:t>数</w:t>
      </w:r>
      <w:r>
        <w:rPr>
          <w:rFonts w:hint="eastAsia" w:ascii="仿宋_GB2312" w:hAnsi="黑体" w:eastAsia="仿宋_GB2312" w:cs="宋体"/>
          <w:b w:val="0"/>
          <w:bCs/>
          <w:color w:val="000000"/>
          <w:kern w:val="0"/>
          <w:sz w:val="30"/>
          <w:szCs w:val="30"/>
          <w:lang w:val="en-US" w:eastAsia="zh-CN" w:bidi="ar-SA"/>
        </w:rPr>
        <w:t>0</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上年</w:t>
      </w:r>
      <w:r>
        <w:rPr>
          <w:rFonts w:hint="eastAsia" w:ascii="仿宋_GB2312" w:hAnsi="黑体" w:eastAsia="仿宋_GB2312" w:cs="宋体"/>
          <w:b w:val="0"/>
          <w:bCs/>
          <w:color w:val="000000"/>
          <w:kern w:val="0"/>
          <w:sz w:val="30"/>
          <w:szCs w:val="30"/>
          <w:lang w:val="en-US" w:eastAsia="zh-CN" w:bidi="ar-SA"/>
        </w:rPr>
        <w:t>发生</w:t>
      </w:r>
      <w:r>
        <w:rPr>
          <w:rFonts w:hint="default" w:ascii="仿宋_GB2312" w:hAnsi="黑体" w:eastAsia="仿宋_GB2312" w:cs="宋体"/>
          <w:b w:val="0"/>
          <w:bCs/>
          <w:color w:val="000000"/>
          <w:kern w:val="0"/>
          <w:sz w:val="30"/>
          <w:szCs w:val="30"/>
          <w:lang w:val="en-US" w:eastAsia="zh-CN" w:bidi="ar-SA"/>
        </w:rPr>
        <w:t>数</w:t>
      </w:r>
      <w:r>
        <w:rPr>
          <w:rFonts w:hint="eastAsia" w:ascii="仿宋_GB2312" w:hAnsi="黑体" w:eastAsia="仿宋_GB2312" w:cs="宋体"/>
          <w:b w:val="0"/>
          <w:bCs/>
          <w:color w:val="000000"/>
          <w:kern w:val="0"/>
          <w:sz w:val="30"/>
          <w:szCs w:val="30"/>
          <w:lang w:val="en-US" w:eastAsia="zh-CN" w:bidi="ar-SA"/>
        </w:rPr>
        <w:t>0.6</w:t>
      </w:r>
      <w:r>
        <w:rPr>
          <w:rFonts w:hint="default" w:ascii="仿宋_GB2312" w:hAnsi="黑体" w:eastAsia="仿宋_GB2312" w:cs="宋体"/>
          <w:b w:val="0"/>
          <w:bCs/>
          <w:color w:val="000000"/>
          <w:kern w:val="0"/>
          <w:sz w:val="30"/>
          <w:szCs w:val="30"/>
          <w:lang w:val="en-US" w:eastAsia="zh-CN" w:bidi="ar-SA"/>
        </w:rPr>
        <w:t>万元， “三公经费”</w:t>
      </w:r>
      <w:r>
        <w:rPr>
          <w:rFonts w:hint="eastAsia" w:ascii="仿宋_GB2312" w:hAnsi="黑体" w:eastAsia="仿宋_GB2312" w:cs="宋体"/>
          <w:b w:val="0"/>
          <w:bCs/>
          <w:color w:val="000000"/>
          <w:kern w:val="0"/>
          <w:sz w:val="30"/>
          <w:szCs w:val="30"/>
          <w:lang w:val="en-US" w:eastAsia="zh-CN" w:bidi="ar-SA"/>
        </w:rPr>
        <w:t>费用较低，</w:t>
      </w:r>
      <w:r>
        <w:rPr>
          <w:rFonts w:hint="default" w:ascii="仿宋_GB2312" w:hAnsi="黑体" w:eastAsia="仿宋_GB2312" w:cs="宋体"/>
          <w:b w:val="0"/>
          <w:bCs/>
          <w:color w:val="000000"/>
          <w:kern w:val="0"/>
          <w:sz w:val="30"/>
          <w:szCs w:val="30"/>
          <w:lang w:val="en-US" w:eastAsia="zh-CN" w:bidi="ar-SA"/>
        </w:rPr>
        <w:t>控制较好。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二</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预算执行方面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预算完成率：</w:t>
      </w:r>
      <w:r>
        <w:rPr>
          <w:rFonts w:hint="eastAsia" w:ascii="仿宋_GB2312" w:hAnsi="黑体" w:eastAsia="仿宋_GB2312" w:cs="宋体"/>
          <w:b w:val="0"/>
          <w:bCs/>
          <w:color w:val="000000"/>
          <w:kern w:val="0"/>
          <w:sz w:val="30"/>
          <w:szCs w:val="30"/>
          <w:lang w:val="en-US" w:eastAsia="zh-CN" w:bidi="ar-SA"/>
        </w:rPr>
        <w:t>2019年，响应上级政府号召，紧缩开支，所有经费下调10%，全年经费扣除10%后全部下达，下达率100%，当年无结余。</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预算</w:t>
      </w:r>
      <w:r>
        <w:rPr>
          <w:rFonts w:hint="eastAsia" w:ascii="仿宋_GB2312" w:hAnsi="黑体" w:eastAsia="仿宋_GB2312" w:cs="宋体"/>
          <w:b w:val="0"/>
          <w:bCs/>
          <w:color w:val="000000"/>
          <w:kern w:val="0"/>
          <w:sz w:val="30"/>
          <w:szCs w:val="30"/>
          <w:lang w:val="en-US" w:eastAsia="zh-CN" w:bidi="ar-SA"/>
        </w:rPr>
        <w:t>调整</w:t>
      </w:r>
      <w:r>
        <w:rPr>
          <w:rFonts w:hint="default" w:ascii="仿宋_GB2312" w:hAnsi="黑体" w:eastAsia="仿宋_GB2312" w:cs="宋体"/>
          <w:b w:val="0"/>
          <w:bCs/>
          <w:color w:val="000000"/>
          <w:kern w:val="0"/>
          <w:sz w:val="30"/>
          <w:szCs w:val="30"/>
          <w:lang w:val="en-US" w:eastAsia="zh-CN" w:bidi="ar-SA"/>
        </w:rPr>
        <w:t>率：201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年年初预算</w:t>
      </w:r>
      <w:r>
        <w:rPr>
          <w:rFonts w:hint="eastAsia" w:ascii="仿宋_GB2312" w:hAnsi="黑体" w:eastAsia="仿宋_GB2312" w:cs="宋体"/>
          <w:b w:val="0"/>
          <w:bCs/>
          <w:color w:val="000000"/>
          <w:kern w:val="0"/>
          <w:sz w:val="30"/>
          <w:szCs w:val="30"/>
          <w:lang w:val="en-US" w:eastAsia="zh-CN" w:bidi="ar-SA"/>
        </w:rPr>
        <w:t>59.45</w:t>
      </w:r>
      <w:r>
        <w:rPr>
          <w:rFonts w:hint="default" w:ascii="仿宋_GB2312" w:hAnsi="黑体" w:eastAsia="仿宋_GB2312" w:cs="宋体"/>
          <w:b w:val="0"/>
          <w:bCs/>
          <w:color w:val="000000"/>
          <w:kern w:val="0"/>
          <w:sz w:val="30"/>
          <w:szCs w:val="30"/>
          <w:lang w:val="en-US" w:eastAsia="zh-CN" w:bidi="ar-SA"/>
        </w:rPr>
        <w:t>万元，年中</w:t>
      </w:r>
      <w:r>
        <w:rPr>
          <w:rFonts w:hint="eastAsia" w:ascii="仿宋_GB2312" w:hAnsi="黑体" w:eastAsia="仿宋_GB2312" w:cs="宋体"/>
          <w:b w:val="0"/>
          <w:bCs/>
          <w:color w:val="000000"/>
          <w:kern w:val="0"/>
          <w:sz w:val="30"/>
          <w:szCs w:val="30"/>
          <w:lang w:val="en-US" w:eastAsia="zh-CN" w:bidi="ar-SA"/>
        </w:rPr>
        <w:t>调整</w:t>
      </w:r>
      <w:r>
        <w:rPr>
          <w:rFonts w:hint="default" w:ascii="仿宋_GB2312" w:hAnsi="黑体" w:eastAsia="仿宋_GB2312" w:cs="宋体"/>
          <w:b w:val="0"/>
          <w:bCs/>
          <w:color w:val="000000"/>
          <w:kern w:val="0"/>
          <w:sz w:val="30"/>
          <w:szCs w:val="30"/>
          <w:lang w:val="en-US" w:eastAsia="zh-CN" w:bidi="ar-SA"/>
        </w:rPr>
        <w:t>预算</w:t>
      </w:r>
      <w:r>
        <w:rPr>
          <w:rFonts w:hint="eastAsia" w:ascii="仿宋_GB2312" w:hAnsi="黑体" w:eastAsia="仿宋_GB2312" w:cs="宋体"/>
          <w:b w:val="0"/>
          <w:bCs/>
          <w:color w:val="000000"/>
          <w:kern w:val="0"/>
          <w:sz w:val="30"/>
          <w:szCs w:val="30"/>
          <w:lang w:val="en-US" w:eastAsia="zh-CN" w:bidi="ar-SA"/>
        </w:rPr>
        <w:t>188.39</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调整率为68.4%。主要是追加了2017年重点项目奖励及几个重点项目协调小组的工作经费拨至我办开支。</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三</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预算管理方面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Arial" w:hAnsi="Arial" w:cs="Arial"/>
          <w:i w:val="0"/>
          <w:caps w:val="0"/>
          <w:color w:val="333333"/>
          <w:spacing w:val="0"/>
          <w:sz w:val="32"/>
          <w:szCs w:val="32"/>
          <w:shd w:val="clear" w:fill="FFFFFF"/>
        </w:rPr>
        <w:t>　　</w:t>
      </w:r>
      <w:r>
        <w:rPr>
          <w:rFonts w:hint="default" w:ascii="仿宋_GB2312" w:hAnsi="黑体" w:eastAsia="仿宋_GB2312" w:cs="宋体"/>
          <w:b w:val="0"/>
          <w:bCs/>
          <w:color w:val="000000"/>
          <w:kern w:val="0"/>
          <w:sz w:val="30"/>
          <w:szCs w:val="30"/>
          <w:lang w:val="en-US" w:eastAsia="zh-CN" w:bidi="ar-SA"/>
        </w:rPr>
        <w:t>公用经费控制率：201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年我</w:t>
      </w:r>
      <w:r>
        <w:rPr>
          <w:rFonts w:hint="eastAsia" w:ascii="仿宋_GB2312" w:hAnsi="黑体" w:eastAsia="仿宋_GB2312" w:cs="宋体"/>
          <w:b w:val="0"/>
          <w:bCs/>
          <w:color w:val="000000"/>
          <w:kern w:val="0"/>
          <w:sz w:val="30"/>
          <w:szCs w:val="30"/>
          <w:lang w:val="en-US" w:eastAsia="zh-CN" w:bidi="ar-SA"/>
        </w:rPr>
        <w:t>局</w:t>
      </w:r>
      <w:r>
        <w:rPr>
          <w:rFonts w:hint="default" w:ascii="仿宋_GB2312" w:hAnsi="黑体" w:eastAsia="仿宋_GB2312" w:cs="宋体"/>
          <w:b w:val="0"/>
          <w:bCs/>
          <w:color w:val="000000"/>
          <w:kern w:val="0"/>
          <w:sz w:val="30"/>
          <w:szCs w:val="30"/>
          <w:lang w:val="en-US" w:eastAsia="zh-CN" w:bidi="ar-SA"/>
        </w:rPr>
        <w:t>预算管理各项指标控制较好。实际支出公用经费</w:t>
      </w:r>
      <w:r>
        <w:rPr>
          <w:rFonts w:hint="eastAsia" w:ascii="仿宋_GB2312" w:hAnsi="黑体" w:eastAsia="仿宋_GB2312" w:cs="宋体"/>
          <w:b w:val="0"/>
          <w:bCs/>
          <w:color w:val="000000"/>
          <w:kern w:val="0"/>
          <w:sz w:val="30"/>
          <w:szCs w:val="30"/>
          <w:lang w:val="en-US" w:eastAsia="zh-CN" w:bidi="ar-SA"/>
        </w:rPr>
        <w:t>20.51</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支出项目经费25万元，</w:t>
      </w:r>
      <w:r>
        <w:rPr>
          <w:rFonts w:hint="default" w:ascii="仿宋_GB2312" w:hAnsi="黑体" w:eastAsia="仿宋_GB2312" w:cs="宋体"/>
          <w:b w:val="0"/>
          <w:bCs/>
          <w:color w:val="000000"/>
          <w:kern w:val="0"/>
          <w:sz w:val="30"/>
          <w:szCs w:val="30"/>
          <w:lang w:val="en-US" w:eastAsia="zh-CN" w:bidi="ar-SA"/>
        </w:rPr>
        <w:t>预算安排公用经费总额</w:t>
      </w:r>
      <w:r>
        <w:rPr>
          <w:rFonts w:hint="eastAsia" w:ascii="仿宋_GB2312" w:hAnsi="黑体" w:eastAsia="仿宋_GB2312" w:cs="宋体"/>
          <w:b w:val="0"/>
          <w:bCs/>
          <w:color w:val="000000"/>
          <w:kern w:val="0"/>
          <w:sz w:val="30"/>
          <w:szCs w:val="30"/>
          <w:lang w:val="en-US" w:eastAsia="zh-CN" w:bidi="ar-SA"/>
        </w:rPr>
        <w:t>2.4</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，重点项目项目经费25万元。</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“三公经费”控制率：“三公”经费实际支出数为</w:t>
      </w:r>
      <w:r>
        <w:rPr>
          <w:rFonts w:hint="eastAsia" w:ascii="仿宋_GB2312" w:hAnsi="黑体" w:eastAsia="仿宋_GB2312" w:cs="宋体"/>
          <w:b w:val="0"/>
          <w:bCs/>
          <w:color w:val="000000"/>
          <w:kern w:val="0"/>
          <w:sz w:val="30"/>
          <w:szCs w:val="30"/>
          <w:lang w:val="en-US" w:eastAsia="zh-CN" w:bidi="ar-SA"/>
        </w:rPr>
        <w:t>0</w:t>
      </w:r>
      <w:r>
        <w:rPr>
          <w:rFonts w:hint="default" w:ascii="仿宋_GB2312" w:hAnsi="黑体" w:eastAsia="仿宋_GB2312" w:cs="宋体"/>
          <w:b w:val="0"/>
          <w:bCs/>
          <w:color w:val="000000"/>
          <w:kern w:val="0"/>
          <w:sz w:val="30"/>
          <w:szCs w:val="30"/>
          <w:lang w:val="en-US" w:eastAsia="zh-CN" w:bidi="ar-SA"/>
        </w:rPr>
        <w:t>万元，预算安排数</w:t>
      </w:r>
      <w:r>
        <w:rPr>
          <w:rFonts w:hint="eastAsia" w:ascii="仿宋_GB2312" w:hAnsi="黑体" w:eastAsia="仿宋_GB2312" w:cs="宋体"/>
          <w:b w:val="0"/>
          <w:bCs/>
          <w:color w:val="000000"/>
          <w:kern w:val="0"/>
          <w:sz w:val="30"/>
          <w:szCs w:val="30"/>
          <w:lang w:val="en-US" w:eastAsia="zh-CN" w:bidi="ar-SA"/>
        </w:rPr>
        <w:t>0</w:t>
      </w:r>
      <w:r>
        <w:rPr>
          <w:rFonts w:hint="default" w:ascii="仿宋_GB2312" w:hAnsi="黑体" w:eastAsia="仿宋_GB2312" w:cs="宋体"/>
          <w:b w:val="0"/>
          <w:bCs/>
          <w:color w:val="000000"/>
          <w:kern w:val="0"/>
          <w:sz w:val="30"/>
          <w:szCs w:val="30"/>
          <w:lang w:val="en-US" w:eastAsia="zh-CN" w:bidi="ar-SA"/>
        </w:rPr>
        <w:t>万元，“三公”经费控制率为</w:t>
      </w:r>
      <w:r>
        <w:rPr>
          <w:rFonts w:hint="eastAsia" w:ascii="仿宋_GB2312" w:hAnsi="黑体" w:eastAsia="仿宋_GB2312" w:cs="宋体"/>
          <w:b w:val="0"/>
          <w:bCs/>
          <w:color w:val="000000"/>
          <w:kern w:val="0"/>
          <w:sz w:val="30"/>
          <w:szCs w:val="30"/>
          <w:lang w:val="en-US" w:eastAsia="zh-CN" w:bidi="ar-SA"/>
        </w:rPr>
        <w:t>0</w:t>
      </w:r>
      <w:r>
        <w:rPr>
          <w:rFonts w:hint="default" w:ascii="仿宋_GB2312" w:hAnsi="黑体" w:eastAsia="仿宋_GB2312" w:cs="宋体"/>
          <w:b w:val="0"/>
          <w:bCs/>
          <w:color w:val="000000"/>
          <w:kern w:val="0"/>
          <w:sz w:val="30"/>
          <w:szCs w:val="30"/>
          <w:lang w:val="en-US" w:eastAsia="zh-CN" w:bidi="ar-SA"/>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管理制度健全性：</w:t>
      </w:r>
      <w:r>
        <w:rPr>
          <w:rFonts w:hint="eastAsia" w:ascii="仿宋_GB2312" w:hAnsi="黑体" w:eastAsia="仿宋_GB2312" w:cs="宋体"/>
          <w:b w:val="0"/>
          <w:bCs/>
          <w:color w:val="000000"/>
          <w:kern w:val="0"/>
          <w:sz w:val="30"/>
          <w:szCs w:val="30"/>
          <w:lang w:val="en-US" w:eastAsia="zh-CN" w:bidi="ar-SA"/>
        </w:rPr>
        <w:t>制定单位</w:t>
      </w:r>
      <w:r>
        <w:rPr>
          <w:rFonts w:hint="default" w:ascii="仿宋_GB2312" w:hAnsi="黑体" w:eastAsia="仿宋_GB2312" w:cs="宋体"/>
          <w:b w:val="0"/>
          <w:bCs/>
          <w:color w:val="000000"/>
          <w:kern w:val="0"/>
          <w:sz w:val="30"/>
          <w:szCs w:val="30"/>
          <w:lang w:val="en-US" w:eastAsia="zh-CN" w:bidi="ar-SA"/>
        </w:rPr>
        <w:t>财务管理办法</w:t>
      </w:r>
      <w:r>
        <w:rPr>
          <w:rFonts w:hint="eastAsia" w:ascii="仿宋_GB2312" w:hAnsi="黑体" w:eastAsia="仿宋_GB2312" w:cs="宋体"/>
          <w:b w:val="0"/>
          <w:bCs/>
          <w:color w:val="000000"/>
          <w:kern w:val="0"/>
          <w:sz w:val="30"/>
          <w:szCs w:val="30"/>
          <w:lang w:val="en-US" w:eastAsia="zh-CN" w:bidi="ar-SA"/>
        </w:rPr>
        <w:t>,各类专项资金使用办法</w:t>
      </w:r>
      <w:r>
        <w:rPr>
          <w:rFonts w:hint="default" w:ascii="仿宋_GB2312" w:hAnsi="黑体" w:eastAsia="仿宋_GB2312" w:cs="宋体"/>
          <w:b w:val="0"/>
          <w:bCs/>
          <w:color w:val="000000"/>
          <w:kern w:val="0"/>
          <w:sz w:val="30"/>
          <w:szCs w:val="30"/>
          <w:lang w:val="en-US" w:eastAsia="zh-CN" w:bidi="ar-SA"/>
        </w:rPr>
        <w:t>等有关管理制度，规范财务审批程序，严格差旅费和接待费支出标准、范围和程序的审核</w:t>
      </w:r>
      <w:r>
        <w:rPr>
          <w:rFonts w:hint="eastAsia" w:ascii="仿宋_GB2312" w:hAnsi="黑体" w:eastAsia="仿宋_GB2312" w:cs="宋体"/>
          <w:b w:val="0"/>
          <w:bCs/>
          <w:color w:val="000000"/>
          <w:kern w:val="0"/>
          <w:sz w:val="30"/>
          <w:szCs w:val="30"/>
          <w:lang w:val="en-US" w:eastAsia="zh-CN" w:bidi="ar-SA"/>
        </w:rPr>
        <w:t>，以相关管理制度指导财务管理。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资金使用合规性：配合</w:t>
      </w:r>
      <w:r>
        <w:rPr>
          <w:rFonts w:hint="eastAsia" w:ascii="仿宋_GB2312" w:hAnsi="黑体" w:eastAsia="仿宋_GB2312" w:cs="宋体"/>
          <w:b w:val="0"/>
          <w:bCs/>
          <w:color w:val="000000"/>
          <w:kern w:val="0"/>
          <w:sz w:val="30"/>
          <w:szCs w:val="30"/>
          <w:lang w:val="en-US" w:eastAsia="zh-CN" w:bidi="ar-SA"/>
        </w:rPr>
        <w:t>区</w:t>
      </w:r>
      <w:r>
        <w:rPr>
          <w:rFonts w:hint="default" w:ascii="仿宋_GB2312" w:hAnsi="黑体" w:eastAsia="仿宋_GB2312" w:cs="宋体"/>
          <w:b w:val="0"/>
          <w:bCs/>
          <w:color w:val="000000"/>
          <w:kern w:val="0"/>
          <w:sz w:val="30"/>
          <w:szCs w:val="30"/>
          <w:lang w:val="en-US" w:eastAsia="zh-CN" w:bidi="ar-SA"/>
        </w:rPr>
        <w:t>纪委开展违反中央八项规定突出问题专项整治，严格落实中央八项规定和有关公务支出标准。加强经费合法合规性审核和预算控制，严格按制度政策办事，资金使用合法合规，支出手续齐全，程序到位。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预决算信息公开性：加快预算执行，盘活存量资金，减少追加资金。真实准确编制部门预算和决算，按时上报基础数据资料。对上年度部门整体支出进行了绩效评价，对标找差距。按规定时限和规定内容公开部门预算、部门决算以及绩效自评报告。各项应向社会公开的信息及时、完整、真实，更加细化，部门预决算信息透明度进一步提高。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（四）职责履行和履职效益方面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1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年，我们较好的完成了各项目标工作任务，取得了较好的社会效益，行政效能明显提高，社会公众满意度不断提升。 </w:t>
      </w:r>
    </w:p>
    <w:p>
      <w:pPr>
        <w:pStyle w:val="5"/>
        <w:keepNext w:val="0"/>
        <w:keepLines w:val="0"/>
        <w:widowControl/>
        <w:numPr>
          <w:ilvl w:val="0"/>
          <w:numId w:val="5"/>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600" w:firstLineChars="200"/>
        <w:jc w:val="both"/>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固定资产投资，2019年度固定资产投资增幅10.7%，全市排名前三。</w:t>
      </w:r>
    </w:p>
    <w:p>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Chars="200" w:right="0" w:rightChars="0"/>
        <w:jc w:val="both"/>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2、重点项目建设取得明显成效，2019年全年共实施重点项目136个，年度投资175.6亿元，完成投资180亿元，完成年度计划投资的102.5%；其中市重点项目52个全部开工，新入统5000万元以上项目45个，同比增长32%。</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default" w:eastAsia="黑体"/>
          <w:sz w:val="32"/>
          <w:szCs w:val="32"/>
          <w:lang w:val="en-US" w:eastAsia="zh-CN"/>
        </w:rPr>
      </w:pPr>
      <w:r>
        <w:rPr>
          <w:rFonts w:hint="default" w:eastAsia="黑体"/>
          <w:sz w:val="32"/>
          <w:szCs w:val="32"/>
          <w:lang w:val="en-US" w:eastAsia="zh-CN"/>
        </w:rPr>
        <w:t>四、存在的主要问题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0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（一）预算</w:t>
      </w:r>
      <w:r>
        <w:rPr>
          <w:rFonts w:hint="eastAsia" w:ascii="仿宋_GB2312" w:hAnsi="黑体" w:eastAsia="仿宋_GB2312" w:cs="宋体"/>
          <w:b w:val="0"/>
          <w:bCs/>
          <w:color w:val="000000"/>
          <w:kern w:val="0"/>
          <w:sz w:val="30"/>
          <w:szCs w:val="30"/>
          <w:lang w:val="en-US" w:eastAsia="zh-CN" w:bidi="ar-SA"/>
        </w:rPr>
        <w:t>调整</w:t>
      </w:r>
      <w:r>
        <w:rPr>
          <w:rFonts w:hint="default" w:ascii="仿宋_GB2312" w:hAnsi="黑体" w:eastAsia="仿宋_GB2312" w:cs="宋体"/>
          <w:b w:val="0"/>
          <w:bCs/>
          <w:color w:val="000000"/>
          <w:kern w:val="0"/>
          <w:sz w:val="30"/>
          <w:szCs w:val="30"/>
          <w:lang w:val="en-US" w:eastAsia="zh-CN" w:bidi="ar-SA"/>
        </w:rPr>
        <w:t>率有待</w:t>
      </w:r>
      <w:r>
        <w:rPr>
          <w:rFonts w:hint="eastAsia" w:ascii="仿宋_GB2312" w:hAnsi="黑体" w:eastAsia="仿宋_GB2312" w:cs="宋体"/>
          <w:b w:val="0"/>
          <w:bCs/>
          <w:color w:val="000000"/>
          <w:kern w:val="0"/>
          <w:sz w:val="30"/>
          <w:szCs w:val="30"/>
          <w:lang w:val="en-US" w:eastAsia="zh-CN" w:bidi="ar-SA"/>
        </w:rPr>
        <w:t>控制</w:t>
      </w:r>
      <w:r>
        <w:rPr>
          <w:rFonts w:hint="default" w:ascii="仿宋_GB2312" w:hAnsi="黑体" w:eastAsia="仿宋_GB2312" w:cs="宋体"/>
          <w:b w:val="0"/>
          <w:bCs/>
          <w:color w:val="000000"/>
          <w:kern w:val="0"/>
          <w:sz w:val="30"/>
          <w:szCs w:val="30"/>
          <w:lang w:val="en-US" w:eastAsia="zh-CN" w:bidi="ar-SA"/>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主要是追加了2017年重点项目奖励及几个重点项目协调小组的工作经费拨至我办开支。应加以重视，尽量减少追加资金，逐步降低预算控制率。</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eastAsia" w:eastAsia="黑体"/>
          <w:sz w:val="32"/>
          <w:szCs w:val="32"/>
          <w:lang w:val="en-US" w:eastAsia="zh-CN"/>
        </w:rPr>
      </w:pPr>
      <w:r>
        <w:rPr>
          <w:rFonts w:hint="eastAsia" w:eastAsia="黑体"/>
          <w:sz w:val="32"/>
          <w:szCs w:val="32"/>
          <w:lang w:val="en-US" w:eastAsia="zh-CN"/>
        </w:rPr>
        <w:t>五、结合《部门整体支出绩效评价指标表》（见附件）的评价结果95分</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eastAsia" w:eastAsia="黑体"/>
          <w:sz w:val="32"/>
          <w:szCs w:val="32"/>
          <w:lang w:val="en-US" w:eastAsia="zh-CN"/>
        </w:rPr>
      </w:pPr>
      <w:r>
        <w:rPr>
          <w:rFonts w:hint="eastAsia" w:eastAsia="黑体"/>
          <w:sz w:val="32"/>
          <w:szCs w:val="32"/>
          <w:lang w:val="en-US" w:eastAsia="zh-CN"/>
        </w:rPr>
        <w:t>六、改进措施和有关建议</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00"/>
        <w:jc w:val="both"/>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（一）整改措施：</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针对上述存在的问题，拟采取以下改进措施：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1、</w:t>
      </w:r>
      <w:r>
        <w:rPr>
          <w:rFonts w:hint="default" w:ascii="仿宋_GB2312" w:hAnsi="黑体" w:eastAsia="仿宋_GB2312" w:cs="宋体"/>
          <w:b w:val="0"/>
          <w:bCs/>
          <w:color w:val="000000"/>
          <w:kern w:val="0"/>
          <w:sz w:val="30"/>
          <w:szCs w:val="30"/>
          <w:lang w:val="en-US" w:eastAsia="zh-CN" w:bidi="ar-SA"/>
        </w:rPr>
        <w:t>硬化预算执行的约束性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增强预算编制的全面性、准确性，强化预算执行的严肃性。对年初没有预算安排的支出原则上不安排支出，不申请新增追加资金。严格按预算批复的用途使用资金，减少预算调整事项。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00"/>
        <w:jc w:val="both"/>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（二）、下一步建议：</w:t>
      </w:r>
    </w:p>
    <w:p>
      <w:pPr>
        <w:spacing w:line="580" w:lineRule="exact"/>
        <w:ind w:firstLine="560" w:firstLineChars="200"/>
        <w:rPr>
          <w:rFonts w:hint="eastAsia" w:ascii="仿宋_GB2312" w:eastAsia="仿宋_GB2312" w:cs="仿宋_GB2312"/>
          <w:sz w:val="28"/>
          <w:szCs w:val="28"/>
        </w:rPr>
      </w:pPr>
      <w:r>
        <w:rPr>
          <w:rFonts w:hint="eastAsia" w:ascii="仿宋_GB2312" w:eastAsia="仿宋_GB2312" w:cs="仿宋_GB2312"/>
          <w:sz w:val="28"/>
          <w:szCs w:val="28"/>
        </w:rPr>
        <w:t>为了进一步提高本部门整体绩效水平，在预算编制和预算执行过程中，我们提出如下建议：</w:t>
      </w:r>
    </w:p>
    <w:p>
      <w:pPr>
        <w:spacing w:line="580" w:lineRule="exact"/>
        <w:ind w:firstLine="560" w:firstLineChars="200"/>
        <w:rPr>
          <w:rFonts w:hint="eastAsia" w:ascii="仿宋_GB2312" w:eastAsia="仿宋_GB2312" w:cs="仿宋_GB2312"/>
          <w:sz w:val="28"/>
          <w:szCs w:val="28"/>
        </w:rPr>
      </w:pPr>
      <w:r>
        <w:rPr>
          <w:rFonts w:hint="eastAsia" w:ascii="仿宋_GB2312" w:eastAsia="仿宋_GB2312"/>
          <w:sz w:val="28"/>
          <w:szCs w:val="28"/>
          <w:lang w:val="en-US" w:eastAsia="zh-CN"/>
        </w:rPr>
        <w:t>1、</w:t>
      </w:r>
      <w:r>
        <w:rPr>
          <w:rFonts w:hint="eastAsia" w:ascii="仿宋_GB2312" w:eastAsia="仿宋_GB2312" w:cs="仿宋_GB2312"/>
          <w:sz w:val="28"/>
          <w:szCs w:val="28"/>
        </w:rPr>
        <w:t>继续加强队伍建设。要抓好绩效评价的队伍建设和业务学习，加强业务培训。</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56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eastAsia" w:ascii="仿宋_GB2312" w:eastAsia="仿宋_GB2312"/>
          <w:sz w:val="28"/>
          <w:szCs w:val="28"/>
          <w:lang w:val="en-US" w:eastAsia="zh-CN"/>
        </w:rPr>
        <w:t>2、</w:t>
      </w:r>
      <w:r>
        <w:rPr>
          <w:rFonts w:hint="eastAsia" w:ascii="仿宋_GB2312" w:eastAsia="仿宋_GB2312" w:cs="仿宋_GB2312"/>
          <w:sz w:val="28"/>
          <w:szCs w:val="28"/>
        </w:rPr>
        <w:t>建立和完善长效机制。把绩效评价作为部门的日常性工作，建立绩效评价管理工作考核的长效机制。</w:t>
      </w:r>
    </w:p>
    <w:p>
      <w:pPr>
        <w:rPr>
          <w:color w:val="auto"/>
          <w:u w:val="none"/>
        </w:rPr>
      </w:pPr>
      <w:r>
        <w:rPr>
          <w:rFonts w:hint="default" w:ascii="仿宋_GB2312" w:hAnsi="黑体" w:eastAsia="仿宋_GB2312" w:cs="宋体"/>
          <w:b w:val="0"/>
          <w:bCs/>
          <w:color w:val="000000"/>
          <w:kern w:val="0"/>
          <w:sz w:val="30"/>
          <w:szCs w:val="30"/>
          <w:lang w:val="en-US" w:eastAsia="zh-CN" w:bidi="ar-SA"/>
        </w:rPr>
        <w:t>　</w:t>
      </w:r>
      <w:r>
        <w:rPr>
          <w:rFonts w:hint="eastAsia" w:ascii="仿宋" w:hAnsi="仿宋" w:eastAsia="仿宋"/>
          <w:color w:val="auto"/>
          <w:sz w:val="32"/>
          <w:szCs w:val="32"/>
          <w:u w:val="none"/>
        </w:rPr>
        <w:t>附件：</w:t>
      </w:r>
      <w:r>
        <w:rPr>
          <w:color w:val="auto"/>
          <w:u w:val="none"/>
        </w:rPr>
        <w:fldChar w:fldCharType="begin"/>
      </w:r>
      <w:r>
        <w:rPr>
          <w:color w:val="auto"/>
          <w:u w:val="none"/>
        </w:rPr>
        <w:instrText xml:space="preserve">HYPERLINK "file:///C:\\Users\\Administrator\\Desktop\\10.18\\</w:instrText>
      </w:r>
      <w:r>
        <w:rPr>
          <w:rFonts w:hint="eastAsia"/>
          <w:color w:val="auto"/>
          <w:u w:val="none"/>
        </w:rPr>
        <w:instrText xml:space="preserve">绩效自评模板</w:instrText>
      </w:r>
      <w:r>
        <w:rPr>
          <w:color w:val="auto"/>
          <w:u w:val="none"/>
        </w:rPr>
        <w:instrText xml:space="preserve">\\2016</w:instrText>
      </w:r>
      <w:r>
        <w:rPr>
          <w:rFonts w:hint="eastAsia"/>
          <w:color w:val="auto"/>
          <w:u w:val="none"/>
        </w:rPr>
        <w:instrText xml:space="preserve">年永州市直部门整体支出绩效评价指标表</w:instrText>
      </w:r>
      <w:r>
        <w:rPr>
          <w:color w:val="auto"/>
          <w:u w:val="none"/>
        </w:rPr>
        <w:instrText xml:space="preserve">.doc"</w:instrText>
      </w:r>
      <w:r>
        <w:rPr>
          <w:color w:val="auto"/>
          <w:u w:val="none"/>
        </w:rPr>
        <w:fldChar w:fldCharType="separate"/>
      </w:r>
      <w:r>
        <w:rPr>
          <w:rStyle w:val="8"/>
          <w:rFonts w:hint="eastAsia" w:ascii="仿宋" w:hAnsi="仿宋" w:eastAsia="仿宋"/>
          <w:color w:val="auto"/>
          <w:sz w:val="32"/>
          <w:szCs w:val="32"/>
          <w:u w:val="none"/>
        </w:rPr>
        <w:t>部门整体支出绩效评价指标表</w:t>
      </w:r>
      <w:r>
        <w:rPr>
          <w:color w:val="auto"/>
          <w:u w:val="none"/>
        </w:rPr>
        <w:fldChar w:fldCharType="end"/>
      </w:r>
    </w:p>
    <w:p>
      <w:pPr>
        <w:spacing w:line="360" w:lineRule="auto"/>
        <w:ind w:right="480" w:firstLine="360" w:firstLineChars="100"/>
        <w:rPr>
          <w:rFonts w:hint="eastAsia" w:ascii="方正小标宋简体" w:hAnsi="宋体" w:eastAsia="方正小标宋简体"/>
          <w:bCs/>
          <w:sz w:val="36"/>
          <w:szCs w:val="36"/>
        </w:rPr>
      </w:pPr>
      <w:r>
        <w:rPr>
          <w:rFonts w:hint="eastAsia" w:ascii="方正小标宋简体" w:hAnsi="宋体" w:eastAsia="方正小标宋简体"/>
          <w:bCs/>
          <w:sz w:val="36"/>
          <w:szCs w:val="36"/>
        </w:rPr>
        <w:t>201</w:t>
      </w:r>
      <w:r>
        <w:rPr>
          <w:rFonts w:hint="eastAsia" w:ascii="方正小标宋简体" w:hAnsi="宋体" w:eastAsia="方正小标宋简体"/>
          <w:bCs/>
          <w:sz w:val="36"/>
          <w:szCs w:val="36"/>
          <w:lang w:val="en-US" w:eastAsia="zh-CN"/>
        </w:rPr>
        <w:t>9</w:t>
      </w:r>
      <w:r>
        <w:rPr>
          <w:rFonts w:hint="eastAsia" w:ascii="方正小标宋简体" w:hAnsi="宋体" w:eastAsia="方正小标宋简体"/>
          <w:bCs/>
          <w:sz w:val="36"/>
          <w:szCs w:val="36"/>
        </w:rPr>
        <w:t>年零陵区</w:t>
      </w:r>
      <w:r>
        <w:rPr>
          <w:rFonts w:hint="eastAsia" w:ascii="方正小标宋简体" w:hAnsi="宋体" w:eastAsia="方正小标宋简体"/>
          <w:bCs/>
          <w:sz w:val="36"/>
          <w:szCs w:val="36"/>
          <w:lang w:eastAsia="zh-CN"/>
        </w:rPr>
        <w:t>重点办</w:t>
      </w:r>
      <w:r>
        <w:rPr>
          <w:rFonts w:hint="eastAsia" w:ascii="方正小标宋简体" w:hAnsi="宋体" w:eastAsia="方正小标宋简体"/>
          <w:bCs/>
          <w:sz w:val="36"/>
          <w:szCs w:val="36"/>
        </w:rPr>
        <w:t>整体支出绩效评价指标表</w:t>
      </w:r>
    </w:p>
    <w:p>
      <w:pPr>
        <w:spacing w:line="360" w:lineRule="auto"/>
        <w:ind w:right="480" w:firstLine="480" w:firstLineChars="200"/>
        <w:jc w:val="center"/>
        <w:rPr>
          <w:rFonts w:ascii="宋体" w:hAnsi="宋体" w:cs="Arial"/>
          <w:sz w:val="24"/>
        </w:rPr>
      </w:pPr>
    </w:p>
    <w:tbl>
      <w:tblPr>
        <w:tblStyle w:val="6"/>
        <w:tblW w:w="9321" w:type="dxa"/>
        <w:tblInd w:w="0" w:type="dxa"/>
        <w:tblLayout w:type="fixed"/>
        <w:tblCellMar>
          <w:top w:w="0" w:type="dxa"/>
          <w:left w:w="108" w:type="dxa"/>
          <w:bottom w:w="0" w:type="dxa"/>
          <w:right w:w="108" w:type="dxa"/>
        </w:tblCellMar>
      </w:tblPr>
      <w:tblGrid>
        <w:gridCol w:w="660"/>
        <w:gridCol w:w="725"/>
        <w:gridCol w:w="712"/>
        <w:gridCol w:w="3682"/>
        <w:gridCol w:w="2888"/>
        <w:gridCol w:w="654"/>
      </w:tblGrid>
      <w:tr>
        <w:tblPrEx>
          <w:tblCellMar>
            <w:top w:w="0" w:type="dxa"/>
            <w:left w:w="108" w:type="dxa"/>
            <w:bottom w:w="0" w:type="dxa"/>
            <w:right w:w="108" w:type="dxa"/>
          </w:tblCellMar>
        </w:tblPrEx>
        <w:trPr>
          <w:trHeight w:val="270" w:hRule="atLeast"/>
        </w:trPr>
        <w:tc>
          <w:tcPr>
            <w:tcW w:w="660"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一级指标</w:t>
            </w:r>
          </w:p>
        </w:tc>
        <w:tc>
          <w:tcPr>
            <w:tcW w:w="725"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二级指标</w:t>
            </w:r>
          </w:p>
        </w:tc>
        <w:tc>
          <w:tcPr>
            <w:tcW w:w="712"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三级指标</w:t>
            </w:r>
          </w:p>
        </w:tc>
        <w:tc>
          <w:tcPr>
            <w:tcW w:w="3682"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评价标准</w:t>
            </w:r>
          </w:p>
        </w:tc>
        <w:tc>
          <w:tcPr>
            <w:tcW w:w="2888"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备注</w:t>
            </w:r>
          </w:p>
        </w:tc>
        <w:tc>
          <w:tcPr>
            <w:tcW w:w="654"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得分</w:t>
            </w:r>
          </w:p>
        </w:tc>
      </w:tr>
      <w:tr>
        <w:tblPrEx>
          <w:tblCellMar>
            <w:top w:w="0" w:type="dxa"/>
            <w:left w:w="108" w:type="dxa"/>
            <w:bottom w:w="0" w:type="dxa"/>
            <w:right w:w="108" w:type="dxa"/>
          </w:tblCellMar>
        </w:tblPrEx>
        <w:trPr>
          <w:trHeight w:val="1520" w:hRule="atLeast"/>
        </w:trPr>
        <w:tc>
          <w:tcPr>
            <w:tcW w:w="660" w:type="dxa"/>
            <w:vMerge w:val="restart"/>
            <w:tcBorders>
              <w:top w:val="nil"/>
              <w:left w:val="single" w:color="auto" w:sz="4" w:space="0"/>
              <w:right w:val="single" w:color="auto" w:sz="4" w:space="0"/>
            </w:tcBorders>
            <w:noWrap w:val="0"/>
            <w:textDirection w:val="tbRlV"/>
            <w:vAlign w:val="center"/>
          </w:tcPr>
          <w:p>
            <w:pPr>
              <w:spacing w:line="400" w:lineRule="exact"/>
              <w:jc w:val="center"/>
              <w:rPr>
                <w:rFonts w:ascii="宋体" w:hAnsi="宋体" w:cs="宋体"/>
                <w:kern w:val="0"/>
                <w:szCs w:val="21"/>
              </w:rPr>
            </w:pPr>
            <w:r>
              <w:rPr>
                <w:rFonts w:hint="eastAsia" w:ascii="宋体" w:hAnsi="宋体" w:cs="宋体"/>
                <w:kern w:val="0"/>
                <w:szCs w:val="21"/>
              </w:rPr>
              <w:t>投    入</w:t>
            </w:r>
          </w:p>
        </w:tc>
        <w:tc>
          <w:tcPr>
            <w:tcW w:w="725" w:type="dxa"/>
            <w:tcBorders>
              <w:top w:val="nil"/>
              <w:left w:val="single" w:color="auto" w:sz="4" w:space="0"/>
              <w:bottom w:val="single" w:color="auto" w:sz="4" w:space="0"/>
              <w:right w:val="single" w:color="auto" w:sz="4" w:space="0"/>
            </w:tcBorders>
            <w:noWrap w:val="0"/>
            <w:vAlign w:val="center"/>
          </w:tcPr>
          <w:p>
            <w:pPr>
              <w:widowControl/>
              <w:spacing w:line="400" w:lineRule="exact"/>
              <w:rPr>
                <w:rFonts w:ascii="宋体" w:hAnsi="宋体" w:cs="宋体"/>
                <w:kern w:val="0"/>
                <w:szCs w:val="21"/>
              </w:rPr>
            </w:pPr>
            <w:r>
              <w:rPr>
                <w:rFonts w:hint="eastAsia" w:ascii="宋体" w:hAnsi="宋体" w:cs="宋体"/>
                <w:kern w:val="0"/>
                <w:szCs w:val="21"/>
              </w:rPr>
              <w:t>目标设定（8分）</w:t>
            </w: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绩效目标设定（8分）</w:t>
            </w:r>
          </w:p>
        </w:tc>
        <w:tc>
          <w:tcPr>
            <w:tcW w:w="3682" w:type="dxa"/>
            <w:tcBorders>
              <w:top w:val="nil"/>
              <w:left w:val="nil"/>
              <w:bottom w:val="single" w:color="auto" w:sz="4" w:space="0"/>
              <w:right w:val="single" w:color="auto" w:sz="4" w:space="0"/>
            </w:tcBorders>
            <w:noWrap w:val="0"/>
            <w:vAlign w:val="center"/>
          </w:tcPr>
          <w:p>
            <w:pPr>
              <w:widowControl/>
              <w:spacing w:line="400" w:lineRule="exact"/>
              <w:ind w:left="-531" w:leftChars="-253" w:firstLine="558" w:firstLineChars="266"/>
              <w:jc w:val="center"/>
              <w:rPr>
                <w:rFonts w:ascii="宋体" w:hAnsi="宋体" w:cs="宋体"/>
                <w:kern w:val="0"/>
                <w:szCs w:val="21"/>
              </w:rPr>
            </w:pPr>
            <w:r>
              <w:rPr>
                <w:rFonts w:hint="eastAsia" w:ascii="宋体" w:hAnsi="宋体" w:cs="宋体"/>
                <w:kern w:val="0"/>
                <w:szCs w:val="21"/>
              </w:rPr>
              <w:t>整体支出绩效目标设立是否符合国家法律法规和社会发展总的规划计4分；与部门“三定方案”和中远期发展相符计4分。</w:t>
            </w:r>
          </w:p>
        </w:tc>
        <w:tc>
          <w:tcPr>
            <w:tcW w:w="2888" w:type="dxa"/>
            <w:tcBorders>
              <w:top w:val="nil"/>
              <w:left w:val="nil"/>
              <w:bottom w:val="single" w:color="auto" w:sz="4" w:space="0"/>
              <w:right w:val="single" w:color="auto" w:sz="4" w:space="0"/>
            </w:tcBorders>
            <w:noWrap w:val="0"/>
            <w:vAlign w:val="center"/>
          </w:tcPr>
          <w:p>
            <w:pPr>
              <w:widowControl/>
              <w:numPr>
                <w:ilvl w:val="0"/>
                <w:numId w:val="6"/>
              </w:numPr>
              <w:spacing w:line="400" w:lineRule="exact"/>
              <w:ind w:right="-107" w:rightChars="-51"/>
              <w:jc w:val="left"/>
              <w:rPr>
                <w:rFonts w:ascii="宋体" w:hAnsi="宋体" w:cs="宋体"/>
                <w:kern w:val="0"/>
                <w:szCs w:val="21"/>
              </w:rPr>
            </w:pPr>
            <w:r>
              <w:rPr>
                <w:rFonts w:hint="eastAsia" w:ascii="宋体" w:hAnsi="宋体" w:cs="宋体"/>
                <w:kern w:val="0"/>
                <w:szCs w:val="21"/>
              </w:rPr>
              <w:t>按要求进行了绩效目标编制；</w:t>
            </w:r>
          </w:p>
          <w:p>
            <w:pPr>
              <w:widowControl/>
              <w:numPr>
                <w:ilvl w:val="0"/>
                <w:numId w:val="6"/>
              </w:numPr>
              <w:spacing w:line="400" w:lineRule="exact"/>
              <w:ind w:right="-107" w:rightChars="-51"/>
              <w:jc w:val="left"/>
              <w:rPr>
                <w:rFonts w:ascii="宋体" w:hAnsi="宋体" w:cs="宋体"/>
                <w:kern w:val="0"/>
                <w:szCs w:val="21"/>
              </w:rPr>
            </w:pPr>
            <w:r>
              <w:rPr>
                <w:rFonts w:hint="eastAsia" w:ascii="宋体" w:hAnsi="宋体" w:cs="宋体"/>
                <w:kern w:val="0"/>
                <w:szCs w:val="21"/>
              </w:rPr>
              <w:t>按“三定”方案确定职责；</w:t>
            </w:r>
          </w:p>
          <w:p>
            <w:pPr>
              <w:widowControl/>
              <w:numPr>
                <w:ilvl w:val="0"/>
                <w:numId w:val="6"/>
              </w:numPr>
              <w:spacing w:line="400" w:lineRule="exact"/>
              <w:ind w:right="-107" w:rightChars="-51"/>
              <w:jc w:val="left"/>
              <w:rPr>
                <w:rFonts w:ascii="宋体" w:hAnsi="宋体" w:cs="宋体"/>
                <w:kern w:val="0"/>
                <w:szCs w:val="21"/>
              </w:rPr>
            </w:pPr>
            <w:r>
              <w:rPr>
                <w:rFonts w:hint="eastAsia" w:ascii="宋体" w:hAnsi="宋体" w:cs="宋体"/>
                <w:kern w:val="0"/>
                <w:szCs w:val="21"/>
              </w:rPr>
              <w:t>制定了部门中远期发展规划。</w:t>
            </w:r>
          </w:p>
        </w:tc>
        <w:tc>
          <w:tcPr>
            <w:tcW w:w="654"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8</w:t>
            </w:r>
          </w:p>
        </w:tc>
      </w:tr>
      <w:tr>
        <w:tblPrEx>
          <w:tblCellMar>
            <w:top w:w="0" w:type="dxa"/>
            <w:left w:w="108" w:type="dxa"/>
            <w:bottom w:w="0" w:type="dxa"/>
            <w:right w:w="108" w:type="dxa"/>
          </w:tblCellMar>
        </w:tblPrEx>
        <w:trPr>
          <w:trHeight w:val="1520" w:hRule="atLeast"/>
        </w:trPr>
        <w:tc>
          <w:tcPr>
            <w:tcW w:w="660" w:type="dxa"/>
            <w:vMerge w:val="continue"/>
            <w:tcBorders>
              <w:left w:val="single" w:color="auto" w:sz="4" w:space="0"/>
              <w:right w:val="single" w:color="auto" w:sz="4" w:space="0"/>
            </w:tcBorders>
            <w:noWrap w:val="0"/>
            <w:textDirection w:val="tbRlV"/>
            <w:vAlign w:val="center"/>
          </w:tcPr>
          <w:p>
            <w:pPr>
              <w:widowControl/>
              <w:spacing w:line="400" w:lineRule="exact"/>
              <w:jc w:val="center"/>
              <w:rPr>
                <w:rFonts w:ascii="宋体" w:hAnsi="宋体" w:cs="宋体"/>
                <w:kern w:val="0"/>
                <w:szCs w:val="21"/>
              </w:rPr>
            </w:pPr>
          </w:p>
        </w:tc>
        <w:tc>
          <w:tcPr>
            <w:tcW w:w="725" w:type="dxa"/>
            <w:vMerge w:val="restart"/>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预算配置(12分)</w:t>
            </w: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财政供养人员控制率（3分）</w:t>
            </w:r>
          </w:p>
        </w:tc>
        <w:tc>
          <w:tcPr>
            <w:tcW w:w="3682" w:type="dxa"/>
            <w:tcBorders>
              <w:top w:val="nil"/>
              <w:left w:val="nil"/>
              <w:bottom w:val="single" w:color="auto" w:sz="4" w:space="0"/>
              <w:right w:val="single" w:color="auto" w:sz="4" w:space="0"/>
            </w:tcBorders>
            <w:noWrap w:val="0"/>
            <w:vAlign w:val="center"/>
          </w:tcPr>
          <w:p>
            <w:pPr>
              <w:widowControl/>
              <w:spacing w:line="400" w:lineRule="exact"/>
              <w:ind w:left="-531" w:leftChars="-253" w:firstLine="558" w:firstLineChars="266"/>
              <w:rPr>
                <w:rFonts w:ascii="宋体" w:hAnsi="宋体" w:cs="宋体"/>
                <w:kern w:val="0"/>
                <w:szCs w:val="21"/>
              </w:rPr>
            </w:pPr>
            <w:r>
              <w:rPr>
                <w:rFonts w:hint="eastAsia" w:ascii="宋体" w:hAnsi="宋体" w:cs="宋体"/>
                <w:kern w:val="0"/>
                <w:szCs w:val="21"/>
              </w:rPr>
              <w:t>以100%为标准。</w:t>
            </w:r>
          </w:p>
          <w:p>
            <w:pPr>
              <w:widowControl/>
              <w:spacing w:line="400" w:lineRule="exact"/>
              <w:ind w:left="-531" w:leftChars="-253" w:firstLine="558" w:firstLineChars="266"/>
              <w:rPr>
                <w:rFonts w:ascii="宋体" w:hAnsi="宋体" w:cs="宋体"/>
                <w:kern w:val="0"/>
                <w:szCs w:val="21"/>
              </w:rPr>
            </w:pPr>
            <w:r>
              <w:rPr>
                <w:rFonts w:hint="eastAsia" w:ascii="宋体" w:hAnsi="宋体" w:cs="宋体"/>
                <w:kern w:val="0"/>
                <w:szCs w:val="21"/>
              </w:rPr>
              <w:t>在职人员控制率≦  100%，计3分；</w:t>
            </w:r>
          </w:p>
          <w:p>
            <w:pPr>
              <w:widowControl/>
              <w:spacing w:line="400" w:lineRule="exact"/>
              <w:ind w:left="-531" w:leftChars="-253" w:firstLine="558" w:firstLineChars="266"/>
              <w:jc w:val="center"/>
              <w:rPr>
                <w:rFonts w:ascii="宋体" w:hAnsi="宋体" w:cs="宋体"/>
                <w:kern w:val="0"/>
                <w:szCs w:val="21"/>
              </w:rPr>
            </w:pPr>
            <w:r>
              <w:rPr>
                <w:rFonts w:hint="eastAsia" w:ascii="宋体" w:hAnsi="宋体" w:cs="宋体"/>
                <w:kern w:val="0"/>
                <w:szCs w:val="21"/>
              </w:rPr>
              <w:t>每超过一个百分点扣0.5分，扣完为止。</w:t>
            </w:r>
          </w:p>
        </w:tc>
        <w:tc>
          <w:tcPr>
            <w:tcW w:w="2888" w:type="dxa"/>
            <w:tcBorders>
              <w:top w:val="nil"/>
              <w:left w:val="nil"/>
              <w:bottom w:val="single" w:color="auto" w:sz="4" w:space="0"/>
              <w:right w:val="single" w:color="auto" w:sz="4" w:space="0"/>
            </w:tcBorders>
            <w:noWrap w:val="0"/>
            <w:vAlign w:val="center"/>
          </w:tcPr>
          <w:p>
            <w:pPr>
              <w:widowControl/>
              <w:spacing w:line="400" w:lineRule="exact"/>
              <w:ind w:left="210" w:right="-107" w:rightChars="-51" w:hanging="210" w:hangingChars="100"/>
              <w:jc w:val="left"/>
              <w:rPr>
                <w:rFonts w:ascii="宋体" w:hAnsi="宋体" w:cs="宋体"/>
                <w:kern w:val="0"/>
                <w:szCs w:val="21"/>
              </w:rPr>
            </w:pPr>
            <w:r>
              <w:rPr>
                <w:rFonts w:hint="eastAsia" w:ascii="宋体" w:hAnsi="宋体" w:cs="宋体"/>
                <w:kern w:val="0"/>
                <w:szCs w:val="21"/>
              </w:rPr>
              <w:t xml:space="preserve">财政预算 </w:t>
            </w:r>
            <w:r>
              <w:rPr>
                <w:rFonts w:hint="eastAsia" w:ascii="宋体" w:hAnsi="宋体" w:cs="宋体"/>
                <w:kern w:val="0"/>
                <w:szCs w:val="21"/>
                <w:lang w:val="en-US" w:eastAsia="zh-CN"/>
              </w:rPr>
              <w:t>3</w:t>
            </w:r>
            <w:r>
              <w:rPr>
                <w:rFonts w:hint="eastAsia" w:ascii="宋体" w:hAnsi="宋体" w:cs="宋体"/>
                <w:kern w:val="0"/>
                <w:szCs w:val="21"/>
              </w:rPr>
              <w:t xml:space="preserve">人，实际在职 </w:t>
            </w:r>
            <w:r>
              <w:rPr>
                <w:rFonts w:hint="eastAsia" w:ascii="宋体" w:hAnsi="宋体" w:cs="宋体"/>
                <w:kern w:val="0"/>
                <w:szCs w:val="21"/>
                <w:lang w:val="en-US" w:eastAsia="zh-CN"/>
              </w:rPr>
              <w:t>3</w:t>
            </w:r>
            <w:r>
              <w:rPr>
                <w:rFonts w:hint="eastAsia" w:ascii="宋体" w:hAnsi="宋体" w:cs="宋体"/>
                <w:kern w:val="0"/>
                <w:szCs w:val="21"/>
              </w:rPr>
              <w:t>人，在职控制率=  /   *100%=   %</w:t>
            </w:r>
          </w:p>
        </w:tc>
        <w:tc>
          <w:tcPr>
            <w:tcW w:w="654"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3</w:t>
            </w:r>
          </w:p>
        </w:tc>
      </w:tr>
      <w:tr>
        <w:tblPrEx>
          <w:tblCellMar>
            <w:top w:w="0" w:type="dxa"/>
            <w:left w:w="108" w:type="dxa"/>
            <w:bottom w:w="0" w:type="dxa"/>
            <w:right w:w="108" w:type="dxa"/>
          </w:tblCellMar>
        </w:tblPrEx>
        <w:trPr>
          <w:trHeight w:val="960" w:hRule="atLeast"/>
        </w:trPr>
        <w:tc>
          <w:tcPr>
            <w:tcW w:w="660" w:type="dxa"/>
            <w:vMerge w:val="continue"/>
            <w:tcBorders>
              <w:left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“三公经费”变动率（4分）</w:t>
            </w:r>
          </w:p>
        </w:tc>
        <w:tc>
          <w:tcPr>
            <w:tcW w:w="368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“三公经费”变动率≦0 ，计4分；“三公经费”＞0，每超过一个百分点扣0.6分，扣完为止。</w:t>
            </w:r>
          </w:p>
        </w:tc>
        <w:tc>
          <w:tcPr>
            <w:tcW w:w="2888"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上年度三公经费支出公务用车运行维护费</w:t>
            </w:r>
            <w:r>
              <w:rPr>
                <w:rFonts w:hint="eastAsia" w:ascii="宋体" w:hAnsi="宋体" w:cs="宋体"/>
                <w:kern w:val="0"/>
                <w:szCs w:val="21"/>
                <w:lang w:val="en-US" w:eastAsia="zh-CN"/>
              </w:rPr>
              <w:t>0</w:t>
            </w:r>
            <w:r>
              <w:rPr>
                <w:rFonts w:hint="eastAsia" w:ascii="宋体" w:hAnsi="宋体" w:cs="宋体"/>
                <w:kern w:val="0"/>
                <w:szCs w:val="21"/>
              </w:rPr>
              <w:t xml:space="preserve">万元，接待费 </w:t>
            </w:r>
            <w:r>
              <w:rPr>
                <w:rFonts w:hint="eastAsia" w:ascii="宋体" w:hAnsi="宋体" w:cs="宋体"/>
                <w:kern w:val="0"/>
                <w:szCs w:val="21"/>
                <w:lang w:val="en-US" w:eastAsia="zh-CN"/>
              </w:rPr>
              <w:t>0.6</w:t>
            </w:r>
            <w:r>
              <w:rPr>
                <w:rFonts w:hint="eastAsia" w:ascii="宋体" w:hAnsi="宋体" w:cs="宋体"/>
                <w:kern w:val="0"/>
                <w:szCs w:val="21"/>
              </w:rPr>
              <w:t>万元，出国出境费 0 万元，共计</w:t>
            </w:r>
            <w:r>
              <w:rPr>
                <w:rFonts w:hint="eastAsia" w:ascii="宋体" w:hAnsi="宋体" w:cs="宋体"/>
                <w:kern w:val="0"/>
                <w:szCs w:val="21"/>
                <w:lang w:val="en-US" w:eastAsia="zh-CN"/>
              </w:rPr>
              <w:t>0.6</w:t>
            </w:r>
            <w:r>
              <w:rPr>
                <w:rFonts w:hint="eastAsia" w:ascii="宋体" w:hAnsi="宋体" w:cs="宋体"/>
                <w:kern w:val="0"/>
                <w:szCs w:val="21"/>
              </w:rPr>
              <w:t xml:space="preserve"> 万元。本年公车运行维护费</w:t>
            </w:r>
            <w:r>
              <w:rPr>
                <w:rFonts w:hint="eastAsia" w:ascii="宋体" w:hAnsi="宋体" w:cs="宋体"/>
                <w:kern w:val="0"/>
                <w:szCs w:val="21"/>
                <w:lang w:val="en-US" w:eastAsia="zh-CN"/>
              </w:rPr>
              <w:t>0</w:t>
            </w:r>
            <w:r>
              <w:rPr>
                <w:rFonts w:hint="eastAsia" w:ascii="宋体" w:hAnsi="宋体" w:cs="宋体"/>
                <w:kern w:val="0"/>
                <w:szCs w:val="21"/>
              </w:rPr>
              <w:t xml:space="preserve">万元，招待费  </w:t>
            </w:r>
            <w:r>
              <w:rPr>
                <w:rFonts w:hint="eastAsia" w:ascii="宋体" w:hAnsi="宋体" w:cs="宋体"/>
                <w:kern w:val="0"/>
                <w:szCs w:val="21"/>
                <w:lang w:val="en-US" w:eastAsia="zh-CN"/>
              </w:rPr>
              <w:t>0</w:t>
            </w:r>
            <w:r>
              <w:rPr>
                <w:rFonts w:hint="eastAsia" w:ascii="宋体" w:hAnsi="宋体" w:cs="宋体"/>
                <w:kern w:val="0"/>
                <w:szCs w:val="21"/>
              </w:rPr>
              <w:t xml:space="preserve"> 万元，共</w:t>
            </w:r>
            <w:r>
              <w:rPr>
                <w:rFonts w:hint="eastAsia" w:ascii="宋体" w:hAnsi="宋体" w:cs="宋体"/>
                <w:kern w:val="0"/>
                <w:szCs w:val="21"/>
                <w:lang w:val="en-US" w:eastAsia="zh-CN"/>
              </w:rPr>
              <w:t>0</w:t>
            </w:r>
            <w:r>
              <w:rPr>
                <w:rFonts w:hint="eastAsia" w:ascii="宋体" w:hAnsi="宋体" w:cs="宋体"/>
                <w:kern w:val="0"/>
                <w:szCs w:val="21"/>
              </w:rPr>
              <w:t>万元。三公经费变动率=（本年-上年度）/上年度=   %</w:t>
            </w:r>
          </w:p>
        </w:tc>
        <w:tc>
          <w:tcPr>
            <w:tcW w:w="654"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2160" w:hRule="atLeast"/>
        </w:trPr>
        <w:tc>
          <w:tcPr>
            <w:tcW w:w="660" w:type="dxa"/>
            <w:vMerge w:val="continue"/>
            <w:tcBorders>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重点支出安排率（5分）</w:t>
            </w:r>
          </w:p>
        </w:tc>
        <w:tc>
          <w:tcPr>
            <w:tcW w:w="368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重点支出安排率≥90%，计5分；</w:t>
            </w:r>
          </w:p>
          <w:p>
            <w:pPr>
              <w:widowControl/>
              <w:spacing w:line="400" w:lineRule="exact"/>
              <w:jc w:val="left"/>
              <w:rPr>
                <w:rFonts w:ascii="宋体" w:hAnsi="宋体" w:cs="宋体"/>
                <w:kern w:val="0"/>
                <w:szCs w:val="21"/>
              </w:rPr>
            </w:pPr>
            <w:r>
              <w:rPr>
                <w:rFonts w:hint="eastAsia" w:ascii="宋体" w:hAnsi="宋体" w:cs="宋体"/>
                <w:kern w:val="0"/>
                <w:szCs w:val="21"/>
              </w:rPr>
              <w:t>80%（含）-90%，计4分；                           70%（含）-80%，计3分；                           60%（含）-70%，计2分；                            低于60%不得分。</w:t>
            </w:r>
          </w:p>
        </w:tc>
        <w:tc>
          <w:tcPr>
            <w:tcW w:w="2888"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841" w:hRule="atLeast"/>
        </w:trPr>
        <w:tc>
          <w:tcPr>
            <w:tcW w:w="660" w:type="dxa"/>
            <w:vMerge w:val="restart"/>
            <w:tcBorders>
              <w:top w:val="nil"/>
              <w:left w:val="single" w:color="auto" w:sz="4" w:space="0"/>
              <w:bottom w:val="single" w:color="auto" w:sz="4" w:space="0"/>
              <w:right w:val="single" w:color="auto" w:sz="4" w:space="0"/>
            </w:tcBorders>
            <w:noWrap w:val="0"/>
            <w:textDirection w:val="tbRlV"/>
            <w:vAlign w:val="center"/>
          </w:tcPr>
          <w:p>
            <w:pPr>
              <w:widowControl/>
              <w:spacing w:line="400" w:lineRule="exact"/>
              <w:jc w:val="center"/>
              <w:rPr>
                <w:rFonts w:ascii="宋体" w:hAnsi="宋体" w:cs="宋体"/>
                <w:kern w:val="0"/>
                <w:szCs w:val="21"/>
              </w:rPr>
            </w:pPr>
            <w:r>
              <w:rPr>
                <w:rFonts w:hint="eastAsia" w:ascii="宋体" w:hAnsi="宋体" w:cs="宋体"/>
                <w:kern w:val="0"/>
                <w:szCs w:val="21"/>
              </w:rPr>
              <w:t>过    程</w:t>
            </w:r>
          </w:p>
        </w:tc>
        <w:tc>
          <w:tcPr>
            <w:tcW w:w="725" w:type="dxa"/>
            <w:vMerge w:val="restart"/>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预算执行（20分）</w:t>
            </w: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预算调整率（5分）</w:t>
            </w:r>
          </w:p>
        </w:tc>
        <w:tc>
          <w:tcPr>
            <w:tcW w:w="368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预算调整率=0，计5分；                       0-10%（含），计4分；                          10-20%（含），计3分；                                     20-30%（含），计2分；                             大于30%不得分。</w:t>
            </w:r>
          </w:p>
        </w:tc>
        <w:tc>
          <w:tcPr>
            <w:tcW w:w="2888"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预算调整率为=调整数/201</w:t>
            </w:r>
            <w:r>
              <w:rPr>
                <w:rFonts w:hint="eastAsia" w:ascii="宋体" w:hAnsi="宋体" w:cs="宋体"/>
                <w:kern w:val="0"/>
                <w:szCs w:val="21"/>
                <w:lang w:val="en-US" w:eastAsia="zh-CN"/>
              </w:rPr>
              <w:t>9</w:t>
            </w:r>
            <w:r>
              <w:rPr>
                <w:rFonts w:hint="eastAsia" w:ascii="宋体" w:hAnsi="宋体" w:cs="宋体"/>
                <w:kern w:val="0"/>
                <w:szCs w:val="21"/>
              </w:rPr>
              <w:t xml:space="preserve">年预算执行数*100%=  </w:t>
            </w:r>
            <w:r>
              <w:rPr>
                <w:rFonts w:hint="eastAsia" w:ascii="宋体" w:hAnsi="宋体" w:cs="宋体"/>
                <w:kern w:val="0"/>
                <w:szCs w:val="21"/>
                <w:lang w:val="en-US" w:eastAsia="zh-CN"/>
              </w:rPr>
              <w:t>68.4</w:t>
            </w:r>
            <w:r>
              <w:rPr>
                <w:rFonts w:hint="eastAsia" w:ascii="宋体" w:hAnsi="宋体" w:cs="宋体"/>
                <w:kern w:val="0"/>
                <w:szCs w:val="21"/>
              </w:rPr>
              <w:t xml:space="preserve">  %</w:t>
            </w:r>
          </w:p>
        </w:tc>
        <w:tc>
          <w:tcPr>
            <w:tcW w:w="654"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宋体" w:hAnsi="宋体" w:eastAsia="宋体" w:cs="宋体"/>
                <w:kern w:val="0"/>
                <w:szCs w:val="21"/>
                <w:lang w:eastAsia="zh-CN"/>
              </w:rPr>
            </w:pPr>
            <w:r>
              <w:rPr>
                <w:rFonts w:hint="eastAsia" w:ascii="宋体" w:hAnsi="宋体" w:cs="宋体"/>
                <w:kern w:val="0"/>
                <w:szCs w:val="21"/>
                <w:lang w:val="en-US" w:eastAsia="zh-CN"/>
              </w:rPr>
              <w:t>0</w:t>
            </w:r>
          </w:p>
        </w:tc>
      </w:tr>
      <w:tr>
        <w:tblPrEx>
          <w:tblCellMar>
            <w:top w:w="0" w:type="dxa"/>
            <w:left w:w="108" w:type="dxa"/>
            <w:bottom w:w="0" w:type="dxa"/>
            <w:right w:w="108" w:type="dxa"/>
          </w:tblCellMar>
        </w:tblPrEx>
        <w:trPr>
          <w:trHeight w:val="1680"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支出进度（4分）</w:t>
            </w:r>
          </w:p>
        </w:tc>
        <w:tc>
          <w:tcPr>
            <w:tcW w:w="368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每年春节前下达全部专项资金的50%；9月底前所有专项资金指标全部下达完。 每出现一个专项未按进度完成资金下达扣0.5分，扣完为止。</w:t>
            </w:r>
          </w:p>
        </w:tc>
        <w:tc>
          <w:tcPr>
            <w:tcW w:w="288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416"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资金结余（5分）</w:t>
            </w:r>
          </w:p>
        </w:tc>
        <w:tc>
          <w:tcPr>
            <w:tcW w:w="368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 xml:space="preserve">无结余，5分；              </w:t>
            </w:r>
          </w:p>
          <w:p>
            <w:pPr>
              <w:widowControl/>
              <w:spacing w:line="400" w:lineRule="exact"/>
              <w:jc w:val="left"/>
              <w:rPr>
                <w:rFonts w:ascii="宋体" w:hAnsi="宋体" w:cs="宋体"/>
                <w:kern w:val="0"/>
                <w:szCs w:val="21"/>
              </w:rPr>
            </w:pPr>
            <w:r>
              <w:rPr>
                <w:rFonts w:hint="eastAsia" w:ascii="宋体" w:hAnsi="宋体" w:cs="宋体"/>
                <w:kern w:val="0"/>
                <w:szCs w:val="21"/>
              </w:rPr>
              <w:t>有结余，但不超过上年结转，4分；                       结余超过上年结转，不得分。</w:t>
            </w:r>
          </w:p>
        </w:tc>
        <w:tc>
          <w:tcPr>
            <w:tcW w:w="2888"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960"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“三公经费”控制率（6分）</w:t>
            </w:r>
          </w:p>
        </w:tc>
        <w:tc>
          <w:tcPr>
            <w:tcW w:w="368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以100%为标准。三公经费控制率≦100%，计6分；每超过一个百分点扣1分，扣完为止。</w:t>
            </w:r>
          </w:p>
        </w:tc>
        <w:tc>
          <w:tcPr>
            <w:tcW w:w="288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1920" w:hRule="atLeast"/>
        </w:trPr>
        <w:tc>
          <w:tcPr>
            <w:tcW w:w="660" w:type="dxa"/>
            <w:vMerge w:val="restart"/>
            <w:tcBorders>
              <w:top w:val="nil"/>
              <w:left w:val="single" w:color="auto" w:sz="4" w:space="0"/>
              <w:bottom w:val="single" w:color="auto" w:sz="4" w:space="0"/>
              <w:right w:val="single" w:color="auto" w:sz="4" w:space="0"/>
            </w:tcBorders>
            <w:noWrap w:val="0"/>
            <w:textDirection w:val="tbRlV"/>
            <w:vAlign w:val="center"/>
          </w:tcPr>
          <w:p>
            <w:pPr>
              <w:widowControl/>
              <w:spacing w:line="400" w:lineRule="exact"/>
              <w:jc w:val="center"/>
              <w:rPr>
                <w:rFonts w:ascii="宋体" w:hAnsi="宋体" w:cs="宋体"/>
                <w:kern w:val="0"/>
                <w:szCs w:val="21"/>
              </w:rPr>
            </w:pPr>
            <w:r>
              <w:rPr>
                <w:rFonts w:hint="eastAsia" w:ascii="宋体" w:hAnsi="宋体" w:cs="宋体"/>
                <w:kern w:val="0"/>
                <w:szCs w:val="21"/>
              </w:rPr>
              <w:t>过      程</w:t>
            </w:r>
          </w:p>
        </w:tc>
        <w:tc>
          <w:tcPr>
            <w:tcW w:w="725" w:type="dxa"/>
            <w:vMerge w:val="restart"/>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预算管理（21分）</w:t>
            </w:r>
          </w:p>
        </w:tc>
        <w:tc>
          <w:tcPr>
            <w:tcW w:w="71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管理制度健全性（6分）</w:t>
            </w:r>
          </w:p>
        </w:tc>
        <w:tc>
          <w:tcPr>
            <w:tcW w:w="368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1、制定或具有预算资金管理办法，内部财务管理制度、会计核算制度等管理制度，2分； 2、相关管理制度合法、合规、完整，2分； 3、相关管理制度得到有效执行，2分。</w:t>
            </w:r>
          </w:p>
        </w:tc>
        <w:tc>
          <w:tcPr>
            <w:tcW w:w="2888"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16"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资金使用合规性（10分）</w:t>
            </w:r>
          </w:p>
        </w:tc>
        <w:tc>
          <w:tcPr>
            <w:tcW w:w="368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 xml:space="preserve">1、支出符合国家财经法规和财务管理制度规定以及有关专项资金管理办法的规定； </w:t>
            </w:r>
          </w:p>
          <w:p>
            <w:pPr>
              <w:widowControl/>
              <w:spacing w:line="400" w:lineRule="exact"/>
              <w:jc w:val="left"/>
              <w:rPr>
                <w:rFonts w:ascii="宋体" w:hAnsi="宋体" w:cs="宋体"/>
                <w:kern w:val="0"/>
                <w:szCs w:val="21"/>
              </w:rPr>
            </w:pPr>
            <w:r>
              <w:rPr>
                <w:rFonts w:hint="eastAsia" w:ascii="宋体" w:hAnsi="宋体" w:cs="宋体"/>
                <w:kern w:val="0"/>
                <w:szCs w:val="21"/>
              </w:rPr>
              <w:t xml:space="preserve">2、资金拨付有完整的审批程序和手续；               </w:t>
            </w:r>
          </w:p>
          <w:p>
            <w:pPr>
              <w:widowControl/>
              <w:spacing w:line="400" w:lineRule="exact"/>
              <w:jc w:val="left"/>
              <w:rPr>
                <w:rFonts w:ascii="宋体" w:hAnsi="宋体" w:cs="宋体"/>
                <w:kern w:val="0"/>
                <w:szCs w:val="21"/>
              </w:rPr>
            </w:pPr>
            <w:r>
              <w:rPr>
                <w:rFonts w:hint="eastAsia" w:ascii="宋体" w:hAnsi="宋体" w:cs="宋体"/>
                <w:kern w:val="0"/>
                <w:szCs w:val="21"/>
              </w:rPr>
              <w:t xml:space="preserve">3、项目支出按规定经过评估论证；                      4、支出按照部门预算批复的用途使用；                      5、资金使用无截留、挤占、挪用、虚列支出等情况。 </w:t>
            </w:r>
          </w:p>
          <w:p>
            <w:pPr>
              <w:widowControl/>
              <w:spacing w:line="400" w:lineRule="exact"/>
              <w:jc w:val="left"/>
              <w:rPr>
                <w:rFonts w:ascii="宋体" w:hAnsi="宋体" w:cs="宋体"/>
                <w:kern w:val="0"/>
                <w:szCs w:val="21"/>
              </w:rPr>
            </w:pPr>
            <w:r>
              <w:rPr>
                <w:rFonts w:hint="eastAsia" w:ascii="宋体" w:hAnsi="宋体" w:cs="宋体"/>
                <w:kern w:val="0"/>
                <w:szCs w:val="21"/>
              </w:rPr>
              <w:t xml:space="preserve">6、按《采购法》实行政府采购； </w:t>
            </w:r>
          </w:p>
          <w:p>
            <w:pPr>
              <w:widowControl/>
              <w:spacing w:line="400" w:lineRule="exact"/>
              <w:jc w:val="left"/>
              <w:rPr>
                <w:rFonts w:ascii="宋体" w:hAnsi="宋体" w:cs="宋体"/>
                <w:kern w:val="0"/>
                <w:szCs w:val="21"/>
              </w:rPr>
            </w:pPr>
            <w:r>
              <w:rPr>
                <w:rFonts w:hint="eastAsia" w:ascii="宋体" w:hAnsi="宋体" w:cs="宋体"/>
                <w:kern w:val="0"/>
                <w:szCs w:val="21"/>
              </w:rPr>
              <w:t>7、按照《湖南省非税收入管理条例》规范收费的。 以上情况每出现一例不符合要求的扣1分，扣完为止。</w:t>
            </w:r>
          </w:p>
        </w:tc>
        <w:tc>
          <w:tcPr>
            <w:tcW w:w="288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10</w:t>
            </w:r>
          </w:p>
        </w:tc>
      </w:tr>
      <w:tr>
        <w:tblPrEx>
          <w:tblCellMar>
            <w:top w:w="0" w:type="dxa"/>
            <w:left w:w="108" w:type="dxa"/>
            <w:bottom w:w="0" w:type="dxa"/>
            <w:right w:w="108" w:type="dxa"/>
          </w:tblCellMar>
        </w:tblPrEx>
        <w:trPr>
          <w:trHeight w:val="2400"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预决算信息公开性和完善性（5分）</w:t>
            </w:r>
          </w:p>
        </w:tc>
        <w:tc>
          <w:tcPr>
            <w:tcW w:w="368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 xml:space="preserve">1、按规定内容公开预决算信息，1分； 2、按规定时限公开预决算信息，1分；3、基础数据信息和会计信息资料真实，1分；                        </w:t>
            </w:r>
          </w:p>
          <w:p>
            <w:pPr>
              <w:widowControl/>
              <w:spacing w:line="400" w:lineRule="exact"/>
              <w:jc w:val="left"/>
              <w:rPr>
                <w:rFonts w:ascii="宋体" w:hAnsi="宋体" w:cs="宋体"/>
                <w:kern w:val="0"/>
                <w:szCs w:val="21"/>
              </w:rPr>
            </w:pPr>
            <w:r>
              <w:rPr>
                <w:rFonts w:hint="eastAsia" w:ascii="宋体" w:hAnsi="宋体" w:cs="宋体"/>
                <w:kern w:val="0"/>
                <w:szCs w:val="21"/>
              </w:rPr>
              <w:t xml:space="preserve">4、基础数据信息和会计信息资料完整，1分；                            5、基础数据信息和汇集信息资料准确，1分。      </w:t>
            </w:r>
          </w:p>
          <w:p>
            <w:pPr>
              <w:widowControl/>
              <w:spacing w:line="400" w:lineRule="exact"/>
              <w:jc w:val="left"/>
              <w:rPr>
                <w:rFonts w:ascii="宋体" w:hAnsi="宋体" w:cs="宋体"/>
                <w:kern w:val="0"/>
                <w:szCs w:val="21"/>
              </w:rPr>
            </w:pPr>
          </w:p>
        </w:tc>
        <w:tc>
          <w:tcPr>
            <w:tcW w:w="2888"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1905"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restart"/>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资产管理（10分）</w:t>
            </w: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管理制度健全性（3分）</w:t>
            </w:r>
          </w:p>
        </w:tc>
        <w:tc>
          <w:tcPr>
            <w:tcW w:w="368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1、已制定资产管理制度1分；</w:t>
            </w:r>
          </w:p>
          <w:p>
            <w:pPr>
              <w:widowControl/>
              <w:spacing w:line="400" w:lineRule="exact"/>
              <w:jc w:val="left"/>
              <w:rPr>
                <w:rFonts w:ascii="宋体" w:hAnsi="宋体" w:cs="宋体"/>
                <w:kern w:val="0"/>
                <w:szCs w:val="21"/>
              </w:rPr>
            </w:pPr>
            <w:r>
              <w:rPr>
                <w:rFonts w:hint="eastAsia" w:ascii="宋体" w:hAnsi="宋体" w:cs="宋体"/>
                <w:kern w:val="0"/>
                <w:szCs w:val="21"/>
              </w:rPr>
              <w:t>2、相关资产管理制度合法、合规、完整，1分；                        3、相关资产管理制度得到有效执行，1分。</w:t>
            </w:r>
          </w:p>
        </w:tc>
        <w:tc>
          <w:tcPr>
            <w:tcW w:w="2888"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3</w:t>
            </w:r>
          </w:p>
        </w:tc>
      </w:tr>
      <w:tr>
        <w:tblPrEx>
          <w:tblCellMar>
            <w:top w:w="0" w:type="dxa"/>
            <w:left w:w="108" w:type="dxa"/>
            <w:bottom w:w="0" w:type="dxa"/>
            <w:right w:w="108" w:type="dxa"/>
          </w:tblCellMar>
        </w:tblPrEx>
        <w:trPr>
          <w:trHeight w:val="1833"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资产管理安全性（5分）</w:t>
            </w:r>
          </w:p>
        </w:tc>
        <w:tc>
          <w:tcPr>
            <w:tcW w:w="368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1、资产保存完整和资产信息系统建立、运用；</w:t>
            </w:r>
          </w:p>
          <w:p>
            <w:pPr>
              <w:widowControl/>
              <w:spacing w:line="400" w:lineRule="exact"/>
              <w:jc w:val="left"/>
              <w:rPr>
                <w:rFonts w:ascii="宋体" w:hAnsi="宋体" w:cs="宋体"/>
                <w:kern w:val="0"/>
                <w:szCs w:val="21"/>
              </w:rPr>
            </w:pPr>
            <w:r>
              <w:rPr>
                <w:rFonts w:hint="eastAsia" w:ascii="宋体" w:hAnsi="宋体" w:cs="宋体"/>
                <w:kern w:val="0"/>
                <w:szCs w:val="21"/>
              </w:rPr>
              <w:t xml:space="preserve">2、资产配置合理；         </w:t>
            </w:r>
          </w:p>
          <w:p>
            <w:pPr>
              <w:widowControl/>
              <w:spacing w:line="400" w:lineRule="exact"/>
              <w:jc w:val="left"/>
              <w:rPr>
                <w:rFonts w:ascii="宋体" w:hAnsi="宋体" w:cs="宋体"/>
                <w:kern w:val="0"/>
                <w:szCs w:val="21"/>
              </w:rPr>
            </w:pPr>
            <w:r>
              <w:rPr>
                <w:rFonts w:hint="eastAsia" w:ascii="宋体" w:hAnsi="宋体" w:cs="宋体"/>
                <w:kern w:val="0"/>
                <w:szCs w:val="21"/>
              </w:rPr>
              <w:t>3、资产处置规范；</w:t>
            </w:r>
          </w:p>
          <w:p>
            <w:pPr>
              <w:widowControl/>
              <w:spacing w:line="400" w:lineRule="exact"/>
              <w:jc w:val="left"/>
              <w:rPr>
                <w:rFonts w:ascii="宋体" w:hAnsi="宋体" w:cs="宋体"/>
                <w:kern w:val="0"/>
                <w:szCs w:val="21"/>
              </w:rPr>
            </w:pPr>
            <w:r>
              <w:rPr>
                <w:rFonts w:hint="eastAsia" w:ascii="宋体" w:hAnsi="宋体" w:cs="宋体"/>
                <w:kern w:val="0"/>
                <w:szCs w:val="21"/>
              </w:rPr>
              <w:t xml:space="preserve">4、资产账务管理合规，帐实相符；                      5、国有资产有偿使用收入和处置收入及时足额上缴；                   </w:t>
            </w:r>
          </w:p>
          <w:p>
            <w:pPr>
              <w:widowControl/>
              <w:spacing w:line="400" w:lineRule="exact"/>
              <w:jc w:val="left"/>
              <w:rPr>
                <w:rFonts w:ascii="宋体" w:hAnsi="宋体" w:cs="宋体"/>
                <w:kern w:val="0"/>
                <w:szCs w:val="21"/>
              </w:rPr>
            </w:pPr>
            <w:r>
              <w:rPr>
                <w:rFonts w:hint="eastAsia" w:ascii="宋体" w:hAnsi="宋体" w:cs="宋体"/>
                <w:kern w:val="0"/>
                <w:szCs w:val="21"/>
              </w:rPr>
              <w:t>以上情况每出现一例不符合有关要求的扣1分，扣完为止。</w:t>
            </w:r>
          </w:p>
        </w:tc>
        <w:tc>
          <w:tcPr>
            <w:tcW w:w="288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1395"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固定资产利用率（2分）</w:t>
            </w:r>
          </w:p>
        </w:tc>
        <w:tc>
          <w:tcPr>
            <w:tcW w:w="368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每低于100%一个百分点扣0.2分，扣完为止。</w:t>
            </w:r>
          </w:p>
        </w:tc>
        <w:tc>
          <w:tcPr>
            <w:tcW w:w="2888"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2</w:t>
            </w:r>
          </w:p>
        </w:tc>
      </w:tr>
      <w:tr>
        <w:tblPrEx>
          <w:tblCellMar>
            <w:top w:w="0" w:type="dxa"/>
            <w:left w:w="108" w:type="dxa"/>
            <w:bottom w:w="0" w:type="dxa"/>
            <w:right w:w="108" w:type="dxa"/>
          </w:tblCellMar>
        </w:tblPrEx>
        <w:trPr>
          <w:trHeight w:val="416" w:hRule="atLeast"/>
        </w:trPr>
        <w:tc>
          <w:tcPr>
            <w:tcW w:w="660" w:type="dxa"/>
            <w:vMerge w:val="restart"/>
            <w:tcBorders>
              <w:top w:val="nil"/>
              <w:left w:val="single" w:color="auto" w:sz="4" w:space="0"/>
              <w:bottom w:val="single" w:color="auto" w:sz="4" w:space="0"/>
              <w:right w:val="single" w:color="auto" w:sz="4" w:space="0"/>
            </w:tcBorders>
            <w:noWrap w:val="0"/>
            <w:textDirection w:val="tbRlV"/>
            <w:vAlign w:val="center"/>
          </w:tcPr>
          <w:p>
            <w:pPr>
              <w:widowControl/>
              <w:spacing w:line="400" w:lineRule="exact"/>
              <w:jc w:val="center"/>
              <w:rPr>
                <w:rFonts w:ascii="宋体" w:hAnsi="宋体" w:cs="宋体"/>
                <w:kern w:val="0"/>
                <w:szCs w:val="21"/>
              </w:rPr>
            </w:pPr>
            <w:r>
              <w:rPr>
                <w:rFonts w:hint="eastAsia" w:ascii="宋体" w:hAnsi="宋体" w:cs="宋体"/>
                <w:kern w:val="0"/>
                <w:szCs w:val="21"/>
              </w:rPr>
              <w:t>产   出</w:t>
            </w:r>
          </w:p>
        </w:tc>
        <w:tc>
          <w:tcPr>
            <w:tcW w:w="725" w:type="dxa"/>
            <w:vMerge w:val="restart"/>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职责履行（12分）</w:t>
            </w: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工作实际完成率（6分）</w:t>
            </w:r>
          </w:p>
        </w:tc>
        <w:tc>
          <w:tcPr>
            <w:tcW w:w="368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根据评价部门制定的计划工作任务及内容考核实际完成情况及质量。该项得分=（实际完成情况/计划工作内容）*6</w:t>
            </w:r>
          </w:p>
        </w:tc>
        <w:tc>
          <w:tcPr>
            <w:tcW w:w="2888"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1680"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重点工作质量达标率（6分）</w:t>
            </w:r>
          </w:p>
        </w:tc>
        <w:tc>
          <w:tcPr>
            <w:tcW w:w="368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质量达标率达到100%，计6分；每低于100%一个百分点扣0.5分，扣完为止。</w:t>
            </w:r>
          </w:p>
        </w:tc>
        <w:tc>
          <w:tcPr>
            <w:tcW w:w="2888"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hint="eastAsia" w:ascii="宋体" w:hAnsi="宋体" w:eastAsia="宋体" w:cs="宋体"/>
                <w:kern w:val="0"/>
                <w:szCs w:val="21"/>
                <w:lang w:val="en-US" w:eastAsia="zh-CN"/>
              </w:rPr>
            </w:pPr>
            <w:r>
              <w:rPr>
                <w:rFonts w:hint="eastAsia" w:ascii="宋体" w:hAnsi="宋体" w:cs="宋体"/>
                <w:kern w:val="0"/>
                <w:szCs w:val="21"/>
                <w:lang w:val="en-US" w:eastAsia="zh-CN"/>
              </w:rPr>
              <w:t>6</w:t>
            </w:r>
          </w:p>
        </w:tc>
      </w:tr>
      <w:tr>
        <w:tblPrEx>
          <w:tblCellMar>
            <w:top w:w="0" w:type="dxa"/>
            <w:left w:w="108" w:type="dxa"/>
            <w:bottom w:w="0" w:type="dxa"/>
            <w:right w:w="108" w:type="dxa"/>
          </w:tblCellMar>
        </w:tblPrEx>
        <w:trPr>
          <w:trHeight w:val="1191" w:hRule="atLeast"/>
        </w:trPr>
        <w:tc>
          <w:tcPr>
            <w:tcW w:w="660" w:type="dxa"/>
            <w:vMerge w:val="restart"/>
            <w:tcBorders>
              <w:top w:val="nil"/>
              <w:left w:val="single" w:color="auto" w:sz="4" w:space="0"/>
              <w:bottom w:val="single" w:color="auto" w:sz="4" w:space="0"/>
              <w:right w:val="single" w:color="auto" w:sz="4" w:space="0"/>
            </w:tcBorders>
            <w:noWrap w:val="0"/>
            <w:textDirection w:val="tbRlV"/>
            <w:vAlign w:val="center"/>
          </w:tcPr>
          <w:p>
            <w:pPr>
              <w:widowControl/>
              <w:spacing w:line="400" w:lineRule="exact"/>
              <w:jc w:val="center"/>
              <w:rPr>
                <w:rFonts w:ascii="宋体" w:hAnsi="宋体" w:cs="宋体"/>
                <w:kern w:val="0"/>
                <w:szCs w:val="21"/>
              </w:rPr>
            </w:pPr>
            <w:r>
              <w:rPr>
                <w:rFonts w:hint="eastAsia" w:ascii="宋体" w:hAnsi="宋体" w:cs="宋体"/>
                <w:kern w:val="0"/>
                <w:szCs w:val="21"/>
              </w:rPr>
              <w:t>效  果</w:t>
            </w:r>
          </w:p>
        </w:tc>
        <w:tc>
          <w:tcPr>
            <w:tcW w:w="725" w:type="dxa"/>
            <w:vMerge w:val="restart"/>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履职效益（17分）</w:t>
            </w: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经济效益（4分）</w:t>
            </w:r>
          </w:p>
        </w:tc>
        <w:tc>
          <w:tcPr>
            <w:tcW w:w="3682"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ind w:left="360"/>
              <w:jc w:val="left"/>
              <w:rPr>
                <w:rFonts w:ascii="宋体" w:hAnsi="宋体" w:cs="宋体"/>
                <w:kern w:val="0"/>
                <w:szCs w:val="21"/>
              </w:rPr>
            </w:pPr>
            <w:r>
              <w:rPr>
                <w:rFonts w:hint="eastAsia" w:ascii="宋体" w:hAnsi="宋体" w:cs="宋体"/>
                <w:kern w:val="0"/>
                <w:szCs w:val="21"/>
              </w:rPr>
              <w:t>此条单位若没产生“经济效益”和“生态效益” ,社会效益从以下5个方面评价:1.在中央、省、政府考核中评为良以上；2.在部门考核中被评良以上；3.在市政府绩效评估中考核为优秀的；4.全年无违反党的“八项规定”的；5.无违反财政法规等行为的；</w:t>
            </w:r>
          </w:p>
        </w:tc>
        <w:tc>
          <w:tcPr>
            <w:tcW w:w="288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1407"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社会效益（4分)</w:t>
            </w:r>
          </w:p>
        </w:tc>
        <w:tc>
          <w:tcPr>
            <w:tcW w:w="3682" w:type="dxa"/>
            <w:vMerge w:val="continue"/>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2888"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840"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生态效益(4分)</w:t>
            </w:r>
          </w:p>
        </w:tc>
        <w:tc>
          <w:tcPr>
            <w:tcW w:w="3682" w:type="dxa"/>
            <w:vMerge w:val="continue"/>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2888"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1200"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社会公众或服务对象满意度（5分）</w:t>
            </w:r>
          </w:p>
        </w:tc>
        <w:tc>
          <w:tcPr>
            <w:tcW w:w="368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90%（含）以上计5分；80%（含）-90%，计3分；70%（含）-80%，计1分；低于70%计0分。</w:t>
            </w:r>
          </w:p>
        </w:tc>
        <w:tc>
          <w:tcPr>
            <w:tcW w:w="288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780" w:hRule="atLeast"/>
        </w:trPr>
        <w:tc>
          <w:tcPr>
            <w:tcW w:w="660"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合计</w:t>
            </w:r>
          </w:p>
        </w:tc>
        <w:tc>
          <w:tcPr>
            <w:tcW w:w="1437"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100</w:t>
            </w:r>
          </w:p>
        </w:tc>
        <w:tc>
          <w:tcPr>
            <w:tcW w:w="368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　</w:t>
            </w:r>
          </w:p>
        </w:tc>
        <w:tc>
          <w:tcPr>
            <w:tcW w:w="2888"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hint="eastAsia" w:ascii="宋体" w:hAnsi="宋体" w:eastAsia="宋体" w:cs="宋体"/>
                <w:kern w:val="0"/>
                <w:szCs w:val="21"/>
                <w:lang w:val="en-US" w:eastAsia="zh-CN"/>
              </w:rPr>
            </w:pPr>
            <w:r>
              <w:rPr>
                <w:rFonts w:hint="eastAsia" w:ascii="宋体" w:hAnsi="宋体" w:cs="宋体"/>
                <w:kern w:val="0"/>
                <w:szCs w:val="21"/>
              </w:rPr>
              <w:t>9</w:t>
            </w:r>
            <w:r>
              <w:rPr>
                <w:rFonts w:hint="eastAsia" w:ascii="宋体" w:hAnsi="宋体" w:cs="宋体"/>
                <w:kern w:val="0"/>
                <w:szCs w:val="21"/>
                <w:lang w:val="en-US" w:eastAsia="zh-CN"/>
              </w:rPr>
              <w:t>5</w:t>
            </w:r>
          </w:p>
        </w:tc>
      </w:tr>
    </w:tbl>
    <w:p/>
    <w:p/>
    <w:p>
      <w:pPr>
        <w:ind w:firstLine="640" w:firstLineChars="200"/>
        <w:jc w:val="left"/>
        <w:rPr>
          <w:rFonts w:cs="黑体" w:asciiTheme="minorEastAsia" w:hAnsiTheme="minorEastAsia"/>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0000000000000000000"/>
    <w:charset w:val="86"/>
    <w:family w:val="script"/>
    <w:pitch w:val="default"/>
    <w:sig w:usb0="00000000" w:usb1="00000000" w:usb2="00000010" w:usb3="00000000" w:csb0="00040000" w:csb1="00000000"/>
  </w:font>
  <w:font w:name="??">
    <w:altName w:val="Times New Roman"/>
    <w:panose1 w:val="00000000000000000000"/>
    <w:charset w:val="00"/>
    <w:family w:val="roman"/>
    <w:pitch w:val="default"/>
    <w:sig w:usb0="00000000" w:usb1="00000000" w:usb2="00000000" w:usb3="00000000" w:csb0="00000001" w:csb1="00000000"/>
  </w:font>
  <w:font w:name="华文楷体">
    <w:panose1 w:val="02010600040101010101"/>
    <w:charset w:val="86"/>
    <w:family w:val="auto"/>
    <w:pitch w:val="default"/>
    <w:sig w:usb0="00000287" w:usb1="080F0000" w:usb2="00000000" w:usb3="00000000" w:csb0="0004009F" w:csb1="DFD70000"/>
  </w:font>
  <w:font w:name="??_GB2312">
    <w:altName w:val="Times New Roman"/>
    <w:panose1 w:val="00000000000000000000"/>
    <w:charset w:val="00"/>
    <w:family w:val="auto"/>
    <w:pitch w:val="default"/>
    <w:sig w:usb0="00000000" w:usb1="00000000" w:usb2="00000000" w:usb3="00000000" w:csb0="00000001" w:csb1="00000000"/>
  </w:font>
  <w:font w:name="方正小标宋简体">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2D571D4"/>
    <w:multiLevelType w:val="singleLevel"/>
    <w:tmpl w:val="D2D571D4"/>
    <w:lvl w:ilvl="0" w:tentative="0">
      <w:start w:val="1"/>
      <w:numFmt w:val="decimal"/>
      <w:suff w:val="nothing"/>
      <w:lvlText w:val="%1、"/>
      <w:lvlJc w:val="left"/>
    </w:lvl>
  </w:abstractNum>
  <w:abstractNum w:abstractNumId="1">
    <w:nsid w:val="286B5710"/>
    <w:multiLevelType w:val="multilevel"/>
    <w:tmpl w:val="286B5710"/>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47A8F4E8"/>
    <w:multiLevelType w:val="singleLevel"/>
    <w:tmpl w:val="47A8F4E8"/>
    <w:lvl w:ilvl="0" w:tentative="0">
      <w:start w:val="3"/>
      <w:numFmt w:val="decimal"/>
      <w:suff w:val="nothing"/>
      <w:lvlText w:val="%1、"/>
      <w:lvlJc w:val="left"/>
    </w:lvl>
  </w:abstractNum>
  <w:abstractNum w:abstractNumId="4">
    <w:nsid w:val="58575151"/>
    <w:multiLevelType w:val="singleLevel"/>
    <w:tmpl w:val="58575151"/>
    <w:lvl w:ilvl="0" w:tentative="0">
      <w:start w:val="1"/>
      <w:numFmt w:val="chineseCounting"/>
      <w:suff w:val="nothing"/>
      <w:lvlText w:val="（%1）"/>
      <w:lvlJc w:val="left"/>
    </w:lvl>
  </w:abstractNum>
  <w:abstractNum w:abstractNumId="5">
    <w:nsid w:val="5A407433"/>
    <w:multiLevelType w:val="singleLevel"/>
    <w:tmpl w:val="5A407433"/>
    <w:lvl w:ilvl="0" w:tentative="0">
      <w:start w:val="1"/>
      <w:numFmt w:val="chineseCounting"/>
      <w:suff w:val="nothing"/>
      <w:lvlText w:val="%1、"/>
      <w:lvlJc w:val="left"/>
    </w:lvl>
  </w:abstractNum>
  <w:num w:numId="1">
    <w:abstractNumId w:val="2"/>
  </w:num>
  <w:num w:numId="2">
    <w:abstractNumId w:val="3"/>
  </w:num>
  <w:num w:numId="3">
    <w:abstractNumId w:val="5"/>
  </w:num>
  <w:num w:numId="4">
    <w:abstractNumId w:val="4"/>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2229B"/>
    <w:rsid w:val="000273BD"/>
    <w:rsid w:val="000415B7"/>
    <w:rsid w:val="000658A3"/>
    <w:rsid w:val="00074155"/>
    <w:rsid w:val="000A3F69"/>
    <w:rsid w:val="00152C6D"/>
    <w:rsid w:val="00162D39"/>
    <w:rsid w:val="001A67DB"/>
    <w:rsid w:val="001D51E5"/>
    <w:rsid w:val="001F0C3B"/>
    <w:rsid w:val="00214427"/>
    <w:rsid w:val="00265724"/>
    <w:rsid w:val="0027426B"/>
    <w:rsid w:val="003479BD"/>
    <w:rsid w:val="003768D5"/>
    <w:rsid w:val="004506F9"/>
    <w:rsid w:val="004717A2"/>
    <w:rsid w:val="00491741"/>
    <w:rsid w:val="00500E5F"/>
    <w:rsid w:val="005122EF"/>
    <w:rsid w:val="00517C33"/>
    <w:rsid w:val="00523644"/>
    <w:rsid w:val="0054069E"/>
    <w:rsid w:val="005767CC"/>
    <w:rsid w:val="00590D9F"/>
    <w:rsid w:val="00595D26"/>
    <w:rsid w:val="005A74E6"/>
    <w:rsid w:val="005D4D55"/>
    <w:rsid w:val="005E2CFB"/>
    <w:rsid w:val="0062378F"/>
    <w:rsid w:val="00651EEC"/>
    <w:rsid w:val="006A351B"/>
    <w:rsid w:val="006B0422"/>
    <w:rsid w:val="006C1B53"/>
    <w:rsid w:val="006D7730"/>
    <w:rsid w:val="006E5284"/>
    <w:rsid w:val="006F3EB5"/>
    <w:rsid w:val="00702E34"/>
    <w:rsid w:val="00704395"/>
    <w:rsid w:val="00720FF1"/>
    <w:rsid w:val="00812ED5"/>
    <w:rsid w:val="008277D9"/>
    <w:rsid w:val="008A3E8D"/>
    <w:rsid w:val="009237C4"/>
    <w:rsid w:val="00950252"/>
    <w:rsid w:val="00967F5D"/>
    <w:rsid w:val="009A0F95"/>
    <w:rsid w:val="009B3ADF"/>
    <w:rsid w:val="009C3B52"/>
    <w:rsid w:val="00A42218"/>
    <w:rsid w:val="00A70249"/>
    <w:rsid w:val="00B33BEA"/>
    <w:rsid w:val="00B57C9F"/>
    <w:rsid w:val="00B845B3"/>
    <w:rsid w:val="00B85D8B"/>
    <w:rsid w:val="00BE3674"/>
    <w:rsid w:val="00C3049A"/>
    <w:rsid w:val="00C31B1E"/>
    <w:rsid w:val="00C77645"/>
    <w:rsid w:val="00CE04C3"/>
    <w:rsid w:val="00CE76A0"/>
    <w:rsid w:val="00D148C6"/>
    <w:rsid w:val="00DD06FF"/>
    <w:rsid w:val="00DD5FE9"/>
    <w:rsid w:val="00E00C7A"/>
    <w:rsid w:val="00E55B68"/>
    <w:rsid w:val="00F74360"/>
    <w:rsid w:val="00FB462F"/>
    <w:rsid w:val="00FE16FA"/>
    <w:rsid w:val="00FE328A"/>
    <w:rsid w:val="0103226C"/>
    <w:rsid w:val="025938CD"/>
    <w:rsid w:val="02785142"/>
    <w:rsid w:val="030C22BD"/>
    <w:rsid w:val="04C1571E"/>
    <w:rsid w:val="04C36C6F"/>
    <w:rsid w:val="069F283E"/>
    <w:rsid w:val="09F34F35"/>
    <w:rsid w:val="0CB73D30"/>
    <w:rsid w:val="0EB76560"/>
    <w:rsid w:val="117C68F3"/>
    <w:rsid w:val="13C1494C"/>
    <w:rsid w:val="146B11E1"/>
    <w:rsid w:val="16B07D76"/>
    <w:rsid w:val="188332C1"/>
    <w:rsid w:val="1ACF5021"/>
    <w:rsid w:val="1B767B0A"/>
    <w:rsid w:val="1DF01006"/>
    <w:rsid w:val="1EA62C6A"/>
    <w:rsid w:val="1F776EE9"/>
    <w:rsid w:val="220B2154"/>
    <w:rsid w:val="22441C81"/>
    <w:rsid w:val="234E08BF"/>
    <w:rsid w:val="24C249B6"/>
    <w:rsid w:val="26FB123A"/>
    <w:rsid w:val="28482E3B"/>
    <w:rsid w:val="2A8D15FD"/>
    <w:rsid w:val="2ABE59AD"/>
    <w:rsid w:val="2BA05B41"/>
    <w:rsid w:val="2D981FFA"/>
    <w:rsid w:val="2FA24959"/>
    <w:rsid w:val="2FC75B84"/>
    <w:rsid w:val="30390281"/>
    <w:rsid w:val="323955C4"/>
    <w:rsid w:val="344C3F8F"/>
    <w:rsid w:val="34E053CE"/>
    <w:rsid w:val="379F35AD"/>
    <w:rsid w:val="38187A98"/>
    <w:rsid w:val="39464883"/>
    <w:rsid w:val="39D53394"/>
    <w:rsid w:val="3C677DAF"/>
    <w:rsid w:val="3D113DC0"/>
    <w:rsid w:val="3D2675ED"/>
    <w:rsid w:val="3DEE5E84"/>
    <w:rsid w:val="42E54051"/>
    <w:rsid w:val="43CA198A"/>
    <w:rsid w:val="45EF39F2"/>
    <w:rsid w:val="464E049F"/>
    <w:rsid w:val="46792311"/>
    <w:rsid w:val="483B4DCF"/>
    <w:rsid w:val="4A7E4FFD"/>
    <w:rsid w:val="4BC155DD"/>
    <w:rsid w:val="4E11577A"/>
    <w:rsid w:val="4FCE735C"/>
    <w:rsid w:val="53C62DE4"/>
    <w:rsid w:val="558546F6"/>
    <w:rsid w:val="55A570B3"/>
    <w:rsid w:val="55C3223C"/>
    <w:rsid w:val="58BA6EFE"/>
    <w:rsid w:val="59CF06F6"/>
    <w:rsid w:val="5B180C54"/>
    <w:rsid w:val="5BB9115A"/>
    <w:rsid w:val="5CC8239A"/>
    <w:rsid w:val="5ECE403C"/>
    <w:rsid w:val="5F1E2A8F"/>
    <w:rsid w:val="5F7631AB"/>
    <w:rsid w:val="60A71FB4"/>
    <w:rsid w:val="60EF6C89"/>
    <w:rsid w:val="611C30F3"/>
    <w:rsid w:val="619F4850"/>
    <w:rsid w:val="61C87C5A"/>
    <w:rsid w:val="61F4368B"/>
    <w:rsid w:val="62516D25"/>
    <w:rsid w:val="64197B7D"/>
    <w:rsid w:val="64B71621"/>
    <w:rsid w:val="664A25D3"/>
    <w:rsid w:val="66636D61"/>
    <w:rsid w:val="66A22CC0"/>
    <w:rsid w:val="66C95574"/>
    <w:rsid w:val="66FE16CF"/>
    <w:rsid w:val="69A12C0E"/>
    <w:rsid w:val="69A77E15"/>
    <w:rsid w:val="6DAA0C71"/>
    <w:rsid w:val="6EB81F17"/>
    <w:rsid w:val="6F251372"/>
    <w:rsid w:val="71261BF1"/>
    <w:rsid w:val="77991BFF"/>
    <w:rsid w:val="77FE45C3"/>
    <w:rsid w:val="78A432EA"/>
    <w:rsid w:val="798402FF"/>
    <w:rsid w:val="7B3F32FA"/>
    <w:rsid w:val="7BDF1556"/>
    <w:rsid w:val="7E83116D"/>
    <w:rsid w:val="7F062C63"/>
    <w:rsid w:val="7F724B7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unhideWhenUsed/>
    <w:qFormat/>
    <w:uiPriority w:val="1"/>
  </w:style>
  <w:style w:type="table" w:default="1" w:styleId="6">
    <w:name w:val="Normal Table"/>
    <w:unhideWhenUsed/>
    <w:uiPriority w:val="99"/>
    <w:tblPr>
      <w:tblCellMar>
        <w:top w:w="0" w:type="dxa"/>
        <w:left w:w="108" w:type="dxa"/>
        <w:bottom w:w="0" w:type="dxa"/>
        <w:right w:w="108" w:type="dxa"/>
      </w:tblCellMar>
    </w:tblPr>
  </w:style>
  <w:style w:type="paragraph" w:styleId="2">
    <w:name w:val="Balloon Text"/>
    <w:basedOn w:val="1"/>
    <w:link w:val="13"/>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Hyperlink"/>
    <w:basedOn w:val="7"/>
    <w:qFormat/>
    <w:uiPriority w:val="99"/>
    <w:rPr>
      <w:rFonts w:cs="Times New Roman"/>
      <w:color w:val="0000FF"/>
      <w:u w:val="single"/>
    </w:rPr>
  </w:style>
  <w:style w:type="character" w:customStyle="1" w:styleId="9">
    <w:name w:val="页眉 Char"/>
    <w:basedOn w:val="7"/>
    <w:link w:val="4"/>
    <w:qFormat/>
    <w:uiPriority w:val="99"/>
    <w:rPr>
      <w:sz w:val="18"/>
      <w:szCs w:val="18"/>
    </w:rPr>
  </w:style>
  <w:style w:type="character" w:customStyle="1" w:styleId="10">
    <w:name w:val="页脚 Char"/>
    <w:basedOn w:val="7"/>
    <w:link w:val="3"/>
    <w:qFormat/>
    <w:uiPriority w:val="99"/>
    <w:rPr>
      <w:sz w:val="18"/>
      <w:szCs w:val="18"/>
    </w:rPr>
  </w:style>
  <w:style w:type="paragraph" w:customStyle="1" w:styleId="11">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customStyle="1" w:styleId="12">
    <w:name w:val="List Paragraph"/>
    <w:basedOn w:val="1"/>
    <w:qFormat/>
    <w:uiPriority w:val="34"/>
    <w:pPr>
      <w:ind w:firstLine="420" w:firstLineChars="200"/>
    </w:pPr>
  </w:style>
  <w:style w:type="character" w:customStyle="1" w:styleId="13">
    <w:name w:val="批注框文本 Char"/>
    <w:basedOn w:val="7"/>
    <w:link w:val="2"/>
    <w:semiHidden/>
    <w:qFormat/>
    <w:uiPriority w:val="99"/>
    <w:rPr>
      <w:sz w:val="18"/>
      <w:szCs w:val="18"/>
    </w:rPr>
  </w:style>
  <w:style w:type="paragraph" w:customStyle="1" w:styleId="14">
    <w:name w:val="列出段落"/>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CA967F-99A7-44AE-8CB3-A0222E97AF6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23</Pages>
  <Words>1258</Words>
  <Characters>7176</Characters>
  <Lines>59</Lines>
  <Paragraphs>16</Paragraphs>
  <TotalTime>1</TotalTime>
  <ScaleCrop>false</ScaleCrop>
  <LinksUpToDate>false</LinksUpToDate>
  <CharactersWithSpaces>8418</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LENOVO</cp:lastModifiedBy>
  <cp:lastPrinted>2020-07-15T07:25:00Z</cp:lastPrinted>
  <dcterms:modified xsi:type="dcterms:W3CDTF">2020-10-15T01:38:58Z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