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1"/>
        <w:jc w:val="center"/>
        <w:rPr>
          <w:sz w:val="56"/>
          <w:szCs w:val="56"/>
        </w:rPr>
      </w:pPr>
    </w:p>
    <w:p>
      <w:pPr>
        <w:pStyle w:val="11"/>
        <w:jc w:val="center"/>
        <w:rPr>
          <w:sz w:val="56"/>
          <w:szCs w:val="56"/>
        </w:rPr>
      </w:pPr>
    </w:p>
    <w:p>
      <w:pPr>
        <w:pStyle w:val="11"/>
        <w:jc w:val="center"/>
        <w:rPr>
          <w:sz w:val="84"/>
          <w:szCs w:val="84"/>
        </w:rPr>
      </w:pPr>
    </w:p>
    <w:p>
      <w:pPr>
        <w:pStyle w:val="11"/>
        <w:jc w:val="center"/>
        <w:rPr>
          <w:sz w:val="84"/>
          <w:szCs w:val="84"/>
        </w:rPr>
      </w:pPr>
    </w:p>
    <w:p>
      <w:pPr>
        <w:pStyle w:val="11"/>
        <w:jc w:val="center"/>
        <w:rPr>
          <w:sz w:val="84"/>
          <w:szCs w:val="84"/>
        </w:rPr>
      </w:pPr>
      <w:r>
        <w:rPr>
          <w:rFonts w:hint="eastAsia"/>
          <w:sz w:val="84"/>
          <w:szCs w:val="84"/>
        </w:rPr>
        <w:t>2019年度</w:t>
      </w:r>
    </w:p>
    <w:p>
      <w:pPr>
        <w:pStyle w:val="11"/>
        <w:jc w:val="center"/>
        <w:rPr>
          <w:sz w:val="84"/>
          <w:szCs w:val="84"/>
        </w:rPr>
      </w:pPr>
      <w:r>
        <w:rPr>
          <w:rFonts w:hint="eastAsia"/>
          <w:sz w:val="84"/>
          <w:szCs w:val="84"/>
          <w:lang w:eastAsia="zh-CN"/>
        </w:rPr>
        <w:t>永州市零陵区发展和改革局</w:t>
      </w:r>
      <w:r>
        <w:rPr>
          <w:rFonts w:hint="eastAsia"/>
          <w:sz w:val="84"/>
          <w:szCs w:val="84"/>
        </w:rPr>
        <w:t>单位部门决算</w:t>
      </w:r>
    </w:p>
    <w:p>
      <w:pPr>
        <w:pStyle w:val="11"/>
        <w:jc w:val="center"/>
        <w:rPr>
          <w:sz w:val="56"/>
          <w:szCs w:val="56"/>
        </w:rPr>
      </w:pPr>
    </w:p>
    <w:p>
      <w:pPr>
        <w:pStyle w:val="11"/>
        <w:jc w:val="center"/>
        <w:rPr>
          <w:sz w:val="56"/>
          <w:szCs w:val="56"/>
        </w:rPr>
      </w:pPr>
    </w:p>
    <w:p>
      <w:pPr>
        <w:pStyle w:val="11"/>
        <w:jc w:val="center"/>
        <w:rPr>
          <w:sz w:val="56"/>
          <w:szCs w:val="56"/>
        </w:rPr>
      </w:pPr>
    </w:p>
    <w:p>
      <w:pPr>
        <w:pStyle w:val="11"/>
        <w:jc w:val="center"/>
        <w:rPr>
          <w:sz w:val="56"/>
          <w:szCs w:val="56"/>
        </w:rPr>
      </w:pPr>
    </w:p>
    <w:p>
      <w:pPr>
        <w:pStyle w:val="11"/>
        <w:jc w:val="center"/>
        <w:rPr>
          <w:sz w:val="56"/>
          <w:szCs w:val="56"/>
        </w:rPr>
      </w:pPr>
    </w:p>
    <w:p>
      <w:pPr>
        <w:pStyle w:val="11"/>
        <w:spacing w:line="540" w:lineRule="exact"/>
        <w:jc w:val="both"/>
        <w:rPr>
          <w:sz w:val="56"/>
          <w:szCs w:val="56"/>
        </w:rPr>
      </w:pPr>
    </w:p>
    <w:p>
      <w:pPr>
        <w:pStyle w:val="11"/>
        <w:spacing w:line="540" w:lineRule="exact"/>
        <w:jc w:val="both"/>
        <w:rPr>
          <w:sz w:val="56"/>
          <w:szCs w:val="56"/>
        </w:rPr>
      </w:pPr>
    </w:p>
    <w:p>
      <w:pPr>
        <w:pStyle w:val="11"/>
        <w:spacing w:line="520" w:lineRule="exact"/>
        <w:jc w:val="center"/>
        <w:rPr>
          <w:sz w:val="56"/>
          <w:szCs w:val="56"/>
        </w:rPr>
      </w:pPr>
      <w:r>
        <w:rPr>
          <w:rFonts w:hint="eastAsia"/>
          <w:sz w:val="56"/>
          <w:szCs w:val="56"/>
        </w:rPr>
        <w:t>目录</w:t>
      </w:r>
    </w:p>
    <w:p>
      <w:pPr>
        <w:pStyle w:val="11"/>
        <w:spacing w:line="520" w:lineRule="exact"/>
        <w:rPr>
          <w:rFonts w:ascii="仿宋_GB2312" w:hAnsi="仿宋_GB2312" w:cs="仿宋_GB2312"/>
          <w:b/>
          <w:sz w:val="28"/>
          <w:szCs w:val="28"/>
        </w:rPr>
      </w:pPr>
      <w:r>
        <w:rPr>
          <w:rFonts w:hint="eastAsia"/>
          <w:b/>
          <w:sz w:val="28"/>
          <w:szCs w:val="28"/>
        </w:rPr>
        <w:t>第一部分单位概况</w:t>
      </w:r>
    </w:p>
    <w:p>
      <w:pPr>
        <w:pStyle w:val="11"/>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一、部门职责</w:t>
      </w:r>
    </w:p>
    <w:p>
      <w:pPr>
        <w:pStyle w:val="11"/>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二、机构设置</w:t>
      </w:r>
    </w:p>
    <w:p>
      <w:pPr>
        <w:pStyle w:val="11"/>
        <w:spacing w:line="520" w:lineRule="exact"/>
        <w:rPr>
          <w:rFonts w:ascii="仿宋_GB2312" w:hAnsi="仿宋_GB2312" w:cs="仿宋_GB2312"/>
          <w:b/>
          <w:sz w:val="28"/>
          <w:szCs w:val="28"/>
        </w:rPr>
      </w:pPr>
      <w:r>
        <w:rPr>
          <w:rFonts w:hint="eastAsia" w:hAnsi="仿宋_GB2312"/>
          <w:b/>
          <w:sz w:val="28"/>
          <w:szCs w:val="28"/>
        </w:rPr>
        <w:t>第二部分</w:t>
      </w:r>
      <w:r>
        <w:rPr>
          <w:rFonts w:hAnsi="仿宋_GB2312"/>
          <w:b/>
          <w:sz w:val="28"/>
          <w:szCs w:val="28"/>
        </w:rPr>
        <w:t>2019</w:t>
      </w:r>
      <w:r>
        <w:rPr>
          <w:rFonts w:hint="eastAsia" w:hAnsi="仿宋_GB2312"/>
          <w:b/>
          <w:sz w:val="28"/>
          <w:szCs w:val="28"/>
        </w:rPr>
        <w:t>年度部门决算表</w:t>
      </w:r>
    </w:p>
    <w:p>
      <w:pPr>
        <w:pStyle w:val="11"/>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一、收入支出决算总表</w:t>
      </w:r>
    </w:p>
    <w:p>
      <w:pPr>
        <w:pStyle w:val="11"/>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二、收入决算表</w:t>
      </w:r>
    </w:p>
    <w:p>
      <w:pPr>
        <w:pStyle w:val="11"/>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三、支出决算表</w:t>
      </w:r>
    </w:p>
    <w:p>
      <w:pPr>
        <w:pStyle w:val="11"/>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四、财政拨款收入支出决算总表</w:t>
      </w:r>
    </w:p>
    <w:p>
      <w:pPr>
        <w:pStyle w:val="11"/>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五、一般公共预算财政拨款支出决算表</w:t>
      </w:r>
    </w:p>
    <w:p>
      <w:pPr>
        <w:pStyle w:val="11"/>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六、一般公共预算财政拨款基本支出决算表</w:t>
      </w:r>
    </w:p>
    <w:p>
      <w:pPr>
        <w:pStyle w:val="11"/>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七、一般公共预算财政拨款“三公”经费支出决算表</w:t>
      </w:r>
    </w:p>
    <w:p>
      <w:pPr>
        <w:pStyle w:val="11"/>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八、政府性基金预算财政拨款收入支出决算表</w:t>
      </w:r>
    </w:p>
    <w:p>
      <w:pPr>
        <w:pStyle w:val="11"/>
        <w:spacing w:line="520" w:lineRule="exact"/>
        <w:rPr>
          <w:rFonts w:ascii="仿宋_GB2312" w:hAnsi="仿宋_GB2312" w:cs="仿宋_GB2312"/>
          <w:b/>
          <w:sz w:val="28"/>
          <w:szCs w:val="28"/>
        </w:rPr>
      </w:pPr>
      <w:r>
        <w:rPr>
          <w:rFonts w:hint="eastAsia" w:hAnsi="仿宋_GB2312"/>
          <w:b/>
          <w:sz w:val="28"/>
          <w:szCs w:val="28"/>
        </w:rPr>
        <w:t>第三部分</w:t>
      </w:r>
      <w:r>
        <w:rPr>
          <w:rFonts w:hAnsi="仿宋_GB2312"/>
          <w:b/>
          <w:sz w:val="28"/>
          <w:szCs w:val="28"/>
        </w:rPr>
        <w:t>2019</w:t>
      </w:r>
      <w:r>
        <w:rPr>
          <w:rFonts w:hint="eastAsia" w:hAnsi="仿宋_GB2312"/>
          <w:b/>
          <w:sz w:val="28"/>
          <w:szCs w:val="28"/>
        </w:rPr>
        <w:t>年度部门决算情况说明</w:t>
      </w:r>
    </w:p>
    <w:p>
      <w:pPr>
        <w:pStyle w:val="11"/>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一、收入支出决算总体情况说明</w:t>
      </w:r>
    </w:p>
    <w:p>
      <w:pPr>
        <w:spacing w:line="520" w:lineRule="exact"/>
        <w:ind w:firstLine="700" w:firstLineChars="250"/>
        <w:jc w:val="left"/>
        <w:rPr>
          <w:rFonts w:ascii="仿宋_GB2312" w:hAnsi="仿宋_GB2312" w:cs="仿宋_GB2312"/>
          <w:sz w:val="28"/>
          <w:szCs w:val="28"/>
        </w:rPr>
      </w:pPr>
      <w:r>
        <w:rPr>
          <w:rFonts w:ascii="仿宋_GB2312" w:hAnsi="仿宋_GB2312" w:cs="仿宋_GB2312"/>
          <w:sz w:val="28"/>
          <w:szCs w:val="28"/>
        </w:rPr>
        <w:t>二、收入决算情况说明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三、支出决算情况说明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四、财政拨款收入支出决算总体情况说明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五、一般公共预算财政拨款支出决算情况说明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六、一般公共预算财政拨款基本支出决算情况说明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七、一般公共预算财政拨款三公经费支出决算情况说明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八</w:t>
      </w:r>
      <w:r>
        <w:rPr>
          <w:rFonts w:ascii="仿宋_GB2312" w:hAnsi="仿宋_GB2312" w:cs="仿宋_GB2312"/>
          <w:color w:val="000000"/>
          <w:kern w:val="0"/>
          <w:sz w:val="28"/>
          <w:szCs w:val="28"/>
        </w:rPr>
        <w:t>、</w:t>
      </w:r>
      <w:r>
        <w:rPr>
          <w:rFonts w:hint="eastAsia" w:ascii="仿宋_GB2312" w:hAnsi="仿宋_GB2312" w:cs="仿宋_GB2312"/>
          <w:color w:val="000000"/>
          <w:kern w:val="0"/>
          <w:sz w:val="28"/>
          <w:szCs w:val="28"/>
        </w:rPr>
        <w:t>政府性基金预算收入支出决算情况</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九</w:t>
      </w:r>
      <w:r>
        <w:rPr>
          <w:rFonts w:ascii="仿宋_GB2312" w:hAnsi="仿宋_GB2312" w:cs="仿宋_GB2312"/>
          <w:color w:val="000000"/>
          <w:kern w:val="0"/>
          <w:sz w:val="28"/>
          <w:szCs w:val="28"/>
        </w:rPr>
        <w:t>、预算绩效情况说明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十</w:t>
      </w:r>
      <w:r>
        <w:rPr>
          <w:rFonts w:ascii="仿宋_GB2312" w:hAnsi="仿宋_GB2312" w:cs="仿宋_GB2312"/>
          <w:color w:val="000000"/>
          <w:kern w:val="0"/>
          <w:sz w:val="28"/>
          <w:szCs w:val="28"/>
        </w:rPr>
        <w:t>、其他重要事项情况说明</w:t>
      </w:r>
    </w:p>
    <w:p>
      <w:pPr>
        <w:autoSpaceDE w:val="0"/>
        <w:autoSpaceDN w:val="0"/>
        <w:adjustRightInd w:val="0"/>
        <w:spacing w:line="520" w:lineRule="exact"/>
        <w:jc w:val="left"/>
        <w:rPr>
          <w:rFonts w:ascii="黑体" w:hAnsi="黑体" w:eastAsia="黑体" w:cs="仿宋_GB2312"/>
          <w:b/>
          <w:color w:val="000000"/>
          <w:kern w:val="0"/>
          <w:sz w:val="28"/>
          <w:szCs w:val="28"/>
        </w:rPr>
      </w:pPr>
      <w:r>
        <w:rPr>
          <w:rFonts w:ascii="黑体" w:hAnsi="黑体" w:eastAsia="黑体" w:cs="黑体"/>
          <w:b/>
          <w:color w:val="000000"/>
          <w:kern w:val="0"/>
          <w:sz w:val="28"/>
          <w:szCs w:val="28"/>
        </w:rPr>
        <w:t>第四部分名词解释</w:t>
      </w:r>
    </w:p>
    <w:p>
      <w:pPr>
        <w:spacing w:line="520" w:lineRule="exact"/>
        <w:jc w:val="left"/>
        <w:rPr>
          <w:rFonts w:ascii="黑体" w:hAnsi="黑体" w:eastAsia="黑体" w:cs="仿宋_GB2312"/>
          <w:b/>
          <w:color w:val="000000"/>
          <w:kern w:val="0"/>
          <w:sz w:val="28"/>
          <w:szCs w:val="28"/>
        </w:rPr>
      </w:pPr>
      <w:r>
        <w:rPr>
          <w:rFonts w:ascii="黑体" w:hAnsi="黑体" w:eastAsia="黑体" w:cs="黑体"/>
          <w:b/>
          <w:color w:val="000000"/>
          <w:kern w:val="0"/>
          <w:sz w:val="28"/>
          <w:szCs w:val="28"/>
        </w:rPr>
        <w:t>第五部分附件</w:t>
      </w:r>
    </w:p>
    <w:p>
      <w:pPr>
        <w:jc w:val="center"/>
        <w:rPr>
          <w:sz w:val="72"/>
          <w:szCs w:val="72"/>
        </w:rPr>
      </w:pPr>
    </w:p>
    <w:p>
      <w:pPr>
        <w:jc w:val="center"/>
        <w:rPr>
          <w:sz w:val="72"/>
          <w:szCs w:val="72"/>
        </w:rPr>
      </w:pPr>
    </w:p>
    <w:p>
      <w:pPr>
        <w:jc w:val="center"/>
        <w:rPr>
          <w:sz w:val="72"/>
          <w:szCs w:val="72"/>
        </w:rPr>
      </w:pPr>
    </w:p>
    <w:p>
      <w:pPr>
        <w:jc w:val="center"/>
        <w:rPr>
          <w:sz w:val="72"/>
          <w:szCs w:val="72"/>
        </w:rPr>
      </w:pPr>
    </w:p>
    <w:p>
      <w:pPr>
        <w:rPr>
          <w:sz w:val="72"/>
          <w:szCs w:val="72"/>
        </w:rPr>
      </w:pPr>
    </w:p>
    <w:p>
      <w:pPr>
        <w:pStyle w:val="11"/>
        <w:jc w:val="center"/>
        <w:rPr>
          <w:sz w:val="84"/>
          <w:szCs w:val="84"/>
        </w:rPr>
      </w:pPr>
      <w:r>
        <w:rPr>
          <w:rFonts w:hint="eastAsia"/>
          <w:sz w:val="84"/>
          <w:szCs w:val="84"/>
        </w:rPr>
        <w:t>第一部分</w:t>
      </w:r>
      <w:r>
        <w:rPr>
          <w:sz w:val="84"/>
          <w:szCs w:val="84"/>
        </w:rPr>
        <w:t xml:space="preserve"> </w:t>
      </w:r>
    </w:p>
    <w:p>
      <w:pPr>
        <w:pStyle w:val="11"/>
        <w:jc w:val="center"/>
        <w:rPr>
          <w:sz w:val="84"/>
          <w:szCs w:val="84"/>
        </w:rPr>
      </w:pPr>
    </w:p>
    <w:p>
      <w:pPr>
        <w:pStyle w:val="11"/>
        <w:jc w:val="center"/>
        <w:rPr>
          <w:sz w:val="72"/>
          <w:szCs w:val="72"/>
        </w:rPr>
      </w:pPr>
      <w:r>
        <w:rPr>
          <w:rFonts w:hint="eastAsia"/>
          <w:sz w:val="72"/>
          <w:szCs w:val="72"/>
          <w:lang w:eastAsia="zh-CN"/>
        </w:rPr>
        <w:t>零陵区发改局</w:t>
      </w:r>
      <w:r>
        <w:rPr>
          <w:rFonts w:hint="eastAsia"/>
          <w:sz w:val="72"/>
          <w:szCs w:val="72"/>
        </w:rPr>
        <w:t>单位概况</w:t>
      </w: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center"/>
        <w:rPr>
          <w:sz w:val="72"/>
          <w:szCs w:val="72"/>
        </w:rPr>
      </w:pPr>
    </w:p>
    <w:p>
      <w:pPr>
        <w:pStyle w:val="12"/>
        <w:ind w:left="720" w:firstLine="0" w:firstLineChars="0"/>
        <w:jc w:val="left"/>
        <w:rPr>
          <w:rFonts w:ascii="黑体" w:hAnsi="黑体" w:eastAsia="黑体"/>
          <w:sz w:val="32"/>
          <w:szCs w:val="32"/>
        </w:rPr>
      </w:pPr>
    </w:p>
    <w:p>
      <w:pPr>
        <w:pStyle w:val="12"/>
        <w:ind w:left="720" w:firstLine="0" w:firstLineChars="0"/>
        <w:jc w:val="left"/>
        <w:rPr>
          <w:rFonts w:ascii="黑体" w:hAnsi="黑体" w:eastAsia="黑体"/>
          <w:sz w:val="32"/>
          <w:szCs w:val="32"/>
        </w:rPr>
      </w:pPr>
    </w:p>
    <w:p>
      <w:pPr>
        <w:pStyle w:val="12"/>
        <w:numPr>
          <w:ilvl w:val="0"/>
          <w:numId w:val="1"/>
        </w:numPr>
        <w:ind w:firstLineChars="0"/>
        <w:jc w:val="left"/>
        <w:rPr>
          <w:rFonts w:ascii="黑体" w:hAnsi="黑体" w:eastAsia="黑体"/>
          <w:sz w:val="32"/>
          <w:szCs w:val="32"/>
        </w:rPr>
      </w:pPr>
      <w:bookmarkStart w:id="2" w:name="_GoBack"/>
      <w:bookmarkEnd w:id="2"/>
      <w:r>
        <w:rPr>
          <w:rFonts w:ascii="黑体" w:hAnsi="黑体" w:eastAsia="黑体"/>
          <w:sz w:val="32"/>
          <w:szCs w:val="32"/>
        </w:rPr>
        <w:t>部门职责</w:t>
      </w:r>
    </w:p>
    <w:p>
      <w:pPr>
        <w:widowControl/>
        <w:spacing w:line="480" w:lineRule="auto"/>
        <w:ind w:firstLine="480"/>
        <w:jc w:val="left"/>
        <w:rPr>
          <w:rFonts w:hint="eastAsia" w:ascii="仿宋" w:hAnsi="仿宋" w:eastAsia="仿宋" w:cs="仿宋"/>
          <w:color w:val="000000"/>
          <w:kern w:val="0"/>
          <w:sz w:val="32"/>
          <w:szCs w:val="32"/>
        </w:rPr>
      </w:pPr>
      <w:r>
        <w:rPr>
          <w:rFonts w:hint="eastAsia" w:asciiTheme="minorEastAsia" w:hAnsiTheme="minorEastAsia"/>
          <w:sz w:val="32"/>
          <w:szCs w:val="32"/>
        </w:rPr>
        <w:t>（一）</w:t>
      </w:r>
      <w:r>
        <w:rPr>
          <w:rFonts w:hint="eastAsia" w:ascii="仿宋" w:hAnsi="仿宋" w:eastAsia="仿宋" w:cs="仿宋"/>
          <w:color w:val="000000"/>
          <w:kern w:val="0"/>
          <w:sz w:val="32"/>
          <w:szCs w:val="32"/>
        </w:rPr>
        <w:t>负责拟订并组织实施全区国民经济和社会发展战略、中长期规划和年度计划，统筹协调相关总体规划、区域规划与专项规划。负责提出全区国民经济发展、价格总水平调控和优化重大经济结构的目标、措施。</w:t>
      </w:r>
    </w:p>
    <w:p>
      <w:pPr>
        <w:widowControl/>
        <w:spacing w:line="480" w:lineRule="auto"/>
        <w:ind w:firstLine="480"/>
        <w:jc w:val="left"/>
        <w:rPr>
          <w:rFonts w:hint="eastAsia" w:ascii="仿宋" w:hAnsi="仿宋" w:eastAsia="仿宋" w:cs="仿宋"/>
          <w:color w:val="000000"/>
          <w:kern w:val="0"/>
          <w:sz w:val="32"/>
          <w:szCs w:val="32"/>
        </w:rPr>
      </w:pPr>
      <w:r>
        <w:rPr>
          <w:rFonts w:hint="eastAsia" w:ascii="仿宋" w:hAnsi="仿宋" w:eastAsia="仿宋" w:cs="仿宋"/>
          <w:color w:val="000000"/>
          <w:kern w:val="0"/>
          <w:sz w:val="32"/>
          <w:szCs w:val="32"/>
        </w:rPr>
        <w:t xml:space="preserve"> (二)负责研究全区宏观经济运行、总量平衡、经济安全和总体产业安全等重要问题，提出宏观调控措施建议。负责协调解决全区经济运行中的重大问题。</w:t>
      </w:r>
    </w:p>
    <w:p>
      <w:pPr>
        <w:widowControl/>
        <w:spacing w:line="480" w:lineRule="auto"/>
        <w:ind w:firstLine="480"/>
        <w:jc w:val="left"/>
        <w:rPr>
          <w:rFonts w:hint="eastAsia" w:ascii="仿宋" w:hAnsi="仿宋" w:eastAsia="仿宋" w:cs="仿宋"/>
          <w:color w:val="000000"/>
          <w:kern w:val="0"/>
          <w:sz w:val="32"/>
          <w:szCs w:val="32"/>
        </w:rPr>
      </w:pPr>
      <w:r>
        <w:rPr>
          <w:rFonts w:hint="eastAsia" w:ascii="仿宋" w:hAnsi="仿宋" w:eastAsia="仿宋" w:cs="仿宋"/>
          <w:color w:val="000000"/>
          <w:kern w:val="0"/>
          <w:sz w:val="32"/>
          <w:szCs w:val="32"/>
        </w:rPr>
        <w:t xml:space="preserve"> (三)负责汇总全区社会资金总体运行情况，综合分析财政、金融的执行效果，会同有关部门完善宏观调控协调机制，协调推进产业、创业等投资基金的发展。</w:t>
      </w:r>
    </w:p>
    <w:p>
      <w:pPr>
        <w:widowControl/>
        <w:spacing w:line="480" w:lineRule="auto"/>
        <w:ind w:firstLine="480"/>
        <w:jc w:val="left"/>
        <w:rPr>
          <w:rFonts w:hint="eastAsia" w:ascii="仿宋" w:hAnsi="仿宋" w:eastAsia="仿宋" w:cs="仿宋"/>
          <w:color w:val="000000"/>
          <w:kern w:val="0"/>
          <w:sz w:val="32"/>
          <w:szCs w:val="32"/>
        </w:rPr>
      </w:pPr>
      <w:r>
        <w:rPr>
          <w:rFonts w:hint="eastAsia" w:ascii="仿宋" w:hAnsi="仿宋" w:eastAsia="仿宋" w:cs="仿宋"/>
          <w:color w:val="000000"/>
          <w:kern w:val="0"/>
          <w:sz w:val="32"/>
          <w:szCs w:val="32"/>
        </w:rPr>
        <w:t xml:space="preserve"> (四)负责研究全区经济体制改革和对外开放重大问题。负责组织拟订全区综合性经济体制改革方案，协调有关专项改革方案，会同有关部门搞好专项改革之间的衔接。</w:t>
      </w:r>
    </w:p>
    <w:p>
      <w:pPr>
        <w:widowControl/>
        <w:spacing w:line="480" w:lineRule="auto"/>
        <w:ind w:firstLine="480"/>
        <w:jc w:val="left"/>
        <w:rPr>
          <w:rFonts w:hint="eastAsia" w:ascii="仿宋" w:hAnsi="仿宋" w:eastAsia="仿宋" w:cs="仿宋"/>
          <w:color w:val="000000"/>
          <w:kern w:val="0"/>
          <w:sz w:val="32"/>
          <w:szCs w:val="32"/>
        </w:rPr>
      </w:pPr>
      <w:r>
        <w:rPr>
          <w:rFonts w:hint="eastAsia" w:ascii="仿宋" w:hAnsi="仿宋" w:eastAsia="仿宋" w:cs="仿宋"/>
          <w:color w:val="000000"/>
          <w:kern w:val="0"/>
          <w:sz w:val="32"/>
          <w:szCs w:val="32"/>
        </w:rPr>
        <w:t xml:space="preserve"> (五)负责拟订全区社会固定资产投资总规模和投资结构的调控目标、意见及措施，统筹安排区级财政性建设资金和投资项目，编制下达政府投资年度计划。</w:t>
      </w:r>
    </w:p>
    <w:p>
      <w:pPr>
        <w:widowControl/>
        <w:spacing w:line="480" w:lineRule="auto"/>
        <w:ind w:firstLine="480"/>
        <w:jc w:val="left"/>
        <w:rPr>
          <w:rFonts w:hint="eastAsia" w:ascii="仿宋" w:hAnsi="仿宋" w:eastAsia="仿宋" w:cs="仿宋"/>
          <w:color w:val="000000"/>
          <w:kern w:val="0"/>
          <w:sz w:val="32"/>
          <w:szCs w:val="32"/>
        </w:rPr>
      </w:pPr>
      <w:r>
        <w:rPr>
          <w:rFonts w:hint="eastAsia" w:ascii="仿宋" w:hAnsi="仿宋" w:eastAsia="仿宋" w:cs="仿宋"/>
          <w:color w:val="000000"/>
          <w:kern w:val="0"/>
          <w:sz w:val="32"/>
          <w:szCs w:val="32"/>
        </w:rPr>
        <w:t>(六)负责贯彻实施综合性产业政策，协调全区一、二、三产业发展的重大问题并衔接平衡相关发展规划和重大政策。负责协调农业和农村经济社会发展的重大问题。</w:t>
      </w:r>
    </w:p>
    <w:p>
      <w:pPr>
        <w:widowControl/>
        <w:spacing w:line="480" w:lineRule="auto"/>
        <w:ind w:firstLine="480"/>
        <w:jc w:val="left"/>
        <w:rPr>
          <w:rFonts w:hint="eastAsia" w:ascii="仿宋" w:hAnsi="仿宋" w:eastAsia="仿宋" w:cs="仿宋"/>
          <w:color w:val="000000"/>
          <w:kern w:val="0"/>
          <w:sz w:val="32"/>
          <w:szCs w:val="32"/>
        </w:rPr>
      </w:pPr>
      <w:r>
        <w:rPr>
          <w:rFonts w:hint="eastAsia" w:ascii="仿宋" w:hAnsi="仿宋" w:eastAsia="仿宋" w:cs="仿宋"/>
          <w:color w:val="000000"/>
          <w:kern w:val="0"/>
          <w:sz w:val="32"/>
          <w:szCs w:val="32"/>
        </w:rPr>
        <w:t>(七)负责贯彻落实国家西部开发、中部崛起、长江经济带开发建设的政策措施。负责研究制定统筹促进各乡镇协调发展和老少边穷地区加快发展的战略、规划和意见措施。负责拟订并组织实施全区以工代赈规划和计划。</w:t>
      </w:r>
    </w:p>
    <w:p>
      <w:pPr>
        <w:widowControl/>
        <w:spacing w:line="480" w:lineRule="auto"/>
        <w:ind w:firstLine="480"/>
        <w:jc w:val="left"/>
        <w:rPr>
          <w:rFonts w:hint="eastAsia" w:ascii="仿宋" w:hAnsi="仿宋" w:eastAsia="仿宋" w:cs="仿宋"/>
          <w:color w:val="000000"/>
          <w:kern w:val="0"/>
          <w:sz w:val="32"/>
          <w:szCs w:val="32"/>
        </w:rPr>
      </w:pPr>
      <w:r>
        <w:rPr>
          <w:rFonts w:hint="eastAsia" w:ascii="仿宋" w:hAnsi="仿宋" w:eastAsia="仿宋" w:cs="仿宋"/>
          <w:color w:val="000000"/>
          <w:kern w:val="0"/>
          <w:sz w:val="32"/>
          <w:szCs w:val="32"/>
        </w:rPr>
        <w:t>(八)承担全区重要商品总量平衡和宏观调控，编制重要农产品、工业品和原材料进出口总量平衡计划并监督执行，根据全区经济运行情况对计划进行调整。</w:t>
      </w:r>
    </w:p>
    <w:p>
      <w:pPr>
        <w:widowControl/>
        <w:spacing w:line="480" w:lineRule="auto"/>
        <w:ind w:firstLine="480"/>
        <w:jc w:val="left"/>
        <w:rPr>
          <w:rFonts w:hint="eastAsia" w:ascii="仿宋" w:hAnsi="仿宋" w:eastAsia="仿宋" w:cs="仿宋"/>
          <w:color w:val="000000"/>
          <w:kern w:val="0"/>
          <w:sz w:val="32"/>
          <w:szCs w:val="32"/>
        </w:rPr>
      </w:pPr>
      <w:r>
        <w:rPr>
          <w:rFonts w:hint="eastAsia" w:ascii="仿宋" w:hAnsi="仿宋" w:eastAsia="仿宋" w:cs="仿宋"/>
          <w:color w:val="000000"/>
          <w:kern w:val="0"/>
          <w:sz w:val="32"/>
          <w:szCs w:val="32"/>
        </w:rPr>
        <w:t>(九)负责全区社会发展与国民经济发展的相互衔接，组织拟订全区社会发展战略、总体规划和年度计划，贯彻执行人口和计划生育、科学技术、教育、文化、卫生、民政等发展政策。</w:t>
      </w:r>
    </w:p>
    <w:p>
      <w:pPr>
        <w:widowControl/>
        <w:spacing w:line="480" w:lineRule="auto"/>
        <w:ind w:firstLine="480" w:firstLineChars="150"/>
        <w:jc w:val="left"/>
        <w:rPr>
          <w:rFonts w:hint="eastAsia" w:ascii="仿宋" w:hAnsi="仿宋" w:eastAsia="仿宋" w:cs="仿宋"/>
          <w:color w:val="000000"/>
          <w:kern w:val="0"/>
          <w:sz w:val="32"/>
          <w:szCs w:val="32"/>
        </w:rPr>
      </w:pPr>
      <w:r>
        <w:rPr>
          <w:rFonts w:hint="eastAsia" w:ascii="仿宋" w:hAnsi="仿宋" w:eastAsia="仿宋" w:cs="仿宋"/>
          <w:color w:val="000000"/>
          <w:kern w:val="0"/>
          <w:sz w:val="32"/>
          <w:szCs w:val="32"/>
        </w:rPr>
        <w:t>(十) 负责组织编制全区国民经济动员和装备动员规划、计划，组织实施全区国民经济动员和装备动员有关工作，协调有关重大问题。</w:t>
      </w:r>
    </w:p>
    <w:p>
      <w:pPr>
        <w:widowControl/>
        <w:spacing w:line="480" w:lineRule="auto"/>
        <w:ind w:firstLine="480"/>
        <w:jc w:val="left"/>
        <w:rPr>
          <w:rFonts w:hint="eastAsia" w:ascii="仿宋" w:hAnsi="仿宋" w:eastAsia="仿宋" w:cs="仿宋"/>
          <w:color w:val="000000"/>
          <w:kern w:val="0"/>
          <w:sz w:val="32"/>
          <w:szCs w:val="32"/>
        </w:rPr>
      </w:pPr>
      <w:r>
        <w:rPr>
          <w:rFonts w:hint="eastAsia" w:ascii="仿宋" w:hAnsi="仿宋" w:eastAsia="仿宋" w:cs="仿宋"/>
          <w:color w:val="000000"/>
          <w:kern w:val="0"/>
          <w:sz w:val="32"/>
          <w:szCs w:val="32"/>
        </w:rPr>
        <w:t>(十一) 负责组织编制全区国民经济动员和装备动员规划、计划，组织实施全区国民经济动员和装备动员有关工作，协调有关重大问题。</w:t>
      </w:r>
    </w:p>
    <w:p>
      <w:pPr>
        <w:widowControl/>
        <w:spacing w:line="480" w:lineRule="auto"/>
        <w:ind w:firstLine="480"/>
        <w:jc w:val="left"/>
        <w:rPr>
          <w:rFonts w:hint="eastAsia" w:ascii="仿宋" w:hAnsi="仿宋" w:eastAsia="仿宋" w:cs="仿宋"/>
          <w:color w:val="000000"/>
          <w:kern w:val="0"/>
          <w:sz w:val="32"/>
          <w:szCs w:val="32"/>
        </w:rPr>
      </w:pPr>
      <w:r>
        <w:rPr>
          <w:rFonts w:hint="eastAsia" w:ascii="仿宋" w:hAnsi="仿宋" w:eastAsia="仿宋" w:cs="仿宋"/>
          <w:color w:val="000000"/>
          <w:kern w:val="0"/>
          <w:sz w:val="32"/>
          <w:szCs w:val="32"/>
        </w:rPr>
        <w:t>(十二) 负责全区粮食宏观调控，总量平衡，编制全区粮食流通及仓储、加工设施的建设规划，贯彻落实最低保护价粮食收购政策，拟定区级储备粮规模，粮食行业管理，负责做好应急救灾粮、救济粮和军工粮供应工作。</w:t>
      </w:r>
    </w:p>
    <w:p>
      <w:pPr>
        <w:widowControl/>
        <w:spacing w:line="480" w:lineRule="auto"/>
        <w:ind w:firstLine="480"/>
        <w:jc w:val="left"/>
        <w:rPr>
          <w:rFonts w:hint="eastAsia" w:ascii="仿宋" w:hAnsi="仿宋" w:eastAsia="仿宋" w:cs="仿宋"/>
          <w:color w:val="000000"/>
          <w:kern w:val="0"/>
          <w:sz w:val="32"/>
          <w:szCs w:val="32"/>
        </w:rPr>
      </w:pPr>
      <w:r>
        <w:rPr>
          <w:rFonts w:hint="eastAsia" w:ascii="仿宋" w:hAnsi="仿宋" w:eastAsia="仿宋" w:cs="仿宋"/>
          <w:color w:val="000000"/>
          <w:kern w:val="0"/>
          <w:sz w:val="32"/>
          <w:szCs w:val="32"/>
        </w:rPr>
        <w:t>（十三）负责全区重大建设项目管理工作。</w:t>
      </w:r>
    </w:p>
    <w:p>
      <w:pPr>
        <w:snapToGrid w:val="0"/>
        <w:spacing w:line="520" w:lineRule="exact"/>
        <w:ind w:firstLine="640" w:firstLineChars="200"/>
        <w:rPr>
          <w:rFonts w:ascii="仿宋_GB2312" w:eastAsia="仿宋_GB2312" w:hAnsiTheme="minorEastAsia"/>
          <w:sz w:val="28"/>
          <w:szCs w:val="32"/>
        </w:rPr>
      </w:pPr>
      <w:r>
        <w:rPr>
          <w:rFonts w:hint="eastAsia" w:ascii="仿宋" w:hAnsi="仿宋" w:eastAsia="仿宋" w:cs="仿宋"/>
          <w:color w:val="000000"/>
          <w:kern w:val="0"/>
          <w:sz w:val="32"/>
          <w:szCs w:val="32"/>
        </w:rPr>
        <w:t>（十四）承办区委、区人民政府交办的其他事项。</w:t>
      </w:r>
    </w:p>
    <w:p>
      <w:pPr>
        <w:widowControl/>
        <w:spacing w:line="600" w:lineRule="exact"/>
        <w:rPr>
          <w:rFonts w:ascii="黑体" w:hAnsi="黑体" w:eastAsia="黑体"/>
          <w:bCs/>
          <w:kern w:val="0"/>
          <w:sz w:val="32"/>
          <w:szCs w:val="32"/>
        </w:rPr>
      </w:pPr>
      <w:r>
        <w:rPr>
          <w:rFonts w:hint="eastAsia" w:ascii="黑体" w:hAnsi="黑体" w:eastAsia="黑体"/>
          <w:bCs/>
          <w:kern w:val="0"/>
          <w:sz w:val="32"/>
          <w:szCs w:val="32"/>
        </w:rPr>
        <w:t>二、机构设置及决算单位构成</w:t>
      </w:r>
    </w:p>
    <w:p>
      <w:pPr>
        <w:widowControl/>
        <w:spacing w:line="480" w:lineRule="auto"/>
        <w:ind w:firstLine="480"/>
        <w:jc w:val="left"/>
        <w:rPr>
          <w:rFonts w:asciiTheme="minorEastAsia" w:hAnsiTheme="minorEastAsia"/>
          <w:bCs/>
          <w:kern w:val="0"/>
          <w:sz w:val="32"/>
          <w:szCs w:val="32"/>
        </w:rPr>
      </w:pPr>
      <w:r>
        <w:rPr>
          <w:rFonts w:hint="eastAsia" w:asciiTheme="minorEastAsia" w:hAnsiTheme="minorEastAsia"/>
          <w:bCs/>
          <w:kern w:val="0"/>
          <w:sz w:val="32"/>
          <w:szCs w:val="32"/>
        </w:rPr>
        <w:t>（一）内设机构设置。</w:t>
      </w:r>
      <w:r>
        <w:rPr>
          <w:rFonts w:hint="eastAsia" w:ascii="仿宋" w:hAnsi="仿宋" w:eastAsia="仿宋" w:cs="仿宋"/>
          <w:color w:val="000000"/>
          <w:kern w:val="0"/>
          <w:sz w:val="32"/>
          <w:szCs w:val="32"/>
        </w:rPr>
        <w:t>零陵区发改局内设机构为16个：办公室、行政审批股、招投标管理办公室、工业基础产业和高新技术股、农村经济股、固定资产投资股、社会发展股、财政经贸股、能源股、前期办、价格调控和价费管理股、商品、服务价格管理股、政工股、重点项目管理股、粮食调控与物质储备股、粮食行业发展和秩序监督股。下辖1个正股级单位。</w:t>
      </w:r>
      <w:r>
        <w:rPr>
          <w:rFonts w:hint="eastAsia" w:ascii="仿宋" w:hAnsi="仿宋" w:eastAsia="仿宋" w:cs="仿宋"/>
          <w:color w:val="000000"/>
          <w:kern w:val="0"/>
          <w:sz w:val="32"/>
          <w:szCs w:val="32"/>
          <w:lang w:val="en-US" w:eastAsia="zh-CN"/>
        </w:rPr>
        <w:t>2019年新增了</w:t>
      </w:r>
      <w:r>
        <w:rPr>
          <w:rFonts w:hint="eastAsia" w:ascii="仿宋" w:hAnsi="仿宋" w:eastAsia="仿宋" w:cs="仿宋"/>
          <w:color w:val="000000"/>
          <w:kern w:val="0"/>
          <w:sz w:val="32"/>
          <w:szCs w:val="32"/>
        </w:rPr>
        <w:t>重点项目管理股、粮食调控与物质储备股、粮食行业发展和秩序监督股</w:t>
      </w:r>
      <w:r>
        <w:rPr>
          <w:rFonts w:hint="eastAsia" w:ascii="仿宋" w:hAnsi="仿宋" w:eastAsia="仿宋" w:cs="仿宋"/>
          <w:color w:val="000000"/>
          <w:kern w:val="0"/>
          <w:sz w:val="32"/>
          <w:szCs w:val="32"/>
          <w:lang w:val="en-US" w:eastAsia="zh-CN"/>
        </w:rPr>
        <w:t>3个股室，主要原因为机构改革，粮食职能及重点办划入我局。因机构改革职能划出价格监督管理局。</w:t>
      </w:r>
    </w:p>
    <w:p>
      <w:pPr>
        <w:widowControl/>
        <w:spacing w:line="600" w:lineRule="exact"/>
        <w:rPr>
          <w:rFonts w:hint="eastAsia" w:asciiTheme="minorEastAsia" w:hAnsiTheme="minorEastAsia" w:eastAsiaTheme="minorEastAsia"/>
          <w:bCs/>
          <w:kern w:val="0"/>
          <w:sz w:val="32"/>
          <w:szCs w:val="32"/>
          <w:lang w:eastAsia="zh-CN"/>
        </w:rPr>
      </w:pPr>
      <w:r>
        <w:rPr>
          <w:rFonts w:hint="eastAsia" w:asciiTheme="minorEastAsia" w:hAnsiTheme="minorEastAsia"/>
          <w:bCs/>
          <w:kern w:val="0"/>
          <w:sz w:val="32"/>
          <w:szCs w:val="32"/>
        </w:rPr>
        <w:t>（二）决算单位构成。</w:t>
      </w:r>
      <w:r>
        <w:rPr>
          <w:rFonts w:hint="eastAsia" w:asciiTheme="minorEastAsia" w:hAnsiTheme="minorEastAsia"/>
          <w:bCs/>
          <w:kern w:val="0"/>
          <w:sz w:val="32"/>
          <w:szCs w:val="32"/>
          <w:lang w:eastAsia="zh-CN"/>
        </w:rPr>
        <w:t>本部门</w:t>
      </w:r>
      <w:r>
        <w:rPr>
          <w:rFonts w:asciiTheme="minorEastAsia" w:hAnsiTheme="minorEastAsia"/>
          <w:bCs/>
          <w:kern w:val="0"/>
          <w:sz w:val="32"/>
          <w:szCs w:val="32"/>
        </w:rPr>
        <w:t>2019</w:t>
      </w:r>
      <w:r>
        <w:rPr>
          <w:rFonts w:hint="eastAsia" w:asciiTheme="minorEastAsia" w:hAnsiTheme="minorEastAsia"/>
          <w:bCs/>
          <w:kern w:val="0"/>
          <w:sz w:val="32"/>
          <w:szCs w:val="32"/>
        </w:rPr>
        <w:t>年部门决算汇总公开单位构成包括</w:t>
      </w:r>
      <w:r>
        <w:rPr>
          <w:rFonts w:hint="eastAsia" w:asciiTheme="minorEastAsia" w:hAnsiTheme="minorEastAsia"/>
          <w:bCs/>
          <w:kern w:val="0"/>
          <w:sz w:val="32"/>
          <w:szCs w:val="32"/>
          <w:lang w:eastAsia="zh-CN"/>
        </w:rPr>
        <w:t>：零陵区发改局</w:t>
      </w:r>
      <w:r>
        <w:rPr>
          <w:rFonts w:hint="eastAsia" w:asciiTheme="minorEastAsia" w:hAnsiTheme="minorEastAsia"/>
          <w:bCs/>
          <w:kern w:val="0"/>
          <w:sz w:val="32"/>
          <w:szCs w:val="32"/>
        </w:rPr>
        <w:t>单位本级</w:t>
      </w:r>
      <w:r>
        <w:rPr>
          <w:rFonts w:hint="eastAsia" w:asciiTheme="minorEastAsia" w:hAnsiTheme="minorEastAsia"/>
          <w:bCs/>
          <w:kern w:val="0"/>
          <w:sz w:val="32"/>
          <w:szCs w:val="32"/>
          <w:lang w:eastAsia="zh-CN"/>
        </w:rPr>
        <w:t>。</w:t>
      </w:r>
    </w:p>
    <w:p>
      <w:pPr>
        <w:jc w:val="both"/>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both"/>
        <w:rPr>
          <w:sz w:val="72"/>
          <w:szCs w:val="72"/>
        </w:rPr>
      </w:pP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center"/>
        <w:rPr>
          <w:sz w:val="72"/>
          <w:szCs w:val="72"/>
        </w:rPr>
      </w:pPr>
      <w:r>
        <w:rPr>
          <w:rFonts w:hint="eastAsia"/>
          <w:sz w:val="72"/>
          <w:szCs w:val="72"/>
        </w:rPr>
        <w:t>第二部分</w:t>
      </w:r>
    </w:p>
    <w:p>
      <w:pPr>
        <w:jc w:val="center"/>
        <w:rPr>
          <w:sz w:val="72"/>
          <w:szCs w:val="72"/>
        </w:rPr>
      </w:pPr>
    </w:p>
    <w:p>
      <w:pPr>
        <w:jc w:val="center"/>
        <w:rPr>
          <w:sz w:val="72"/>
          <w:szCs w:val="72"/>
        </w:rPr>
      </w:pPr>
      <w:r>
        <w:rPr>
          <w:rFonts w:hint="eastAsia"/>
          <w:sz w:val="72"/>
          <w:szCs w:val="72"/>
        </w:rPr>
        <w:t>部门决算表</w:t>
      </w: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left"/>
        <w:rPr>
          <w:sz w:val="32"/>
          <w:szCs w:val="32"/>
        </w:rPr>
      </w:pPr>
    </w:p>
    <w:p>
      <w:pPr>
        <w:jc w:val="left"/>
        <w:rPr>
          <w:rFonts w:asciiTheme="minorEastAsia" w:hAnsiTheme="minorEastAsia"/>
          <w:sz w:val="32"/>
          <w:szCs w:val="32"/>
        </w:rPr>
        <w:sectPr>
          <w:pgSz w:w="11906" w:h="16838"/>
          <w:pgMar w:top="1440" w:right="1800" w:bottom="1440" w:left="1800" w:header="851" w:footer="992" w:gutter="0"/>
          <w:cols w:space="425" w:num="1"/>
          <w:docGrid w:type="lines" w:linePitch="312" w:charSpace="0"/>
        </w:sectPr>
      </w:pPr>
    </w:p>
    <w:p>
      <w:pPr>
        <w:jc w:val="center"/>
        <w:rPr>
          <w:rFonts w:ascii="黑体" w:hAnsi="黑体" w:eastAsia="黑体"/>
          <w:sz w:val="36"/>
          <w:szCs w:val="32"/>
        </w:rPr>
      </w:pPr>
      <w:r>
        <w:rPr>
          <w:rFonts w:hint="eastAsia" w:ascii="黑体" w:hAnsi="黑体" w:eastAsia="黑体"/>
          <w:sz w:val="36"/>
          <w:szCs w:val="32"/>
        </w:rPr>
        <w:t>收入支出决算总表</w:t>
      </w:r>
    </w:p>
    <w:p>
      <w:pPr>
        <w:widowControl/>
        <w:spacing w:line="320" w:lineRule="exact"/>
        <w:ind w:right="198"/>
        <w:rPr>
          <w:rFonts w:ascii="Times New Roman" w:hAnsi="Times New Roman" w:eastAsia="仿宋_GB2312" w:cs="Times New Roman"/>
          <w:color w:val="000000"/>
          <w:kern w:val="0"/>
          <w:szCs w:val="21"/>
        </w:rPr>
      </w:pPr>
      <w:r>
        <w:rPr>
          <w:rFonts w:hint="eastAsia" w:ascii="Times New Roman" w:hAnsi="Times New Roman" w:eastAsia="仿宋_GB2312" w:cs="Times New Roman"/>
          <w:color w:val="000000"/>
          <w:kern w:val="0"/>
          <w:szCs w:val="21"/>
        </w:rPr>
        <w:t>部门：</w:t>
      </w:r>
      <w:r>
        <w:rPr>
          <w:rFonts w:hint="eastAsia" w:ascii="Times New Roman" w:hAnsi="Times New Roman" w:eastAsia="仿宋_GB2312" w:cs="Times New Roman"/>
          <w:color w:val="000000"/>
          <w:kern w:val="0"/>
          <w:szCs w:val="21"/>
          <w:lang w:eastAsia="zh-CN"/>
        </w:rPr>
        <w:t>零陵区发改局</w:t>
      </w:r>
      <w:r>
        <w:rPr>
          <w:rFonts w:ascii="Times New Roman" w:hAnsi="Times New Roman" w:eastAsia="仿宋_GB2312" w:cs="Times New Roman"/>
          <w:color w:val="000000"/>
          <w:kern w:val="0"/>
          <w:szCs w:val="21"/>
        </w:rPr>
        <w:t xml:space="preserve">                                                                                                    </w:t>
      </w:r>
      <w:r>
        <w:rPr>
          <w:rFonts w:hint="eastAsia" w:ascii="Times New Roman" w:hAnsi="Times New Roman" w:eastAsia="仿宋_GB2312" w:cs="Times New Roman"/>
          <w:color w:val="000000"/>
          <w:kern w:val="0"/>
          <w:szCs w:val="21"/>
        </w:rPr>
        <w:t>公开</w:t>
      </w:r>
      <w:r>
        <w:rPr>
          <w:rFonts w:ascii="Times New Roman" w:hAnsi="Times New Roman" w:eastAsia="仿宋_GB2312" w:cs="Times New Roman"/>
          <w:color w:val="000000"/>
          <w:kern w:val="0"/>
          <w:szCs w:val="21"/>
        </w:rPr>
        <w:t>01</w:t>
      </w:r>
      <w:r>
        <w:rPr>
          <w:rFonts w:hint="eastAsia" w:ascii="Times New Roman" w:hAnsi="Times New Roman" w:eastAsia="仿宋_GB2312" w:cs="Times New Roman"/>
          <w:color w:val="000000"/>
          <w:kern w:val="0"/>
          <w:szCs w:val="21"/>
        </w:rPr>
        <w:t>表</w:t>
      </w:r>
    </w:p>
    <w:p>
      <w:pPr>
        <w:widowControl/>
        <w:spacing w:line="320" w:lineRule="exact"/>
        <w:ind w:right="198"/>
        <w:jc w:val="right"/>
        <w:rPr>
          <w:rFonts w:ascii="Times New Roman" w:hAnsi="Times New Roman" w:eastAsia="仿宋_GB2312" w:cs="Times New Roman"/>
          <w:color w:val="000000"/>
          <w:kern w:val="0"/>
          <w:szCs w:val="21"/>
        </w:rPr>
      </w:pPr>
      <w:r>
        <w:rPr>
          <w:rFonts w:hint="eastAsia" w:ascii="Times New Roman" w:hAnsi="Times New Roman" w:eastAsia="仿宋_GB2312" w:cs="Times New Roman"/>
          <w:color w:val="000000"/>
          <w:kern w:val="0"/>
          <w:szCs w:val="21"/>
        </w:rPr>
        <w:t>单位：万元</w:t>
      </w:r>
    </w:p>
    <w:tbl>
      <w:tblPr>
        <w:tblStyle w:val="6"/>
        <w:tblW w:w="14061" w:type="dxa"/>
        <w:jc w:val="center"/>
        <w:tblLayout w:type="fixed"/>
        <w:tblCellMar>
          <w:top w:w="0" w:type="dxa"/>
          <w:left w:w="108" w:type="dxa"/>
          <w:bottom w:w="0" w:type="dxa"/>
          <w:right w:w="108" w:type="dxa"/>
        </w:tblCellMar>
      </w:tblPr>
      <w:tblGrid>
        <w:gridCol w:w="4932"/>
        <w:gridCol w:w="702"/>
        <w:gridCol w:w="1224"/>
        <w:gridCol w:w="4820"/>
        <w:gridCol w:w="702"/>
        <w:gridCol w:w="1681"/>
      </w:tblGrid>
      <w:tr>
        <w:tblPrEx>
          <w:tblCellMar>
            <w:top w:w="0" w:type="dxa"/>
            <w:left w:w="108" w:type="dxa"/>
            <w:bottom w:w="0" w:type="dxa"/>
            <w:right w:w="108" w:type="dxa"/>
          </w:tblCellMar>
        </w:tblPrEx>
        <w:trPr>
          <w:trHeight w:val="340" w:hRule="atLeast"/>
          <w:jc w:val="center"/>
        </w:trPr>
        <w:tc>
          <w:tcPr>
            <w:tcW w:w="6858" w:type="dxa"/>
            <w:gridSpan w:val="3"/>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收入</w:t>
            </w:r>
          </w:p>
        </w:tc>
        <w:tc>
          <w:tcPr>
            <w:tcW w:w="7203" w:type="dxa"/>
            <w:gridSpan w:val="3"/>
            <w:tcBorders>
              <w:top w:val="single" w:color="auto" w:sz="4" w:space="0"/>
              <w:left w:val="nil"/>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支出</w:t>
            </w:r>
          </w:p>
        </w:tc>
      </w:tr>
      <w:tr>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项</w:t>
            </w:r>
            <w:r>
              <w:rPr>
                <w:rFonts w:ascii="Times New Roman" w:hAnsi="Times New Roman" w:eastAsia="仿宋_GB2312" w:cs="Times New Roman"/>
                <w:kern w:val="0"/>
                <w:szCs w:val="21"/>
              </w:rPr>
              <w:t xml:space="preserve">    </w:t>
            </w:r>
            <w:r>
              <w:rPr>
                <w:rFonts w:hint="eastAsia" w:ascii="Times New Roman" w:hAnsi="Times New Roman" w:eastAsia="仿宋_GB2312" w:cs="Times New Roman"/>
                <w:kern w:val="0"/>
                <w:szCs w:val="21"/>
              </w:rPr>
              <w:t>目</w:t>
            </w:r>
          </w:p>
        </w:tc>
        <w:tc>
          <w:tcPr>
            <w:tcW w:w="702" w:type="dxa"/>
            <w:tcBorders>
              <w:top w:val="nil"/>
              <w:left w:val="nil"/>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行次</w:t>
            </w:r>
          </w:p>
        </w:tc>
        <w:tc>
          <w:tcPr>
            <w:tcW w:w="1224" w:type="dxa"/>
            <w:tcBorders>
              <w:top w:val="nil"/>
              <w:left w:val="nil"/>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决算数</w:t>
            </w:r>
          </w:p>
        </w:tc>
        <w:tc>
          <w:tcPr>
            <w:tcW w:w="4820" w:type="dxa"/>
            <w:tcBorders>
              <w:top w:val="nil"/>
              <w:left w:val="nil"/>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项</w:t>
            </w:r>
            <w:r>
              <w:rPr>
                <w:rFonts w:ascii="Times New Roman" w:hAnsi="Times New Roman" w:eastAsia="仿宋_GB2312" w:cs="Times New Roman"/>
                <w:kern w:val="0"/>
                <w:szCs w:val="21"/>
              </w:rPr>
              <w:t xml:space="preserve">    </w:t>
            </w:r>
            <w:r>
              <w:rPr>
                <w:rFonts w:hint="eastAsia" w:ascii="Times New Roman" w:hAnsi="Times New Roman" w:eastAsia="仿宋_GB2312" w:cs="Times New Roman"/>
                <w:kern w:val="0"/>
                <w:szCs w:val="21"/>
              </w:rPr>
              <w:t>目</w:t>
            </w:r>
          </w:p>
        </w:tc>
        <w:tc>
          <w:tcPr>
            <w:tcW w:w="702" w:type="dxa"/>
            <w:tcBorders>
              <w:top w:val="nil"/>
              <w:left w:val="nil"/>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行次</w:t>
            </w:r>
          </w:p>
        </w:tc>
        <w:tc>
          <w:tcPr>
            <w:tcW w:w="1681" w:type="dxa"/>
            <w:tcBorders>
              <w:top w:val="nil"/>
              <w:left w:val="nil"/>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决算数</w:t>
            </w:r>
          </w:p>
        </w:tc>
      </w:tr>
      <w:tr>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栏</w:t>
            </w:r>
            <w:r>
              <w:rPr>
                <w:rFonts w:ascii="Times New Roman" w:hAnsi="Times New Roman" w:eastAsia="仿宋_GB2312" w:cs="Times New Roman"/>
                <w:kern w:val="0"/>
                <w:szCs w:val="21"/>
              </w:rPr>
              <w:t xml:space="preserve">    </w:t>
            </w:r>
            <w:r>
              <w:rPr>
                <w:rFonts w:hint="eastAsia" w:ascii="Times New Roman" w:hAnsi="Times New Roman" w:eastAsia="仿宋_GB2312" w:cs="Times New Roman"/>
                <w:kern w:val="0"/>
                <w:szCs w:val="21"/>
              </w:rPr>
              <w:t>次</w:t>
            </w:r>
          </w:p>
        </w:tc>
        <w:tc>
          <w:tcPr>
            <w:tcW w:w="702" w:type="dxa"/>
            <w:tcBorders>
              <w:top w:val="nil"/>
              <w:left w:val="nil"/>
              <w:bottom w:val="single" w:color="auto" w:sz="4" w:space="0"/>
              <w:right w:val="single" w:color="auto" w:sz="4" w:space="0"/>
            </w:tcBorders>
            <w:vAlign w:val="center"/>
          </w:tcPr>
          <w:p>
            <w:pP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1224" w:type="dxa"/>
            <w:tcBorders>
              <w:top w:val="nil"/>
              <w:left w:val="nil"/>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w:t>
            </w:r>
          </w:p>
        </w:tc>
        <w:tc>
          <w:tcPr>
            <w:tcW w:w="4820" w:type="dxa"/>
            <w:tcBorders>
              <w:top w:val="nil"/>
              <w:left w:val="nil"/>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栏</w:t>
            </w:r>
            <w:r>
              <w:rPr>
                <w:rFonts w:ascii="Times New Roman" w:hAnsi="Times New Roman" w:eastAsia="仿宋_GB2312" w:cs="Times New Roman"/>
                <w:kern w:val="0"/>
                <w:szCs w:val="21"/>
              </w:rPr>
              <w:t xml:space="preserve">    </w:t>
            </w:r>
            <w:r>
              <w:rPr>
                <w:rFonts w:hint="eastAsia" w:ascii="Times New Roman" w:hAnsi="Times New Roman" w:eastAsia="仿宋_GB2312" w:cs="Times New Roman"/>
                <w:kern w:val="0"/>
                <w:szCs w:val="21"/>
              </w:rPr>
              <w:t>次</w:t>
            </w:r>
          </w:p>
        </w:tc>
        <w:tc>
          <w:tcPr>
            <w:tcW w:w="702" w:type="dxa"/>
            <w:tcBorders>
              <w:top w:val="nil"/>
              <w:left w:val="nil"/>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1681" w:type="dxa"/>
            <w:tcBorders>
              <w:top w:val="nil"/>
              <w:left w:val="nil"/>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w:t>
            </w:r>
          </w:p>
        </w:tc>
      </w:tr>
      <w:tr>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一、一般公共预算财政拨款收入</w:t>
            </w:r>
          </w:p>
        </w:tc>
        <w:tc>
          <w:tcPr>
            <w:tcW w:w="702" w:type="dxa"/>
            <w:tcBorders>
              <w:top w:val="nil"/>
              <w:left w:val="nil"/>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w:t>
            </w:r>
          </w:p>
        </w:tc>
        <w:tc>
          <w:tcPr>
            <w:tcW w:w="1224" w:type="dxa"/>
            <w:tcBorders>
              <w:top w:val="nil"/>
              <w:left w:val="nil"/>
              <w:bottom w:val="single" w:color="auto" w:sz="4" w:space="0"/>
              <w:right w:val="single" w:color="auto" w:sz="4" w:space="0"/>
            </w:tcBorders>
            <w:vAlign w:val="center"/>
          </w:tcPr>
          <w:p>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1982.09　</w:t>
            </w:r>
          </w:p>
        </w:tc>
        <w:tc>
          <w:tcPr>
            <w:tcW w:w="4820" w:type="dxa"/>
            <w:tcBorders>
              <w:top w:val="nil"/>
              <w:left w:val="nil"/>
              <w:bottom w:val="single" w:color="auto" w:sz="4" w:space="0"/>
              <w:right w:val="single" w:color="auto" w:sz="4" w:space="0"/>
            </w:tcBorders>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一、一般公共服务支出</w:t>
            </w:r>
          </w:p>
        </w:tc>
        <w:tc>
          <w:tcPr>
            <w:tcW w:w="702" w:type="dxa"/>
            <w:tcBorders>
              <w:top w:val="nil"/>
              <w:left w:val="nil"/>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14</w:t>
            </w:r>
          </w:p>
        </w:tc>
        <w:tc>
          <w:tcPr>
            <w:tcW w:w="1681" w:type="dxa"/>
            <w:tcBorders>
              <w:top w:val="nil"/>
              <w:left w:val="nil"/>
              <w:bottom w:val="single" w:color="auto" w:sz="4" w:space="0"/>
              <w:right w:val="single" w:color="auto" w:sz="4" w:space="0"/>
            </w:tcBorders>
            <w:vAlign w:val="center"/>
          </w:tcPr>
          <w:p>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1208.24　</w:t>
            </w:r>
          </w:p>
        </w:tc>
      </w:tr>
      <w:tr>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二、政府性基金预算财政拨款收入</w:t>
            </w:r>
          </w:p>
        </w:tc>
        <w:tc>
          <w:tcPr>
            <w:tcW w:w="702" w:type="dxa"/>
            <w:tcBorders>
              <w:top w:val="nil"/>
              <w:left w:val="nil"/>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w:t>
            </w:r>
          </w:p>
        </w:tc>
        <w:tc>
          <w:tcPr>
            <w:tcW w:w="1224" w:type="dxa"/>
            <w:tcBorders>
              <w:top w:val="nil"/>
              <w:left w:val="nil"/>
              <w:bottom w:val="single" w:color="auto" w:sz="4" w:space="0"/>
              <w:right w:val="single" w:color="auto" w:sz="4" w:space="0"/>
            </w:tcBorders>
            <w:vAlign w:val="center"/>
          </w:tcPr>
          <w:p>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95.36　</w:t>
            </w:r>
          </w:p>
        </w:tc>
        <w:tc>
          <w:tcPr>
            <w:tcW w:w="4820" w:type="dxa"/>
            <w:tcBorders>
              <w:top w:val="nil"/>
              <w:left w:val="nil"/>
              <w:bottom w:val="single" w:color="auto" w:sz="4" w:space="0"/>
              <w:right w:val="single" w:color="auto" w:sz="4" w:space="0"/>
            </w:tcBorders>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二、社会保障和就业支出</w:t>
            </w:r>
          </w:p>
        </w:tc>
        <w:tc>
          <w:tcPr>
            <w:tcW w:w="702" w:type="dxa"/>
            <w:tcBorders>
              <w:top w:val="nil"/>
              <w:left w:val="nil"/>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15</w:t>
            </w:r>
          </w:p>
        </w:tc>
        <w:tc>
          <w:tcPr>
            <w:tcW w:w="1681" w:type="dxa"/>
            <w:tcBorders>
              <w:top w:val="nil"/>
              <w:left w:val="nil"/>
              <w:bottom w:val="single" w:color="auto" w:sz="4" w:space="0"/>
              <w:right w:val="single" w:color="auto" w:sz="4" w:space="0"/>
            </w:tcBorders>
            <w:vAlign w:val="center"/>
          </w:tcPr>
          <w:p>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218.87　</w:t>
            </w:r>
          </w:p>
        </w:tc>
      </w:tr>
      <w:tr>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三、上级补助收入</w:t>
            </w:r>
          </w:p>
        </w:tc>
        <w:tc>
          <w:tcPr>
            <w:tcW w:w="702" w:type="dxa"/>
            <w:tcBorders>
              <w:top w:val="nil"/>
              <w:left w:val="nil"/>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3</w:t>
            </w:r>
          </w:p>
        </w:tc>
        <w:tc>
          <w:tcPr>
            <w:tcW w:w="1224" w:type="dxa"/>
            <w:tcBorders>
              <w:top w:val="nil"/>
              <w:left w:val="nil"/>
              <w:bottom w:val="single" w:color="auto" w:sz="4" w:space="0"/>
              <w:right w:val="single" w:color="auto" w:sz="4" w:space="0"/>
            </w:tcBorders>
            <w:vAlign w:val="center"/>
          </w:tcPr>
          <w:p>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4820" w:type="dxa"/>
            <w:tcBorders>
              <w:top w:val="nil"/>
              <w:left w:val="nil"/>
              <w:bottom w:val="single" w:color="auto" w:sz="4" w:space="0"/>
              <w:right w:val="single" w:color="auto" w:sz="4" w:space="0"/>
            </w:tcBorders>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三、卫生健康支出</w:t>
            </w:r>
          </w:p>
        </w:tc>
        <w:tc>
          <w:tcPr>
            <w:tcW w:w="702" w:type="dxa"/>
            <w:tcBorders>
              <w:top w:val="nil"/>
              <w:left w:val="nil"/>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16</w:t>
            </w:r>
          </w:p>
        </w:tc>
        <w:tc>
          <w:tcPr>
            <w:tcW w:w="1681" w:type="dxa"/>
            <w:tcBorders>
              <w:top w:val="nil"/>
              <w:left w:val="nil"/>
              <w:bottom w:val="single" w:color="auto" w:sz="4" w:space="0"/>
              <w:right w:val="single" w:color="auto" w:sz="4" w:space="0"/>
            </w:tcBorders>
            <w:vAlign w:val="center"/>
          </w:tcPr>
          <w:p>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26.87　</w:t>
            </w:r>
          </w:p>
        </w:tc>
      </w:tr>
      <w:tr>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四、事业收入</w:t>
            </w:r>
          </w:p>
        </w:tc>
        <w:tc>
          <w:tcPr>
            <w:tcW w:w="702" w:type="dxa"/>
            <w:tcBorders>
              <w:top w:val="nil"/>
              <w:left w:val="nil"/>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4</w:t>
            </w:r>
          </w:p>
        </w:tc>
        <w:tc>
          <w:tcPr>
            <w:tcW w:w="1224" w:type="dxa"/>
            <w:tcBorders>
              <w:top w:val="nil"/>
              <w:left w:val="nil"/>
              <w:bottom w:val="single" w:color="auto" w:sz="4" w:space="0"/>
              <w:right w:val="single" w:color="auto" w:sz="4" w:space="0"/>
            </w:tcBorders>
            <w:vAlign w:val="center"/>
          </w:tcPr>
          <w:p>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4820" w:type="dxa"/>
            <w:tcBorders>
              <w:top w:val="nil"/>
              <w:left w:val="nil"/>
              <w:bottom w:val="single" w:color="auto" w:sz="4" w:space="0"/>
              <w:right w:val="single" w:color="auto" w:sz="4" w:space="0"/>
            </w:tcBorders>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四、城乡社区支出</w:t>
            </w:r>
          </w:p>
        </w:tc>
        <w:tc>
          <w:tcPr>
            <w:tcW w:w="702" w:type="dxa"/>
            <w:tcBorders>
              <w:top w:val="nil"/>
              <w:left w:val="nil"/>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17</w:t>
            </w:r>
          </w:p>
        </w:tc>
        <w:tc>
          <w:tcPr>
            <w:tcW w:w="1681" w:type="dxa"/>
            <w:tcBorders>
              <w:top w:val="nil"/>
              <w:left w:val="nil"/>
              <w:bottom w:val="single" w:color="auto" w:sz="4" w:space="0"/>
              <w:right w:val="single" w:color="auto" w:sz="4" w:space="0"/>
            </w:tcBorders>
            <w:vAlign w:val="center"/>
          </w:tcPr>
          <w:p>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111.36　</w:t>
            </w:r>
          </w:p>
        </w:tc>
      </w:tr>
      <w:tr>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五、经营收入</w:t>
            </w:r>
          </w:p>
        </w:tc>
        <w:tc>
          <w:tcPr>
            <w:tcW w:w="702" w:type="dxa"/>
            <w:tcBorders>
              <w:top w:val="nil"/>
              <w:left w:val="nil"/>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5</w:t>
            </w:r>
          </w:p>
        </w:tc>
        <w:tc>
          <w:tcPr>
            <w:tcW w:w="1224" w:type="dxa"/>
            <w:tcBorders>
              <w:top w:val="nil"/>
              <w:left w:val="nil"/>
              <w:bottom w:val="single" w:color="auto" w:sz="4" w:space="0"/>
              <w:right w:val="single" w:color="auto" w:sz="4" w:space="0"/>
            </w:tcBorders>
            <w:vAlign w:val="center"/>
          </w:tcPr>
          <w:p>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4820" w:type="dxa"/>
            <w:tcBorders>
              <w:top w:val="nil"/>
              <w:left w:val="nil"/>
              <w:bottom w:val="single" w:color="auto" w:sz="4" w:space="0"/>
              <w:right w:val="single" w:color="auto" w:sz="4" w:space="0"/>
            </w:tcBorders>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五、农林水支出</w:t>
            </w:r>
          </w:p>
        </w:tc>
        <w:tc>
          <w:tcPr>
            <w:tcW w:w="702" w:type="dxa"/>
            <w:tcBorders>
              <w:top w:val="nil"/>
              <w:left w:val="nil"/>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18</w:t>
            </w:r>
          </w:p>
        </w:tc>
        <w:tc>
          <w:tcPr>
            <w:tcW w:w="1681" w:type="dxa"/>
            <w:tcBorders>
              <w:top w:val="nil"/>
              <w:left w:val="nil"/>
              <w:bottom w:val="single" w:color="auto" w:sz="4" w:space="0"/>
              <w:right w:val="single" w:color="auto" w:sz="4" w:space="0"/>
            </w:tcBorders>
            <w:vAlign w:val="center"/>
          </w:tcPr>
          <w:p>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49.3　</w:t>
            </w:r>
          </w:p>
        </w:tc>
      </w:tr>
      <w:tr>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六、附属单位上缴收入</w:t>
            </w:r>
          </w:p>
        </w:tc>
        <w:tc>
          <w:tcPr>
            <w:tcW w:w="702" w:type="dxa"/>
            <w:tcBorders>
              <w:top w:val="nil"/>
              <w:left w:val="nil"/>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6</w:t>
            </w:r>
          </w:p>
        </w:tc>
        <w:tc>
          <w:tcPr>
            <w:tcW w:w="1224" w:type="dxa"/>
            <w:tcBorders>
              <w:top w:val="nil"/>
              <w:left w:val="nil"/>
              <w:bottom w:val="single" w:color="auto" w:sz="4" w:space="0"/>
              <w:right w:val="single" w:color="auto" w:sz="4" w:space="0"/>
            </w:tcBorders>
            <w:vAlign w:val="center"/>
          </w:tcPr>
          <w:p>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4820" w:type="dxa"/>
            <w:tcBorders>
              <w:top w:val="nil"/>
              <w:left w:val="nil"/>
              <w:bottom w:val="single" w:color="auto" w:sz="4" w:space="0"/>
              <w:right w:val="single" w:color="auto" w:sz="4" w:space="0"/>
            </w:tcBorders>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六、资源勘探信息等支出</w:t>
            </w:r>
          </w:p>
        </w:tc>
        <w:tc>
          <w:tcPr>
            <w:tcW w:w="702" w:type="dxa"/>
            <w:tcBorders>
              <w:top w:val="nil"/>
              <w:left w:val="nil"/>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19</w:t>
            </w:r>
          </w:p>
        </w:tc>
        <w:tc>
          <w:tcPr>
            <w:tcW w:w="1681" w:type="dxa"/>
            <w:tcBorders>
              <w:top w:val="nil"/>
              <w:left w:val="nil"/>
              <w:bottom w:val="single" w:color="auto" w:sz="4" w:space="0"/>
              <w:right w:val="single" w:color="auto" w:sz="4" w:space="0"/>
            </w:tcBorders>
            <w:vAlign w:val="center"/>
          </w:tcPr>
          <w:p>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337　</w:t>
            </w:r>
          </w:p>
        </w:tc>
      </w:tr>
      <w:tr>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七、其他收入</w:t>
            </w:r>
          </w:p>
        </w:tc>
        <w:tc>
          <w:tcPr>
            <w:tcW w:w="702" w:type="dxa"/>
            <w:tcBorders>
              <w:top w:val="nil"/>
              <w:left w:val="nil"/>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7</w:t>
            </w:r>
          </w:p>
        </w:tc>
        <w:tc>
          <w:tcPr>
            <w:tcW w:w="1224" w:type="dxa"/>
            <w:tcBorders>
              <w:top w:val="nil"/>
              <w:left w:val="nil"/>
              <w:bottom w:val="single" w:color="auto" w:sz="4" w:space="0"/>
              <w:right w:val="single" w:color="auto" w:sz="4" w:space="0"/>
            </w:tcBorders>
            <w:vAlign w:val="center"/>
          </w:tcPr>
          <w:p>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4820" w:type="dxa"/>
            <w:tcBorders>
              <w:top w:val="nil"/>
              <w:left w:val="nil"/>
              <w:bottom w:val="single" w:color="auto" w:sz="4" w:space="0"/>
              <w:right w:val="single" w:color="auto" w:sz="4" w:space="0"/>
            </w:tcBorders>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七、粮油物资储备支出</w:t>
            </w:r>
          </w:p>
        </w:tc>
        <w:tc>
          <w:tcPr>
            <w:tcW w:w="702" w:type="dxa"/>
            <w:tcBorders>
              <w:top w:val="nil"/>
              <w:left w:val="nil"/>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20</w:t>
            </w:r>
          </w:p>
        </w:tc>
        <w:tc>
          <w:tcPr>
            <w:tcW w:w="1681" w:type="dxa"/>
            <w:tcBorders>
              <w:top w:val="nil"/>
              <w:left w:val="nil"/>
              <w:bottom w:val="single" w:color="auto" w:sz="4" w:space="0"/>
              <w:right w:val="single" w:color="auto" w:sz="4" w:space="0"/>
            </w:tcBorders>
            <w:vAlign w:val="center"/>
          </w:tcPr>
          <w:p>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55.82　</w:t>
            </w:r>
          </w:p>
        </w:tc>
      </w:tr>
      <w:tr>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702" w:type="dxa"/>
            <w:tcBorders>
              <w:top w:val="nil"/>
              <w:left w:val="nil"/>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8</w:t>
            </w:r>
          </w:p>
        </w:tc>
        <w:tc>
          <w:tcPr>
            <w:tcW w:w="1224" w:type="dxa"/>
            <w:tcBorders>
              <w:top w:val="nil"/>
              <w:left w:val="nil"/>
              <w:bottom w:val="single" w:color="auto" w:sz="4" w:space="0"/>
              <w:right w:val="single" w:color="auto" w:sz="4" w:space="0"/>
            </w:tcBorders>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4820" w:type="dxa"/>
            <w:tcBorders>
              <w:top w:val="nil"/>
              <w:left w:val="nil"/>
              <w:bottom w:val="single" w:color="auto" w:sz="4" w:space="0"/>
              <w:right w:val="single" w:color="auto" w:sz="4" w:space="0"/>
            </w:tcBorders>
            <w:vAlign w:val="center"/>
          </w:tcPr>
          <w:p>
            <w:pPr>
              <w:widowControl/>
              <w:jc w:val="left"/>
              <w:rPr>
                <w:rFonts w:hint="eastAsia" w:ascii="Times New Roman" w:hAnsi="Times New Roman" w:eastAsia="仿宋_GB2312" w:cs="Times New Roman"/>
                <w:kern w:val="0"/>
                <w:szCs w:val="21"/>
                <w:lang w:eastAsia="zh-CN"/>
              </w:rPr>
            </w:pPr>
            <w:r>
              <w:rPr>
                <w:rFonts w:hint="eastAsia" w:ascii="Times New Roman" w:hAnsi="Times New Roman" w:eastAsia="仿宋_GB2312" w:cs="Times New Roman"/>
                <w:kern w:val="0"/>
                <w:szCs w:val="21"/>
                <w:lang w:eastAsia="zh-CN"/>
              </w:rPr>
              <w:t>八、其他支出</w:t>
            </w:r>
          </w:p>
        </w:tc>
        <w:tc>
          <w:tcPr>
            <w:tcW w:w="702" w:type="dxa"/>
            <w:tcBorders>
              <w:top w:val="nil"/>
              <w:left w:val="nil"/>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21</w:t>
            </w:r>
          </w:p>
        </w:tc>
        <w:tc>
          <w:tcPr>
            <w:tcW w:w="1681" w:type="dxa"/>
            <w:tcBorders>
              <w:top w:val="nil"/>
              <w:left w:val="nil"/>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lang w:val="en-US" w:eastAsia="zh-CN"/>
              </w:rPr>
              <w:t xml:space="preserve">       </w:t>
            </w:r>
            <w:r>
              <w:rPr>
                <w:rFonts w:hint="eastAsia" w:ascii="Times New Roman" w:hAnsi="Times New Roman" w:eastAsia="仿宋_GB2312" w:cs="Times New Roman"/>
                <w:kern w:val="0"/>
                <w:szCs w:val="21"/>
              </w:rPr>
              <w:t>　70</w:t>
            </w:r>
          </w:p>
        </w:tc>
      </w:tr>
      <w:tr>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vAlign w:val="center"/>
          </w:tcPr>
          <w:p>
            <w:pPr>
              <w:widowControl/>
              <w:jc w:val="center"/>
              <w:rPr>
                <w:rFonts w:ascii="Times New Roman" w:hAnsi="Times New Roman" w:eastAsia="仿宋_GB2312" w:cs="Times New Roman"/>
                <w:b/>
                <w:bCs/>
                <w:kern w:val="0"/>
                <w:szCs w:val="21"/>
              </w:rPr>
            </w:pPr>
            <w:r>
              <w:rPr>
                <w:rFonts w:hint="eastAsia" w:ascii="Times New Roman" w:hAnsi="Times New Roman" w:eastAsia="仿宋_GB2312" w:cs="Times New Roman"/>
                <w:b/>
                <w:bCs/>
                <w:kern w:val="0"/>
                <w:szCs w:val="21"/>
              </w:rPr>
              <w:t>本年收入合计</w:t>
            </w:r>
          </w:p>
        </w:tc>
        <w:tc>
          <w:tcPr>
            <w:tcW w:w="702" w:type="dxa"/>
            <w:tcBorders>
              <w:top w:val="nil"/>
              <w:left w:val="nil"/>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9</w:t>
            </w:r>
          </w:p>
        </w:tc>
        <w:tc>
          <w:tcPr>
            <w:tcW w:w="1224" w:type="dxa"/>
            <w:tcBorders>
              <w:top w:val="nil"/>
              <w:left w:val="nil"/>
              <w:bottom w:val="single" w:color="auto" w:sz="4" w:space="0"/>
              <w:right w:val="single" w:color="auto" w:sz="4" w:space="0"/>
            </w:tcBorders>
            <w:vAlign w:val="center"/>
          </w:tcPr>
          <w:p>
            <w:pPr>
              <w:widowControl/>
              <w:tabs>
                <w:tab w:val="left" w:pos="412"/>
                <w:tab w:val="right" w:pos="1338"/>
              </w:tabs>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lang w:eastAsia="zh-CN"/>
              </w:rPr>
              <w:t>2077.46</w:t>
            </w:r>
            <w:r>
              <w:rPr>
                <w:rFonts w:hint="eastAsia" w:ascii="Times New Roman" w:hAnsi="Times New Roman" w:eastAsia="仿宋_GB2312" w:cs="Times New Roman"/>
                <w:kern w:val="0"/>
                <w:szCs w:val="21"/>
                <w:lang w:eastAsia="zh-CN"/>
              </w:rPr>
              <w:tab/>
            </w:r>
            <w:r>
              <w:rPr>
                <w:rFonts w:hint="eastAsia" w:ascii="Times New Roman" w:hAnsi="Times New Roman" w:eastAsia="仿宋_GB2312" w:cs="Times New Roman"/>
                <w:kern w:val="0"/>
                <w:szCs w:val="21"/>
              </w:rPr>
              <w:t>　</w:t>
            </w:r>
          </w:p>
        </w:tc>
        <w:tc>
          <w:tcPr>
            <w:tcW w:w="4820" w:type="dxa"/>
            <w:tcBorders>
              <w:top w:val="nil"/>
              <w:left w:val="nil"/>
              <w:bottom w:val="single" w:color="auto" w:sz="4" w:space="0"/>
              <w:right w:val="single" w:color="auto" w:sz="4" w:space="0"/>
            </w:tcBorders>
            <w:vAlign w:val="center"/>
          </w:tcPr>
          <w:p>
            <w:pPr>
              <w:widowControl/>
              <w:jc w:val="center"/>
              <w:rPr>
                <w:rFonts w:ascii="Times New Roman" w:hAnsi="Times New Roman" w:eastAsia="仿宋_GB2312" w:cs="Times New Roman"/>
                <w:b/>
                <w:bCs/>
                <w:kern w:val="0"/>
                <w:szCs w:val="21"/>
              </w:rPr>
            </w:pPr>
            <w:r>
              <w:rPr>
                <w:rFonts w:hint="eastAsia" w:ascii="Times New Roman" w:hAnsi="Times New Roman" w:eastAsia="仿宋_GB2312" w:cs="Times New Roman"/>
                <w:b/>
                <w:bCs/>
                <w:kern w:val="0"/>
                <w:szCs w:val="21"/>
              </w:rPr>
              <w:t>本年支出合计</w:t>
            </w:r>
          </w:p>
        </w:tc>
        <w:tc>
          <w:tcPr>
            <w:tcW w:w="702" w:type="dxa"/>
            <w:tcBorders>
              <w:top w:val="nil"/>
              <w:left w:val="nil"/>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22</w:t>
            </w:r>
          </w:p>
        </w:tc>
        <w:tc>
          <w:tcPr>
            <w:tcW w:w="1681" w:type="dxa"/>
            <w:tcBorders>
              <w:top w:val="nil"/>
              <w:left w:val="nil"/>
              <w:bottom w:val="single" w:color="auto" w:sz="4" w:space="0"/>
              <w:right w:val="single" w:color="auto" w:sz="4" w:space="0"/>
            </w:tcBorders>
            <w:vAlign w:val="center"/>
          </w:tcPr>
          <w:p>
            <w:pPr>
              <w:widowControl/>
              <w:jc w:val="left"/>
              <w:rPr>
                <w:rFonts w:ascii="Times New Roman" w:hAnsi="Times New Roman" w:eastAsia="仿宋_GB2312" w:cs="Times New Roman"/>
                <w:b/>
                <w:bCs/>
                <w:kern w:val="0"/>
                <w:szCs w:val="21"/>
              </w:rPr>
            </w:pPr>
            <w:r>
              <w:rPr>
                <w:rFonts w:hint="eastAsia" w:ascii="Times New Roman" w:hAnsi="Times New Roman" w:eastAsia="仿宋_GB2312" w:cs="Times New Roman"/>
                <w:b/>
                <w:bCs/>
                <w:kern w:val="0"/>
                <w:szCs w:val="21"/>
              </w:rPr>
              <w:t>　2077.46</w:t>
            </w:r>
          </w:p>
        </w:tc>
      </w:tr>
      <w:tr>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xml:space="preserve">         </w:t>
            </w:r>
            <w:r>
              <w:rPr>
                <w:rFonts w:hint="eastAsia" w:ascii="Times New Roman" w:hAnsi="Times New Roman" w:eastAsia="仿宋_GB2312" w:cs="Times New Roman"/>
                <w:kern w:val="0"/>
                <w:szCs w:val="21"/>
              </w:rPr>
              <w:t>用事业基金弥补收支差额</w:t>
            </w:r>
          </w:p>
        </w:tc>
        <w:tc>
          <w:tcPr>
            <w:tcW w:w="702" w:type="dxa"/>
            <w:tcBorders>
              <w:top w:val="nil"/>
              <w:left w:val="nil"/>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10</w:t>
            </w:r>
          </w:p>
        </w:tc>
        <w:tc>
          <w:tcPr>
            <w:tcW w:w="1224" w:type="dxa"/>
            <w:tcBorders>
              <w:top w:val="nil"/>
              <w:left w:val="nil"/>
              <w:bottom w:val="single" w:color="auto" w:sz="4" w:space="0"/>
              <w:right w:val="single" w:color="auto" w:sz="4" w:space="0"/>
            </w:tcBorders>
            <w:vAlign w:val="center"/>
          </w:tcPr>
          <w:p>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4820" w:type="dxa"/>
            <w:tcBorders>
              <w:top w:val="nil"/>
              <w:left w:val="nil"/>
              <w:bottom w:val="single" w:color="auto" w:sz="4" w:space="0"/>
              <w:right w:val="single" w:color="auto" w:sz="4" w:space="0"/>
            </w:tcBorders>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xml:space="preserve">                </w:t>
            </w:r>
            <w:r>
              <w:rPr>
                <w:rFonts w:hint="eastAsia" w:ascii="Times New Roman" w:hAnsi="Times New Roman" w:eastAsia="仿宋_GB2312" w:cs="Times New Roman"/>
                <w:kern w:val="0"/>
                <w:szCs w:val="21"/>
              </w:rPr>
              <w:t>结余分配</w:t>
            </w:r>
          </w:p>
        </w:tc>
        <w:tc>
          <w:tcPr>
            <w:tcW w:w="702" w:type="dxa"/>
            <w:tcBorders>
              <w:top w:val="nil"/>
              <w:left w:val="nil"/>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23</w:t>
            </w:r>
          </w:p>
        </w:tc>
        <w:tc>
          <w:tcPr>
            <w:tcW w:w="1681" w:type="dxa"/>
            <w:tcBorders>
              <w:top w:val="nil"/>
              <w:left w:val="nil"/>
              <w:bottom w:val="single" w:color="auto" w:sz="4" w:space="0"/>
              <w:right w:val="single" w:color="auto" w:sz="4" w:space="0"/>
            </w:tcBorders>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r>
      <w:tr>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xml:space="preserve">         </w:t>
            </w:r>
            <w:r>
              <w:rPr>
                <w:rFonts w:hint="eastAsia" w:ascii="Times New Roman" w:hAnsi="Times New Roman" w:eastAsia="仿宋_GB2312" w:cs="Times New Roman"/>
                <w:kern w:val="0"/>
                <w:szCs w:val="21"/>
              </w:rPr>
              <w:t>年初结转和结余</w:t>
            </w:r>
          </w:p>
        </w:tc>
        <w:tc>
          <w:tcPr>
            <w:tcW w:w="702" w:type="dxa"/>
            <w:tcBorders>
              <w:top w:val="nil"/>
              <w:left w:val="nil"/>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11</w:t>
            </w:r>
          </w:p>
        </w:tc>
        <w:tc>
          <w:tcPr>
            <w:tcW w:w="1224" w:type="dxa"/>
            <w:tcBorders>
              <w:top w:val="nil"/>
              <w:left w:val="nil"/>
              <w:bottom w:val="single" w:color="auto" w:sz="4" w:space="0"/>
              <w:right w:val="single" w:color="auto" w:sz="4" w:space="0"/>
            </w:tcBorders>
            <w:vAlign w:val="center"/>
          </w:tcPr>
          <w:p>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4820" w:type="dxa"/>
            <w:tcBorders>
              <w:top w:val="nil"/>
              <w:left w:val="nil"/>
              <w:bottom w:val="single" w:color="auto" w:sz="4" w:space="0"/>
              <w:right w:val="single" w:color="auto" w:sz="4" w:space="0"/>
            </w:tcBorders>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xml:space="preserve">                </w:t>
            </w:r>
            <w:r>
              <w:rPr>
                <w:rFonts w:hint="eastAsia" w:ascii="Times New Roman" w:hAnsi="Times New Roman" w:eastAsia="仿宋_GB2312" w:cs="Times New Roman"/>
                <w:kern w:val="0"/>
                <w:szCs w:val="21"/>
              </w:rPr>
              <w:t>年末结转和结余</w:t>
            </w:r>
          </w:p>
        </w:tc>
        <w:tc>
          <w:tcPr>
            <w:tcW w:w="702" w:type="dxa"/>
            <w:tcBorders>
              <w:top w:val="nil"/>
              <w:left w:val="nil"/>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24</w:t>
            </w:r>
          </w:p>
        </w:tc>
        <w:tc>
          <w:tcPr>
            <w:tcW w:w="1681" w:type="dxa"/>
            <w:tcBorders>
              <w:top w:val="nil"/>
              <w:left w:val="nil"/>
              <w:bottom w:val="single" w:color="auto" w:sz="4" w:space="0"/>
              <w:right w:val="single" w:color="auto" w:sz="4" w:space="0"/>
            </w:tcBorders>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r>
      <w:tr>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702" w:type="dxa"/>
            <w:tcBorders>
              <w:top w:val="nil"/>
              <w:left w:val="nil"/>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12</w:t>
            </w:r>
          </w:p>
        </w:tc>
        <w:tc>
          <w:tcPr>
            <w:tcW w:w="1224" w:type="dxa"/>
            <w:tcBorders>
              <w:top w:val="nil"/>
              <w:left w:val="nil"/>
              <w:bottom w:val="single" w:color="auto" w:sz="4" w:space="0"/>
              <w:right w:val="single" w:color="auto" w:sz="4" w:space="0"/>
            </w:tcBorders>
            <w:vAlign w:val="center"/>
          </w:tcPr>
          <w:p>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4820" w:type="dxa"/>
            <w:tcBorders>
              <w:top w:val="nil"/>
              <w:left w:val="nil"/>
              <w:bottom w:val="single" w:color="auto" w:sz="4" w:space="0"/>
              <w:right w:val="single" w:color="auto" w:sz="4" w:space="0"/>
            </w:tcBorders>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702" w:type="dxa"/>
            <w:tcBorders>
              <w:top w:val="nil"/>
              <w:left w:val="nil"/>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25</w:t>
            </w:r>
          </w:p>
        </w:tc>
        <w:tc>
          <w:tcPr>
            <w:tcW w:w="1681" w:type="dxa"/>
            <w:tcBorders>
              <w:top w:val="nil"/>
              <w:left w:val="nil"/>
              <w:bottom w:val="single" w:color="auto" w:sz="4" w:space="0"/>
              <w:right w:val="single" w:color="auto" w:sz="4" w:space="0"/>
            </w:tcBorders>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r>
      <w:tr>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vAlign w:val="center"/>
          </w:tcPr>
          <w:p>
            <w:pPr>
              <w:widowControl/>
              <w:jc w:val="center"/>
              <w:rPr>
                <w:rFonts w:ascii="Times New Roman" w:hAnsi="Times New Roman" w:eastAsia="仿宋_GB2312" w:cs="Times New Roman"/>
                <w:b/>
                <w:bCs/>
                <w:kern w:val="0"/>
                <w:szCs w:val="21"/>
              </w:rPr>
            </w:pPr>
            <w:r>
              <w:rPr>
                <w:rFonts w:hint="eastAsia" w:ascii="Times New Roman" w:hAnsi="Times New Roman" w:eastAsia="仿宋_GB2312" w:cs="Times New Roman"/>
                <w:b/>
                <w:bCs/>
                <w:kern w:val="0"/>
                <w:szCs w:val="21"/>
              </w:rPr>
              <w:t>总计</w:t>
            </w:r>
          </w:p>
        </w:tc>
        <w:tc>
          <w:tcPr>
            <w:tcW w:w="702" w:type="dxa"/>
            <w:tcBorders>
              <w:top w:val="nil"/>
              <w:left w:val="nil"/>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13</w:t>
            </w:r>
          </w:p>
        </w:tc>
        <w:tc>
          <w:tcPr>
            <w:tcW w:w="1224" w:type="dxa"/>
            <w:tcBorders>
              <w:top w:val="nil"/>
              <w:left w:val="nil"/>
              <w:bottom w:val="single" w:color="auto" w:sz="4" w:space="0"/>
              <w:right w:val="single" w:color="auto" w:sz="4" w:space="0"/>
            </w:tcBorders>
            <w:vAlign w:val="center"/>
          </w:tcPr>
          <w:p>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2077.46　</w:t>
            </w:r>
          </w:p>
        </w:tc>
        <w:tc>
          <w:tcPr>
            <w:tcW w:w="4820" w:type="dxa"/>
            <w:tcBorders>
              <w:top w:val="nil"/>
              <w:left w:val="nil"/>
              <w:bottom w:val="single" w:color="auto" w:sz="4" w:space="0"/>
              <w:right w:val="single" w:color="auto" w:sz="4" w:space="0"/>
            </w:tcBorders>
            <w:vAlign w:val="center"/>
          </w:tcPr>
          <w:p>
            <w:pPr>
              <w:widowControl/>
              <w:jc w:val="center"/>
              <w:rPr>
                <w:rFonts w:ascii="Times New Roman" w:hAnsi="Times New Roman" w:eastAsia="仿宋_GB2312" w:cs="Times New Roman"/>
                <w:b/>
                <w:bCs/>
                <w:kern w:val="0"/>
                <w:szCs w:val="21"/>
              </w:rPr>
            </w:pPr>
            <w:r>
              <w:rPr>
                <w:rFonts w:hint="eastAsia" w:ascii="Times New Roman" w:hAnsi="Times New Roman" w:eastAsia="仿宋_GB2312" w:cs="Times New Roman"/>
                <w:b/>
                <w:bCs/>
                <w:kern w:val="0"/>
                <w:szCs w:val="21"/>
              </w:rPr>
              <w:t>总计</w:t>
            </w:r>
          </w:p>
        </w:tc>
        <w:tc>
          <w:tcPr>
            <w:tcW w:w="702" w:type="dxa"/>
            <w:tcBorders>
              <w:top w:val="nil"/>
              <w:left w:val="nil"/>
              <w:bottom w:val="single" w:color="auto" w:sz="4" w:space="0"/>
              <w:right w:val="single" w:color="auto" w:sz="4" w:space="0"/>
            </w:tcBorders>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26</w:t>
            </w:r>
          </w:p>
        </w:tc>
        <w:tc>
          <w:tcPr>
            <w:tcW w:w="1681" w:type="dxa"/>
            <w:tcBorders>
              <w:top w:val="nil"/>
              <w:left w:val="nil"/>
              <w:bottom w:val="single" w:color="auto" w:sz="4" w:space="0"/>
              <w:right w:val="single" w:color="auto" w:sz="4" w:space="0"/>
            </w:tcBorders>
            <w:vAlign w:val="center"/>
          </w:tcPr>
          <w:p>
            <w:pPr>
              <w:widowControl/>
              <w:jc w:val="left"/>
              <w:rPr>
                <w:rFonts w:ascii="Times New Roman" w:hAnsi="Times New Roman" w:eastAsia="仿宋_GB2312" w:cs="Times New Roman"/>
                <w:b/>
                <w:bCs/>
                <w:kern w:val="0"/>
                <w:szCs w:val="21"/>
              </w:rPr>
            </w:pPr>
            <w:r>
              <w:rPr>
                <w:rFonts w:hint="eastAsia" w:ascii="Times New Roman" w:hAnsi="Times New Roman" w:eastAsia="仿宋_GB2312" w:cs="Times New Roman"/>
                <w:b/>
                <w:bCs/>
                <w:kern w:val="0"/>
                <w:szCs w:val="21"/>
              </w:rPr>
              <w:t>　2077.46</w:t>
            </w:r>
          </w:p>
        </w:tc>
      </w:tr>
    </w:tbl>
    <w:p>
      <w:pPr>
        <w:widowControl/>
        <w:jc w:val="left"/>
        <w:rPr>
          <w:rFonts w:ascii="黑体" w:hAnsi="黑体" w:eastAsia="黑体"/>
          <w:sz w:val="28"/>
          <w:szCs w:val="28"/>
        </w:rPr>
        <w:sectPr>
          <w:pgSz w:w="16838" w:h="11906" w:orient="landscape"/>
          <w:pgMar w:top="1797" w:right="1440" w:bottom="1797" w:left="1440" w:header="851" w:footer="992" w:gutter="0"/>
          <w:cols w:space="425" w:num="1"/>
          <w:docGrid w:type="linesAndChars" w:linePitch="312" w:charSpace="0"/>
        </w:sectPr>
      </w:pPr>
      <w:r>
        <w:rPr>
          <w:rFonts w:hint="eastAsia" w:ascii="Times New Roman" w:hAnsi="Times New Roman" w:eastAsia="仿宋_GB2312" w:cs="Times New Roman"/>
          <w:kern w:val="0"/>
          <w:szCs w:val="21"/>
        </w:rPr>
        <w:t>注：本表反映部门本年度的总收支和年末结转结余情况。</w:t>
      </w:r>
    </w:p>
    <w:p>
      <w:pPr>
        <w:widowControl/>
        <w:jc w:val="center"/>
        <w:rPr>
          <w:rFonts w:ascii="Times New Roman" w:hAnsi="Times New Roman" w:eastAsia="方正小标宋_GBK" w:cs="Times New Roman"/>
          <w:color w:val="000000"/>
          <w:kern w:val="0"/>
          <w:sz w:val="36"/>
          <w:szCs w:val="36"/>
        </w:rPr>
      </w:pPr>
      <w:r>
        <w:rPr>
          <w:rFonts w:ascii="Times New Roman" w:hAnsi="Times New Roman" w:eastAsia="方正小标宋_GBK" w:cs="Times New Roman"/>
          <w:color w:val="000000"/>
          <w:kern w:val="0"/>
          <w:sz w:val="36"/>
          <w:szCs w:val="36"/>
        </w:rPr>
        <w:t>收入决算表</w:t>
      </w:r>
    </w:p>
    <w:p>
      <w:pPr>
        <w:widowControl/>
        <w:ind w:firstLine="630" w:firstLineChars="300"/>
        <w:jc w:val="left"/>
        <w:rPr>
          <w:rFonts w:ascii="Times New Roman" w:hAnsi="Times New Roman" w:eastAsia="仿宋_GB2312" w:cs="Times New Roman"/>
          <w:color w:val="000000"/>
          <w:kern w:val="0"/>
          <w:szCs w:val="21"/>
        </w:rPr>
      </w:pPr>
      <w:r>
        <w:rPr>
          <w:rFonts w:ascii="Times New Roman" w:hAnsi="Times New Roman" w:eastAsia="仿宋_GB2312" w:cs="Times New Roman"/>
          <w:color w:val="000000"/>
          <w:kern w:val="0"/>
          <w:szCs w:val="21"/>
        </w:rPr>
        <w:t xml:space="preserve">部门： </w:t>
      </w:r>
      <w:r>
        <w:rPr>
          <w:rFonts w:hint="eastAsia" w:ascii="Times New Roman" w:hAnsi="Times New Roman" w:eastAsia="仿宋_GB2312" w:cs="Times New Roman"/>
          <w:color w:val="000000"/>
          <w:kern w:val="0"/>
          <w:szCs w:val="21"/>
          <w:lang w:eastAsia="zh-CN"/>
        </w:rPr>
        <w:t>零陵区发改局</w:t>
      </w:r>
      <w:r>
        <w:rPr>
          <w:rFonts w:ascii="Times New Roman" w:hAnsi="Times New Roman" w:eastAsia="仿宋_GB2312" w:cs="Times New Roman"/>
          <w:color w:val="000000"/>
          <w:kern w:val="0"/>
          <w:szCs w:val="21"/>
        </w:rPr>
        <w:t xml:space="preserve">                                                                                                   </w:t>
      </w:r>
      <w:r>
        <w:rPr>
          <w:rFonts w:hint="eastAsia" w:ascii="Times New Roman" w:hAnsi="Times New Roman" w:eastAsia="仿宋_GB2312" w:cs="Times New Roman"/>
          <w:color w:val="000000"/>
          <w:kern w:val="0"/>
          <w:szCs w:val="21"/>
          <w:lang w:val="en-US" w:eastAsia="zh-CN"/>
        </w:rPr>
        <w:t xml:space="preserve"> </w:t>
      </w:r>
      <w:r>
        <w:rPr>
          <w:rFonts w:ascii="Times New Roman" w:hAnsi="Times New Roman" w:eastAsia="仿宋_GB2312" w:cs="Times New Roman"/>
          <w:color w:val="000000"/>
          <w:kern w:val="0"/>
          <w:szCs w:val="21"/>
        </w:rPr>
        <w:t xml:space="preserve">  </w:t>
      </w:r>
      <w:r>
        <w:rPr>
          <w:rFonts w:hint="eastAsia" w:ascii="Times New Roman" w:hAnsi="Times New Roman" w:eastAsia="仿宋_GB2312" w:cs="Times New Roman"/>
          <w:color w:val="000000"/>
          <w:kern w:val="0"/>
          <w:szCs w:val="21"/>
        </w:rPr>
        <w:t xml:space="preserve">  </w:t>
      </w:r>
      <w:r>
        <w:rPr>
          <w:rFonts w:ascii="Times New Roman" w:hAnsi="Times New Roman" w:eastAsia="仿宋_GB2312" w:cs="Times New Roman"/>
          <w:color w:val="000000"/>
          <w:kern w:val="0"/>
          <w:szCs w:val="21"/>
        </w:rPr>
        <w:t xml:space="preserve"> 公开02表</w:t>
      </w:r>
    </w:p>
    <w:p>
      <w:pPr>
        <w:widowControl/>
        <w:ind w:right="630"/>
        <w:jc w:val="right"/>
        <w:rPr>
          <w:rFonts w:ascii="Times New Roman" w:hAnsi="Times New Roman" w:eastAsia="仿宋_GB2312" w:cs="Times New Roman"/>
          <w:color w:val="000000"/>
          <w:kern w:val="0"/>
          <w:szCs w:val="21"/>
        </w:rPr>
      </w:pPr>
      <w:r>
        <w:rPr>
          <w:rFonts w:ascii="Times New Roman" w:hAnsi="Times New Roman" w:eastAsia="仿宋_GB2312" w:cs="Times New Roman"/>
          <w:color w:val="000000"/>
          <w:kern w:val="0"/>
          <w:szCs w:val="21"/>
        </w:rPr>
        <w:t>单位：万元</w:t>
      </w:r>
    </w:p>
    <w:tbl>
      <w:tblPr>
        <w:tblStyle w:val="6"/>
        <w:tblW w:w="13813" w:type="dxa"/>
        <w:jc w:val="center"/>
        <w:tblLayout w:type="fixed"/>
        <w:tblCellMar>
          <w:top w:w="0" w:type="dxa"/>
          <w:left w:w="108" w:type="dxa"/>
          <w:bottom w:w="0" w:type="dxa"/>
          <w:right w:w="108" w:type="dxa"/>
        </w:tblCellMar>
      </w:tblPr>
      <w:tblGrid>
        <w:gridCol w:w="1197"/>
        <w:gridCol w:w="1878"/>
        <w:gridCol w:w="1485"/>
        <w:gridCol w:w="1575"/>
        <w:gridCol w:w="1470"/>
        <w:gridCol w:w="1395"/>
        <w:gridCol w:w="1635"/>
        <w:gridCol w:w="1590"/>
        <w:gridCol w:w="1588"/>
      </w:tblGrid>
      <w:tr>
        <w:tblPrEx>
          <w:tblCellMar>
            <w:top w:w="0" w:type="dxa"/>
            <w:left w:w="108" w:type="dxa"/>
            <w:bottom w:w="0" w:type="dxa"/>
            <w:right w:w="108" w:type="dxa"/>
          </w:tblCellMar>
        </w:tblPrEx>
        <w:trPr>
          <w:trHeight w:val="450" w:hRule="atLeast"/>
          <w:jc w:val="center"/>
        </w:trPr>
        <w:tc>
          <w:tcPr>
            <w:tcW w:w="3075" w:type="dxa"/>
            <w:gridSpan w:val="2"/>
            <w:tcBorders>
              <w:top w:val="single" w:color="auto" w:sz="8" w:space="0"/>
              <w:left w:val="single" w:color="auto" w:sz="8" w:space="0"/>
              <w:bottom w:val="single" w:color="auto" w:sz="4" w:space="0"/>
              <w:right w:val="nil"/>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项    目</w:t>
            </w:r>
          </w:p>
        </w:tc>
        <w:tc>
          <w:tcPr>
            <w:tcW w:w="1485" w:type="dxa"/>
            <w:vMerge w:val="restart"/>
            <w:tcBorders>
              <w:top w:val="single" w:color="auto" w:sz="8" w:space="0"/>
              <w:left w:val="single" w:color="auto" w:sz="4" w:space="0"/>
              <w:bottom w:val="single" w:color="000000"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本年收入合计</w:t>
            </w:r>
          </w:p>
        </w:tc>
        <w:tc>
          <w:tcPr>
            <w:tcW w:w="1575" w:type="dxa"/>
            <w:vMerge w:val="restart"/>
            <w:tcBorders>
              <w:top w:val="single" w:color="auto" w:sz="8" w:space="0"/>
              <w:left w:val="single" w:color="auto" w:sz="4" w:space="0"/>
              <w:bottom w:val="single" w:color="000000"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财政拨款收入</w:t>
            </w:r>
          </w:p>
        </w:tc>
        <w:tc>
          <w:tcPr>
            <w:tcW w:w="1470" w:type="dxa"/>
            <w:vMerge w:val="restart"/>
            <w:tcBorders>
              <w:top w:val="single" w:color="auto" w:sz="8" w:space="0"/>
              <w:left w:val="single" w:color="auto" w:sz="4" w:space="0"/>
              <w:bottom w:val="single" w:color="000000"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上级补助收入</w:t>
            </w:r>
          </w:p>
        </w:tc>
        <w:tc>
          <w:tcPr>
            <w:tcW w:w="1395" w:type="dxa"/>
            <w:vMerge w:val="restart"/>
            <w:tcBorders>
              <w:top w:val="single" w:color="auto" w:sz="8" w:space="0"/>
              <w:left w:val="single" w:color="auto" w:sz="4" w:space="0"/>
              <w:bottom w:val="single" w:color="000000"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事业收入</w:t>
            </w:r>
          </w:p>
        </w:tc>
        <w:tc>
          <w:tcPr>
            <w:tcW w:w="1635" w:type="dxa"/>
            <w:vMerge w:val="restart"/>
            <w:tcBorders>
              <w:top w:val="single" w:color="auto" w:sz="8" w:space="0"/>
              <w:left w:val="single" w:color="auto" w:sz="4" w:space="0"/>
              <w:bottom w:val="single" w:color="000000"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经营收入</w:t>
            </w:r>
          </w:p>
        </w:tc>
        <w:tc>
          <w:tcPr>
            <w:tcW w:w="1590" w:type="dxa"/>
            <w:vMerge w:val="restart"/>
            <w:tcBorders>
              <w:top w:val="single" w:color="auto" w:sz="8" w:space="0"/>
              <w:left w:val="single" w:color="auto" w:sz="4" w:space="0"/>
              <w:bottom w:val="single" w:color="000000"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附属单位上缴收入</w:t>
            </w:r>
          </w:p>
        </w:tc>
        <w:tc>
          <w:tcPr>
            <w:tcW w:w="1588" w:type="dxa"/>
            <w:vMerge w:val="restart"/>
            <w:tcBorders>
              <w:top w:val="single" w:color="auto" w:sz="8" w:space="0"/>
              <w:left w:val="single" w:color="auto" w:sz="4" w:space="0"/>
              <w:bottom w:val="single" w:color="000000" w:sz="4" w:space="0"/>
              <w:right w:val="single" w:color="auto" w:sz="8"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其他收入</w:t>
            </w:r>
          </w:p>
        </w:tc>
      </w:tr>
      <w:tr>
        <w:tblPrEx>
          <w:tblCellMar>
            <w:top w:w="0" w:type="dxa"/>
            <w:left w:w="108" w:type="dxa"/>
            <w:bottom w:w="0" w:type="dxa"/>
            <w:right w:w="108" w:type="dxa"/>
          </w:tblCellMar>
        </w:tblPrEx>
        <w:trPr>
          <w:trHeight w:val="450" w:hRule="atLeast"/>
          <w:jc w:val="center"/>
        </w:trPr>
        <w:tc>
          <w:tcPr>
            <w:tcW w:w="1197" w:type="dxa"/>
            <w:vMerge w:val="restart"/>
            <w:tcBorders>
              <w:top w:val="single" w:color="auto" w:sz="4" w:space="0"/>
              <w:left w:val="single" w:color="auto" w:sz="8" w:space="0"/>
              <w:bottom w:val="single" w:color="000000" w:sz="4" w:space="0"/>
              <w:right w:val="nil"/>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功能分类科目编码</w:t>
            </w:r>
          </w:p>
        </w:tc>
        <w:tc>
          <w:tcPr>
            <w:tcW w:w="1878" w:type="dxa"/>
            <w:vMerge w:val="restart"/>
            <w:tcBorders>
              <w:top w:val="nil"/>
              <w:left w:val="single" w:color="auto" w:sz="4" w:space="0"/>
              <w:bottom w:val="single" w:color="000000"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科目名称</w:t>
            </w:r>
          </w:p>
        </w:tc>
        <w:tc>
          <w:tcPr>
            <w:tcW w:w="1485" w:type="dxa"/>
            <w:vMerge w:val="continue"/>
            <w:tcBorders>
              <w:top w:val="single" w:color="auto" w:sz="8" w:space="0"/>
              <w:left w:val="single" w:color="auto" w:sz="4" w:space="0"/>
              <w:bottom w:val="single" w:color="000000"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1575" w:type="dxa"/>
            <w:vMerge w:val="continue"/>
            <w:tcBorders>
              <w:top w:val="single" w:color="auto" w:sz="8" w:space="0"/>
              <w:left w:val="single" w:color="auto" w:sz="4" w:space="0"/>
              <w:bottom w:val="single" w:color="000000"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1470" w:type="dxa"/>
            <w:vMerge w:val="continue"/>
            <w:tcBorders>
              <w:top w:val="single" w:color="auto" w:sz="8" w:space="0"/>
              <w:left w:val="single" w:color="auto" w:sz="4" w:space="0"/>
              <w:bottom w:val="single" w:color="000000"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1395" w:type="dxa"/>
            <w:vMerge w:val="continue"/>
            <w:tcBorders>
              <w:top w:val="single" w:color="auto" w:sz="8" w:space="0"/>
              <w:left w:val="single" w:color="auto" w:sz="4" w:space="0"/>
              <w:bottom w:val="single" w:color="000000"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1635" w:type="dxa"/>
            <w:vMerge w:val="continue"/>
            <w:tcBorders>
              <w:top w:val="single" w:color="auto" w:sz="8" w:space="0"/>
              <w:left w:val="single" w:color="auto" w:sz="4" w:space="0"/>
              <w:bottom w:val="single" w:color="000000"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1590" w:type="dxa"/>
            <w:vMerge w:val="continue"/>
            <w:tcBorders>
              <w:top w:val="single" w:color="auto" w:sz="8" w:space="0"/>
              <w:left w:val="single" w:color="auto" w:sz="4" w:space="0"/>
              <w:bottom w:val="single" w:color="000000"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1588" w:type="dxa"/>
            <w:vMerge w:val="continue"/>
            <w:tcBorders>
              <w:top w:val="single" w:color="auto" w:sz="8" w:space="0"/>
              <w:left w:val="single" w:color="auto" w:sz="4" w:space="0"/>
              <w:bottom w:val="single" w:color="000000" w:sz="4" w:space="0"/>
              <w:right w:val="single" w:color="auto" w:sz="8" w:space="0"/>
            </w:tcBorders>
            <w:vAlign w:val="center"/>
          </w:tcPr>
          <w:p>
            <w:pPr>
              <w:widowControl/>
              <w:jc w:val="left"/>
              <w:rPr>
                <w:rFonts w:ascii="Times New Roman" w:hAnsi="Times New Roman" w:eastAsia="仿宋_GB2312" w:cs="Times New Roman"/>
                <w:kern w:val="0"/>
                <w:szCs w:val="21"/>
              </w:rPr>
            </w:pPr>
          </w:p>
        </w:tc>
      </w:tr>
      <w:tr>
        <w:tblPrEx>
          <w:tblCellMar>
            <w:top w:w="0" w:type="dxa"/>
            <w:left w:w="108" w:type="dxa"/>
            <w:bottom w:w="0" w:type="dxa"/>
            <w:right w:w="108" w:type="dxa"/>
          </w:tblCellMar>
        </w:tblPrEx>
        <w:trPr>
          <w:trHeight w:val="450" w:hRule="atLeast"/>
          <w:jc w:val="center"/>
        </w:trPr>
        <w:tc>
          <w:tcPr>
            <w:tcW w:w="1197" w:type="dxa"/>
            <w:vMerge w:val="continue"/>
            <w:tcBorders>
              <w:top w:val="single" w:color="auto" w:sz="4" w:space="0"/>
              <w:left w:val="single" w:color="auto" w:sz="8" w:space="0"/>
              <w:bottom w:val="single" w:color="000000" w:sz="4" w:space="0"/>
              <w:right w:val="nil"/>
            </w:tcBorders>
            <w:vAlign w:val="center"/>
          </w:tcPr>
          <w:p>
            <w:pPr>
              <w:widowControl/>
              <w:jc w:val="left"/>
              <w:rPr>
                <w:rFonts w:ascii="Times New Roman" w:hAnsi="Times New Roman" w:eastAsia="仿宋_GB2312" w:cs="Times New Roman"/>
                <w:kern w:val="0"/>
                <w:szCs w:val="21"/>
              </w:rPr>
            </w:pPr>
          </w:p>
        </w:tc>
        <w:tc>
          <w:tcPr>
            <w:tcW w:w="1878" w:type="dxa"/>
            <w:vMerge w:val="continue"/>
            <w:tcBorders>
              <w:top w:val="nil"/>
              <w:left w:val="single" w:color="auto" w:sz="4" w:space="0"/>
              <w:bottom w:val="single" w:color="000000"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1485" w:type="dxa"/>
            <w:vMerge w:val="continue"/>
            <w:tcBorders>
              <w:top w:val="single" w:color="auto" w:sz="8" w:space="0"/>
              <w:left w:val="single" w:color="auto" w:sz="4" w:space="0"/>
              <w:bottom w:val="single" w:color="000000"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1575" w:type="dxa"/>
            <w:vMerge w:val="continue"/>
            <w:tcBorders>
              <w:top w:val="single" w:color="auto" w:sz="8" w:space="0"/>
              <w:left w:val="single" w:color="auto" w:sz="4" w:space="0"/>
              <w:bottom w:val="single" w:color="000000"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1470" w:type="dxa"/>
            <w:vMerge w:val="continue"/>
            <w:tcBorders>
              <w:top w:val="single" w:color="auto" w:sz="8" w:space="0"/>
              <w:left w:val="single" w:color="auto" w:sz="4" w:space="0"/>
              <w:bottom w:val="single" w:color="000000"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1395" w:type="dxa"/>
            <w:vMerge w:val="continue"/>
            <w:tcBorders>
              <w:top w:val="single" w:color="auto" w:sz="8" w:space="0"/>
              <w:left w:val="single" w:color="auto" w:sz="4" w:space="0"/>
              <w:bottom w:val="single" w:color="000000"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1635" w:type="dxa"/>
            <w:vMerge w:val="continue"/>
            <w:tcBorders>
              <w:top w:val="single" w:color="auto" w:sz="8" w:space="0"/>
              <w:left w:val="single" w:color="auto" w:sz="4" w:space="0"/>
              <w:bottom w:val="single" w:color="000000"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1590" w:type="dxa"/>
            <w:vMerge w:val="continue"/>
            <w:tcBorders>
              <w:top w:val="single" w:color="auto" w:sz="8" w:space="0"/>
              <w:left w:val="single" w:color="auto" w:sz="4" w:space="0"/>
              <w:bottom w:val="single" w:color="000000"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1588" w:type="dxa"/>
            <w:vMerge w:val="continue"/>
            <w:tcBorders>
              <w:top w:val="single" w:color="auto" w:sz="8" w:space="0"/>
              <w:left w:val="single" w:color="auto" w:sz="4" w:space="0"/>
              <w:bottom w:val="single" w:color="000000" w:sz="4" w:space="0"/>
              <w:right w:val="single" w:color="auto" w:sz="8" w:space="0"/>
            </w:tcBorders>
            <w:vAlign w:val="center"/>
          </w:tcPr>
          <w:p>
            <w:pPr>
              <w:widowControl/>
              <w:jc w:val="left"/>
              <w:rPr>
                <w:rFonts w:ascii="Times New Roman" w:hAnsi="Times New Roman" w:eastAsia="仿宋_GB2312" w:cs="Times New Roman"/>
                <w:kern w:val="0"/>
                <w:szCs w:val="21"/>
              </w:rPr>
            </w:pPr>
          </w:p>
        </w:tc>
      </w:tr>
      <w:tr>
        <w:tblPrEx>
          <w:tblCellMar>
            <w:top w:w="0" w:type="dxa"/>
            <w:left w:w="108" w:type="dxa"/>
            <w:bottom w:w="0" w:type="dxa"/>
            <w:right w:w="108" w:type="dxa"/>
          </w:tblCellMar>
        </w:tblPrEx>
        <w:trPr>
          <w:trHeight w:val="450" w:hRule="atLeast"/>
          <w:jc w:val="center"/>
        </w:trPr>
        <w:tc>
          <w:tcPr>
            <w:tcW w:w="3075" w:type="dxa"/>
            <w:gridSpan w:val="2"/>
            <w:tcBorders>
              <w:top w:val="single" w:color="auto" w:sz="4" w:space="0"/>
              <w:left w:val="single" w:color="auto" w:sz="8" w:space="0"/>
              <w:bottom w:val="single" w:color="auto" w:sz="4" w:space="0"/>
              <w:right w:val="single" w:color="000000"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栏次</w:t>
            </w:r>
          </w:p>
        </w:tc>
        <w:tc>
          <w:tcPr>
            <w:tcW w:w="1485" w:type="dxa"/>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w:t>
            </w:r>
          </w:p>
        </w:tc>
        <w:tc>
          <w:tcPr>
            <w:tcW w:w="1575" w:type="dxa"/>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w:t>
            </w:r>
          </w:p>
        </w:tc>
        <w:tc>
          <w:tcPr>
            <w:tcW w:w="1470" w:type="dxa"/>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3</w:t>
            </w:r>
          </w:p>
        </w:tc>
        <w:tc>
          <w:tcPr>
            <w:tcW w:w="1395" w:type="dxa"/>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4</w:t>
            </w:r>
          </w:p>
        </w:tc>
        <w:tc>
          <w:tcPr>
            <w:tcW w:w="1635" w:type="dxa"/>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5</w:t>
            </w:r>
          </w:p>
        </w:tc>
        <w:tc>
          <w:tcPr>
            <w:tcW w:w="1590" w:type="dxa"/>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6</w:t>
            </w:r>
          </w:p>
        </w:tc>
        <w:tc>
          <w:tcPr>
            <w:tcW w:w="1588" w:type="dxa"/>
            <w:tcBorders>
              <w:top w:val="nil"/>
              <w:left w:val="nil"/>
              <w:bottom w:val="single" w:color="auto" w:sz="4" w:space="0"/>
              <w:right w:val="single" w:color="auto" w:sz="8"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7</w:t>
            </w:r>
          </w:p>
        </w:tc>
      </w:tr>
      <w:tr>
        <w:tblPrEx>
          <w:tblCellMar>
            <w:top w:w="0" w:type="dxa"/>
            <w:left w:w="108" w:type="dxa"/>
            <w:bottom w:w="0" w:type="dxa"/>
            <w:right w:w="108" w:type="dxa"/>
          </w:tblCellMar>
        </w:tblPrEx>
        <w:trPr>
          <w:trHeight w:val="450" w:hRule="atLeast"/>
          <w:jc w:val="center"/>
        </w:trPr>
        <w:tc>
          <w:tcPr>
            <w:tcW w:w="3075" w:type="dxa"/>
            <w:gridSpan w:val="2"/>
            <w:tcBorders>
              <w:top w:val="nil"/>
              <w:left w:val="single" w:color="auto" w:sz="8" w:space="0"/>
              <w:bottom w:val="single" w:color="auto" w:sz="4" w:space="0"/>
              <w:right w:val="single" w:color="000000"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合计</w:t>
            </w:r>
          </w:p>
        </w:tc>
        <w:tc>
          <w:tcPr>
            <w:tcW w:w="1485" w:type="dxa"/>
            <w:tcBorders>
              <w:top w:val="nil"/>
              <w:left w:val="nil"/>
              <w:bottom w:val="single" w:color="auto" w:sz="4" w:space="0"/>
              <w:right w:val="single" w:color="auto" w:sz="4" w:space="0"/>
            </w:tcBorders>
            <w:shd w:val="clear" w:color="auto" w:fill="auto"/>
            <w:vAlign w:val="center"/>
          </w:tcPr>
          <w:p>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2077.46</w:t>
            </w:r>
            <w:r>
              <w:rPr>
                <w:rFonts w:ascii="Times New Roman" w:hAnsi="Times New Roman" w:eastAsia="仿宋_GB2312" w:cs="Times New Roman"/>
                <w:kern w:val="0"/>
                <w:szCs w:val="21"/>
              </w:rPr>
              <w:t>　</w:t>
            </w:r>
          </w:p>
        </w:tc>
        <w:tc>
          <w:tcPr>
            <w:tcW w:w="1575" w:type="dxa"/>
            <w:tcBorders>
              <w:top w:val="nil"/>
              <w:left w:val="nil"/>
              <w:bottom w:val="single" w:color="auto" w:sz="4" w:space="0"/>
              <w:right w:val="single" w:color="auto" w:sz="4" w:space="0"/>
            </w:tcBorders>
            <w:shd w:val="clear" w:color="auto" w:fill="auto"/>
            <w:vAlign w:val="center"/>
          </w:tcPr>
          <w:p>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2077.46</w:t>
            </w:r>
            <w:r>
              <w:rPr>
                <w:rFonts w:ascii="Times New Roman" w:hAnsi="Times New Roman" w:eastAsia="仿宋_GB2312" w:cs="Times New Roman"/>
                <w:kern w:val="0"/>
                <w:szCs w:val="21"/>
              </w:rPr>
              <w:t>　</w:t>
            </w:r>
          </w:p>
        </w:tc>
        <w:tc>
          <w:tcPr>
            <w:tcW w:w="1470" w:type="dxa"/>
            <w:tcBorders>
              <w:top w:val="nil"/>
              <w:left w:val="nil"/>
              <w:bottom w:val="single" w:color="auto" w:sz="4" w:space="0"/>
              <w:right w:val="single" w:color="auto" w:sz="4" w:space="0"/>
            </w:tcBorders>
            <w:shd w:val="clear" w:color="auto" w:fill="auto"/>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395" w:type="dxa"/>
            <w:tcBorders>
              <w:top w:val="nil"/>
              <w:left w:val="nil"/>
              <w:bottom w:val="single" w:color="auto" w:sz="4" w:space="0"/>
              <w:right w:val="single" w:color="auto" w:sz="4" w:space="0"/>
            </w:tcBorders>
            <w:shd w:val="clear" w:color="auto" w:fill="auto"/>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635" w:type="dxa"/>
            <w:tcBorders>
              <w:top w:val="nil"/>
              <w:left w:val="nil"/>
              <w:bottom w:val="single" w:color="auto" w:sz="4" w:space="0"/>
              <w:right w:val="single" w:color="auto" w:sz="4" w:space="0"/>
            </w:tcBorders>
            <w:shd w:val="clear" w:color="auto" w:fill="auto"/>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590" w:type="dxa"/>
            <w:tcBorders>
              <w:top w:val="nil"/>
              <w:left w:val="nil"/>
              <w:bottom w:val="single" w:color="auto" w:sz="4" w:space="0"/>
              <w:right w:val="single" w:color="auto" w:sz="4" w:space="0"/>
            </w:tcBorders>
            <w:shd w:val="clear" w:color="auto" w:fill="auto"/>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588" w:type="dxa"/>
            <w:tcBorders>
              <w:top w:val="nil"/>
              <w:left w:val="nil"/>
              <w:bottom w:val="single" w:color="auto" w:sz="4" w:space="0"/>
              <w:right w:val="single" w:color="auto" w:sz="8" w:space="0"/>
            </w:tcBorders>
            <w:shd w:val="clear" w:color="auto" w:fill="auto"/>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201</w:t>
            </w:r>
          </w:p>
        </w:tc>
        <w:tc>
          <w:tcPr>
            <w:tcW w:w="1878"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一般公共服务支出</w:t>
            </w:r>
          </w:p>
        </w:tc>
        <w:tc>
          <w:tcPr>
            <w:tcW w:w="148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1,208.24</w:t>
            </w:r>
          </w:p>
        </w:tc>
        <w:tc>
          <w:tcPr>
            <w:tcW w:w="157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1,208.24</w:t>
            </w:r>
          </w:p>
        </w:tc>
        <w:tc>
          <w:tcPr>
            <w:tcW w:w="147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39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63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59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588"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20103</w:t>
            </w:r>
          </w:p>
        </w:tc>
        <w:tc>
          <w:tcPr>
            <w:tcW w:w="1878"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政府办公厅（室）及相关机构事务</w:t>
            </w:r>
          </w:p>
        </w:tc>
        <w:tc>
          <w:tcPr>
            <w:tcW w:w="148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252.57</w:t>
            </w:r>
          </w:p>
        </w:tc>
        <w:tc>
          <w:tcPr>
            <w:tcW w:w="157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252.57</w:t>
            </w:r>
          </w:p>
        </w:tc>
        <w:tc>
          <w:tcPr>
            <w:tcW w:w="147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39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63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59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588"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2010301</w:t>
            </w:r>
          </w:p>
        </w:tc>
        <w:tc>
          <w:tcPr>
            <w:tcW w:w="1878"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行政运行</w:t>
            </w:r>
          </w:p>
        </w:tc>
        <w:tc>
          <w:tcPr>
            <w:tcW w:w="148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252.57</w:t>
            </w:r>
          </w:p>
        </w:tc>
        <w:tc>
          <w:tcPr>
            <w:tcW w:w="157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252.57</w:t>
            </w:r>
          </w:p>
        </w:tc>
        <w:tc>
          <w:tcPr>
            <w:tcW w:w="147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39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63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59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588"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20104</w:t>
            </w:r>
          </w:p>
        </w:tc>
        <w:tc>
          <w:tcPr>
            <w:tcW w:w="1878"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发展与改革事务</w:t>
            </w:r>
          </w:p>
        </w:tc>
        <w:tc>
          <w:tcPr>
            <w:tcW w:w="148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945.58</w:t>
            </w:r>
          </w:p>
        </w:tc>
        <w:tc>
          <w:tcPr>
            <w:tcW w:w="157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945.58</w:t>
            </w:r>
          </w:p>
        </w:tc>
        <w:tc>
          <w:tcPr>
            <w:tcW w:w="147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39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63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59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588"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2010401</w:t>
            </w:r>
          </w:p>
        </w:tc>
        <w:tc>
          <w:tcPr>
            <w:tcW w:w="1878"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行政运行</w:t>
            </w:r>
          </w:p>
        </w:tc>
        <w:tc>
          <w:tcPr>
            <w:tcW w:w="148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850.58</w:t>
            </w:r>
          </w:p>
        </w:tc>
        <w:tc>
          <w:tcPr>
            <w:tcW w:w="157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850.58</w:t>
            </w:r>
          </w:p>
        </w:tc>
        <w:tc>
          <w:tcPr>
            <w:tcW w:w="147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39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63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59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588"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2010499</w:t>
            </w:r>
          </w:p>
        </w:tc>
        <w:tc>
          <w:tcPr>
            <w:tcW w:w="1878"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其他发展与改革事务支出</w:t>
            </w:r>
          </w:p>
        </w:tc>
        <w:tc>
          <w:tcPr>
            <w:tcW w:w="148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95.00</w:t>
            </w:r>
          </w:p>
        </w:tc>
        <w:tc>
          <w:tcPr>
            <w:tcW w:w="157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95.00</w:t>
            </w:r>
          </w:p>
        </w:tc>
        <w:tc>
          <w:tcPr>
            <w:tcW w:w="147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39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63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59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588"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20113</w:t>
            </w:r>
          </w:p>
        </w:tc>
        <w:tc>
          <w:tcPr>
            <w:tcW w:w="1878"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商贸事务</w:t>
            </w:r>
          </w:p>
        </w:tc>
        <w:tc>
          <w:tcPr>
            <w:tcW w:w="148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10.08</w:t>
            </w:r>
          </w:p>
        </w:tc>
        <w:tc>
          <w:tcPr>
            <w:tcW w:w="157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10.08</w:t>
            </w:r>
          </w:p>
        </w:tc>
        <w:tc>
          <w:tcPr>
            <w:tcW w:w="147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39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63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59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588"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2011308</w:t>
            </w:r>
          </w:p>
        </w:tc>
        <w:tc>
          <w:tcPr>
            <w:tcW w:w="1878"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招商引资</w:t>
            </w:r>
          </w:p>
        </w:tc>
        <w:tc>
          <w:tcPr>
            <w:tcW w:w="148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9.98</w:t>
            </w:r>
          </w:p>
        </w:tc>
        <w:tc>
          <w:tcPr>
            <w:tcW w:w="157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9.98</w:t>
            </w:r>
          </w:p>
        </w:tc>
        <w:tc>
          <w:tcPr>
            <w:tcW w:w="147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39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63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59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588"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2011350</w:t>
            </w:r>
          </w:p>
        </w:tc>
        <w:tc>
          <w:tcPr>
            <w:tcW w:w="1878"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事业运行</w:t>
            </w:r>
          </w:p>
        </w:tc>
        <w:tc>
          <w:tcPr>
            <w:tcW w:w="148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0.11</w:t>
            </w:r>
          </w:p>
        </w:tc>
        <w:tc>
          <w:tcPr>
            <w:tcW w:w="157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0.11</w:t>
            </w:r>
          </w:p>
        </w:tc>
        <w:tc>
          <w:tcPr>
            <w:tcW w:w="147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39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63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59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588"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208</w:t>
            </w:r>
          </w:p>
        </w:tc>
        <w:tc>
          <w:tcPr>
            <w:tcW w:w="1878"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社会保障和就业支出</w:t>
            </w:r>
          </w:p>
        </w:tc>
        <w:tc>
          <w:tcPr>
            <w:tcW w:w="148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218.87</w:t>
            </w:r>
          </w:p>
        </w:tc>
        <w:tc>
          <w:tcPr>
            <w:tcW w:w="157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218.87</w:t>
            </w:r>
          </w:p>
        </w:tc>
        <w:tc>
          <w:tcPr>
            <w:tcW w:w="147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39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63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59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588"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20801</w:t>
            </w:r>
          </w:p>
        </w:tc>
        <w:tc>
          <w:tcPr>
            <w:tcW w:w="1878"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人力资源和社会保障管理事务</w:t>
            </w:r>
          </w:p>
        </w:tc>
        <w:tc>
          <w:tcPr>
            <w:tcW w:w="148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1.34</w:t>
            </w:r>
          </w:p>
        </w:tc>
        <w:tc>
          <w:tcPr>
            <w:tcW w:w="157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1.34</w:t>
            </w:r>
          </w:p>
        </w:tc>
        <w:tc>
          <w:tcPr>
            <w:tcW w:w="147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39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63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59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588"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2080199</w:t>
            </w:r>
          </w:p>
        </w:tc>
        <w:tc>
          <w:tcPr>
            <w:tcW w:w="1878"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其他人力资源和社会保障管理事务支出</w:t>
            </w:r>
          </w:p>
        </w:tc>
        <w:tc>
          <w:tcPr>
            <w:tcW w:w="148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1.34</w:t>
            </w:r>
          </w:p>
        </w:tc>
        <w:tc>
          <w:tcPr>
            <w:tcW w:w="157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1.34</w:t>
            </w:r>
          </w:p>
        </w:tc>
        <w:tc>
          <w:tcPr>
            <w:tcW w:w="147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39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63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59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588"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20805</w:t>
            </w:r>
          </w:p>
        </w:tc>
        <w:tc>
          <w:tcPr>
            <w:tcW w:w="1878"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行政事业单位离退休</w:t>
            </w:r>
          </w:p>
        </w:tc>
        <w:tc>
          <w:tcPr>
            <w:tcW w:w="148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183.68</w:t>
            </w:r>
          </w:p>
        </w:tc>
        <w:tc>
          <w:tcPr>
            <w:tcW w:w="157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183.68</w:t>
            </w:r>
          </w:p>
        </w:tc>
        <w:tc>
          <w:tcPr>
            <w:tcW w:w="147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39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63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59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588"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2080505</w:t>
            </w:r>
          </w:p>
        </w:tc>
        <w:tc>
          <w:tcPr>
            <w:tcW w:w="1878"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机关事业单位基本养老保险缴费支出</w:t>
            </w:r>
          </w:p>
        </w:tc>
        <w:tc>
          <w:tcPr>
            <w:tcW w:w="148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142.38</w:t>
            </w:r>
          </w:p>
        </w:tc>
        <w:tc>
          <w:tcPr>
            <w:tcW w:w="157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142.38</w:t>
            </w:r>
          </w:p>
        </w:tc>
        <w:tc>
          <w:tcPr>
            <w:tcW w:w="147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39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63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59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588"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2080599</w:t>
            </w:r>
          </w:p>
        </w:tc>
        <w:tc>
          <w:tcPr>
            <w:tcW w:w="1878"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其他行政事业单位离退休支出</w:t>
            </w:r>
          </w:p>
        </w:tc>
        <w:tc>
          <w:tcPr>
            <w:tcW w:w="148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41.30</w:t>
            </w:r>
          </w:p>
        </w:tc>
        <w:tc>
          <w:tcPr>
            <w:tcW w:w="157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41.30</w:t>
            </w:r>
          </w:p>
        </w:tc>
        <w:tc>
          <w:tcPr>
            <w:tcW w:w="147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39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63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59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588"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20807</w:t>
            </w:r>
          </w:p>
        </w:tc>
        <w:tc>
          <w:tcPr>
            <w:tcW w:w="1878"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就业补助</w:t>
            </w:r>
          </w:p>
        </w:tc>
        <w:tc>
          <w:tcPr>
            <w:tcW w:w="148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1.65</w:t>
            </w:r>
          </w:p>
        </w:tc>
        <w:tc>
          <w:tcPr>
            <w:tcW w:w="157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1.65</w:t>
            </w:r>
          </w:p>
        </w:tc>
        <w:tc>
          <w:tcPr>
            <w:tcW w:w="147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39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63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59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588"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2080799</w:t>
            </w:r>
          </w:p>
        </w:tc>
        <w:tc>
          <w:tcPr>
            <w:tcW w:w="1878"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其他就业补助支出</w:t>
            </w:r>
          </w:p>
        </w:tc>
        <w:tc>
          <w:tcPr>
            <w:tcW w:w="148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1.65</w:t>
            </w:r>
          </w:p>
        </w:tc>
        <w:tc>
          <w:tcPr>
            <w:tcW w:w="157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1.65</w:t>
            </w:r>
          </w:p>
        </w:tc>
        <w:tc>
          <w:tcPr>
            <w:tcW w:w="147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39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63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59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588"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20808</w:t>
            </w:r>
          </w:p>
        </w:tc>
        <w:tc>
          <w:tcPr>
            <w:tcW w:w="1878"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抚恤</w:t>
            </w:r>
          </w:p>
        </w:tc>
        <w:tc>
          <w:tcPr>
            <w:tcW w:w="148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32.20</w:t>
            </w:r>
          </w:p>
        </w:tc>
        <w:tc>
          <w:tcPr>
            <w:tcW w:w="157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32.20</w:t>
            </w:r>
          </w:p>
        </w:tc>
        <w:tc>
          <w:tcPr>
            <w:tcW w:w="147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39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63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59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588"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2080801</w:t>
            </w:r>
          </w:p>
        </w:tc>
        <w:tc>
          <w:tcPr>
            <w:tcW w:w="1878"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死亡抚恤</w:t>
            </w:r>
          </w:p>
        </w:tc>
        <w:tc>
          <w:tcPr>
            <w:tcW w:w="148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28.72</w:t>
            </w:r>
          </w:p>
        </w:tc>
        <w:tc>
          <w:tcPr>
            <w:tcW w:w="157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28.72</w:t>
            </w:r>
          </w:p>
        </w:tc>
        <w:tc>
          <w:tcPr>
            <w:tcW w:w="147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39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63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59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588"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2080803</w:t>
            </w:r>
          </w:p>
        </w:tc>
        <w:tc>
          <w:tcPr>
            <w:tcW w:w="1878"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在乡复员、退伍军人生活补助</w:t>
            </w:r>
          </w:p>
        </w:tc>
        <w:tc>
          <w:tcPr>
            <w:tcW w:w="148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1.16</w:t>
            </w:r>
          </w:p>
        </w:tc>
        <w:tc>
          <w:tcPr>
            <w:tcW w:w="157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1.16</w:t>
            </w:r>
          </w:p>
        </w:tc>
        <w:tc>
          <w:tcPr>
            <w:tcW w:w="147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39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63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59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588"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2080899</w:t>
            </w:r>
          </w:p>
        </w:tc>
        <w:tc>
          <w:tcPr>
            <w:tcW w:w="1878"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其他优抚支出</w:t>
            </w:r>
          </w:p>
        </w:tc>
        <w:tc>
          <w:tcPr>
            <w:tcW w:w="148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2.32</w:t>
            </w:r>
          </w:p>
        </w:tc>
        <w:tc>
          <w:tcPr>
            <w:tcW w:w="157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2.32</w:t>
            </w:r>
          </w:p>
        </w:tc>
        <w:tc>
          <w:tcPr>
            <w:tcW w:w="147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39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63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59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588"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210</w:t>
            </w:r>
          </w:p>
        </w:tc>
        <w:tc>
          <w:tcPr>
            <w:tcW w:w="1878"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卫生健康支出</w:t>
            </w:r>
          </w:p>
        </w:tc>
        <w:tc>
          <w:tcPr>
            <w:tcW w:w="148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26.87</w:t>
            </w:r>
          </w:p>
        </w:tc>
        <w:tc>
          <w:tcPr>
            <w:tcW w:w="157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26.87</w:t>
            </w:r>
          </w:p>
        </w:tc>
        <w:tc>
          <w:tcPr>
            <w:tcW w:w="147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39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63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59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588"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21011</w:t>
            </w:r>
          </w:p>
        </w:tc>
        <w:tc>
          <w:tcPr>
            <w:tcW w:w="1878"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行政事业单位医疗</w:t>
            </w:r>
          </w:p>
        </w:tc>
        <w:tc>
          <w:tcPr>
            <w:tcW w:w="148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26.87</w:t>
            </w:r>
          </w:p>
        </w:tc>
        <w:tc>
          <w:tcPr>
            <w:tcW w:w="157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26.87</w:t>
            </w:r>
          </w:p>
        </w:tc>
        <w:tc>
          <w:tcPr>
            <w:tcW w:w="147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39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63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59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588"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2101199</w:t>
            </w:r>
          </w:p>
        </w:tc>
        <w:tc>
          <w:tcPr>
            <w:tcW w:w="1878"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其他行政事业单位医疗支出</w:t>
            </w:r>
          </w:p>
        </w:tc>
        <w:tc>
          <w:tcPr>
            <w:tcW w:w="148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26.87</w:t>
            </w:r>
          </w:p>
        </w:tc>
        <w:tc>
          <w:tcPr>
            <w:tcW w:w="157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26.87</w:t>
            </w:r>
          </w:p>
        </w:tc>
        <w:tc>
          <w:tcPr>
            <w:tcW w:w="147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39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63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59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588"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212</w:t>
            </w:r>
          </w:p>
        </w:tc>
        <w:tc>
          <w:tcPr>
            <w:tcW w:w="1878"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城乡社区支出</w:t>
            </w:r>
          </w:p>
        </w:tc>
        <w:tc>
          <w:tcPr>
            <w:tcW w:w="148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111.36</w:t>
            </w:r>
          </w:p>
        </w:tc>
        <w:tc>
          <w:tcPr>
            <w:tcW w:w="157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111.36</w:t>
            </w:r>
          </w:p>
        </w:tc>
        <w:tc>
          <w:tcPr>
            <w:tcW w:w="147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39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63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59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588"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21203</w:t>
            </w:r>
          </w:p>
        </w:tc>
        <w:tc>
          <w:tcPr>
            <w:tcW w:w="1878"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城乡社区公共设施</w:t>
            </w:r>
          </w:p>
        </w:tc>
        <w:tc>
          <w:tcPr>
            <w:tcW w:w="148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6.00</w:t>
            </w:r>
          </w:p>
        </w:tc>
        <w:tc>
          <w:tcPr>
            <w:tcW w:w="157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6.00</w:t>
            </w:r>
          </w:p>
        </w:tc>
        <w:tc>
          <w:tcPr>
            <w:tcW w:w="147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39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63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59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588"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2120399</w:t>
            </w:r>
          </w:p>
        </w:tc>
        <w:tc>
          <w:tcPr>
            <w:tcW w:w="1878"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其他城乡社区公共设施支出</w:t>
            </w:r>
          </w:p>
        </w:tc>
        <w:tc>
          <w:tcPr>
            <w:tcW w:w="148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6.00</w:t>
            </w:r>
          </w:p>
        </w:tc>
        <w:tc>
          <w:tcPr>
            <w:tcW w:w="157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6.00</w:t>
            </w:r>
          </w:p>
        </w:tc>
        <w:tc>
          <w:tcPr>
            <w:tcW w:w="147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39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63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59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588"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21208</w:t>
            </w:r>
          </w:p>
        </w:tc>
        <w:tc>
          <w:tcPr>
            <w:tcW w:w="1878"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国有土地使用权出让收入及对应专项债务收入安排的支出</w:t>
            </w:r>
          </w:p>
        </w:tc>
        <w:tc>
          <w:tcPr>
            <w:tcW w:w="148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95.36</w:t>
            </w:r>
          </w:p>
        </w:tc>
        <w:tc>
          <w:tcPr>
            <w:tcW w:w="157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95.36</w:t>
            </w:r>
          </w:p>
        </w:tc>
        <w:tc>
          <w:tcPr>
            <w:tcW w:w="147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39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63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59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588"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2120801</w:t>
            </w:r>
          </w:p>
        </w:tc>
        <w:tc>
          <w:tcPr>
            <w:tcW w:w="1878"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征地和拆迁补偿支出</w:t>
            </w:r>
          </w:p>
        </w:tc>
        <w:tc>
          <w:tcPr>
            <w:tcW w:w="148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95.36</w:t>
            </w:r>
          </w:p>
        </w:tc>
        <w:tc>
          <w:tcPr>
            <w:tcW w:w="157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95.36</w:t>
            </w:r>
          </w:p>
        </w:tc>
        <w:tc>
          <w:tcPr>
            <w:tcW w:w="147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39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63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59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588"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21299</w:t>
            </w:r>
          </w:p>
        </w:tc>
        <w:tc>
          <w:tcPr>
            <w:tcW w:w="1878"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其他城乡社区支出</w:t>
            </w:r>
          </w:p>
        </w:tc>
        <w:tc>
          <w:tcPr>
            <w:tcW w:w="148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10.00</w:t>
            </w:r>
          </w:p>
        </w:tc>
        <w:tc>
          <w:tcPr>
            <w:tcW w:w="157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10.00</w:t>
            </w:r>
          </w:p>
        </w:tc>
        <w:tc>
          <w:tcPr>
            <w:tcW w:w="147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39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63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59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588"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2129901</w:t>
            </w:r>
          </w:p>
        </w:tc>
        <w:tc>
          <w:tcPr>
            <w:tcW w:w="1878"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2129901</w:t>
            </w:r>
          </w:p>
        </w:tc>
        <w:tc>
          <w:tcPr>
            <w:tcW w:w="148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10.00</w:t>
            </w:r>
          </w:p>
        </w:tc>
        <w:tc>
          <w:tcPr>
            <w:tcW w:w="157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10.00</w:t>
            </w:r>
          </w:p>
        </w:tc>
        <w:tc>
          <w:tcPr>
            <w:tcW w:w="147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39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63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59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588"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213</w:t>
            </w:r>
          </w:p>
        </w:tc>
        <w:tc>
          <w:tcPr>
            <w:tcW w:w="1878"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农林水支出</w:t>
            </w:r>
          </w:p>
        </w:tc>
        <w:tc>
          <w:tcPr>
            <w:tcW w:w="148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49.30</w:t>
            </w:r>
          </w:p>
        </w:tc>
        <w:tc>
          <w:tcPr>
            <w:tcW w:w="157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49.30</w:t>
            </w:r>
          </w:p>
        </w:tc>
        <w:tc>
          <w:tcPr>
            <w:tcW w:w="147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39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63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59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588"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21305</w:t>
            </w:r>
          </w:p>
        </w:tc>
        <w:tc>
          <w:tcPr>
            <w:tcW w:w="1878"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扶贫</w:t>
            </w:r>
          </w:p>
        </w:tc>
        <w:tc>
          <w:tcPr>
            <w:tcW w:w="148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49.30</w:t>
            </w:r>
          </w:p>
        </w:tc>
        <w:tc>
          <w:tcPr>
            <w:tcW w:w="157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49.30</w:t>
            </w:r>
          </w:p>
        </w:tc>
        <w:tc>
          <w:tcPr>
            <w:tcW w:w="147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39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63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59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588"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2130599</w:t>
            </w:r>
          </w:p>
        </w:tc>
        <w:tc>
          <w:tcPr>
            <w:tcW w:w="1878"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其他扶贫支出</w:t>
            </w:r>
          </w:p>
        </w:tc>
        <w:tc>
          <w:tcPr>
            <w:tcW w:w="148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49.30</w:t>
            </w:r>
          </w:p>
        </w:tc>
        <w:tc>
          <w:tcPr>
            <w:tcW w:w="157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49.30</w:t>
            </w:r>
          </w:p>
        </w:tc>
        <w:tc>
          <w:tcPr>
            <w:tcW w:w="147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39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63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59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588"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215</w:t>
            </w:r>
          </w:p>
        </w:tc>
        <w:tc>
          <w:tcPr>
            <w:tcW w:w="1878"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资源勘探信息等支出</w:t>
            </w:r>
          </w:p>
        </w:tc>
        <w:tc>
          <w:tcPr>
            <w:tcW w:w="148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337.00</w:t>
            </w:r>
          </w:p>
        </w:tc>
        <w:tc>
          <w:tcPr>
            <w:tcW w:w="157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337.00</w:t>
            </w:r>
          </w:p>
        </w:tc>
        <w:tc>
          <w:tcPr>
            <w:tcW w:w="147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39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63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59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588"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21505</w:t>
            </w:r>
          </w:p>
        </w:tc>
        <w:tc>
          <w:tcPr>
            <w:tcW w:w="1878"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工业和信息产业监管</w:t>
            </w:r>
          </w:p>
        </w:tc>
        <w:tc>
          <w:tcPr>
            <w:tcW w:w="148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337.00</w:t>
            </w:r>
          </w:p>
        </w:tc>
        <w:tc>
          <w:tcPr>
            <w:tcW w:w="157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337.00</w:t>
            </w:r>
          </w:p>
        </w:tc>
        <w:tc>
          <w:tcPr>
            <w:tcW w:w="147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39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63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59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588"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2150599</w:t>
            </w:r>
          </w:p>
        </w:tc>
        <w:tc>
          <w:tcPr>
            <w:tcW w:w="1878"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其他工业和信息产业监管支出</w:t>
            </w:r>
          </w:p>
        </w:tc>
        <w:tc>
          <w:tcPr>
            <w:tcW w:w="148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337.00</w:t>
            </w:r>
          </w:p>
        </w:tc>
        <w:tc>
          <w:tcPr>
            <w:tcW w:w="157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337.00</w:t>
            </w:r>
          </w:p>
        </w:tc>
        <w:tc>
          <w:tcPr>
            <w:tcW w:w="147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39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63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59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588"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222</w:t>
            </w:r>
          </w:p>
        </w:tc>
        <w:tc>
          <w:tcPr>
            <w:tcW w:w="1878"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粮油物资储备支出</w:t>
            </w:r>
          </w:p>
        </w:tc>
        <w:tc>
          <w:tcPr>
            <w:tcW w:w="148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55.82</w:t>
            </w:r>
          </w:p>
        </w:tc>
        <w:tc>
          <w:tcPr>
            <w:tcW w:w="157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55.82</w:t>
            </w:r>
          </w:p>
        </w:tc>
        <w:tc>
          <w:tcPr>
            <w:tcW w:w="147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39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63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59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588"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22201</w:t>
            </w:r>
          </w:p>
        </w:tc>
        <w:tc>
          <w:tcPr>
            <w:tcW w:w="1878"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粮油事务</w:t>
            </w:r>
          </w:p>
        </w:tc>
        <w:tc>
          <w:tcPr>
            <w:tcW w:w="148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55.82</w:t>
            </w:r>
          </w:p>
        </w:tc>
        <w:tc>
          <w:tcPr>
            <w:tcW w:w="157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55.82</w:t>
            </w:r>
          </w:p>
        </w:tc>
        <w:tc>
          <w:tcPr>
            <w:tcW w:w="147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39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63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59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588"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2220101</w:t>
            </w:r>
          </w:p>
        </w:tc>
        <w:tc>
          <w:tcPr>
            <w:tcW w:w="1878"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行政运行</w:t>
            </w:r>
          </w:p>
        </w:tc>
        <w:tc>
          <w:tcPr>
            <w:tcW w:w="148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55.82</w:t>
            </w:r>
          </w:p>
        </w:tc>
        <w:tc>
          <w:tcPr>
            <w:tcW w:w="157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55.82</w:t>
            </w:r>
          </w:p>
        </w:tc>
        <w:tc>
          <w:tcPr>
            <w:tcW w:w="147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39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63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59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588"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229</w:t>
            </w:r>
          </w:p>
        </w:tc>
        <w:tc>
          <w:tcPr>
            <w:tcW w:w="1878"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其他支出</w:t>
            </w:r>
          </w:p>
        </w:tc>
        <w:tc>
          <w:tcPr>
            <w:tcW w:w="148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70.00</w:t>
            </w:r>
          </w:p>
        </w:tc>
        <w:tc>
          <w:tcPr>
            <w:tcW w:w="157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70.00</w:t>
            </w:r>
          </w:p>
        </w:tc>
        <w:tc>
          <w:tcPr>
            <w:tcW w:w="147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39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63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59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588"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22999</w:t>
            </w:r>
          </w:p>
        </w:tc>
        <w:tc>
          <w:tcPr>
            <w:tcW w:w="1878"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其他支出</w:t>
            </w:r>
          </w:p>
        </w:tc>
        <w:tc>
          <w:tcPr>
            <w:tcW w:w="148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70.00</w:t>
            </w:r>
          </w:p>
        </w:tc>
        <w:tc>
          <w:tcPr>
            <w:tcW w:w="157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70.00</w:t>
            </w:r>
          </w:p>
        </w:tc>
        <w:tc>
          <w:tcPr>
            <w:tcW w:w="147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39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63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59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588"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2299901</w:t>
            </w:r>
          </w:p>
        </w:tc>
        <w:tc>
          <w:tcPr>
            <w:tcW w:w="1878"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其他支出</w:t>
            </w:r>
          </w:p>
        </w:tc>
        <w:tc>
          <w:tcPr>
            <w:tcW w:w="148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70.00</w:t>
            </w:r>
          </w:p>
        </w:tc>
        <w:tc>
          <w:tcPr>
            <w:tcW w:w="157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70.00</w:t>
            </w:r>
          </w:p>
        </w:tc>
        <w:tc>
          <w:tcPr>
            <w:tcW w:w="147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39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63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59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588"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615" w:hRule="atLeast"/>
          <w:jc w:val="center"/>
        </w:trPr>
        <w:tc>
          <w:tcPr>
            <w:tcW w:w="13813" w:type="dxa"/>
            <w:gridSpan w:val="9"/>
            <w:tcBorders>
              <w:top w:val="single" w:color="auto" w:sz="8" w:space="0"/>
              <w:left w:val="nil"/>
              <w:bottom w:val="single" w:color="auto" w:sz="8" w:space="0"/>
              <w:right w:val="nil"/>
            </w:tcBorders>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注：本表反映部门本年度取得的各项收入情况。</w:t>
            </w:r>
          </w:p>
        </w:tc>
      </w:tr>
      <w:tr>
        <w:tblPrEx>
          <w:tblCellMar>
            <w:top w:w="0" w:type="dxa"/>
            <w:left w:w="108" w:type="dxa"/>
            <w:bottom w:w="0" w:type="dxa"/>
            <w:right w:w="108" w:type="dxa"/>
          </w:tblCellMar>
        </w:tblPrEx>
        <w:trPr>
          <w:trHeight w:val="615" w:hRule="atLeast"/>
          <w:jc w:val="center"/>
        </w:trPr>
        <w:tc>
          <w:tcPr>
            <w:tcW w:w="13813" w:type="dxa"/>
            <w:gridSpan w:val="9"/>
            <w:tcBorders>
              <w:top w:val="single" w:color="auto" w:sz="8" w:space="0"/>
              <w:left w:val="nil"/>
              <w:bottom w:val="nil"/>
              <w:right w:val="nil"/>
            </w:tcBorders>
            <w:shd w:val="clear" w:color="auto" w:fill="auto"/>
            <w:vAlign w:val="center"/>
          </w:tcPr>
          <w:p>
            <w:pPr>
              <w:widowControl/>
              <w:jc w:val="left"/>
              <w:rPr>
                <w:rFonts w:ascii="Times New Roman" w:hAnsi="Times New Roman" w:eastAsia="仿宋_GB2312" w:cs="Times New Roman"/>
                <w:kern w:val="0"/>
                <w:szCs w:val="21"/>
              </w:rPr>
            </w:pPr>
          </w:p>
        </w:tc>
      </w:tr>
    </w:tbl>
    <w:p>
      <w:pPr>
        <w:widowControl/>
        <w:jc w:val="left"/>
        <w:rPr>
          <w:rFonts w:ascii="Times New Roman" w:hAnsi="Times New Roman" w:eastAsia="黑体" w:cs="Times New Roman"/>
          <w:bCs/>
          <w:kern w:val="0"/>
          <w:sz w:val="32"/>
          <w:szCs w:val="32"/>
        </w:rPr>
      </w:pPr>
    </w:p>
    <w:p>
      <w:pPr>
        <w:widowControl/>
        <w:jc w:val="left"/>
        <w:rPr>
          <w:rFonts w:ascii="Times New Roman" w:hAnsi="Times New Roman" w:eastAsia="黑体" w:cs="Times New Roman"/>
          <w:bCs/>
          <w:kern w:val="0"/>
          <w:sz w:val="32"/>
          <w:szCs w:val="32"/>
        </w:rPr>
      </w:pPr>
      <w:r>
        <w:rPr>
          <w:rFonts w:ascii="Times New Roman" w:hAnsi="Times New Roman" w:eastAsia="黑体" w:cs="Times New Roman"/>
          <w:bCs/>
          <w:kern w:val="0"/>
          <w:sz w:val="32"/>
          <w:szCs w:val="32"/>
        </w:rPr>
        <w:br w:type="page"/>
      </w:r>
    </w:p>
    <w:p>
      <w:pPr>
        <w:widowControl/>
        <w:rPr>
          <w:rFonts w:ascii="Times New Roman" w:hAnsi="Times New Roman" w:eastAsia="方正小标宋_GBK" w:cs="Times New Roman"/>
          <w:color w:val="000000"/>
          <w:kern w:val="0"/>
          <w:sz w:val="36"/>
          <w:szCs w:val="36"/>
        </w:rPr>
      </w:pPr>
    </w:p>
    <w:p>
      <w:pPr>
        <w:widowControl/>
        <w:jc w:val="center"/>
        <w:rPr>
          <w:rFonts w:ascii="Times New Roman" w:hAnsi="Times New Roman" w:eastAsia="方正小标宋_GBK" w:cs="Times New Roman"/>
          <w:color w:val="000000"/>
          <w:kern w:val="0"/>
          <w:sz w:val="36"/>
          <w:szCs w:val="36"/>
        </w:rPr>
      </w:pPr>
      <w:r>
        <w:rPr>
          <w:rFonts w:ascii="Times New Roman" w:hAnsi="Times New Roman" w:eastAsia="方正小标宋_GBK" w:cs="Times New Roman"/>
          <w:color w:val="000000"/>
          <w:kern w:val="0"/>
          <w:sz w:val="36"/>
          <w:szCs w:val="36"/>
        </w:rPr>
        <w:t>支出决算表</w:t>
      </w:r>
    </w:p>
    <w:p>
      <w:pPr>
        <w:widowControl/>
        <w:spacing w:line="400" w:lineRule="exact"/>
        <w:ind w:firstLine="600" w:firstLineChars="300"/>
        <w:jc w:val="left"/>
        <w:rPr>
          <w:rFonts w:ascii="Times New Roman" w:hAnsi="Times New Roman" w:eastAsia="仿宋_GB2312" w:cs="Times New Roman"/>
          <w:color w:val="000000"/>
          <w:kern w:val="0"/>
          <w:sz w:val="20"/>
          <w:szCs w:val="20"/>
        </w:rPr>
      </w:pPr>
      <w:r>
        <w:rPr>
          <w:rFonts w:ascii="Times New Roman" w:hAnsi="Times New Roman" w:eastAsia="仿宋_GB2312" w:cs="Times New Roman"/>
          <w:color w:val="000000"/>
          <w:kern w:val="0"/>
          <w:sz w:val="20"/>
          <w:szCs w:val="20"/>
        </w:rPr>
        <w:t xml:space="preserve">部门：   </w:t>
      </w:r>
      <w:r>
        <w:rPr>
          <w:rFonts w:hint="eastAsia" w:ascii="Times New Roman" w:hAnsi="Times New Roman" w:eastAsia="仿宋_GB2312" w:cs="Times New Roman"/>
          <w:color w:val="000000"/>
          <w:kern w:val="0"/>
          <w:szCs w:val="21"/>
          <w:lang w:eastAsia="zh-CN"/>
        </w:rPr>
        <w:t>零陵区发改局</w:t>
      </w:r>
      <w:r>
        <w:rPr>
          <w:rFonts w:ascii="Times New Roman" w:hAnsi="Times New Roman" w:eastAsia="仿宋_GB2312" w:cs="Times New Roman"/>
          <w:color w:val="000000"/>
          <w:kern w:val="0"/>
          <w:sz w:val="20"/>
          <w:szCs w:val="20"/>
        </w:rPr>
        <w:t xml:space="preserve">                                                                                                             公开03表</w:t>
      </w:r>
    </w:p>
    <w:p>
      <w:pPr>
        <w:widowControl/>
        <w:spacing w:line="400" w:lineRule="exact"/>
        <w:ind w:right="700"/>
        <w:jc w:val="right"/>
        <w:rPr>
          <w:rFonts w:ascii="Times New Roman" w:hAnsi="Times New Roman" w:eastAsia="仿宋_GB2312" w:cs="Times New Roman"/>
          <w:color w:val="000000"/>
          <w:kern w:val="0"/>
          <w:sz w:val="20"/>
          <w:szCs w:val="20"/>
        </w:rPr>
      </w:pPr>
      <w:r>
        <w:rPr>
          <w:rFonts w:ascii="Times New Roman" w:hAnsi="Times New Roman" w:eastAsia="仿宋_GB2312" w:cs="Times New Roman"/>
          <w:color w:val="000000"/>
          <w:kern w:val="0"/>
          <w:sz w:val="20"/>
          <w:szCs w:val="20"/>
        </w:rPr>
        <w:t>单位：万元</w:t>
      </w:r>
    </w:p>
    <w:tbl>
      <w:tblPr>
        <w:tblStyle w:val="6"/>
        <w:tblW w:w="14089" w:type="dxa"/>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
      <w:tblGrid>
        <w:gridCol w:w="1102"/>
        <w:gridCol w:w="1916"/>
        <w:gridCol w:w="1680"/>
        <w:gridCol w:w="1845"/>
        <w:gridCol w:w="1740"/>
        <w:gridCol w:w="2010"/>
        <w:gridCol w:w="1635"/>
        <w:gridCol w:w="2161"/>
      </w:tblGrid>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3018" w:type="dxa"/>
            <w:gridSpan w:val="2"/>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项    目</w:t>
            </w:r>
          </w:p>
        </w:tc>
        <w:tc>
          <w:tcPr>
            <w:tcW w:w="1680" w:type="dxa"/>
            <w:vMerge w:val="restart"/>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本年支出合计</w:t>
            </w:r>
          </w:p>
        </w:tc>
        <w:tc>
          <w:tcPr>
            <w:tcW w:w="1845" w:type="dxa"/>
            <w:vMerge w:val="restart"/>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基本支出</w:t>
            </w:r>
          </w:p>
        </w:tc>
        <w:tc>
          <w:tcPr>
            <w:tcW w:w="1740" w:type="dxa"/>
            <w:vMerge w:val="restart"/>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项目支出</w:t>
            </w:r>
          </w:p>
        </w:tc>
        <w:tc>
          <w:tcPr>
            <w:tcW w:w="2010" w:type="dxa"/>
            <w:vMerge w:val="restart"/>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上缴上级支出</w:t>
            </w:r>
          </w:p>
        </w:tc>
        <w:tc>
          <w:tcPr>
            <w:tcW w:w="1635" w:type="dxa"/>
            <w:vMerge w:val="restart"/>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经营支出</w:t>
            </w:r>
          </w:p>
        </w:tc>
        <w:tc>
          <w:tcPr>
            <w:tcW w:w="2161" w:type="dxa"/>
            <w:vMerge w:val="restart"/>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对附属单位补助支出</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vMerge w:val="restart"/>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功能分类科目编码</w:t>
            </w:r>
          </w:p>
        </w:tc>
        <w:tc>
          <w:tcPr>
            <w:tcW w:w="1916" w:type="dxa"/>
            <w:vMerge w:val="restart"/>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科目名称</w:t>
            </w:r>
          </w:p>
        </w:tc>
        <w:tc>
          <w:tcPr>
            <w:tcW w:w="1680" w:type="dxa"/>
            <w:vMerge w:val="continue"/>
            <w:shd w:val="clear" w:color="auto" w:fill="auto"/>
            <w:vAlign w:val="center"/>
          </w:tcPr>
          <w:p>
            <w:pPr>
              <w:widowControl/>
              <w:jc w:val="left"/>
              <w:rPr>
                <w:rFonts w:ascii="Times New Roman" w:hAnsi="Times New Roman" w:eastAsia="仿宋_GB2312" w:cs="Times New Roman"/>
                <w:kern w:val="0"/>
                <w:szCs w:val="21"/>
              </w:rPr>
            </w:pPr>
          </w:p>
        </w:tc>
        <w:tc>
          <w:tcPr>
            <w:tcW w:w="1845" w:type="dxa"/>
            <w:vMerge w:val="continue"/>
            <w:shd w:val="clear" w:color="auto" w:fill="auto"/>
            <w:vAlign w:val="center"/>
          </w:tcPr>
          <w:p>
            <w:pPr>
              <w:widowControl/>
              <w:jc w:val="left"/>
              <w:rPr>
                <w:rFonts w:ascii="Times New Roman" w:hAnsi="Times New Roman" w:eastAsia="仿宋_GB2312" w:cs="Times New Roman"/>
                <w:kern w:val="0"/>
                <w:szCs w:val="21"/>
              </w:rPr>
            </w:pPr>
          </w:p>
        </w:tc>
        <w:tc>
          <w:tcPr>
            <w:tcW w:w="1740" w:type="dxa"/>
            <w:vMerge w:val="continue"/>
            <w:shd w:val="clear" w:color="auto" w:fill="auto"/>
            <w:vAlign w:val="center"/>
          </w:tcPr>
          <w:p>
            <w:pPr>
              <w:widowControl/>
              <w:jc w:val="left"/>
              <w:rPr>
                <w:rFonts w:ascii="Times New Roman" w:hAnsi="Times New Roman" w:eastAsia="仿宋_GB2312" w:cs="Times New Roman"/>
                <w:kern w:val="0"/>
                <w:szCs w:val="21"/>
              </w:rPr>
            </w:pPr>
          </w:p>
        </w:tc>
        <w:tc>
          <w:tcPr>
            <w:tcW w:w="2010" w:type="dxa"/>
            <w:vMerge w:val="continue"/>
            <w:shd w:val="clear" w:color="auto" w:fill="auto"/>
            <w:vAlign w:val="center"/>
          </w:tcPr>
          <w:p>
            <w:pPr>
              <w:widowControl/>
              <w:jc w:val="left"/>
              <w:rPr>
                <w:rFonts w:ascii="Times New Roman" w:hAnsi="Times New Roman" w:eastAsia="仿宋_GB2312" w:cs="Times New Roman"/>
                <w:kern w:val="0"/>
                <w:szCs w:val="21"/>
              </w:rPr>
            </w:pPr>
          </w:p>
        </w:tc>
        <w:tc>
          <w:tcPr>
            <w:tcW w:w="1635" w:type="dxa"/>
            <w:vMerge w:val="continue"/>
            <w:shd w:val="clear" w:color="auto" w:fill="auto"/>
            <w:vAlign w:val="center"/>
          </w:tcPr>
          <w:p>
            <w:pPr>
              <w:widowControl/>
              <w:jc w:val="left"/>
              <w:rPr>
                <w:rFonts w:ascii="Times New Roman" w:hAnsi="Times New Roman" w:eastAsia="仿宋_GB2312" w:cs="Times New Roman"/>
                <w:kern w:val="0"/>
                <w:szCs w:val="21"/>
              </w:rPr>
            </w:pPr>
          </w:p>
        </w:tc>
        <w:tc>
          <w:tcPr>
            <w:tcW w:w="2161" w:type="dxa"/>
            <w:vMerge w:val="continue"/>
            <w:shd w:val="clear" w:color="auto" w:fill="auto"/>
            <w:vAlign w:val="center"/>
          </w:tcPr>
          <w:p>
            <w:pPr>
              <w:widowControl/>
              <w:jc w:val="left"/>
              <w:rPr>
                <w:rFonts w:ascii="Times New Roman" w:hAnsi="Times New Roman" w:eastAsia="仿宋_GB2312" w:cs="Times New Roman"/>
                <w:kern w:val="0"/>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vMerge w:val="continue"/>
            <w:shd w:val="clear" w:color="auto" w:fill="auto"/>
            <w:vAlign w:val="center"/>
          </w:tcPr>
          <w:p>
            <w:pPr>
              <w:widowControl/>
              <w:jc w:val="left"/>
              <w:rPr>
                <w:rFonts w:ascii="Times New Roman" w:hAnsi="Times New Roman" w:eastAsia="仿宋_GB2312" w:cs="Times New Roman"/>
                <w:kern w:val="0"/>
                <w:szCs w:val="21"/>
              </w:rPr>
            </w:pPr>
          </w:p>
        </w:tc>
        <w:tc>
          <w:tcPr>
            <w:tcW w:w="1916" w:type="dxa"/>
            <w:vMerge w:val="continue"/>
            <w:shd w:val="clear" w:color="auto" w:fill="auto"/>
            <w:vAlign w:val="center"/>
          </w:tcPr>
          <w:p>
            <w:pPr>
              <w:widowControl/>
              <w:jc w:val="left"/>
              <w:rPr>
                <w:rFonts w:ascii="Times New Roman" w:hAnsi="Times New Roman" w:eastAsia="仿宋_GB2312" w:cs="Times New Roman"/>
                <w:kern w:val="0"/>
                <w:szCs w:val="21"/>
              </w:rPr>
            </w:pPr>
          </w:p>
        </w:tc>
        <w:tc>
          <w:tcPr>
            <w:tcW w:w="1680" w:type="dxa"/>
            <w:vMerge w:val="continue"/>
            <w:shd w:val="clear" w:color="auto" w:fill="auto"/>
            <w:vAlign w:val="center"/>
          </w:tcPr>
          <w:p>
            <w:pPr>
              <w:widowControl/>
              <w:jc w:val="left"/>
              <w:rPr>
                <w:rFonts w:ascii="Times New Roman" w:hAnsi="Times New Roman" w:eastAsia="仿宋_GB2312" w:cs="Times New Roman"/>
                <w:kern w:val="0"/>
                <w:szCs w:val="21"/>
              </w:rPr>
            </w:pPr>
          </w:p>
        </w:tc>
        <w:tc>
          <w:tcPr>
            <w:tcW w:w="1845" w:type="dxa"/>
            <w:vMerge w:val="continue"/>
            <w:shd w:val="clear" w:color="auto" w:fill="auto"/>
            <w:vAlign w:val="center"/>
          </w:tcPr>
          <w:p>
            <w:pPr>
              <w:widowControl/>
              <w:jc w:val="left"/>
              <w:rPr>
                <w:rFonts w:ascii="Times New Roman" w:hAnsi="Times New Roman" w:eastAsia="仿宋_GB2312" w:cs="Times New Roman"/>
                <w:kern w:val="0"/>
                <w:szCs w:val="21"/>
              </w:rPr>
            </w:pPr>
          </w:p>
        </w:tc>
        <w:tc>
          <w:tcPr>
            <w:tcW w:w="1740" w:type="dxa"/>
            <w:vMerge w:val="continue"/>
            <w:shd w:val="clear" w:color="auto" w:fill="auto"/>
            <w:vAlign w:val="center"/>
          </w:tcPr>
          <w:p>
            <w:pPr>
              <w:widowControl/>
              <w:jc w:val="left"/>
              <w:rPr>
                <w:rFonts w:ascii="Times New Roman" w:hAnsi="Times New Roman" w:eastAsia="仿宋_GB2312" w:cs="Times New Roman"/>
                <w:kern w:val="0"/>
                <w:szCs w:val="21"/>
              </w:rPr>
            </w:pPr>
          </w:p>
        </w:tc>
        <w:tc>
          <w:tcPr>
            <w:tcW w:w="2010" w:type="dxa"/>
            <w:vMerge w:val="continue"/>
            <w:shd w:val="clear" w:color="auto" w:fill="auto"/>
            <w:vAlign w:val="center"/>
          </w:tcPr>
          <w:p>
            <w:pPr>
              <w:widowControl/>
              <w:jc w:val="left"/>
              <w:rPr>
                <w:rFonts w:ascii="Times New Roman" w:hAnsi="Times New Roman" w:eastAsia="仿宋_GB2312" w:cs="Times New Roman"/>
                <w:kern w:val="0"/>
                <w:szCs w:val="21"/>
              </w:rPr>
            </w:pPr>
          </w:p>
        </w:tc>
        <w:tc>
          <w:tcPr>
            <w:tcW w:w="1635" w:type="dxa"/>
            <w:vMerge w:val="continue"/>
            <w:shd w:val="clear" w:color="auto" w:fill="auto"/>
            <w:vAlign w:val="center"/>
          </w:tcPr>
          <w:p>
            <w:pPr>
              <w:widowControl/>
              <w:jc w:val="left"/>
              <w:rPr>
                <w:rFonts w:ascii="Times New Roman" w:hAnsi="Times New Roman" w:eastAsia="仿宋_GB2312" w:cs="Times New Roman"/>
                <w:kern w:val="0"/>
                <w:szCs w:val="21"/>
              </w:rPr>
            </w:pPr>
          </w:p>
        </w:tc>
        <w:tc>
          <w:tcPr>
            <w:tcW w:w="2161" w:type="dxa"/>
            <w:vMerge w:val="continue"/>
            <w:shd w:val="clear" w:color="auto" w:fill="auto"/>
            <w:vAlign w:val="center"/>
          </w:tcPr>
          <w:p>
            <w:pPr>
              <w:widowControl/>
              <w:jc w:val="left"/>
              <w:rPr>
                <w:rFonts w:ascii="Times New Roman" w:hAnsi="Times New Roman" w:eastAsia="仿宋_GB2312" w:cs="Times New Roman"/>
                <w:kern w:val="0"/>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3018" w:type="dxa"/>
            <w:gridSpan w:val="2"/>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栏次</w:t>
            </w:r>
          </w:p>
        </w:tc>
        <w:tc>
          <w:tcPr>
            <w:tcW w:w="168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w:t>
            </w:r>
          </w:p>
        </w:tc>
        <w:tc>
          <w:tcPr>
            <w:tcW w:w="1845"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w:t>
            </w:r>
          </w:p>
        </w:tc>
        <w:tc>
          <w:tcPr>
            <w:tcW w:w="174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3</w:t>
            </w:r>
          </w:p>
        </w:tc>
        <w:tc>
          <w:tcPr>
            <w:tcW w:w="201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4</w:t>
            </w:r>
          </w:p>
        </w:tc>
        <w:tc>
          <w:tcPr>
            <w:tcW w:w="1635"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5</w:t>
            </w:r>
          </w:p>
        </w:tc>
        <w:tc>
          <w:tcPr>
            <w:tcW w:w="2161"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6</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3018" w:type="dxa"/>
            <w:gridSpan w:val="2"/>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合计</w:t>
            </w:r>
          </w:p>
        </w:tc>
        <w:tc>
          <w:tcPr>
            <w:tcW w:w="168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b/>
                <w:i w:val="0"/>
                <w:color w:val="000000"/>
                <w:kern w:val="0"/>
                <w:sz w:val="22"/>
                <w:szCs w:val="22"/>
                <w:u w:val="none"/>
                <w:lang w:val="en-US" w:eastAsia="zh-CN" w:bidi="ar"/>
              </w:rPr>
              <w:t>2,077.46</w:t>
            </w:r>
          </w:p>
        </w:tc>
        <w:tc>
          <w:tcPr>
            <w:tcW w:w="1845"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b/>
                <w:i w:val="0"/>
                <w:color w:val="000000"/>
                <w:kern w:val="0"/>
                <w:sz w:val="22"/>
                <w:szCs w:val="22"/>
                <w:u w:val="none"/>
                <w:lang w:val="en-US" w:eastAsia="zh-CN" w:bidi="ar"/>
              </w:rPr>
              <w:t>1,421.57</w:t>
            </w:r>
          </w:p>
        </w:tc>
        <w:tc>
          <w:tcPr>
            <w:tcW w:w="174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b/>
                <w:i w:val="0"/>
                <w:color w:val="000000"/>
                <w:kern w:val="0"/>
                <w:sz w:val="22"/>
                <w:szCs w:val="22"/>
                <w:u w:val="none"/>
                <w:lang w:val="en-US" w:eastAsia="zh-CN" w:bidi="ar"/>
              </w:rPr>
              <w:t>655.88</w:t>
            </w:r>
          </w:p>
        </w:tc>
        <w:tc>
          <w:tcPr>
            <w:tcW w:w="2010" w:type="dxa"/>
            <w:shd w:val="clear" w:color="auto" w:fill="auto"/>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635" w:type="dxa"/>
            <w:shd w:val="clear" w:color="auto" w:fill="auto"/>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161" w:type="dxa"/>
            <w:shd w:val="clear" w:color="auto" w:fill="auto"/>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201</w:t>
            </w:r>
          </w:p>
        </w:tc>
        <w:tc>
          <w:tcPr>
            <w:tcW w:w="1916"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一般公共服务支出</w:t>
            </w:r>
          </w:p>
        </w:tc>
        <w:tc>
          <w:tcPr>
            <w:tcW w:w="168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1,208.24</w:t>
            </w:r>
          </w:p>
        </w:tc>
        <w:tc>
          <w:tcPr>
            <w:tcW w:w="1845"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974.72</w:t>
            </w:r>
          </w:p>
        </w:tc>
        <w:tc>
          <w:tcPr>
            <w:tcW w:w="174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233.52</w:t>
            </w:r>
          </w:p>
        </w:tc>
        <w:tc>
          <w:tcPr>
            <w:tcW w:w="201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635"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161"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20103</w:t>
            </w:r>
          </w:p>
        </w:tc>
        <w:tc>
          <w:tcPr>
            <w:tcW w:w="1916"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政府办公厅（室）及相关机构事务</w:t>
            </w:r>
          </w:p>
        </w:tc>
        <w:tc>
          <w:tcPr>
            <w:tcW w:w="168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252.57</w:t>
            </w:r>
          </w:p>
        </w:tc>
        <w:tc>
          <w:tcPr>
            <w:tcW w:w="1845"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252.57</w:t>
            </w:r>
          </w:p>
        </w:tc>
        <w:tc>
          <w:tcPr>
            <w:tcW w:w="174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01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635"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161"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2010301</w:t>
            </w:r>
          </w:p>
        </w:tc>
        <w:tc>
          <w:tcPr>
            <w:tcW w:w="1916"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行政运行</w:t>
            </w:r>
          </w:p>
        </w:tc>
        <w:tc>
          <w:tcPr>
            <w:tcW w:w="168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252.57</w:t>
            </w:r>
          </w:p>
        </w:tc>
        <w:tc>
          <w:tcPr>
            <w:tcW w:w="1845"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252.57</w:t>
            </w:r>
          </w:p>
        </w:tc>
        <w:tc>
          <w:tcPr>
            <w:tcW w:w="174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01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635"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161"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20104</w:t>
            </w:r>
          </w:p>
        </w:tc>
        <w:tc>
          <w:tcPr>
            <w:tcW w:w="1916"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发展与改革事务</w:t>
            </w:r>
          </w:p>
        </w:tc>
        <w:tc>
          <w:tcPr>
            <w:tcW w:w="168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945.58</w:t>
            </w:r>
          </w:p>
        </w:tc>
        <w:tc>
          <w:tcPr>
            <w:tcW w:w="1845"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722.05</w:t>
            </w:r>
          </w:p>
        </w:tc>
        <w:tc>
          <w:tcPr>
            <w:tcW w:w="174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223.54</w:t>
            </w:r>
          </w:p>
        </w:tc>
        <w:tc>
          <w:tcPr>
            <w:tcW w:w="201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635"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161"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2010401</w:t>
            </w:r>
          </w:p>
        </w:tc>
        <w:tc>
          <w:tcPr>
            <w:tcW w:w="1916"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行政运行</w:t>
            </w:r>
          </w:p>
        </w:tc>
        <w:tc>
          <w:tcPr>
            <w:tcW w:w="168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850.58</w:t>
            </w:r>
          </w:p>
        </w:tc>
        <w:tc>
          <w:tcPr>
            <w:tcW w:w="1845"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627.05</w:t>
            </w:r>
          </w:p>
        </w:tc>
        <w:tc>
          <w:tcPr>
            <w:tcW w:w="174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223.54</w:t>
            </w:r>
          </w:p>
        </w:tc>
        <w:tc>
          <w:tcPr>
            <w:tcW w:w="201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635"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161"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2010499</w:t>
            </w:r>
          </w:p>
        </w:tc>
        <w:tc>
          <w:tcPr>
            <w:tcW w:w="1916"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其他发展与改革事务支出</w:t>
            </w:r>
          </w:p>
        </w:tc>
        <w:tc>
          <w:tcPr>
            <w:tcW w:w="168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95.00</w:t>
            </w:r>
          </w:p>
        </w:tc>
        <w:tc>
          <w:tcPr>
            <w:tcW w:w="1845"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95.00</w:t>
            </w:r>
          </w:p>
        </w:tc>
        <w:tc>
          <w:tcPr>
            <w:tcW w:w="174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01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635"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161"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20113</w:t>
            </w:r>
          </w:p>
        </w:tc>
        <w:tc>
          <w:tcPr>
            <w:tcW w:w="1916"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商贸事务</w:t>
            </w:r>
          </w:p>
        </w:tc>
        <w:tc>
          <w:tcPr>
            <w:tcW w:w="168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10.08</w:t>
            </w:r>
          </w:p>
        </w:tc>
        <w:tc>
          <w:tcPr>
            <w:tcW w:w="1845"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0.11</w:t>
            </w:r>
          </w:p>
        </w:tc>
        <w:tc>
          <w:tcPr>
            <w:tcW w:w="174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9.98</w:t>
            </w:r>
          </w:p>
        </w:tc>
        <w:tc>
          <w:tcPr>
            <w:tcW w:w="201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635"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161"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2011308</w:t>
            </w:r>
          </w:p>
        </w:tc>
        <w:tc>
          <w:tcPr>
            <w:tcW w:w="1916"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招商引资</w:t>
            </w:r>
          </w:p>
        </w:tc>
        <w:tc>
          <w:tcPr>
            <w:tcW w:w="168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9.98</w:t>
            </w:r>
          </w:p>
        </w:tc>
        <w:tc>
          <w:tcPr>
            <w:tcW w:w="1845"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74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9.98</w:t>
            </w:r>
          </w:p>
        </w:tc>
        <w:tc>
          <w:tcPr>
            <w:tcW w:w="201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635"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161"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2011350</w:t>
            </w:r>
          </w:p>
        </w:tc>
        <w:tc>
          <w:tcPr>
            <w:tcW w:w="1916"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事业运行</w:t>
            </w:r>
          </w:p>
        </w:tc>
        <w:tc>
          <w:tcPr>
            <w:tcW w:w="168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0.11</w:t>
            </w:r>
          </w:p>
        </w:tc>
        <w:tc>
          <w:tcPr>
            <w:tcW w:w="1845"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0.11</w:t>
            </w:r>
          </w:p>
        </w:tc>
        <w:tc>
          <w:tcPr>
            <w:tcW w:w="174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01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635"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161"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208</w:t>
            </w:r>
          </w:p>
        </w:tc>
        <w:tc>
          <w:tcPr>
            <w:tcW w:w="1916"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社会保障和就业支出</w:t>
            </w:r>
          </w:p>
        </w:tc>
        <w:tc>
          <w:tcPr>
            <w:tcW w:w="168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218.87</w:t>
            </w:r>
          </w:p>
        </w:tc>
        <w:tc>
          <w:tcPr>
            <w:tcW w:w="1845"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218.87</w:t>
            </w:r>
          </w:p>
        </w:tc>
        <w:tc>
          <w:tcPr>
            <w:tcW w:w="174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01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635"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161"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20801</w:t>
            </w:r>
          </w:p>
        </w:tc>
        <w:tc>
          <w:tcPr>
            <w:tcW w:w="1916"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人力资源和社会保障管理事务</w:t>
            </w:r>
          </w:p>
        </w:tc>
        <w:tc>
          <w:tcPr>
            <w:tcW w:w="168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1.34</w:t>
            </w:r>
          </w:p>
        </w:tc>
        <w:tc>
          <w:tcPr>
            <w:tcW w:w="1845"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1.34</w:t>
            </w:r>
          </w:p>
        </w:tc>
        <w:tc>
          <w:tcPr>
            <w:tcW w:w="174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01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635"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161"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2080199</w:t>
            </w:r>
          </w:p>
        </w:tc>
        <w:tc>
          <w:tcPr>
            <w:tcW w:w="1916"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其他人力资源和社会保障管理事务支出</w:t>
            </w:r>
          </w:p>
        </w:tc>
        <w:tc>
          <w:tcPr>
            <w:tcW w:w="168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1.34</w:t>
            </w:r>
          </w:p>
        </w:tc>
        <w:tc>
          <w:tcPr>
            <w:tcW w:w="1845"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1.34</w:t>
            </w:r>
          </w:p>
        </w:tc>
        <w:tc>
          <w:tcPr>
            <w:tcW w:w="174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01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635"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161"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20805</w:t>
            </w:r>
          </w:p>
        </w:tc>
        <w:tc>
          <w:tcPr>
            <w:tcW w:w="1916"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行政事业单位离退休</w:t>
            </w:r>
          </w:p>
        </w:tc>
        <w:tc>
          <w:tcPr>
            <w:tcW w:w="168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183.68</w:t>
            </w:r>
          </w:p>
        </w:tc>
        <w:tc>
          <w:tcPr>
            <w:tcW w:w="1845"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183.68</w:t>
            </w:r>
          </w:p>
        </w:tc>
        <w:tc>
          <w:tcPr>
            <w:tcW w:w="174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01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635"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161"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2080505</w:t>
            </w:r>
          </w:p>
        </w:tc>
        <w:tc>
          <w:tcPr>
            <w:tcW w:w="1916"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机关事业单位基本养老保险缴费支出</w:t>
            </w:r>
          </w:p>
        </w:tc>
        <w:tc>
          <w:tcPr>
            <w:tcW w:w="168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142.38</w:t>
            </w:r>
          </w:p>
        </w:tc>
        <w:tc>
          <w:tcPr>
            <w:tcW w:w="1845"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142.38</w:t>
            </w:r>
          </w:p>
        </w:tc>
        <w:tc>
          <w:tcPr>
            <w:tcW w:w="174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01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635"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161"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2080599</w:t>
            </w:r>
          </w:p>
        </w:tc>
        <w:tc>
          <w:tcPr>
            <w:tcW w:w="1916"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其他行政事业单位离退休支出</w:t>
            </w:r>
          </w:p>
        </w:tc>
        <w:tc>
          <w:tcPr>
            <w:tcW w:w="168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41.30</w:t>
            </w:r>
          </w:p>
        </w:tc>
        <w:tc>
          <w:tcPr>
            <w:tcW w:w="1845"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41.30</w:t>
            </w:r>
          </w:p>
        </w:tc>
        <w:tc>
          <w:tcPr>
            <w:tcW w:w="174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01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635"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161"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20807</w:t>
            </w:r>
          </w:p>
        </w:tc>
        <w:tc>
          <w:tcPr>
            <w:tcW w:w="1916"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就业补助</w:t>
            </w:r>
          </w:p>
        </w:tc>
        <w:tc>
          <w:tcPr>
            <w:tcW w:w="168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1.65</w:t>
            </w:r>
          </w:p>
        </w:tc>
        <w:tc>
          <w:tcPr>
            <w:tcW w:w="1845"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1.65</w:t>
            </w:r>
          </w:p>
        </w:tc>
        <w:tc>
          <w:tcPr>
            <w:tcW w:w="174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01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635"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161"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2080799</w:t>
            </w:r>
          </w:p>
        </w:tc>
        <w:tc>
          <w:tcPr>
            <w:tcW w:w="1916"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其他就业补助支出</w:t>
            </w:r>
          </w:p>
        </w:tc>
        <w:tc>
          <w:tcPr>
            <w:tcW w:w="168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1.65</w:t>
            </w:r>
          </w:p>
        </w:tc>
        <w:tc>
          <w:tcPr>
            <w:tcW w:w="1845"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1.65</w:t>
            </w:r>
          </w:p>
        </w:tc>
        <w:tc>
          <w:tcPr>
            <w:tcW w:w="174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01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635"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161"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20808</w:t>
            </w:r>
          </w:p>
        </w:tc>
        <w:tc>
          <w:tcPr>
            <w:tcW w:w="1916"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抚恤</w:t>
            </w:r>
          </w:p>
        </w:tc>
        <w:tc>
          <w:tcPr>
            <w:tcW w:w="168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32.20</w:t>
            </w:r>
          </w:p>
        </w:tc>
        <w:tc>
          <w:tcPr>
            <w:tcW w:w="1845"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32.20</w:t>
            </w:r>
          </w:p>
        </w:tc>
        <w:tc>
          <w:tcPr>
            <w:tcW w:w="174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01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635"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161"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2080801</w:t>
            </w:r>
          </w:p>
        </w:tc>
        <w:tc>
          <w:tcPr>
            <w:tcW w:w="1916"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死亡抚恤</w:t>
            </w:r>
          </w:p>
        </w:tc>
        <w:tc>
          <w:tcPr>
            <w:tcW w:w="168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28.72</w:t>
            </w:r>
          </w:p>
        </w:tc>
        <w:tc>
          <w:tcPr>
            <w:tcW w:w="1845"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28.72</w:t>
            </w:r>
          </w:p>
        </w:tc>
        <w:tc>
          <w:tcPr>
            <w:tcW w:w="174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01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635"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161"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2080803</w:t>
            </w:r>
          </w:p>
        </w:tc>
        <w:tc>
          <w:tcPr>
            <w:tcW w:w="1916"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在乡复员、退伍军人生活补助</w:t>
            </w:r>
          </w:p>
        </w:tc>
        <w:tc>
          <w:tcPr>
            <w:tcW w:w="168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1.16</w:t>
            </w:r>
          </w:p>
        </w:tc>
        <w:tc>
          <w:tcPr>
            <w:tcW w:w="1845"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1.16</w:t>
            </w:r>
          </w:p>
        </w:tc>
        <w:tc>
          <w:tcPr>
            <w:tcW w:w="174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01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635"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161"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2080899</w:t>
            </w:r>
          </w:p>
        </w:tc>
        <w:tc>
          <w:tcPr>
            <w:tcW w:w="1916"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其他优抚支出</w:t>
            </w:r>
          </w:p>
        </w:tc>
        <w:tc>
          <w:tcPr>
            <w:tcW w:w="168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2.32</w:t>
            </w:r>
          </w:p>
        </w:tc>
        <w:tc>
          <w:tcPr>
            <w:tcW w:w="1845"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2.32</w:t>
            </w:r>
          </w:p>
        </w:tc>
        <w:tc>
          <w:tcPr>
            <w:tcW w:w="174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01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635"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161"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210</w:t>
            </w:r>
          </w:p>
        </w:tc>
        <w:tc>
          <w:tcPr>
            <w:tcW w:w="1916"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卫生健康支出</w:t>
            </w:r>
          </w:p>
        </w:tc>
        <w:tc>
          <w:tcPr>
            <w:tcW w:w="168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26.87</w:t>
            </w:r>
          </w:p>
        </w:tc>
        <w:tc>
          <w:tcPr>
            <w:tcW w:w="1845"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26.87</w:t>
            </w:r>
          </w:p>
        </w:tc>
        <w:tc>
          <w:tcPr>
            <w:tcW w:w="174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01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635"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161"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21011</w:t>
            </w:r>
          </w:p>
        </w:tc>
        <w:tc>
          <w:tcPr>
            <w:tcW w:w="1916"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行政事业单位医疗</w:t>
            </w:r>
          </w:p>
        </w:tc>
        <w:tc>
          <w:tcPr>
            <w:tcW w:w="168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26.87</w:t>
            </w:r>
          </w:p>
        </w:tc>
        <w:tc>
          <w:tcPr>
            <w:tcW w:w="1845"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26.87</w:t>
            </w:r>
          </w:p>
        </w:tc>
        <w:tc>
          <w:tcPr>
            <w:tcW w:w="174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01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635"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161"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2101199</w:t>
            </w:r>
          </w:p>
        </w:tc>
        <w:tc>
          <w:tcPr>
            <w:tcW w:w="1916"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其他行政事业单位医疗支出</w:t>
            </w:r>
          </w:p>
        </w:tc>
        <w:tc>
          <w:tcPr>
            <w:tcW w:w="168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26.87</w:t>
            </w:r>
          </w:p>
        </w:tc>
        <w:tc>
          <w:tcPr>
            <w:tcW w:w="1845"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26.87</w:t>
            </w:r>
          </w:p>
        </w:tc>
        <w:tc>
          <w:tcPr>
            <w:tcW w:w="174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01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635"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161"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212</w:t>
            </w:r>
          </w:p>
        </w:tc>
        <w:tc>
          <w:tcPr>
            <w:tcW w:w="1916"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城乡社区支出</w:t>
            </w:r>
          </w:p>
        </w:tc>
        <w:tc>
          <w:tcPr>
            <w:tcW w:w="168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111.36</w:t>
            </w:r>
          </w:p>
        </w:tc>
        <w:tc>
          <w:tcPr>
            <w:tcW w:w="1845"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16.00</w:t>
            </w:r>
          </w:p>
        </w:tc>
        <w:tc>
          <w:tcPr>
            <w:tcW w:w="174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95.36</w:t>
            </w:r>
          </w:p>
        </w:tc>
        <w:tc>
          <w:tcPr>
            <w:tcW w:w="201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635"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161"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21203</w:t>
            </w:r>
          </w:p>
        </w:tc>
        <w:tc>
          <w:tcPr>
            <w:tcW w:w="1916"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城乡社区公共设施</w:t>
            </w:r>
          </w:p>
        </w:tc>
        <w:tc>
          <w:tcPr>
            <w:tcW w:w="168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6.00</w:t>
            </w:r>
          </w:p>
        </w:tc>
        <w:tc>
          <w:tcPr>
            <w:tcW w:w="1845"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6.00</w:t>
            </w:r>
          </w:p>
        </w:tc>
        <w:tc>
          <w:tcPr>
            <w:tcW w:w="174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01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635"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161"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2120399</w:t>
            </w:r>
          </w:p>
        </w:tc>
        <w:tc>
          <w:tcPr>
            <w:tcW w:w="1916"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其他城乡社区公共设施支出</w:t>
            </w:r>
          </w:p>
        </w:tc>
        <w:tc>
          <w:tcPr>
            <w:tcW w:w="168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6.00</w:t>
            </w:r>
          </w:p>
        </w:tc>
        <w:tc>
          <w:tcPr>
            <w:tcW w:w="1845"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6.00</w:t>
            </w:r>
          </w:p>
        </w:tc>
        <w:tc>
          <w:tcPr>
            <w:tcW w:w="174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01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635"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161"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21208</w:t>
            </w:r>
          </w:p>
        </w:tc>
        <w:tc>
          <w:tcPr>
            <w:tcW w:w="1916"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国有土地使用权出让收入及对应专项债务收入安排的支出</w:t>
            </w:r>
          </w:p>
        </w:tc>
        <w:tc>
          <w:tcPr>
            <w:tcW w:w="168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95.36</w:t>
            </w:r>
          </w:p>
        </w:tc>
        <w:tc>
          <w:tcPr>
            <w:tcW w:w="1845"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74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95.36</w:t>
            </w:r>
          </w:p>
        </w:tc>
        <w:tc>
          <w:tcPr>
            <w:tcW w:w="201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635"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161"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2120801</w:t>
            </w:r>
          </w:p>
        </w:tc>
        <w:tc>
          <w:tcPr>
            <w:tcW w:w="1916"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征地和拆迁补偿支出</w:t>
            </w:r>
          </w:p>
        </w:tc>
        <w:tc>
          <w:tcPr>
            <w:tcW w:w="168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95.36</w:t>
            </w:r>
          </w:p>
        </w:tc>
        <w:tc>
          <w:tcPr>
            <w:tcW w:w="1845"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74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95.36</w:t>
            </w:r>
          </w:p>
        </w:tc>
        <w:tc>
          <w:tcPr>
            <w:tcW w:w="201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635"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161"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21299</w:t>
            </w:r>
          </w:p>
        </w:tc>
        <w:tc>
          <w:tcPr>
            <w:tcW w:w="1916"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其他城乡社区支出</w:t>
            </w:r>
          </w:p>
        </w:tc>
        <w:tc>
          <w:tcPr>
            <w:tcW w:w="168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10.00</w:t>
            </w:r>
          </w:p>
        </w:tc>
        <w:tc>
          <w:tcPr>
            <w:tcW w:w="1845"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10.00</w:t>
            </w:r>
          </w:p>
        </w:tc>
        <w:tc>
          <w:tcPr>
            <w:tcW w:w="174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01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635"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161"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2129901</w:t>
            </w:r>
          </w:p>
        </w:tc>
        <w:tc>
          <w:tcPr>
            <w:tcW w:w="1916"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2129901</w:t>
            </w:r>
          </w:p>
        </w:tc>
        <w:tc>
          <w:tcPr>
            <w:tcW w:w="168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10.00</w:t>
            </w:r>
          </w:p>
        </w:tc>
        <w:tc>
          <w:tcPr>
            <w:tcW w:w="1845"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10.00</w:t>
            </w:r>
          </w:p>
        </w:tc>
        <w:tc>
          <w:tcPr>
            <w:tcW w:w="174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01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635"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161"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213</w:t>
            </w:r>
          </w:p>
        </w:tc>
        <w:tc>
          <w:tcPr>
            <w:tcW w:w="1916"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农林水支出</w:t>
            </w:r>
          </w:p>
        </w:tc>
        <w:tc>
          <w:tcPr>
            <w:tcW w:w="168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49.30</w:t>
            </w:r>
          </w:p>
        </w:tc>
        <w:tc>
          <w:tcPr>
            <w:tcW w:w="1845"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49.30</w:t>
            </w:r>
          </w:p>
        </w:tc>
        <w:tc>
          <w:tcPr>
            <w:tcW w:w="174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01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635"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161"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21305</w:t>
            </w:r>
          </w:p>
        </w:tc>
        <w:tc>
          <w:tcPr>
            <w:tcW w:w="1916"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扶贫</w:t>
            </w:r>
          </w:p>
        </w:tc>
        <w:tc>
          <w:tcPr>
            <w:tcW w:w="168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49.30</w:t>
            </w:r>
          </w:p>
        </w:tc>
        <w:tc>
          <w:tcPr>
            <w:tcW w:w="1845"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49.30</w:t>
            </w:r>
          </w:p>
        </w:tc>
        <w:tc>
          <w:tcPr>
            <w:tcW w:w="174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01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635"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161"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2130599</w:t>
            </w:r>
          </w:p>
        </w:tc>
        <w:tc>
          <w:tcPr>
            <w:tcW w:w="1916"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其他扶贫支出</w:t>
            </w:r>
          </w:p>
        </w:tc>
        <w:tc>
          <w:tcPr>
            <w:tcW w:w="168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49.30</w:t>
            </w:r>
          </w:p>
        </w:tc>
        <w:tc>
          <w:tcPr>
            <w:tcW w:w="1845"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49.30</w:t>
            </w:r>
          </w:p>
        </w:tc>
        <w:tc>
          <w:tcPr>
            <w:tcW w:w="174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01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635"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161"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215</w:t>
            </w:r>
          </w:p>
        </w:tc>
        <w:tc>
          <w:tcPr>
            <w:tcW w:w="1916"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资源勘探信息等支出</w:t>
            </w:r>
          </w:p>
        </w:tc>
        <w:tc>
          <w:tcPr>
            <w:tcW w:w="168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337.00</w:t>
            </w:r>
          </w:p>
        </w:tc>
        <w:tc>
          <w:tcPr>
            <w:tcW w:w="1845"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10.00</w:t>
            </w:r>
          </w:p>
        </w:tc>
        <w:tc>
          <w:tcPr>
            <w:tcW w:w="174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327.00</w:t>
            </w:r>
          </w:p>
        </w:tc>
        <w:tc>
          <w:tcPr>
            <w:tcW w:w="201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635"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161"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21505</w:t>
            </w:r>
          </w:p>
        </w:tc>
        <w:tc>
          <w:tcPr>
            <w:tcW w:w="1916"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工业和信息产业监管</w:t>
            </w:r>
          </w:p>
        </w:tc>
        <w:tc>
          <w:tcPr>
            <w:tcW w:w="168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337.00</w:t>
            </w:r>
          </w:p>
        </w:tc>
        <w:tc>
          <w:tcPr>
            <w:tcW w:w="1845"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10.00</w:t>
            </w:r>
          </w:p>
        </w:tc>
        <w:tc>
          <w:tcPr>
            <w:tcW w:w="174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327.00</w:t>
            </w:r>
          </w:p>
        </w:tc>
        <w:tc>
          <w:tcPr>
            <w:tcW w:w="201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635"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161"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2150599</w:t>
            </w:r>
          </w:p>
        </w:tc>
        <w:tc>
          <w:tcPr>
            <w:tcW w:w="1916"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其他工业和信息产业监管支出</w:t>
            </w:r>
          </w:p>
        </w:tc>
        <w:tc>
          <w:tcPr>
            <w:tcW w:w="168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337.00</w:t>
            </w:r>
          </w:p>
        </w:tc>
        <w:tc>
          <w:tcPr>
            <w:tcW w:w="1845"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10.00</w:t>
            </w:r>
          </w:p>
        </w:tc>
        <w:tc>
          <w:tcPr>
            <w:tcW w:w="174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327.00</w:t>
            </w:r>
          </w:p>
        </w:tc>
        <w:tc>
          <w:tcPr>
            <w:tcW w:w="201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635"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161"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222</w:t>
            </w:r>
          </w:p>
        </w:tc>
        <w:tc>
          <w:tcPr>
            <w:tcW w:w="1916"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粮油物资储备支出</w:t>
            </w:r>
          </w:p>
        </w:tc>
        <w:tc>
          <w:tcPr>
            <w:tcW w:w="168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55.82</w:t>
            </w:r>
          </w:p>
        </w:tc>
        <w:tc>
          <w:tcPr>
            <w:tcW w:w="1845"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55.82</w:t>
            </w:r>
          </w:p>
        </w:tc>
        <w:tc>
          <w:tcPr>
            <w:tcW w:w="174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01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635"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161"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22201</w:t>
            </w:r>
          </w:p>
        </w:tc>
        <w:tc>
          <w:tcPr>
            <w:tcW w:w="1916"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粮油事务</w:t>
            </w:r>
          </w:p>
        </w:tc>
        <w:tc>
          <w:tcPr>
            <w:tcW w:w="168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55.82</w:t>
            </w:r>
          </w:p>
        </w:tc>
        <w:tc>
          <w:tcPr>
            <w:tcW w:w="1845"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55.82</w:t>
            </w:r>
          </w:p>
        </w:tc>
        <w:tc>
          <w:tcPr>
            <w:tcW w:w="174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01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635"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161"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2220101</w:t>
            </w:r>
          </w:p>
        </w:tc>
        <w:tc>
          <w:tcPr>
            <w:tcW w:w="1916"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行政运行</w:t>
            </w:r>
          </w:p>
        </w:tc>
        <w:tc>
          <w:tcPr>
            <w:tcW w:w="168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55.82</w:t>
            </w:r>
          </w:p>
        </w:tc>
        <w:tc>
          <w:tcPr>
            <w:tcW w:w="1845"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55.82</w:t>
            </w:r>
          </w:p>
        </w:tc>
        <w:tc>
          <w:tcPr>
            <w:tcW w:w="174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01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635"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161"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229</w:t>
            </w:r>
          </w:p>
        </w:tc>
        <w:tc>
          <w:tcPr>
            <w:tcW w:w="1916"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其他支出</w:t>
            </w:r>
          </w:p>
        </w:tc>
        <w:tc>
          <w:tcPr>
            <w:tcW w:w="168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70.00</w:t>
            </w:r>
          </w:p>
        </w:tc>
        <w:tc>
          <w:tcPr>
            <w:tcW w:w="1845"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70.00</w:t>
            </w:r>
          </w:p>
        </w:tc>
        <w:tc>
          <w:tcPr>
            <w:tcW w:w="174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01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635"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161"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22999</w:t>
            </w:r>
          </w:p>
        </w:tc>
        <w:tc>
          <w:tcPr>
            <w:tcW w:w="1916"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其他支出</w:t>
            </w:r>
          </w:p>
        </w:tc>
        <w:tc>
          <w:tcPr>
            <w:tcW w:w="168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70.00</w:t>
            </w:r>
          </w:p>
        </w:tc>
        <w:tc>
          <w:tcPr>
            <w:tcW w:w="1845"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70.00</w:t>
            </w:r>
          </w:p>
        </w:tc>
        <w:tc>
          <w:tcPr>
            <w:tcW w:w="174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01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635"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161"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2299901</w:t>
            </w:r>
          </w:p>
        </w:tc>
        <w:tc>
          <w:tcPr>
            <w:tcW w:w="1916"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其他支出</w:t>
            </w:r>
          </w:p>
        </w:tc>
        <w:tc>
          <w:tcPr>
            <w:tcW w:w="168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70.00</w:t>
            </w:r>
          </w:p>
        </w:tc>
        <w:tc>
          <w:tcPr>
            <w:tcW w:w="1845"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70.00</w:t>
            </w:r>
          </w:p>
        </w:tc>
        <w:tc>
          <w:tcPr>
            <w:tcW w:w="174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01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635"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161"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bl>
    <w:p>
      <w:pPr>
        <w:widowControl/>
        <w:ind w:firstLine="630" w:firstLineChars="300"/>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注：本表反映部门本年度各项支出情况。</w:t>
      </w:r>
    </w:p>
    <w:p>
      <w:pPr>
        <w:widowControl/>
        <w:jc w:val="left"/>
        <w:rPr>
          <w:rFonts w:ascii="Times New Roman" w:hAnsi="Times New Roman" w:eastAsia="仿宋_GB2312" w:cs="Times New Roman"/>
          <w:bCs/>
          <w:kern w:val="0"/>
          <w:szCs w:val="21"/>
        </w:rPr>
      </w:pPr>
      <w:r>
        <w:rPr>
          <w:rFonts w:ascii="Times New Roman" w:hAnsi="Times New Roman" w:eastAsia="仿宋_GB2312" w:cs="Times New Roman"/>
          <w:bCs/>
          <w:kern w:val="0"/>
          <w:szCs w:val="21"/>
        </w:rPr>
        <w:br w:type="page"/>
      </w:r>
    </w:p>
    <w:p>
      <w:pPr>
        <w:widowControl/>
        <w:ind w:left="93"/>
        <w:jc w:val="center"/>
        <w:rPr>
          <w:rFonts w:ascii="Times New Roman" w:hAnsi="Times New Roman" w:eastAsia="方正小标宋_GBK" w:cs="Times New Roman"/>
          <w:color w:val="000000"/>
          <w:kern w:val="0"/>
          <w:sz w:val="36"/>
          <w:szCs w:val="21"/>
        </w:rPr>
      </w:pPr>
      <w:r>
        <w:rPr>
          <w:rFonts w:ascii="Times New Roman" w:hAnsi="Times New Roman" w:eastAsia="方正小标宋_GBK" w:cs="Times New Roman"/>
          <w:color w:val="000000"/>
          <w:kern w:val="0"/>
          <w:sz w:val="36"/>
          <w:szCs w:val="21"/>
        </w:rPr>
        <w:t>财政拨款收入支出决算总表</w:t>
      </w:r>
    </w:p>
    <w:p>
      <w:pPr>
        <w:widowControl/>
        <w:tabs>
          <w:tab w:val="left" w:pos="4453"/>
          <w:tab w:val="left" w:pos="4933"/>
          <w:tab w:val="left" w:pos="6813"/>
          <w:tab w:val="left" w:pos="11113"/>
          <w:tab w:val="left" w:pos="11549"/>
          <w:tab w:val="left" w:pos="13429"/>
          <w:tab w:val="left" w:pos="15089"/>
        </w:tabs>
        <w:spacing w:line="240" w:lineRule="exact"/>
        <w:ind w:left="91" w:right="630"/>
        <w:jc w:val="right"/>
        <w:rPr>
          <w:rFonts w:ascii="Times New Roman" w:hAnsi="Times New Roman" w:eastAsia="宋体" w:cs="Times New Roman"/>
          <w:color w:val="000000"/>
          <w:kern w:val="0"/>
          <w:szCs w:val="21"/>
        </w:rPr>
      </w:pPr>
      <w:r>
        <w:rPr>
          <w:rFonts w:ascii="Times New Roman" w:hAnsi="Times New Roman" w:eastAsia="宋体" w:cs="Times New Roman"/>
          <w:color w:val="000000"/>
          <w:kern w:val="0"/>
          <w:szCs w:val="21"/>
        </w:rPr>
        <w:t>公开04表</w:t>
      </w:r>
    </w:p>
    <w:p>
      <w:pPr>
        <w:widowControl/>
        <w:tabs>
          <w:tab w:val="left" w:pos="13725"/>
          <w:tab w:val="left" w:pos="13755"/>
          <w:tab w:val="left" w:pos="13800"/>
        </w:tabs>
        <w:spacing w:line="240" w:lineRule="exact"/>
        <w:ind w:left="91" w:firstLine="315" w:firstLineChars="150"/>
        <w:jc w:val="left"/>
        <w:rPr>
          <w:rFonts w:ascii="Times New Roman" w:hAnsi="Times New Roman" w:eastAsia="仿宋_GB2312" w:cs="Times New Roman"/>
          <w:color w:val="000000"/>
          <w:kern w:val="0"/>
          <w:szCs w:val="21"/>
        </w:rPr>
      </w:pPr>
      <w:r>
        <w:rPr>
          <w:rFonts w:ascii="Times New Roman" w:hAnsi="Times New Roman" w:eastAsia="仿宋_GB2312" w:cs="Times New Roman"/>
          <w:color w:val="000000"/>
          <w:kern w:val="0"/>
          <w:szCs w:val="21"/>
        </w:rPr>
        <w:t>部门：</w:t>
      </w:r>
      <w:r>
        <w:rPr>
          <w:rFonts w:hint="eastAsia" w:ascii="Times New Roman" w:hAnsi="Times New Roman" w:eastAsia="仿宋_GB2312" w:cs="Times New Roman"/>
          <w:color w:val="000000"/>
          <w:kern w:val="0"/>
          <w:szCs w:val="21"/>
        </w:rPr>
        <w:t>XX单位</w:t>
      </w:r>
      <w:r>
        <w:rPr>
          <w:rFonts w:ascii="Times New Roman" w:hAnsi="Times New Roman" w:eastAsia="仿宋_GB2312" w:cs="Times New Roman"/>
          <w:color w:val="000000"/>
          <w:kern w:val="0"/>
          <w:szCs w:val="21"/>
        </w:rPr>
        <w:t xml:space="preserve"> </w:t>
      </w:r>
      <w:r>
        <w:rPr>
          <w:rFonts w:ascii="Times New Roman" w:hAnsi="Times New Roman" w:eastAsia="仿宋_GB2312" w:cs="Times New Roman"/>
          <w:color w:val="000000"/>
          <w:kern w:val="0"/>
          <w:sz w:val="20"/>
          <w:szCs w:val="20"/>
        </w:rPr>
        <w:t xml:space="preserve"> </w:t>
      </w:r>
      <w:r>
        <w:rPr>
          <w:rFonts w:ascii="Times New Roman" w:hAnsi="Times New Roman" w:eastAsia="仿宋_GB2312" w:cs="Times New Roman"/>
          <w:color w:val="000000"/>
          <w:kern w:val="0"/>
          <w:szCs w:val="21"/>
        </w:rPr>
        <w:tab/>
      </w:r>
      <w:r>
        <w:rPr>
          <w:rFonts w:ascii="Times New Roman" w:hAnsi="Times New Roman" w:eastAsia="仿宋_GB2312" w:cs="Times New Roman"/>
          <w:color w:val="000000"/>
          <w:kern w:val="0"/>
          <w:szCs w:val="21"/>
        </w:rPr>
        <w:t>单位：万元</w:t>
      </w:r>
    </w:p>
    <w:tbl>
      <w:tblPr>
        <w:tblStyle w:val="6"/>
        <w:tblW w:w="14657" w:type="dxa"/>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
      <w:tblGrid>
        <w:gridCol w:w="2994"/>
        <w:gridCol w:w="480"/>
        <w:gridCol w:w="1880"/>
        <w:gridCol w:w="3761"/>
        <w:gridCol w:w="430"/>
        <w:gridCol w:w="1880"/>
        <w:gridCol w:w="1660"/>
        <w:gridCol w:w="1572"/>
      </w:tblGrid>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62" w:hRule="atLeast"/>
          <w:jc w:val="center"/>
        </w:trPr>
        <w:tc>
          <w:tcPr>
            <w:tcW w:w="5354" w:type="dxa"/>
            <w:gridSpan w:val="3"/>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收入</w:t>
            </w:r>
          </w:p>
        </w:tc>
        <w:tc>
          <w:tcPr>
            <w:tcW w:w="9303" w:type="dxa"/>
            <w:gridSpan w:val="5"/>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支出</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93" w:hRule="atLeast"/>
          <w:jc w:val="center"/>
        </w:trPr>
        <w:tc>
          <w:tcPr>
            <w:tcW w:w="2994" w:type="dxa"/>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项    目</w:t>
            </w:r>
          </w:p>
        </w:tc>
        <w:tc>
          <w:tcPr>
            <w:tcW w:w="480" w:type="dxa"/>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行次</w:t>
            </w:r>
          </w:p>
        </w:tc>
        <w:tc>
          <w:tcPr>
            <w:tcW w:w="1880" w:type="dxa"/>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金额</w:t>
            </w:r>
          </w:p>
        </w:tc>
        <w:tc>
          <w:tcPr>
            <w:tcW w:w="3761" w:type="dxa"/>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项    目</w:t>
            </w:r>
          </w:p>
        </w:tc>
        <w:tc>
          <w:tcPr>
            <w:tcW w:w="430" w:type="dxa"/>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行次</w:t>
            </w:r>
          </w:p>
        </w:tc>
        <w:tc>
          <w:tcPr>
            <w:tcW w:w="1880" w:type="dxa"/>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合计</w:t>
            </w:r>
          </w:p>
        </w:tc>
        <w:tc>
          <w:tcPr>
            <w:tcW w:w="1660" w:type="dxa"/>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一般公共预算财政拨款</w:t>
            </w:r>
          </w:p>
        </w:tc>
        <w:tc>
          <w:tcPr>
            <w:tcW w:w="1572" w:type="dxa"/>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政府性基金预算财政拨款</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栏    次</w:t>
            </w:r>
          </w:p>
        </w:tc>
        <w:tc>
          <w:tcPr>
            <w:tcW w:w="48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88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w:t>
            </w:r>
          </w:p>
        </w:tc>
        <w:tc>
          <w:tcPr>
            <w:tcW w:w="3761"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栏    次</w:t>
            </w:r>
          </w:p>
        </w:tc>
        <w:tc>
          <w:tcPr>
            <w:tcW w:w="43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88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w:t>
            </w:r>
          </w:p>
        </w:tc>
        <w:tc>
          <w:tcPr>
            <w:tcW w:w="166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3</w:t>
            </w:r>
          </w:p>
        </w:tc>
        <w:tc>
          <w:tcPr>
            <w:tcW w:w="1572"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4</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一、一般公共预算财政拨款</w:t>
            </w:r>
          </w:p>
        </w:tc>
        <w:tc>
          <w:tcPr>
            <w:tcW w:w="48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w:t>
            </w:r>
          </w:p>
        </w:tc>
        <w:tc>
          <w:tcPr>
            <w:tcW w:w="1880"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1,982.09</w:t>
            </w:r>
          </w:p>
        </w:tc>
        <w:tc>
          <w:tcPr>
            <w:tcW w:w="3761" w:type="dxa"/>
            <w:shd w:val="clear" w:color="auto" w:fill="auto"/>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一、一般公共服务支出</w:t>
            </w:r>
          </w:p>
        </w:tc>
        <w:tc>
          <w:tcPr>
            <w:tcW w:w="43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15</w:t>
            </w:r>
          </w:p>
        </w:tc>
        <w:tc>
          <w:tcPr>
            <w:tcW w:w="1880"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1,208.24</w:t>
            </w:r>
          </w:p>
        </w:tc>
        <w:tc>
          <w:tcPr>
            <w:tcW w:w="1660"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1,208.24</w:t>
            </w:r>
          </w:p>
        </w:tc>
        <w:tc>
          <w:tcPr>
            <w:tcW w:w="1572"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二、政府性基金预算财政拨款</w:t>
            </w:r>
          </w:p>
        </w:tc>
        <w:tc>
          <w:tcPr>
            <w:tcW w:w="48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w:t>
            </w:r>
          </w:p>
        </w:tc>
        <w:tc>
          <w:tcPr>
            <w:tcW w:w="1880"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95.36</w:t>
            </w:r>
          </w:p>
        </w:tc>
        <w:tc>
          <w:tcPr>
            <w:tcW w:w="3761" w:type="dxa"/>
            <w:shd w:val="clear" w:color="auto" w:fill="auto"/>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二、社会保障和就业支出</w:t>
            </w:r>
          </w:p>
        </w:tc>
        <w:tc>
          <w:tcPr>
            <w:tcW w:w="43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16</w:t>
            </w:r>
          </w:p>
        </w:tc>
        <w:tc>
          <w:tcPr>
            <w:tcW w:w="1880"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218.87</w:t>
            </w:r>
          </w:p>
        </w:tc>
        <w:tc>
          <w:tcPr>
            <w:tcW w:w="1660"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218.87</w:t>
            </w:r>
          </w:p>
        </w:tc>
        <w:tc>
          <w:tcPr>
            <w:tcW w:w="1572"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48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3</w:t>
            </w:r>
          </w:p>
        </w:tc>
        <w:tc>
          <w:tcPr>
            <w:tcW w:w="1880" w:type="dxa"/>
            <w:shd w:val="clear" w:color="auto" w:fill="auto"/>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3761" w:type="dxa"/>
            <w:shd w:val="clear" w:color="auto" w:fill="auto"/>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三、卫生健康支出</w:t>
            </w:r>
          </w:p>
        </w:tc>
        <w:tc>
          <w:tcPr>
            <w:tcW w:w="43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17</w:t>
            </w:r>
          </w:p>
        </w:tc>
        <w:tc>
          <w:tcPr>
            <w:tcW w:w="1880"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26.87</w:t>
            </w:r>
          </w:p>
        </w:tc>
        <w:tc>
          <w:tcPr>
            <w:tcW w:w="1660"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26.87</w:t>
            </w:r>
          </w:p>
        </w:tc>
        <w:tc>
          <w:tcPr>
            <w:tcW w:w="1572"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48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4</w:t>
            </w:r>
          </w:p>
        </w:tc>
        <w:tc>
          <w:tcPr>
            <w:tcW w:w="1880" w:type="dxa"/>
            <w:shd w:val="clear" w:color="auto" w:fill="auto"/>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3761" w:type="dxa"/>
            <w:shd w:val="clear" w:color="auto" w:fill="auto"/>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四、城乡社区支出</w:t>
            </w:r>
          </w:p>
        </w:tc>
        <w:tc>
          <w:tcPr>
            <w:tcW w:w="43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18</w:t>
            </w:r>
          </w:p>
        </w:tc>
        <w:tc>
          <w:tcPr>
            <w:tcW w:w="1880"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111.36</w:t>
            </w:r>
          </w:p>
        </w:tc>
        <w:tc>
          <w:tcPr>
            <w:tcW w:w="1660"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16.00</w:t>
            </w:r>
          </w:p>
        </w:tc>
        <w:tc>
          <w:tcPr>
            <w:tcW w:w="1572"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95.36</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48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5</w:t>
            </w:r>
          </w:p>
        </w:tc>
        <w:tc>
          <w:tcPr>
            <w:tcW w:w="1880" w:type="dxa"/>
            <w:shd w:val="clear" w:color="auto" w:fill="auto"/>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3761" w:type="dxa"/>
            <w:shd w:val="clear" w:color="auto" w:fill="auto"/>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五、农林水支出</w:t>
            </w:r>
          </w:p>
        </w:tc>
        <w:tc>
          <w:tcPr>
            <w:tcW w:w="43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19</w:t>
            </w:r>
          </w:p>
        </w:tc>
        <w:tc>
          <w:tcPr>
            <w:tcW w:w="1880"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49.30</w:t>
            </w:r>
          </w:p>
        </w:tc>
        <w:tc>
          <w:tcPr>
            <w:tcW w:w="1660"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49.30</w:t>
            </w:r>
          </w:p>
        </w:tc>
        <w:tc>
          <w:tcPr>
            <w:tcW w:w="1572"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48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6</w:t>
            </w:r>
          </w:p>
        </w:tc>
        <w:tc>
          <w:tcPr>
            <w:tcW w:w="1880" w:type="dxa"/>
            <w:shd w:val="clear" w:color="auto" w:fill="auto"/>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3761" w:type="dxa"/>
            <w:shd w:val="clear" w:color="auto" w:fill="auto"/>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六、资源勘探信息等支出</w:t>
            </w:r>
          </w:p>
        </w:tc>
        <w:tc>
          <w:tcPr>
            <w:tcW w:w="43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20</w:t>
            </w:r>
          </w:p>
        </w:tc>
        <w:tc>
          <w:tcPr>
            <w:tcW w:w="1880"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337.00</w:t>
            </w:r>
          </w:p>
        </w:tc>
        <w:tc>
          <w:tcPr>
            <w:tcW w:w="1660"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337.00</w:t>
            </w:r>
          </w:p>
        </w:tc>
        <w:tc>
          <w:tcPr>
            <w:tcW w:w="1572"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48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7</w:t>
            </w:r>
          </w:p>
        </w:tc>
        <w:tc>
          <w:tcPr>
            <w:tcW w:w="1880" w:type="dxa"/>
            <w:shd w:val="clear" w:color="auto" w:fill="auto"/>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3761" w:type="dxa"/>
            <w:shd w:val="clear" w:color="auto" w:fill="auto"/>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七、粮油物资储备支出</w:t>
            </w:r>
          </w:p>
        </w:tc>
        <w:tc>
          <w:tcPr>
            <w:tcW w:w="43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21</w:t>
            </w:r>
          </w:p>
        </w:tc>
        <w:tc>
          <w:tcPr>
            <w:tcW w:w="1880"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55.82</w:t>
            </w:r>
          </w:p>
        </w:tc>
        <w:tc>
          <w:tcPr>
            <w:tcW w:w="1660"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55.82</w:t>
            </w:r>
          </w:p>
        </w:tc>
        <w:tc>
          <w:tcPr>
            <w:tcW w:w="1572"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48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8</w:t>
            </w:r>
          </w:p>
        </w:tc>
        <w:tc>
          <w:tcPr>
            <w:tcW w:w="1880"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3761" w:type="dxa"/>
            <w:shd w:val="clear" w:color="auto" w:fill="auto"/>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lang w:eastAsia="zh-CN"/>
              </w:rPr>
              <w:t>八、其他支出</w:t>
            </w:r>
          </w:p>
        </w:tc>
        <w:tc>
          <w:tcPr>
            <w:tcW w:w="43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22</w:t>
            </w:r>
          </w:p>
        </w:tc>
        <w:tc>
          <w:tcPr>
            <w:tcW w:w="1880"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70.00</w:t>
            </w:r>
          </w:p>
        </w:tc>
        <w:tc>
          <w:tcPr>
            <w:tcW w:w="1660"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70.00</w:t>
            </w:r>
          </w:p>
        </w:tc>
        <w:tc>
          <w:tcPr>
            <w:tcW w:w="1572"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shd w:val="clear" w:color="auto" w:fill="auto"/>
            <w:vAlign w:val="center"/>
          </w:tcPr>
          <w:p>
            <w:pPr>
              <w:widowControl/>
              <w:jc w:val="center"/>
              <w:rPr>
                <w:rFonts w:ascii="Times New Roman" w:hAnsi="Times New Roman" w:eastAsia="仿宋_GB2312" w:cs="Times New Roman"/>
                <w:b/>
                <w:bCs/>
                <w:kern w:val="0"/>
                <w:szCs w:val="21"/>
              </w:rPr>
            </w:pPr>
            <w:r>
              <w:rPr>
                <w:rFonts w:ascii="Times New Roman" w:hAnsi="Times New Roman" w:eastAsia="仿宋_GB2312" w:cs="Times New Roman"/>
                <w:b/>
                <w:bCs/>
                <w:kern w:val="0"/>
                <w:szCs w:val="21"/>
              </w:rPr>
              <w:t>本年收入合计</w:t>
            </w:r>
          </w:p>
        </w:tc>
        <w:tc>
          <w:tcPr>
            <w:tcW w:w="48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9</w:t>
            </w:r>
          </w:p>
        </w:tc>
        <w:tc>
          <w:tcPr>
            <w:tcW w:w="1880" w:type="dxa"/>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kern w:val="2"/>
                <w:sz w:val="22"/>
                <w:szCs w:val="22"/>
                <w:u w:val="none"/>
                <w:lang w:val="en-US" w:eastAsia="zh-CN" w:bidi="ar-SA"/>
              </w:rPr>
            </w:pPr>
            <w:r>
              <w:rPr>
                <w:rFonts w:hint="eastAsia" w:ascii="宋体" w:hAnsi="宋体" w:eastAsia="宋体" w:cs="宋体"/>
                <w:i w:val="0"/>
                <w:color w:val="000000"/>
                <w:kern w:val="0"/>
                <w:sz w:val="22"/>
                <w:szCs w:val="22"/>
                <w:u w:val="none"/>
                <w:lang w:val="en-US" w:eastAsia="zh-CN" w:bidi="ar"/>
              </w:rPr>
              <w:t>2,077.46</w:t>
            </w:r>
          </w:p>
        </w:tc>
        <w:tc>
          <w:tcPr>
            <w:tcW w:w="3761" w:type="dxa"/>
            <w:shd w:val="clear" w:color="auto" w:fill="auto"/>
            <w:vAlign w:val="center"/>
          </w:tcPr>
          <w:p>
            <w:pPr>
              <w:widowControl/>
              <w:jc w:val="center"/>
              <w:rPr>
                <w:rFonts w:ascii="Times New Roman" w:hAnsi="Times New Roman" w:eastAsia="仿宋_GB2312" w:cs="Times New Roman"/>
                <w:b/>
                <w:bCs/>
                <w:kern w:val="0"/>
                <w:szCs w:val="21"/>
              </w:rPr>
            </w:pPr>
            <w:r>
              <w:rPr>
                <w:rFonts w:ascii="Times New Roman" w:hAnsi="Times New Roman" w:eastAsia="仿宋_GB2312" w:cs="Times New Roman"/>
                <w:b/>
                <w:bCs/>
                <w:kern w:val="0"/>
                <w:szCs w:val="21"/>
              </w:rPr>
              <w:t>本年支出合计</w:t>
            </w:r>
          </w:p>
        </w:tc>
        <w:tc>
          <w:tcPr>
            <w:tcW w:w="43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23</w:t>
            </w:r>
          </w:p>
        </w:tc>
        <w:tc>
          <w:tcPr>
            <w:tcW w:w="1880"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2,077.46</w:t>
            </w:r>
          </w:p>
        </w:tc>
        <w:tc>
          <w:tcPr>
            <w:tcW w:w="1660"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1,982.09</w:t>
            </w:r>
          </w:p>
        </w:tc>
        <w:tc>
          <w:tcPr>
            <w:tcW w:w="1572"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b/>
                <w:bCs/>
                <w:kern w:val="0"/>
                <w:szCs w:val="21"/>
              </w:rPr>
            </w:pPr>
            <w:r>
              <w:rPr>
                <w:rFonts w:hint="eastAsia" w:ascii="宋体" w:hAnsi="宋体" w:eastAsia="宋体" w:cs="宋体"/>
                <w:i w:val="0"/>
                <w:color w:val="000000"/>
                <w:kern w:val="0"/>
                <w:sz w:val="22"/>
                <w:szCs w:val="22"/>
                <w:u w:val="none"/>
                <w:lang w:val="en-US" w:eastAsia="zh-CN" w:bidi="ar"/>
              </w:rPr>
              <w:t>95.36</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年初财政拨款结转和结余</w:t>
            </w:r>
          </w:p>
        </w:tc>
        <w:tc>
          <w:tcPr>
            <w:tcW w:w="48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10</w:t>
            </w:r>
          </w:p>
        </w:tc>
        <w:tc>
          <w:tcPr>
            <w:tcW w:w="1880" w:type="dxa"/>
            <w:shd w:val="clear" w:color="auto" w:fill="auto"/>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3761"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年末财政拨款结转和结余</w:t>
            </w:r>
          </w:p>
        </w:tc>
        <w:tc>
          <w:tcPr>
            <w:tcW w:w="43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24</w:t>
            </w:r>
          </w:p>
        </w:tc>
        <w:tc>
          <w:tcPr>
            <w:tcW w:w="188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66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572"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shd w:val="clear" w:color="auto" w:fill="auto"/>
            <w:vAlign w:val="center"/>
          </w:tcPr>
          <w:p>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一、</w:t>
            </w:r>
            <w:r>
              <w:rPr>
                <w:rFonts w:ascii="Times New Roman" w:hAnsi="Times New Roman" w:eastAsia="仿宋_GB2312" w:cs="Times New Roman"/>
                <w:kern w:val="0"/>
                <w:szCs w:val="21"/>
              </w:rPr>
              <w:t>一般公共预算财政拨款</w:t>
            </w:r>
          </w:p>
        </w:tc>
        <w:tc>
          <w:tcPr>
            <w:tcW w:w="48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11</w:t>
            </w:r>
          </w:p>
        </w:tc>
        <w:tc>
          <w:tcPr>
            <w:tcW w:w="1880" w:type="dxa"/>
            <w:shd w:val="clear" w:color="auto" w:fill="auto"/>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3761"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43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25</w:t>
            </w:r>
          </w:p>
        </w:tc>
        <w:tc>
          <w:tcPr>
            <w:tcW w:w="188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66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572"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shd w:val="clear" w:color="auto" w:fill="auto"/>
            <w:vAlign w:val="center"/>
          </w:tcPr>
          <w:p>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二、</w:t>
            </w:r>
            <w:r>
              <w:rPr>
                <w:rFonts w:ascii="Times New Roman" w:hAnsi="Times New Roman" w:eastAsia="仿宋_GB2312" w:cs="Times New Roman"/>
                <w:kern w:val="0"/>
                <w:szCs w:val="21"/>
              </w:rPr>
              <w:t>政府性基金预算财政拨款</w:t>
            </w:r>
          </w:p>
        </w:tc>
        <w:tc>
          <w:tcPr>
            <w:tcW w:w="48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12</w:t>
            </w:r>
          </w:p>
        </w:tc>
        <w:tc>
          <w:tcPr>
            <w:tcW w:w="1880" w:type="dxa"/>
            <w:shd w:val="clear" w:color="auto" w:fill="auto"/>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3761"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43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26</w:t>
            </w:r>
          </w:p>
        </w:tc>
        <w:tc>
          <w:tcPr>
            <w:tcW w:w="188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66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572"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48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13</w:t>
            </w:r>
          </w:p>
        </w:tc>
        <w:tc>
          <w:tcPr>
            <w:tcW w:w="1880" w:type="dxa"/>
            <w:shd w:val="clear" w:color="auto" w:fill="auto"/>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3761"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43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27</w:t>
            </w:r>
          </w:p>
        </w:tc>
        <w:tc>
          <w:tcPr>
            <w:tcW w:w="188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66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572"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shd w:val="clear" w:color="auto" w:fill="auto"/>
            <w:vAlign w:val="center"/>
          </w:tcPr>
          <w:p>
            <w:pPr>
              <w:widowControl/>
              <w:jc w:val="center"/>
              <w:rPr>
                <w:rFonts w:ascii="Times New Roman" w:hAnsi="Times New Roman" w:eastAsia="仿宋_GB2312" w:cs="Times New Roman"/>
                <w:b/>
                <w:bCs/>
                <w:kern w:val="0"/>
                <w:szCs w:val="21"/>
              </w:rPr>
            </w:pPr>
            <w:r>
              <w:rPr>
                <w:rFonts w:ascii="Times New Roman" w:hAnsi="Times New Roman" w:eastAsia="仿宋_GB2312" w:cs="Times New Roman"/>
                <w:b/>
                <w:bCs/>
                <w:kern w:val="0"/>
                <w:szCs w:val="21"/>
              </w:rPr>
              <w:t>总计</w:t>
            </w:r>
          </w:p>
        </w:tc>
        <w:tc>
          <w:tcPr>
            <w:tcW w:w="48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14</w:t>
            </w:r>
          </w:p>
        </w:tc>
        <w:tc>
          <w:tcPr>
            <w:tcW w:w="1880" w:type="dxa"/>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kern w:val="2"/>
                <w:sz w:val="22"/>
                <w:szCs w:val="22"/>
                <w:u w:val="none"/>
                <w:lang w:val="en-US" w:eastAsia="zh-CN" w:bidi="ar-SA"/>
              </w:rPr>
            </w:pPr>
            <w:r>
              <w:rPr>
                <w:rFonts w:hint="eastAsia" w:ascii="宋体" w:hAnsi="宋体" w:eastAsia="宋体" w:cs="宋体"/>
                <w:i w:val="0"/>
                <w:color w:val="000000"/>
                <w:kern w:val="0"/>
                <w:sz w:val="22"/>
                <w:szCs w:val="22"/>
                <w:u w:val="none"/>
                <w:lang w:val="en-US" w:eastAsia="zh-CN" w:bidi="ar"/>
              </w:rPr>
              <w:t>2,077.46</w:t>
            </w:r>
          </w:p>
        </w:tc>
        <w:tc>
          <w:tcPr>
            <w:tcW w:w="3761" w:type="dxa"/>
            <w:shd w:val="clear" w:color="auto" w:fill="auto"/>
            <w:vAlign w:val="center"/>
          </w:tcPr>
          <w:p>
            <w:pPr>
              <w:widowControl/>
              <w:jc w:val="center"/>
              <w:rPr>
                <w:rFonts w:ascii="Times New Roman" w:hAnsi="Times New Roman" w:eastAsia="仿宋_GB2312" w:cs="Times New Roman"/>
                <w:b/>
                <w:bCs/>
                <w:kern w:val="0"/>
                <w:szCs w:val="21"/>
              </w:rPr>
            </w:pPr>
            <w:r>
              <w:rPr>
                <w:rFonts w:ascii="Times New Roman" w:hAnsi="Times New Roman" w:eastAsia="仿宋_GB2312" w:cs="Times New Roman"/>
                <w:b/>
                <w:bCs/>
                <w:kern w:val="0"/>
                <w:szCs w:val="21"/>
              </w:rPr>
              <w:t>总计</w:t>
            </w:r>
          </w:p>
        </w:tc>
        <w:tc>
          <w:tcPr>
            <w:tcW w:w="43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28</w:t>
            </w:r>
          </w:p>
        </w:tc>
        <w:tc>
          <w:tcPr>
            <w:tcW w:w="1880"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2,077.46</w:t>
            </w:r>
          </w:p>
        </w:tc>
        <w:tc>
          <w:tcPr>
            <w:tcW w:w="1660"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1,982.09</w:t>
            </w:r>
          </w:p>
        </w:tc>
        <w:tc>
          <w:tcPr>
            <w:tcW w:w="1572" w:type="dxa"/>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b/>
                <w:bCs/>
                <w:kern w:val="0"/>
                <w:szCs w:val="21"/>
              </w:rPr>
            </w:pPr>
            <w:r>
              <w:rPr>
                <w:rFonts w:hint="eastAsia" w:ascii="宋体" w:hAnsi="宋体" w:eastAsia="宋体" w:cs="宋体"/>
                <w:i w:val="0"/>
                <w:color w:val="000000"/>
                <w:kern w:val="0"/>
                <w:sz w:val="22"/>
                <w:szCs w:val="22"/>
                <w:u w:val="none"/>
                <w:lang w:val="en-US" w:eastAsia="zh-CN" w:bidi="ar"/>
              </w:rPr>
              <w:t>95.36</w:t>
            </w:r>
          </w:p>
        </w:tc>
      </w:tr>
    </w:tbl>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注：本表反映部门本年度一般公共预算财政拨款和政府性基金预算财政拨款的总收支和年末结转结余情况。</w:t>
      </w:r>
    </w:p>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br w:type="page"/>
      </w:r>
    </w:p>
    <w:p>
      <w:pPr>
        <w:widowControl/>
        <w:jc w:val="center"/>
        <w:rPr>
          <w:rFonts w:ascii="Times New Roman" w:hAnsi="Times New Roman" w:eastAsia="方正小标宋_GBK" w:cs="Times New Roman"/>
          <w:kern w:val="0"/>
          <w:sz w:val="36"/>
          <w:szCs w:val="36"/>
        </w:rPr>
      </w:pPr>
      <w:bookmarkStart w:id="0" w:name="RANGE!A1:F16"/>
      <w:r>
        <w:rPr>
          <w:rFonts w:ascii="Times New Roman" w:hAnsi="Times New Roman" w:eastAsia="方正小标宋_GBK" w:cs="Times New Roman"/>
          <w:kern w:val="0"/>
          <w:sz w:val="36"/>
          <w:szCs w:val="36"/>
        </w:rPr>
        <w:t>一般公共预算财政拨款支出决算表</w:t>
      </w:r>
      <w:bookmarkEnd w:id="0"/>
    </w:p>
    <w:p>
      <w:pPr>
        <w:widowControl/>
        <w:spacing w:before="156" w:beforeLines="50"/>
        <w:jc w:val="left"/>
        <w:rPr>
          <w:rFonts w:ascii="Times New Roman" w:hAnsi="Times New Roman" w:eastAsia="仿宋_GB2312" w:cs="Times New Roman"/>
          <w:color w:val="000000"/>
          <w:kern w:val="0"/>
          <w:szCs w:val="21"/>
        </w:rPr>
      </w:pPr>
      <w:r>
        <w:rPr>
          <w:rFonts w:hint="eastAsia" w:ascii="Times New Roman" w:hAnsi="Times New Roman" w:eastAsia="仿宋_GB2312" w:cs="Times New Roman"/>
          <w:color w:val="000000"/>
          <w:kern w:val="0"/>
          <w:szCs w:val="21"/>
        </w:rPr>
        <w:t xml:space="preserve">     </w:t>
      </w:r>
      <w:r>
        <w:rPr>
          <w:rFonts w:ascii="Times New Roman" w:hAnsi="Times New Roman" w:eastAsia="仿宋_GB2312" w:cs="Times New Roman"/>
          <w:color w:val="000000"/>
          <w:kern w:val="0"/>
          <w:szCs w:val="21"/>
        </w:rPr>
        <w:t>部门：</w:t>
      </w:r>
      <w:r>
        <w:rPr>
          <w:rFonts w:hint="eastAsia" w:ascii="Times New Roman" w:hAnsi="Times New Roman" w:eastAsia="仿宋_GB2312" w:cs="Times New Roman"/>
          <w:color w:val="000000"/>
          <w:kern w:val="0"/>
          <w:szCs w:val="21"/>
          <w:lang w:eastAsia="zh-CN"/>
        </w:rPr>
        <w:t>零陵区发改局</w:t>
      </w:r>
      <w:r>
        <w:rPr>
          <w:rFonts w:ascii="Times New Roman" w:hAnsi="Times New Roman" w:eastAsia="仿宋_GB2312" w:cs="Times New Roman"/>
          <w:color w:val="000000"/>
          <w:kern w:val="0"/>
          <w:szCs w:val="21"/>
        </w:rPr>
        <w:t xml:space="preserve">                    </w:t>
      </w:r>
      <w:r>
        <w:rPr>
          <w:rFonts w:hint="eastAsia" w:ascii="Times New Roman" w:hAnsi="Times New Roman" w:eastAsia="仿宋_GB2312" w:cs="Times New Roman"/>
          <w:color w:val="000000"/>
          <w:kern w:val="0"/>
          <w:szCs w:val="21"/>
        </w:rPr>
        <w:t xml:space="preserve">                                          </w:t>
      </w:r>
      <w:r>
        <w:rPr>
          <w:rFonts w:ascii="Times New Roman" w:hAnsi="Times New Roman" w:eastAsia="仿宋_GB2312" w:cs="Times New Roman"/>
          <w:color w:val="000000"/>
          <w:kern w:val="0"/>
          <w:szCs w:val="21"/>
        </w:rPr>
        <w:t xml:space="preserve">                                                公开05表</w:t>
      </w:r>
    </w:p>
    <w:p>
      <w:pPr>
        <w:widowControl/>
        <w:jc w:val="left"/>
        <w:rPr>
          <w:rFonts w:ascii="Times New Roman" w:hAnsi="Times New Roman" w:eastAsia="宋体" w:cs="Times New Roman"/>
          <w:color w:val="000000"/>
          <w:kern w:val="0"/>
          <w:sz w:val="20"/>
          <w:szCs w:val="20"/>
        </w:rPr>
      </w:pPr>
      <w:r>
        <w:rPr>
          <w:rFonts w:ascii="Times New Roman" w:hAnsi="Times New Roman" w:eastAsia="仿宋_GB2312" w:cs="Times New Roman"/>
          <w:color w:val="000000"/>
          <w:kern w:val="0"/>
          <w:szCs w:val="21"/>
        </w:rPr>
        <w:t xml:space="preserve">                                                                                                                     </w:t>
      </w:r>
      <w:r>
        <w:rPr>
          <w:rFonts w:hint="eastAsia" w:ascii="Times New Roman" w:hAnsi="Times New Roman" w:eastAsia="仿宋_GB2312" w:cs="Times New Roman"/>
          <w:color w:val="000000"/>
          <w:kern w:val="0"/>
          <w:szCs w:val="21"/>
        </w:rPr>
        <w:t xml:space="preserve">      </w:t>
      </w:r>
      <w:r>
        <w:rPr>
          <w:rFonts w:ascii="Times New Roman" w:hAnsi="Times New Roman" w:eastAsia="仿宋_GB2312" w:cs="Times New Roman"/>
          <w:color w:val="000000"/>
          <w:kern w:val="0"/>
          <w:szCs w:val="21"/>
        </w:rPr>
        <w:t xml:space="preserve">       单位：万元</w:t>
      </w:r>
    </w:p>
    <w:tbl>
      <w:tblPr>
        <w:tblStyle w:val="6"/>
        <w:tblW w:w="14219" w:type="dxa"/>
        <w:jc w:val="center"/>
        <w:tblLayout w:type="fixed"/>
        <w:tblCellMar>
          <w:top w:w="0" w:type="dxa"/>
          <w:left w:w="108" w:type="dxa"/>
          <w:bottom w:w="0" w:type="dxa"/>
          <w:right w:w="108" w:type="dxa"/>
        </w:tblCellMar>
      </w:tblPr>
      <w:tblGrid>
        <w:gridCol w:w="1200"/>
        <w:gridCol w:w="4073"/>
        <w:gridCol w:w="2955"/>
        <w:gridCol w:w="3375"/>
        <w:gridCol w:w="2616"/>
      </w:tblGrid>
      <w:tr>
        <w:tblPrEx>
          <w:tblCellMar>
            <w:top w:w="0" w:type="dxa"/>
            <w:left w:w="108" w:type="dxa"/>
            <w:bottom w:w="0" w:type="dxa"/>
            <w:right w:w="108" w:type="dxa"/>
          </w:tblCellMar>
        </w:tblPrEx>
        <w:trPr>
          <w:trHeight w:val="405" w:hRule="atLeast"/>
          <w:jc w:val="center"/>
        </w:trPr>
        <w:tc>
          <w:tcPr>
            <w:tcW w:w="5273" w:type="dxa"/>
            <w:gridSpan w:val="2"/>
            <w:tcBorders>
              <w:top w:val="single" w:color="auto" w:sz="8" w:space="0"/>
              <w:left w:val="single" w:color="auto" w:sz="8" w:space="0"/>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 xml:space="preserve">项 </w:t>
            </w:r>
            <w:r>
              <w:rPr>
                <w:rFonts w:ascii="Times New Roman" w:hAnsi="Times New Roman" w:eastAsia="仿宋_GB2312" w:cs="Times New Roman"/>
                <w:b/>
                <w:color w:val="000000"/>
                <w:kern w:val="0"/>
                <w:szCs w:val="21"/>
              </w:rPr>
              <w:t xml:space="preserve">   </w:t>
            </w:r>
            <w:r>
              <w:rPr>
                <w:rFonts w:ascii="Times New Roman" w:hAnsi="Times New Roman" w:eastAsia="仿宋_GB2312" w:cs="Times New Roman"/>
                <w:b/>
                <w:kern w:val="0"/>
                <w:szCs w:val="21"/>
              </w:rPr>
              <w:t>目</w:t>
            </w:r>
          </w:p>
        </w:tc>
        <w:tc>
          <w:tcPr>
            <w:tcW w:w="8946" w:type="dxa"/>
            <w:gridSpan w:val="3"/>
            <w:tcBorders>
              <w:top w:val="single" w:color="auto" w:sz="8" w:space="0"/>
              <w:left w:val="nil"/>
              <w:bottom w:val="single" w:color="auto" w:sz="4" w:space="0"/>
              <w:right w:val="single" w:color="000000" w:sz="8" w:space="0"/>
            </w:tcBorders>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本年支出</w:t>
            </w:r>
          </w:p>
        </w:tc>
      </w:tr>
      <w:tr>
        <w:tblPrEx>
          <w:tblCellMar>
            <w:top w:w="0" w:type="dxa"/>
            <w:left w:w="108" w:type="dxa"/>
            <w:bottom w:w="0" w:type="dxa"/>
            <w:right w:w="108" w:type="dxa"/>
          </w:tblCellMar>
        </w:tblPrEx>
        <w:trPr>
          <w:trHeight w:val="495" w:hRule="atLeast"/>
          <w:jc w:val="center"/>
        </w:trPr>
        <w:tc>
          <w:tcPr>
            <w:tcW w:w="1200" w:type="dxa"/>
            <w:vMerge w:val="restart"/>
            <w:tcBorders>
              <w:top w:val="single" w:color="auto" w:sz="4" w:space="0"/>
              <w:left w:val="single" w:color="auto" w:sz="8" w:space="0"/>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功能分类科目编码</w:t>
            </w:r>
          </w:p>
        </w:tc>
        <w:tc>
          <w:tcPr>
            <w:tcW w:w="4073"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科目名称</w:t>
            </w:r>
          </w:p>
        </w:tc>
        <w:tc>
          <w:tcPr>
            <w:tcW w:w="2955" w:type="dxa"/>
            <w:vMerge w:val="restart"/>
            <w:tcBorders>
              <w:top w:val="nil"/>
              <w:left w:val="single" w:color="auto" w:sz="4" w:space="0"/>
              <w:bottom w:val="single" w:color="000000" w:sz="4" w:space="0"/>
              <w:right w:val="single" w:color="auto" w:sz="4" w:space="0"/>
            </w:tcBorders>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小计</w:t>
            </w:r>
          </w:p>
        </w:tc>
        <w:tc>
          <w:tcPr>
            <w:tcW w:w="3375" w:type="dxa"/>
            <w:vMerge w:val="restart"/>
            <w:tcBorders>
              <w:top w:val="nil"/>
              <w:left w:val="single" w:color="auto" w:sz="4" w:space="0"/>
              <w:bottom w:val="single" w:color="000000" w:sz="4" w:space="0"/>
              <w:right w:val="single" w:color="auto" w:sz="4" w:space="0"/>
            </w:tcBorders>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基本支出</w:t>
            </w:r>
          </w:p>
        </w:tc>
        <w:tc>
          <w:tcPr>
            <w:tcW w:w="2616" w:type="dxa"/>
            <w:vMerge w:val="restart"/>
            <w:tcBorders>
              <w:top w:val="nil"/>
              <w:left w:val="single" w:color="auto" w:sz="4" w:space="0"/>
              <w:bottom w:val="single" w:color="000000" w:sz="4" w:space="0"/>
              <w:right w:val="single" w:color="auto" w:sz="8" w:space="0"/>
            </w:tcBorders>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项目支出</w:t>
            </w:r>
          </w:p>
        </w:tc>
      </w:tr>
      <w:tr>
        <w:tblPrEx>
          <w:tblCellMar>
            <w:top w:w="0" w:type="dxa"/>
            <w:left w:w="108" w:type="dxa"/>
            <w:bottom w:w="0" w:type="dxa"/>
            <w:right w:w="108" w:type="dxa"/>
          </w:tblCellMar>
        </w:tblPrEx>
        <w:trPr>
          <w:trHeight w:val="360" w:hRule="atLeast"/>
          <w:jc w:val="center"/>
        </w:trPr>
        <w:tc>
          <w:tcPr>
            <w:tcW w:w="1200" w:type="dxa"/>
            <w:vMerge w:val="continue"/>
            <w:tcBorders>
              <w:top w:val="single" w:color="auto" w:sz="4" w:space="0"/>
              <w:left w:val="single" w:color="auto" w:sz="8" w:space="0"/>
              <w:bottom w:val="single" w:color="auto"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4073" w:type="dxa"/>
            <w:vMerge w:val="continue"/>
            <w:tcBorders>
              <w:top w:val="nil"/>
              <w:left w:val="single" w:color="auto" w:sz="4" w:space="0"/>
              <w:bottom w:val="single" w:color="auto"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2955" w:type="dxa"/>
            <w:vMerge w:val="continue"/>
            <w:tcBorders>
              <w:top w:val="nil"/>
              <w:left w:val="single" w:color="auto" w:sz="4" w:space="0"/>
              <w:bottom w:val="single" w:color="000000"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3375" w:type="dxa"/>
            <w:vMerge w:val="continue"/>
            <w:tcBorders>
              <w:top w:val="nil"/>
              <w:left w:val="single" w:color="auto" w:sz="4" w:space="0"/>
              <w:bottom w:val="single" w:color="000000"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2616" w:type="dxa"/>
            <w:vMerge w:val="continue"/>
            <w:tcBorders>
              <w:top w:val="nil"/>
              <w:left w:val="single" w:color="auto" w:sz="4" w:space="0"/>
              <w:bottom w:val="single" w:color="000000" w:sz="4" w:space="0"/>
              <w:right w:val="single" w:color="auto" w:sz="8" w:space="0"/>
            </w:tcBorders>
            <w:vAlign w:val="center"/>
          </w:tcPr>
          <w:p>
            <w:pPr>
              <w:widowControl/>
              <w:jc w:val="left"/>
              <w:rPr>
                <w:rFonts w:ascii="Times New Roman" w:hAnsi="Times New Roman" w:eastAsia="仿宋_GB2312" w:cs="Times New Roman"/>
                <w:kern w:val="0"/>
                <w:szCs w:val="21"/>
              </w:rPr>
            </w:pPr>
          </w:p>
        </w:tc>
      </w:tr>
      <w:tr>
        <w:tblPrEx>
          <w:tblCellMar>
            <w:top w:w="0" w:type="dxa"/>
            <w:left w:w="108" w:type="dxa"/>
            <w:bottom w:w="0" w:type="dxa"/>
            <w:right w:w="108" w:type="dxa"/>
          </w:tblCellMar>
        </w:tblPrEx>
        <w:trPr>
          <w:trHeight w:val="450" w:hRule="atLeast"/>
          <w:jc w:val="center"/>
        </w:trPr>
        <w:tc>
          <w:tcPr>
            <w:tcW w:w="1200" w:type="dxa"/>
            <w:vMerge w:val="continue"/>
            <w:tcBorders>
              <w:top w:val="single" w:color="auto" w:sz="4" w:space="0"/>
              <w:left w:val="single" w:color="auto" w:sz="8" w:space="0"/>
              <w:bottom w:val="single" w:color="auto"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4073" w:type="dxa"/>
            <w:vMerge w:val="continue"/>
            <w:tcBorders>
              <w:top w:val="nil"/>
              <w:left w:val="single" w:color="auto" w:sz="4" w:space="0"/>
              <w:bottom w:val="single" w:color="auto"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2955" w:type="dxa"/>
            <w:vMerge w:val="continue"/>
            <w:tcBorders>
              <w:top w:val="nil"/>
              <w:left w:val="single" w:color="auto" w:sz="4" w:space="0"/>
              <w:bottom w:val="single" w:color="000000"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3375" w:type="dxa"/>
            <w:vMerge w:val="continue"/>
            <w:tcBorders>
              <w:top w:val="nil"/>
              <w:left w:val="single" w:color="auto" w:sz="4" w:space="0"/>
              <w:bottom w:val="single" w:color="000000"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2616" w:type="dxa"/>
            <w:vMerge w:val="continue"/>
            <w:tcBorders>
              <w:top w:val="nil"/>
              <w:left w:val="single" w:color="auto" w:sz="4" w:space="0"/>
              <w:bottom w:val="single" w:color="000000" w:sz="4" w:space="0"/>
              <w:right w:val="single" w:color="auto" w:sz="8" w:space="0"/>
            </w:tcBorders>
            <w:vAlign w:val="center"/>
          </w:tcPr>
          <w:p>
            <w:pPr>
              <w:widowControl/>
              <w:jc w:val="left"/>
              <w:rPr>
                <w:rFonts w:ascii="Times New Roman" w:hAnsi="Times New Roman" w:eastAsia="仿宋_GB2312" w:cs="Times New Roman"/>
                <w:kern w:val="0"/>
                <w:szCs w:val="21"/>
              </w:rPr>
            </w:pPr>
          </w:p>
        </w:tc>
      </w:tr>
      <w:tr>
        <w:tblPrEx>
          <w:tblCellMar>
            <w:top w:w="0" w:type="dxa"/>
            <w:left w:w="108" w:type="dxa"/>
            <w:bottom w:w="0" w:type="dxa"/>
            <w:right w:w="108" w:type="dxa"/>
          </w:tblCellMar>
        </w:tblPrEx>
        <w:trPr>
          <w:trHeight w:val="450" w:hRule="atLeast"/>
          <w:jc w:val="center"/>
        </w:trPr>
        <w:tc>
          <w:tcPr>
            <w:tcW w:w="5273" w:type="dxa"/>
            <w:gridSpan w:val="2"/>
            <w:tcBorders>
              <w:top w:val="single" w:color="auto" w:sz="4" w:space="0"/>
              <w:left w:val="single" w:color="auto" w:sz="8" w:space="0"/>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栏次</w:t>
            </w:r>
          </w:p>
        </w:tc>
        <w:tc>
          <w:tcPr>
            <w:tcW w:w="2955" w:type="dxa"/>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w:t>
            </w:r>
          </w:p>
        </w:tc>
        <w:tc>
          <w:tcPr>
            <w:tcW w:w="3375" w:type="dxa"/>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w:t>
            </w:r>
          </w:p>
        </w:tc>
        <w:tc>
          <w:tcPr>
            <w:tcW w:w="2616" w:type="dxa"/>
            <w:tcBorders>
              <w:top w:val="nil"/>
              <w:left w:val="nil"/>
              <w:bottom w:val="single" w:color="auto" w:sz="4" w:space="0"/>
              <w:right w:val="single" w:color="auto" w:sz="8"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3</w:t>
            </w:r>
          </w:p>
        </w:tc>
      </w:tr>
      <w:tr>
        <w:tblPrEx>
          <w:tblCellMar>
            <w:top w:w="0" w:type="dxa"/>
            <w:left w:w="108" w:type="dxa"/>
            <w:bottom w:w="0" w:type="dxa"/>
            <w:right w:w="108" w:type="dxa"/>
          </w:tblCellMar>
        </w:tblPrEx>
        <w:trPr>
          <w:trHeight w:val="450" w:hRule="atLeast"/>
          <w:jc w:val="center"/>
        </w:trPr>
        <w:tc>
          <w:tcPr>
            <w:tcW w:w="5273" w:type="dxa"/>
            <w:gridSpan w:val="2"/>
            <w:tcBorders>
              <w:top w:val="single" w:color="auto" w:sz="4" w:space="0"/>
              <w:left w:val="single" w:color="auto" w:sz="8" w:space="0"/>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合计</w:t>
            </w:r>
          </w:p>
        </w:tc>
        <w:tc>
          <w:tcPr>
            <w:tcW w:w="295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b/>
                <w:i w:val="0"/>
                <w:color w:val="000000"/>
                <w:kern w:val="0"/>
                <w:sz w:val="22"/>
                <w:szCs w:val="22"/>
                <w:u w:val="none"/>
                <w:lang w:val="en-US" w:eastAsia="zh-CN" w:bidi="ar"/>
              </w:rPr>
              <w:t>1,982.09</w:t>
            </w:r>
          </w:p>
        </w:tc>
        <w:tc>
          <w:tcPr>
            <w:tcW w:w="337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b/>
                <w:i w:val="0"/>
                <w:color w:val="000000"/>
                <w:kern w:val="0"/>
                <w:sz w:val="22"/>
                <w:szCs w:val="22"/>
                <w:u w:val="none"/>
                <w:lang w:val="en-US" w:eastAsia="zh-CN" w:bidi="ar"/>
              </w:rPr>
              <w:t>1,421.57</w:t>
            </w:r>
          </w:p>
        </w:tc>
        <w:tc>
          <w:tcPr>
            <w:tcW w:w="2616"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b/>
                <w:i w:val="0"/>
                <w:color w:val="000000"/>
                <w:kern w:val="0"/>
                <w:sz w:val="22"/>
                <w:szCs w:val="22"/>
                <w:u w:val="none"/>
                <w:lang w:val="en-US" w:eastAsia="zh-CN" w:bidi="ar"/>
              </w:rPr>
              <w:t>560.52</w:t>
            </w:r>
          </w:p>
        </w:tc>
      </w:tr>
      <w:tr>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201</w:t>
            </w:r>
          </w:p>
        </w:tc>
        <w:tc>
          <w:tcPr>
            <w:tcW w:w="4073"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一般公共服务支出</w:t>
            </w:r>
          </w:p>
        </w:tc>
        <w:tc>
          <w:tcPr>
            <w:tcW w:w="295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1,208.24</w:t>
            </w:r>
          </w:p>
        </w:tc>
        <w:tc>
          <w:tcPr>
            <w:tcW w:w="337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974.72</w:t>
            </w:r>
          </w:p>
        </w:tc>
        <w:tc>
          <w:tcPr>
            <w:tcW w:w="2616"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233.52</w:t>
            </w:r>
          </w:p>
        </w:tc>
      </w:tr>
      <w:tr>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20103</w:t>
            </w:r>
          </w:p>
        </w:tc>
        <w:tc>
          <w:tcPr>
            <w:tcW w:w="4073"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政府办公厅（室）及相关机构事务</w:t>
            </w:r>
          </w:p>
        </w:tc>
        <w:tc>
          <w:tcPr>
            <w:tcW w:w="295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252.57</w:t>
            </w:r>
          </w:p>
        </w:tc>
        <w:tc>
          <w:tcPr>
            <w:tcW w:w="337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252.57</w:t>
            </w:r>
          </w:p>
        </w:tc>
        <w:tc>
          <w:tcPr>
            <w:tcW w:w="2616"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2010301</w:t>
            </w:r>
          </w:p>
        </w:tc>
        <w:tc>
          <w:tcPr>
            <w:tcW w:w="4073"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行政运行</w:t>
            </w:r>
          </w:p>
        </w:tc>
        <w:tc>
          <w:tcPr>
            <w:tcW w:w="295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252.57</w:t>
            </w:r>
          </w:p>
        </w:tc>
        <w:tc>
          <w:tcPr>
            <w:tcW w:w="337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252.57</w:t>
            </w:r>
          </w:p>
        </w:tc>
        <w:tc>
          <w:tcPr>
            <w:tcW w:w="2616"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20104</w:t>
            </w:r>
          </w:p>
        </w:tc>
        <w:tc>
          <w:tcPr>
            <w:tcW w:w="4073"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发展与改革事务</w:t>
            </w:r>
          </w:p>
        </w:tc>
        <w:tc>
          <w:tcPr>
            <w:tcW w:w="295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945.58</w:t>
            </w:r>
          </w:p>
        </w:tc>
        <w:tc>
          <w:tcPr>
            <w:tcW w:w="337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722.05</w:t>
            </w:r>
          </w:p>
        </w:tc>
        <w:tc>
          <w:tcPr>
            <w:tcW w:w="2616"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223.54</w:t>
            </w:r>
          </w:p>
        </w:tc>
      </w:tr>
      <w:tr>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2010401</w:t>
            </w:r>
          </w:p>
        </w:tc>
        <w:tc>
          <w:tcPr>
            <w:tcW w:w="4073"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行政运行</w:t>
            </w:r>
          </w:p>
        </w:tc>
        <w:tc>
          <w:tcPr>
            <w:tcW w:w="295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850.58</w:t>
            </w:r>
          </w:p>
        </w:tc>
        <w:tc>
          <w:tcPr>
            <w:tcW w:w="337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627.05</w:t>
            </w:r>
          </w:p>
        </w:tc>
        <w:tc>
          <w:tcPr>
            <w:tcW w:w="2616"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223.54</w:t>
            </w:r>
          </w:p>
        </w:tc>
      </w:tr>
      <w:tr>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2010499</w:t>
            </w:r>
          </w:p>
        </w:tc>
        <w:tc>
          <w:tcPr>
            <w:tcW w:w="4073"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其他发展与改革事务支出</w:t>
            </w:r>
          </w:p>
        </w:tc>
        <w:tc>
          <w:tcPr>
            <w:tcW w:w="295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95.00</w:t>
            </w:r>
          </w:p>
        </w:tc>
        <w:tc>
          <w:tcPr>
            <w:tcW w:w="337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95.00</w:t>
            </w:r>
          </w:p>
        </w:tc>
        <w:tc>
          <w:tcPr>
            <w:tcW w:w="2616"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20113</w:t>
            </w:r>
          </w:p>
        </w:tc>
        <w:tc>
          <w:tcPr>
            <w:tcW w:w="4073"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商贸事务</w:t>
            </w:r>
          </w:p>
        </w:tc>
        <w:tc>
          <w:tcPr>
            <w:tcW w:w="295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10.08</w:t>
            </w:r>
          </w:p>
        </w:tc>
        <w:tc>
          <w:tcPr>
            <w:tcW w:w="337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0.11</w:t>
            </w:r>
          </w:p>
        </w:tc>
        <w:tc>
          <w:tcPr>
            <w:tcW w:w="2616"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9.98</w:t>
            </w:r>
          </w:p>
        </w:tc>
      </w:tr>
      <w:tr>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2011308</w:t>
            </w:r>
          </w:p>
        </w:tc>
        <w:tc>
          <w:tcPr>
            <w:tcW w:w="4073"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招商引资</w:t>
            </w:r>
          </w:p>
        </w:tc>
        <w:tc>
          <w:tcPr>
            <w:tcW w:w="295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9.98</w:t>
            </w:r>
          </w:p>
        </w:tc>
        <w:tc>
          <w:tcPr>
            <w:tcW w:w="337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616"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9.98</w:t>
            </w:r>
          </w:p>
        </w:tc>
      </w:tr>
      <w:tr>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2011350</w:t>
            </w:r>
          </w:p>
        </w:tc>
        <w:tc>
          <w:tcPr>
            <w:tcW w:w="4073"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事业运行</w:t>
            </w:r>
          </w:p>
        </w:tc>
        <w:tc>
          <w:tcPr>
            <w:tcW w:w="295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0.11</w:t>
            </w:r>
          </w:p>
        </w:tc>
        <w:tc>
          <w:tcPr>
            <w:tcW w:w="337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0.11</w:t>
            </w:r>
          </w:p>
        </w:tc>
        <w:tc>
          <w:tcPr>
            <w:tcW w:w="2616"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208</w:t>
            </w:r>
          </w:p>
        </w:tc>
        <w:tc>
          <w:tcPr>
            <w:tcW w:w="4073"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社会保障和就业支出</w:t>
            </w:r>
          </w:p>
        </w:tc>
        <w:tc>
          <w:tcPr>
            <w:tcW w:w="295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218.87</w:t>
            </w:r>
          </w:p>
        </w:tc>
        <w:tc>
          <w:tcPr>
            <w:tcW w:w="337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218.87</w:t>
            </w:r>
          </w:p>
        </w:tc>
        <w:tc>
          <w:tcPr>
            <w:tcW w:w="2616"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20801</w:t>
            </w:r>
          </w:p>
        </w:tc>
        <w:tc>
          <w:tcPr>
            <w:tcW w:w="4073"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人力资源和社会保障管理事务</w:t>
            </w:r>
          </w:p>
        </w:tc>
        <w:tc>
          <w:tcPr>
            <w:tcW w:w="295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1.34</w:t>
            </w:r>
          </w:p>
        </w:tc>
        <w:tc>
          <w:tcPr>
            <w:tcW w:w="337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1.34</w:t>
            </w:r>
          </w:p>
        </w:tc>
        <w:tc>
          <w:tcPr>
            <w:tcW w:w="2616"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2080199</w:t>
            </w:r>
          </w:p>
        </w:tc>
        <w:tc>
          <w:tcPr>
            <w:tcW w:w="4073"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其他人力资源和社会保障管理事务支出</w:t>
            </w:r>
          </w:p>
        </w:tc>
        <w:tc>
          <w:tcPr>
            <w:tcW w:w="295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1.34</w:t>
            </w:r>
          </w:p>
        </w:tc>
        <w:tc>
          <w:tcPr>
            <w:tcW w:w="337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1.34</w:t>
            </w:r>
          </w:p>
        </w:tc>
        <w:tc>
          <w:tcPr>
            <w:tcW w:w="2616"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20805</w:t>
            </w:r>
          </w:p>
        </w:tc>
        <w:tc>
          <w:tcPr>
            <w:tcW w:w="4073"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行政事业单位离退休</w:t>
            </w:r>
          </w:p>
        </w:tc>
        <w:tc>
          <w:tcPr>
            <w:tcW w:w="295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183.68</w:t>
            </w:r>
          </w:p>
        </w:tc>
        <w:tc>
          <w:tcPr>
            <w:tcW w:w="337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183.68</w:t>
            </w:r>
          </w:p>
        </w:tc>
        <w:tc>
          <w:tcPr>
            <w:tcW w:w="2616"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2080505</w:t>
            </w:r>
          </w:p>
        </w:tc>
        <w:tc>
          <w:tcPr>
            <w:tcW w:w="4073"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机关事业单位基本养老保险缴费支出</w:t>
            </w:r>
          </w:p>
        </w:tc>
        <w:tc>
          <w:tcPr>
            <w:tcW w:w="295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142.38</w:t>
            </w:r>
          </w:p>
        </w:tc>
        <w:tc>
          <w:tcPr>
            <w:tcW w:w="337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142.38</w:t>
            </w:r>
          </w:p>
        </w:tc>
        <w:tc>
          <w:tcPr>
            <w:tcW w:w="2616"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2080599</w:t>
            </w:r>
          </w:p>
        </w:tc>
        <w:tc>
          <w:tcPr>
            <w:tcW w:w="4073"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其他行政事业单位离退休支出</w:t>
            </w:r>
          </w:p>
        </w:tc>
        <w:tc>
          <w:tcPr>
            <w:tcW w:w="295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41.30</w:t>
            </w:r>
          </w:p>
        </w:tc>
        <w:tc>
          <w:tcPr>
            <w:tcW w:w="337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41.30</w:t>
            </w:r>
          </w:p>
        </w:tc>
        <w:tc>
          <w:tcPr>
            <w:tcW w:w="2616"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20807</w:t>
            </w:r>
          </w:p>
        </w:tc>
        <w:tc>
          <w:tcPr>
            <w:tcW w:w="4073"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就业补助</w:t>
            </w:r>
          </w:p>
        </w:tc>
        <w:tc>
          <w:tcPr>
            <w:tcW w:w="295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1.65</w:t>
            </w:r>
          </w:p>
        </w:tc>
        <w:tc>
          <w:tcPr>
            <w:tcW w:w="337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1.65</w:t>
            </w:r>
          </w:p>
        </w:tc>
        <w:tc>
          <w:tcPr>
            <w:tcW w:w="2616"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2080799</w:t>
            </w:r>
          </w:p>
        </w:tc>
        <w:tc>
          <w:tcPr>
            <w:tcW w:w="4073"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其他就业补助支出</w:t>
            </w:r>
          </w:p>
        </w:tc>
        <w:tc>
          <w:tcPr>
            <w:tcW w:w="295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1.65</w:t>
            </w:r>
          </w:p>
        </w:tc>
        <w:tc>
          <w:tcPr>
            <w:tcW w:w="337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1.65</w:t>
            </w:r>
          </w:p>
        </w:tc>
        <w:tc>
          <w:tcPr>
            <w:tcW w:w="2616"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20808</w:t>
            </w:r>
          </w:p>
        </w:tc>
        <w:tc>
          <w:tcPr>
            <w:tcW w:w="4073"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抚恤</w:t>
            </w:r>
          </w:p>
        </w:tc>
        <w:tc>
          <w:tcPr>
            <w:tcW w:w="295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32.20</w:t>
            </w:r>
          </w:p>
        </w:tc>
        <w:tc>
          <w:tcPr>
            <w:tcW w:w="337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32.20</w:t>
            </w:r>
          </w:p>
        </w:tc>
        <w:tc>
          <w:tcPr>
            <w:tcW w:w="2616"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2080801</w:t>
            </w:r>
          </w:p>
        </w:tc>
        <w:tc>
          <w:tcPr>
            <w:tcW w:w="4073"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死亡抚恤</w:t>
            </w:r>
          </w:p>
        </w:tc>
        <w:tc>
          <w:tcPr>
            <w:tcW w:w="295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28.72</w:t>
            </w:r>
          </w:p>
        </w:tc>
        <w:tc>
          <w:tcPr>
            <w:tcW w:w="337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28.72</w:t>
            </w:r>
          </w:p>
        </w:tc>
        <w:tc>
          <w:tcPr>
            <w:tcW w:w="2616"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2080803</w:t>
            </w:r>
          </w:p>
        </w:tc>
        <w:tc>
          <w:tcPr>
            <w:tcW w:w="4073"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在乡复员、退伍军人生活补助</w:t>
            </w:r>
          </w:p>
        </w:tc>
        <w:tc>
          <w:tcPr>
            <w:tcW w:w="295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1.16</w:t>
            </w:r>
          </w:p>
        </w:tc>
        <w:tc>
          <w:tcPr>
            <w:tcW w:w="337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1.16</w:t>
            </w:r>
          </w:p>
        </w:tc>
        <w:tc>
          <w:tcPr>
            <w:tcW w:w="2616"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2080899</w:t>
            </w:r>
          </w:p>
        </w:tc>
        <w:tc>
          <w:tcPr>
            <w:tcW w:w="4073"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其他优抚支出</w:t>
            </w:r>
          </w:p>
        </w:tc>
        <w:tc>
          <w:tcPr>
            <w:tcW w:w="295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2.32</w:t>
            </w:r>
          </w:p>
        </w:tc>
        <w:tc>
          <w:tcPr>
            <w:tcW w:w="337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2.32</w:t>
            </w:r>
          </w:p>
        </w:tc>
        <w:tc>
          <w:tcPr>
            <w:tcW w:w="2616"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210</w:t>
            </w:r>
          </w:p>
        </w:tc>
        <w:tc>
          <w:tcPr>
            <w:tcW w:w="4073"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卫生健康支出</w:t>
            </w:r>
          </w:p>
        </w:tc>
        <w:tc>
          <w:tcPr>
            <w:tcW w:w="295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26.87</w:t>
            </w:r>
          </w:p>
        </w:tc>
        <w:tc>
          <w:tcPr>
            <w:tcW w:w="337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26.87</w:t>
            </w:r>
          </w:p>
        </w:tc>
        <w:tc>
          <w:tcPr>
            <w:tcW w:w="2616"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21011</w:t>
            </w:r>
          </w:p>
        </w:tc>
        <w:tc>
          <w:tcPr>
            <w:tcW w:w="4073"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行政事业单位医疗</w:t>
            </w:r>
          </w:p>
        </w:tc>
        <w:tc>
          <w:tcPr>
            <w:tcW w:w="295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26.87</w:t>
            </w:r>
          </w:p>
        </w:tc>
        <w:tc>
          <w:tcPr>
            <w:tcW w:w="337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26.87</w:t>
            </w:r>
          </w:p>
        </w:tc>
        <w:tc>
          <w:tcPr>
            <w:tcW w:w="2616"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2101199</w:t>
            </w:r>
          </w:p>
        </w:tc>
        <w:tc>
          <w:tcPr>
            <w:tcW w:w="4073"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其他行政事业单位医疗支出</w:t>
            </w:r>
          </w:p>
        </w:tc>
        <w:tc>
          <w:tcPr>
            <w:tcW w:w="295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26.87</w:t>
            </w:r>
          </w:p>
        </w:tc>
        <w:tc>
          <w:tcPr>
            <w:tcW w:w="337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26.87</w:t>
            </w:r>
          </w:p>
        </w:tc>
        <w:tc>
          <w:tcPr>
            <w:tcW w:w="2616"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212</w:t>
            </w:r>
          </w:p>
        </w:tc>
        <w:tc>
          <w:tcPr>
            <w:tcW w:w="4073"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城乡社区支出</w:t>
            </w:r>
          </w:p>
        </w:tc>
        <w:tc>
          <w:tcPr>
            <w:tcW w:w="295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16.00</w:t>
            </w:r>
          </w:p>
        </w:tc>
        <w:tc>
          <w:tcPr>
            <w:tcW w:w="337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16.00</w:t>
            </w:r>
          </w:p>
        </w:tc>
        <w:tc>
          <w:tcPr>
            <w:tcW w:w="2616"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21203</w:t>
            </w:r>
          </w:p>
        </w:tc>
        <w:tc>
          <w:tcPr>
            <w:tcW w:w="4073"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城乡社区公共设施</w:t>
            </w:r>
          </w:p>
        </w:tc>
        <w:tc>
          <w:tcPr>
            <w:tcW w:w="295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6.00</w:t>
            </w:r>
          </w:p>
        </w:tc>
        <w:tc>
          <w:tcPr>
            <w:tcW w:w="337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6.00</w:t>
            </w:r>
          </w:p>
        </w:tc>
        <w:tc>
          <w:tcPr>
            <w:tcW w:w="2616"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2120399</w:t>
            </w:r>
          </w:p>
        </w:tc>
        <w:tc>
          <w:tcPr>
            <w:tcW w:w="4073"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其他城乡社区公共设施支出</w:t>
            </w:r>
          </w:p>
        </w:tc>
        <w:tc>
          <w:tcPr>
            <w:tcW w:w="295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6.00</w:t>
            </w:r>
          </w:p>
        </w:tc>
        <w:tc>
          <w:tcPr>
            <w:tcW w:w="337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6.00</w:t>
            </w:r>
          </w:p>
        </w:tc>
        <w:tc>
          <w:tcPr>
            <w:tcW w:w="2616"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21299</w:t>
            </w:r>
          </w:p>
        </w:tc>
        <w:tc>
          <w:tcPr>
            <w:tcW w:w="4073"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其他城乡社区支出</w:t>
            </w:r>
          </w:p>
        </w:tc>
        <w:tc>
          <w:tcPr>
            <w:tcW w:w="295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10.00</w:t>
            </w:r>
          </w:p>
        </w:tc>
        <w:tc>
          <w:tcPr>
            <w:tcW w:w="337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10.00</w:t>
            </w:r>
          </w:p>
        </w:tc>
        <w:tc>
          <w:tcPr>
            <w:tcW w:w="2616"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2129901</w:t>
            </w:r>
          </w:p>
        </w:tc>
        <w:tc>
          <w:tcPr>
            <w:tcW w:w="4073"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2129901</w:t>
            </w:r>
          </w:p>
        </w:tc>
        <w:tc>
          <w:tcPr>
            <w:tcW w:w="295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10.00</w:t>
            </w:r>
          </w:p>
        </w:tc>
        <w:tc>
          <w:tcPr>
            <w:tcW w:w="337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10.00</w:t>
            </w:r>
          </w:p>
        </w:tc>
        <w:tc>
          <w:tcPr>
            <w:tcW w:w="2616"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213</w:t>
            </w:r>
          </w:p>
        </w:tc>
        <w:tc>
          <w:tcPr>
            <w:tcW w:w="4073"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农林水支出</w:t>
            </w:r>
          </w:p>
        </w:tc>
        <w:tc>
          <w:tcPr>
            <w:tcW w:w="295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49.30</w:t>
            </w:r>
          </w:p>
        </w:tc>
        <w:tc>
          <w:tcPr>
            <w:tcW w:w="337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49.30</w:t>
            </w:r>
          </w:p>
        </w:tc>
        <w:tc>
          <w:tcPr>
            <w:tcW w:w="2616"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21305</w:t>
            </w:r>
          </w:p>
        </w:tc>
        <w:tc>
          <w:tcPr>
            <w:tcW w:w="4073"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扶贫</w:t>
            </w:r>
          </w:p>
        </w:tc>
        <w:tc>
          <w:tcPr>
            <w:tcW w:w="295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49.30</w:t>
            </w:r>
          </w:p>
        </w:tc>
        <w:tc>
          <w:tcPr>
            <w:tcW w:w="337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49.30</w:t>
            </w:r>
          </w:p>
        </w:tc>
        <w:tc>
          <w:tcPr>
            <w:tcW w:w="2616"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2130599</w:t>
            </w:r>
          </w:p>
        </w:tc>
        <w:tc>
          <w:tcPr>
            <w:tcW w:w="4073"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其他扶贫支出</w:t>
            </w:r>
          </w:p>
        </w:tc>
        <w:tc>
          <w:tcPr>
            <w:tcW w:w="295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49.30</w:t>
            </w:r>
          </w:p>
        </w:tc>
        <w:tc>
          <w:tcPr>
            <w:tcW w:w="337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49.30</w:t>
            </w:r>
          </w:p>
        </w:tc>
        <w:tc>
          <w:tcPr>
            <w:tcW w:w="2616"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215</w:t>
            </w:r>
          </w:p>
        </w:tc>
        <w:tc>
          <w:tcPr>
            <w:tcW w:w="4073"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资源勘探信息等支出</w:t>
            </w:r>
          </w:p>
        </w:tc>
        <w:tc>
          <w:tcPr>
            <w:tcW w:w="295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337.00</w:t>
            </w:r>
          </w:p>
        </w:tc>
        <w:tc>
          <w:tcPr>
            <w:tcW w:w="337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10.00</w:t>
            </w:r>
          </w:p>
        </w:tc>
        <w:tc>
          <w:tcPr>
            <w:tcW w:w="2616"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327.00</w:t>
            </w:r>
          </w:p>
        </w:tc>
      </w:tr>
      <w:tr>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21505</w:t>
            </w:r>
          </w:p>
        </w:tc>
        <w:tc>
          <w:tcPr>
            <w:tcW w:w="4073"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工业和信息产业监管</w:t>
            </w:r>
          </w:p>
        </w:tc>
        <w:tc>
          <w:tcPr>
            <w:tcW w:w="295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337.00</w:t>
            </w:r>
          </w:p>
        </w:tc>
        <w:tc>
          <w:tcPr>
            <w:tcW w:w="337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10.00</w:t>
            </w:r>
          </w:p>
        </w:tc>
        <w:tc>
          <w:tcPr>
            <w:tcW w:w="2616"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327.00</w:t>
            </w:r>
          </w:p>
        </w:tc>
      </w:tr>
      <w:tr>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2150599</w:t>
            </w:r>
          </w:p>
        </w:tc>
        <w:tc>
          <w:tcPr>
            <w:tcW w:w="4073"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其他工业和信息产业监管支出</w:t>
            </w:r>
          </w:p>
        </w:tc>
        <w:tc>
          <w:tcPr>
            <w:tcW w:w="295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337.00</w:t>
            </w:r>
          </w:p>
        </w:tc>
        <w:tc>
          <w:tcPr>
            <w:tcW w:w="337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10.00</w:t>
            </w:r>
          </w:p>
        </w:tc>
        <w:tc>
          <w:tcPr>
            <w:tcW w:w="2616"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327.00</w:t>
            </w:r>
          </w:p>
        </w:tc>
      </w:tr>
      <w:tr>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222</w:t>
            </w:r>
          </w:p>
        </w:tc>
        <w:tc>
          <w:tcPr>
            <w:tcW w:w="4073"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粮油物资储备支出</w:t>
            </w:r>
          </w:p>
        </w:tc>
        <w:tc>
          <w:tcPr>
            <w:tcW w:w="295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55.82</w:t>
            </w:r>
          </w:p>
        </w:tc>
        <w:tc>
          <w:tcPr>
            <w:tcW w:w="337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55.82</w:t>
            </w:r>
          </w:p>
        </w:tc>
        <w:tc>
          <w:tcPr>
            <w:tcW w:w="2616"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22201</w:t>
            </w:r>
          </w:p>
        </w:tc>
        <w:tc>
          <w:tcPr>
            <w:tcW w:w="4073"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粮油事务</w:t>
            </w:r>
          </w:p>
        </w:tc>
        <w:tc>
          <w:tcPr>
            <w:tcW w:w="295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55.82</w:t>
            </w:r>
          </w:p>
        </w:tc>
        <w:tc>
          <w:tcPr>
            <w:tcW w:w="337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55.82</w:t>
            </w:r>
          </w:p>
        </w:tc>
        <w:tc>
          <w:tcPr>
            <w:tcW w:w="2616"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2220101</w:t>
            </w:r>
          </w:p>
        </w:tc>
        <w:tc>
          <w:tcPr>
            <w:tcW w:w="4073"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行政运行</w:t>
            </w:r>
          </w:p>
        </w:tc>
        <w:tc>
          <w:tcPr>
            <w:tcW w:w="295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55.82</w:t>
            </w:r>
          </w:p>
        </w:tc>
        <w:tc>
          <w:tcPr>
            <w:tcW w:w="337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55.82</w:t>
            </w:r>
          </w:p>
        </w:tc>
        <w:tc>
          <w:tcPr>
            <w:tcW w:w="2616"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229</w:t>
            </w:r>
          </w:p>
        </w:tc>
        <w:tc>
          <w:tcPr>
            <w:tcW w:w="4073"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其他支出</w:t>
            </w:r>
          </w:p>
        </w:tc>
        <w:tc>
          <w:tcPr>
            <w:tcW w:w="295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70.00</w:t>
            </w:r>
          </w:p>
        </w:tc>
        <w:tc>
          <w:tcPr>
            <w:tcW w:w="337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70.00</w:t>
            </w:r>
          </w:p>
        </w:tc>
        <w:tc>
          <w:tcPr>
            <w:tcW w:w="2616"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22999</w:t>
            </w:r>
          </w:p>
        </w:tc>
        <w:tc>
          <w:tcPr>
            <w:tcW w:w="4073"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其他支出</w:t>
            </w:r>
          </w:p>
        </w:tc>
        <w:tc>
          <w:tcPr>
            <w:tcW w:w="295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70.00</w:t>
            </w:r>
          </w:p>
        </w:tc>
        <w:tc>
          <w:tcPr>
            <w:tcW w:w="337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70.00</w:t>
            </w:r>
          </w:p>
        </w:tc>
        <w:tc>
          <w:tcPr>
            <w:tcW w:w="2616"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8"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2299901</w:t>
            </w:r>
          </w:p>
        </w:tc>
        <w:tc>
          <w:tcPr>
            <w:tcW w:w="4073" w:type="dxa"/>
            <w:tcBorders>
              <w:top w:val="nil"/>
              <w:left w:val="nil"/>
              <w:bottom w:val="single" w:color="auto" w:sz="8"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其他支出</w:t>
            </w:r>
          </w:p>
        </w:tc>
        <w:tc>
          <w:tcPr>
            <w:tcW w:w="2955" w:type="dxa"/>
            <w:tcBorders>
              <w:top w:val="nil"/>
              <w:left w:val="nil"/>
              <w:bottom w:val="single" w:color="auto" w:sz="8"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70.00</w:t>
            </w:r>
          </w:p>
        </w:tc>
        <w:tc>
          <w:tcPr>
            <w:tcW w:w="3375" w:type="dxa"/>
            <w:tcBorders>
              <w:top w:val="nil"/>
              <w:left w:val="nil"/>
              <w:bottom w:val="single" w:color="auto" w:sz="8"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70.00</w:t>
            </w:r>
          </w:p>
        </w:tc>
        <w:tc>
          <w:tcPr>
            <w:tcW w:w="2616"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645" w:hRule="atLeast"/>
          <w:jc w:val="center"/>
        </w:trPr>
        <w:tc>
          <w:tcPr>
            <w:tcW w:w="14219" w:type="dxa"/>
            <w:gridSpan w:val="5"/>
            <w:tcBorders>
              <w:top w:val="nil"/>
              <w:left w:val="nil"/>
              <w:bottom w:val="nil"/>
              <w:right w:val="nil"/>
            </w:tcBorders>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注：本表反映部门本年度一般公共预算财政拨款支出情况。</w:t>
            </w:r>
          </w:p>
        </w:tc>
      </w:tr>
    </w:tbl>
    <w:p>
      <w:pPr>
        <w:widowControl/>
        <w:jc w:val="left"/>
        <w:rPr>
          <w:rFonts w:ascii="Times New Roman" w:hAnsi="Times New Roman" w:eastAsia="仿宋_GB2312" w:cs="Times New Roman"/>
          <w:bCs/>
          <w:kern w:val="0"/>
          <w:szCs w:val="21"/>
        </w:rPr>
      </w:pPr>
    </w:p>
    <w:p>
      <w:pPr>
        <w:widowControl/>
        <w:jc w:val="left"/>
        <w:rPr>
          <w:rFonts w:ascii="Times New Roman" w:hAnsi="Times New Roman" w:eastAsia="仿宋_GB2312" w:cs="Times New Roman"/>
          <w:bCs/>
          <w:kern w:val="0"/>
          <w:szCs w:val="21"/>
        </w:rPr>
      </w:pPr>
      <w:r>
        <w:rPr>
          <w:rFonts w:ascii="Times New Roman" w:hAnsi="Times New Roman" w:eastAsia="仿宋_GB2312" w:cs="Times New Roman"/>
          <w:bCs/>
          <w:kern w:val="0"/>
          <w:szCs w:val="21"/>
        </w:rPr>
        <w:br w:type="page"/>
      </w:r>
    </w:p>
    <w:p>
      <w:pPr>
        <w:widowControl/>
        <w:jc w:val="center"/>
        <w:rPr>
          <w:rFonts w:ascii="Times New Roman" w:hAnsi="Times New Roman" w:eastAsia="方正小标宋_GBK" w:cs="Times New Roman"/>
          <w:color w:val="000000"/>
          <w:kern w:val="0"/>
          <w:sz w:val="28"/>
          <w:szCs w:val="36"/>
        </w:rPr>
      </w:pPr>
      <w:bookmarkStart w:id="1" w:name="RANGE!A1:I39"/>
      <w:r>
        <w:rPr>
          <w:rFonts w:ascii="Times New Roman" w:hAnsi="Times New Roman" w:eastAsia="方正小标宋_GBK" w:cs="Times New Roman"/>
          <w:color w:val="000000"/>
          <w:kern w:val="0"/>
          <w:sz w:val="28"/>
          <w:szCs w:val="36"/>
        </w:rPr>
        <w:t>一般公共预算财政拨款基本支出决算表</w:t>
      </w:r>
      <w:bookmarkEnd w:id="1"/>
    </w:p>
    <w:p>
      <w:pPr>
        <w:widowControl/>
        <w:jc w:val="left"/>
        <w:rPr>
          <w:rFonts w:ascii="Times New Roman" w:hAnsi="Times New Roman" w:eastAsia="仿宋_GB2312" w:cs="Times New Roman"/>
          <w:color w:val="000000"/>
          <w:kern w:val="0"/>
          <w:szCs w:val="21"/>
        </w:rPr>
      </w:pPr>
      <w:r>
        <w:rPr>
          <w:rFonts w:ascii="Times New Roman" w:hAnsi="Times New Roman" w:eastAsia="仿宋_GB2312" w:cs="Times New Roman"/>
          <w:color w:val="000000"/>
          <w:kern w:val="0"/>
          <w:szCs w:val="21"/>
        </w:rPr>
        <w:t>部门：</w:t>
      </w:r>
      <w:r>
        <w:rPr>
          <w:rFonts w:hint="eastAsia" w:ascii="Times New Roman" w:hAnsi="Times New Roman" w:eastAsia="仿宋_GB2312" w:cs="Times New Roman"/>
          <w:color w:val="000000"/>
          <w:kern w:val="0"/>
          <w:szCs w:val="21"/>
          <w:lang w:eastAsia="zh-CN"/>
        </w:rPr>
        <w:t>零陵区发改局</w:t>
      </w:r>
      <w:r>
        <w:rPr>
          <w:rFonts w:ascii="Times New Roman" w:hAnsi="Times New Roman" w:eastAsia="仿宋_GB2312" w:cs="Times New Roman"/>
          <w:color w:val="000000"/>
          <w:kern w:val="0"/>
          <w:szCs w:val="21"/>
        </w:rPr>
        <w:t xml:space="preserve">                                                                                                             </w:t>
      </w:r>
      <w:r>
        <w:rPr>
          <w:rFonts w:hint="eastAsia" w:ascii="Times New Roman" w:hAnsi="Times New Roman" w:eastAsia="仿宋_GB2312" w:cs="Times New Roman"/>
          <w:color w:val="000000"/>
          <w:kern w:val="0"/>
          <w:szCs w:val="21"/>
        </w:rPr>
        <w:t xml:space="preserve">         </w:t>
      </w:r>
      <w:r>
        <w:rPr>
          <w:rFonts w:ascii="Times New Roman" w:hAnsi="Times New Roman" w:eastAsia="仿宋_GB2312" w:cs="Times New Roman"/>
          <w:color w:val="000000"/>
          <w:kern w:val="0"/>
          <w:szCs w:val="21"/>
        </w:rPr>
        <w:t>公开06表</w:t>
      </w:r>
    </w:p>
    <w:p>
      <w:pPr>
        <w:widowControl/>
        <w:jc w:val="right"/>
        <w:rPr>
          <w:rFonts w:ascii="Times New Roman" w:hAnsi="Times New Roman" w:eastAsia="仿宋_GB2312" w:cs="Times New Roman"/>
          <w:color w:val="000000"/>
          <w:kern w:val="0"/>
          <w:szCs w:val="21"/>
        </w:rPr>
      </w:pPr>
      <w:r>
        <w:rPr>
          <w:rFonts w:ascii="Times New Roman" w:hAnsi="Times New Roman" w:eastAsia="仿宋_GB2312" w:cs="Times New Roman"/>
          <w:color w:val="000000"/>
          <w:kern w:val="0"/>
          <w:szCs w:val="21"/>
        </w:rPr>
        <w:t>单位：万元</w:t>
      </w:r>
    </w:p>
    <w:tbl>
      <w:tblPr>
        <w:tblStyle w:val="6"/>
        <w:tblW w:w="15900" w:type="dxa"/>
        <w:tblInd w:w="93" w:type="dxa"/>
        <w:tblLayout w:type="fixed"/>
        <w:tblCellMar>
          <w:top w:w="0" w:type="dxa"/>
          <w:left w:w="108" w:type="dxa"/>
          <w:bottom w:w="0" w:type="dxa"/>
          <w:right w:w="108" w:type="dxa"/>
        </w:tblCellMar>
      </w:tblPr>
      <w:tblGrid>
        <w:gridCol w:w="1149"/>
        <w:gridCol w:w="2763"/>
        <w:gridCol w:w="1290"/>
        <w:gridCol w:w="1095"/>
        <w:gridCol w:w="2010"/>
        <w:gridCol w:w="1267"/>
        <w:gridCol w:w="1076"/>
        <w:gridCol w:w="3972"/>
        <w:gridCol w:w="1278"/>
      </w:tblGrid>
      <w:tr>
        <w:tblPrEx>
          <w:tblCellMar>
            <w:top w:w="0" w:type="dxa"/>
            <w:left w:w="108" w:type="dxa"/>
            <w:bottom w:w="0" w:type="dxa"/>
            <w:right w:w="108" w:type="dxa"/>
          </w:tblCellMar>
        </w:tblPrEx>
        <w:trPr>
          <w:trHeight w:val="585" w:hRule="atLeast"/>
        </w:trPr>
        <w:tc>
          <w:tcPr>
            <w:tcW w:w="1149" w:type="dxa"/>
            <w:tcBorders>
              <w:top w:val="single" w:color="auto" w:sz="8" w:space="0"/>
              <w:left w:val="single" w:color="auto" w:sz="8" w:space="0"/>
              <w:bottom w:val="single" w:color="auto" w:sz="8" w:space="0"/>
              <w:right w:val="single" w:color="auto" w:sz="8" w:space="0"/>
            </w:tcBorders>
            <w:shd w:val="clear" w:color="auto" w:fill="auto"/>
            <w:vAlign w:val="center"/>
          </w:tcPr>
          <w:p>
            <w:pPr>
              <w:widowControl/>
              <w:jc w:val="center"/>
              <w:rPr>
                <w:rFonts w:ascii="仿宋_GB2312" w:hAnsi="宋体" w:eastAsia="仿宋_GB2312" w:cs="宋体"/>
                <w:b/>
                <w:bCs/>
                <w:color w:val="000000"/>
                <w:kern w:val="0"/>
                <w:sz w:val="20"/>
                <w:szCs w:val="20"/>
              </w:rPr>
            </w:pPr>
            <w:r>
              <w:rPr>
                <w:rFonts w:hint="eastAsia" w:ascii="仿宋_GB2312" w:hAnsi="宋体" w:eastAsia="仿宋_GB2312" w:cs="宋体"/>
                <w:b/>
                <w:bCs/>
                <w:color w:val="000000"/>
                <w:kern w:val="0"/>
                <w:sz w:val="20"/>
                <w:szCs w:val="20"/>
              </w:rPr>
              <w:t>经济分类科目编码</w:t>
            </w:r>
          </w:p>
        </w:tc>
        <w:tc>
          <w:tcPr>
            <w:tcW w:w="2763" w:type="dxa"/>
            <w:tcBorders>
              <w:top w:val="single" w:color="auto" w:sz="8" w:space="0"/>
              <w:left w:val="nil"/>
              <w:bottom w:val="single" w:color="auto" w:sz="8" w:space="0"/>
              <w:right w:val="single" w:color="auto" w:sz="8" w:space="0"/>
            </w:tcBorders>
            <w:shd w:val="clear" w:color="auto" w:fill="auto"/>
            <w:vAlign w:val="center"/>
          </w:tcPr>
          <w:p>
            <w:pPr>
              <w:widowControl/>
              <w:jc w:val="center"/>
              <w:rPr>
                <w:rFonts w:ascii="仿宋_GB2312" w:hAnsi="宋体" w:eastAsia="仿宋_GB2312" w:cs="宋体"/>
                <w:b/>
                <w:bCs/>
                <w:color w:val="000000"/>
                <w:kern w:val="0"/>
                <w:sz w:val="20"/>
                <w:szCs w:val="20"/>
              </w:rPr>
            </w:pPr>
            <w:r>
              <w:rPr>
                <w:rFonts w:hint="eastAsia" w:ascii="仿宋_GB2312" w:hAnsi="宋体" w:eastAsia="仿宋_GB2312" w:cs="宋体"/>
                <w:b/>
                <w:bCs/>
                <w:color w:val="000000"/>
                <w:kern w:val="0"/>
                <w:sz w:val="20"/>
                <w:szCs w:val="20"/>
              </w:rPr>
              <w:t>科目名称</w:t>
            </w:r>
          </w:p>
        </w:tc>
        <w:tc>
          <w:tcPr>
            <w:tcW w:w="1290" w:type="dxa"/>
            <w:tcBorders>
              <w:top w:val="single" w:color="auto" w:sz="8" w:space="0"/>
              <w:left w:val="nil"/>
              <w:bottom w:val="single" w:color="auto" w:sz="8" w:space="0"/>
              <w:right w:val="single" w:color="auto" w:sz="8" w:space="0"/>
            </w:tcBorders>
            <w:shd w:val="clear" w:color="auto" w:fill="auto"/>
            <w:vAlign w:val="center"/>
          </w:tcPr>
          <w:p>
            <w:pPr>
              <w:widowControl/>
              <w:jc w:val="center"/>
              <w:rPr>
                <w:rFonts w:ascii="仿宋_GB2312" w:hAnsi="宋体" w:eastAsia="仿宋_GB2312" w:cs="宋体"/>
                <w:b/>
                <w:bCs/>
                <w:color w:val="000000"/>
                <w:kern w:val="0"/>
                <w:sz w:val="20"/>
                <w:szCs w:val="20"/>
              </w:rPr>
            </w:pPr>
            <w:r>
              <w:rPr>
                <w:rFonts w:hint="eastAsia" w:ascii="仿宋_GB2312" w:hAnsi="宋体" w:eastAsia="仿宋_GB2312" w:cs="宋体"/>
                <w:b/>
                <w:bCs/>
                <w:color w:val="000000"/>
                <w:kern w:val="0"/>
                <w:sz w:val="20"/>
                <w:szCs w:val="20"/>
              </w:rPr>
              <w:t>决算数</w:t>
            </w:r>
          </w:p>
        </w:tc>
        <w:tc>
          <w:tcPr>
            <w:tcW w:w="1095" w:type="dxa"/>
            <w:tcBorders>
              <w:top w:val="single" w:color="auto" w:sz="8" w:space="0"/>
              <w:left w:val="nil"/>
              <w:bottom w:val="single" w:color="auto" w:sz="8" w:space="0"/>
              <w:right w:val="single" w:color="auto" w:sz="8" w:space="0"/>
            </w:tcBorders>
            <w:shd w:val="clear" w:color="auto" w:fill="auto"/>
            <w:vAlign w:val="center"/>
          </w:tcPr>
          <w:p>
            <w:pPr>
              <w:widowControl/>
              <w:jc w:val="center"/>
              <w:rPr>
                <w:rFonts w:ascii="仿宋_GB2312" w:hAnsi="宋体" w:eastAsia="仿宋_GB2312" w:cs="宋体"/>
                <w:b/>
                <w:bCs/>
                <w:color w:val="000000"/>
                <w:kern w:val="0"/>
                <w:sz w:val="20"/>
                <w:szCs w:val="20"/>
              </w:rPr>
            </w:pPr>
            <w:r>
              <w:rPr>
                <w:rFonts w:hint="eastAsia" w:ascii="仿宋_GB2312" w:hAnsi="宋体" w:eastAsia="仿宋_GB2312" w:cs="宋体"/>
                <w:b/>
                <w:bCs/>
                <w:color w:val="000000"/>
                <w:kern w:val="0"/>
                <w:sz w:val="20"/>
                <w:szCs w:val="20"/>
              </w:rPr>
              <w:t>经济分类科目编码</w:t>
            </w:r>
          </w:p>
        </w:tc>
        <w:tc>
          <w:tcPr>
            <w:tcW w:w="2010" w:type="dxa"/>
            <w:tcBorders>
              <w:top w:val="single" w:color="auto" w:sz="8" w:space="0"/>
              <w:left w:val="nil"/>
              <w:bottom w:val="single" w:color="auto" w:sz="8" w:space="0"/>
              <w:right w:val="single" w:color="auto" w:sz="8" w:space="0"/>
            </w:tcBorders>
            <w:shd w:val="clear" w:color="auto" w:fill="auto"/>
            <w:vAlign w:val="center"/>
          </w:tcPr>
          <w:p>
            <w:pPr>
              <w:widowControl/>
              <w:jc w:val="center"/>
              <w:rPr>
                <w:rFonts w:ascii="仿宋_GB2312" w:hAnsi="宋体" w:eastAsia="仿宋_GB2312" w:cs="宋体"/>
                <w:b/>
                <w:bCs/>
                <w:color w:val="000000"/>
                <w:kern w:val="0"/>
                <w:sz w:val="20"/>
                <w:szCs w:val="20"/>
              </w:rPr>
            </w:pPr>
            <w:r>
              <w:rPr>
                <w:rFonts w:hint="eastAsia" w:ascii="仿宋_GB2312" w:hAnsi="宋体" w:eastAsia="仿宋_GB2312" w:cs="宋体"/>
                <w:b/>
                <w:bCs/>
                <w:color w:val="000000"/>
                <w:kern w:val="0"/>
                <w:sz w:val="20"/>
                <w:szCs w:val="20"/>
              </w:rPr>
              <w:t>科目名称</w:t>
            </w:r>
          </w:p>
        </w:tc>
        <w:tc>
          <w:tcPr>
            <w:tcW w:w="1267" w:type="dxa"/>
            <w:tcBorders>
              <w:top w:val="single" w:color="auto" w:sz="8" w:space="0"/>
              <w:left w:val="nil"/>
              <w:bottom w:val="single" w:color="auto" w:sz="8" w:space="0"/>
              <w:right w:val="single" w:color="auto" w:sz="8" w:space="0"/>
            </w:tcBorders>
            <w:shd w:val="clear" w:color="auto" w:fill="auto"/>
            <w:vAlign w:val="center"/>
          </w:tcPr>
          <w:p>
            <w:pPr>
              <w:widowControl/>
              <w:jc w:val="center"/>
              <w:rPr>
                <w:rFonts w:ascii="仿宋_GB2312" w:hAnsi="宋体" w:eastAsia="仿宋_GB2312" w:cs="宋体"/>
                <w:b/>
                <w:bCs/>
                <w:color w:val="000000"/>
                <w:kern w:val="0"/>
                <w:sz w:val="20"/>
                <w:szCs w:val="20"/>
              </w:rPr>
            </w:pPr>
            <w:r>
              <w:rPr>
                <w:rFonts w:hint="eastAsia" w:ascii="仿宋_GB2312" w:hAnsi="宋体" w:eastAsia="仿宋_GB2312" w:cs="宋体"/>
                <w:b/>
                <w:bCs/>
                <w:color w:val="000000"/>
                <w:kern w:val="0"/>
                <w:sz w:val="20"/>
                <w:szCs w:val="20"/>
              </w:rPr>
              <w:t>决算数</w:t>
            </w:r>
          </w:p>
        </w:tc>
        <w:tc>
          <w:tcPr>
            <w:tcW w:w="1076" w:type="dxa"/>
            <w:tcBorders>
              <w:top w:val="single" w:color="auto" w:sz="8" w:space="0"/>
              <w:left w:val="nil"/>
              <w:bottom w:val="single" w:color="auto" w:sz="8" w:space="0"/>
              <w:right w:val="single" w:color="auto" w:sz="8" w:space="0"/>
            </w:tcBorders>
            <w:shd w:val="clear" w:color="auto" w:fill="auto"/>
            <w:vAlign w:val="center"/>
          </w:tcPr>
          <w:p>
            <w:pPr>
              <w:widowControl/>
              <w:jc w:val="center"/>
              <w:rPr>
                <w:rFonts w:ascii="仿宋_GB2312" w:hAnsi="宋体" w:eastAsia="仿宋_GB2312" w:cs="宋体"/>
                <w:b/>
                <w:bCs/>
                <w:color w:val="000000"/>
                <w:kern w:val="0"/>
                <w:sz w:val="20"/>
                <w:szCs w:val="20"/>
              </w:rPr>
            </w:pPr>
            <w:r>
              <w:rPr>
                <w:rFonts w:hint="eastAsia" w:ascii="仿宋_GB2312" w:hAnsi="宋体" w:eastAsia="仿宋_GB2312" w:cs="宋体"/>
                <w:b/>
                <w:bCs/>
                <w:color w:val="000000"/>
                <w:kern w:val="0"/>
                <w:sz w:val="20"/>
                <w:szCs w:val="20"/>
              </w:rPr>
              <w:t>经济分类科目编码</w:t>
            </w:r>
          </w:p>
        </w:tc>
        <w:tc>
          <w:tcPr>
            <w:tcW w:w="3972" w:type="dxa"/>
            <w:tcBorders>
              <w:top w:val="single" w:color="auto" w:sz="8" w:space="0"/>
              <w:left w:val="nil"/>
              <w:bottom w:val="single" w:color="auto" w:sz="8" w:space="0"/>
              <w:right w:val="single" w:color="auto" w:sz="8" w:space="0"/>
            </w:tcBorders>
            <w:shd w:val="clear" w:color="auto" w:fill="auto"/>
            <w:vAlign w:val="center"/>
          </w:tcPr>
          <w:p>
            <w:pPr>
              <w:widowControl/>
              <w:jc w:val="center"/>
              <w:rPr>
                <w:rFonts w:ascii="仿宋_GB2312" w:hAnsi="宋体" w:eastAsia="仿宋_GB2312" w:cs="宋体"/>
                <w:b/>
                <w:bCs/>
                <w:color w:val="000000"/>
                <w:kern w:val="0"/>
                <w:sz w:val="20"/>
                <w:szCs w:val="20"/>
              </w:rPr>
            </w:pPr>
            <w:r>
              <w:rPr>
                <w:rFonts w:hint="eastAsia" w:ascii="仿宋_GB2312" w:hAnsi="宋体" w:eastAsia="仿宋_GB2312" w:cs="宋体"/>
                <w:b/>
                <w:bCs/>
                <w:color w:val="000000"/>
                <w:kern w:val="0"/>
                <w:sz w:val="20"/>
                <w:szCs w:val="20"/>
              </w:rPr>
              <w:t>科目名称</w:t>
            </w:r>
          </w:p>
        </w:tc>
        <w:tc>
          <w:tcPr>
            <w:tcW w:w="1278" w:type="dxa"/>
            <w:tcBorders>
              <w:top w:val="single" w:color="auto" w:sz="8" w:space="0"/>
              <w:left w:val="nil"/>
              <w:bottom w:val="single" w:color="auto" w:sz="8" w:space="0"/>
              <w:right w:val="single" w:color="auto" w:sz="8" w:space="0"/>
            </w:tcBorders>
            <w:shd w:val="clear" w:color="auto" w:fill="auto"/>
            <w:vAlign w:val="center"/>
          </w:tcPr>
          <w:p>
            <w:pPr>
              <w:widowControl/>
              <w:jc w:val="center"/>
              <w:rPr>
                <w:rFonts w:ascii="仿宋_GB2312" w:hAnsi="宋体" w:eastAsia="仿宋_GB2312" w:cs="宋体"/>
                <w:b/>
                <w:bCs/>
                <w:color w:val="000000"/>
                <w:kern w:val="0"/>
                <w:sz w:val="20"/>
                <w:szCs w:val="20"/>
              </w:rPr>
            </w:pPr>
            <w:r>
              <w:rPr>
                <w:rFonts w:hint="eastAsia" w:ascii="仿宋_GB2312" w:hAnsi="宋体" w:eastAsia="仿宋_GB2312" w:cs="宋体"/>
                <w:b/>
                <w:bCs/>
                <w:color w:val="000000"/>
                <w:kern w:val="0"/>
                <w:sz w:val="20"/>
                <w:szCs w:val="20"/>
              </w:rPr>
              <w:t>决算数</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301</w:t>
            </w:r>
          </w:p>
        </w:tc>
        <w:tc>
          <w:tcPr>
            <w:tcW w:w="2763" w:type="dxa"/>
            <w:tcBorders>
              <w:top w:val="nil"/>
              <w:left w:val="nil"/>
              <w:bottom w:val="single" w:color="auto" w:sz="8" w:space="0"/>
              <w:right w:val="single" w:color="auto" w:sz="8" w:space="0"/>
            </w:tcBorders>
            <w:shd w:val="clear" w:color="auto" w:fill="auto"/>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工资福利支出</w:t>
            </w:r>
          </w:p>
        </w:tc>
        <w:tc>
          <w:tcPr>
            <w:tcW w:w="1290"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1,013.14</w:t>
            </w:r>
          </w:p>
        </w:tc>
        <w:tc>
          <w:tcPr>
            <w:tcW w:w="1095"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w:t>
            </w:r>
          </w:p>
        </w:tc>
        <w:tc>
          <w:tcPr>
            <w:tcW w:w="2010" w:type="dxa"/>
            <w:tcBorders>
              <w:top w:val="nil"/>
              <w:left w:val="nil"/>
              <w:bottom w:val="single" w:color="auto" w:sz="8" w:space="0"/>
              <w:right w:val="single" w:color="auto" w:sz="8" w:space="0"/>
            </w:tcBorders>
            <w:shd w:val="clear" w:color="auto" w:fill="auto"/>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商品和服务支出</w:t>
            </w:r>
          </w:p>
        </w:tc>
        <w:tc>
          <w:tcPr>
            <w:tcW w:w="1267"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303.41</w:t>
            </w:r>
          </w:p>
        </w:tc>
        <w:tc>
          <w:tcPr>
            <w:tcW w:w="1076"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307</w:t>
            </w:r>
          </w:p>
        </w:tc>
        <w:tc>
          <w:tcPr>
            <w:tcW w:w="3972" w:type="dxa"/>
            <w:tcBorders>
              <w:top w:val="nil"/>
              <w:left w:val="nil"/>
              <w:bottom w:val="single" w:color="auto" w:sz="8" w:space="0"/>
              <w:right w:val="single" w:color="auto" w:sz="8" w:space="0"/>
            </w:tcBorders>
            <w:shd w:val="clear" w:color="auto" w:fill="auto"/>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债务利息及费用支出</w:t>
            </w:r>
          </w:p>
        </w:tc>
        <w:tc>
          <w:tcPr>
            <w:tcW w:w="1278"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30101</w:t>
            </w:r>
          </w:p>
        </w:tc>
        <w:tc>
          <w:tcPr>
            <w:tcW w:w="2763"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基本工资</w:t>
            </w:r>
          </w:p>
        </w:tc>
        <w:tc>
          <w:tcPr>
            <w:tcW w:w="1290"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196.90</w:t>
            </w:r>
          </w:p>
        </w:tc>
        <w:tc>
          <w:tcPr>
            <w:tcW w:w="1095"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30201</w:t>
            </w:r>
          </w:p>
        </w:tc>
        <w:tc>
          <w:tcPr>
            <w:tcW w:w="2010"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办公费</w:t>
            </w:r>
          </w:p>
        </w:tc>
        <w:tc>
          <w:tcPr>
            <w:tcW w:w="1267"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19.13</w:t>
            </w:r>
          </w:p>
        </w:tc>
        <w:tc>
          <w:tcPr>
            <w:tcW w:w="1076"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30701</w:t>
            </w:r>
          </w:p>
        </w:tc>
        <w:tc>
          <w:tcPr>
            <w:tcW w:w="3972"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国内债务付息</w:t>
            </w:r>
          </w:p>
        </w:tc>
        <w:tc>
          <w:tcPr>
            <w:tcW w:w="1278"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30102</w:t>
            </w:r>
          </w:p>
        </w:tc>
        <w:tc>
          <w:tcPr>
            <w:tcW w:w="2763"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津贴补贴</w:t>
            </w:r>
          </w:p>
        </w:tc>
        <w:tc>
          <w:tcPr>
            <w:tcW w:w="1290"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155.45</w:t>
            </w:r>
          </w:p>
        </w:tc>
        <w:tc>
          <w:tcPr>
            <w:tcW w:w="1095"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30202</w:t>
            </w:r>
          </w:p>
        </w:tc>
        <w:tc>
          <w:tcPr>
            <w:tcW w:w="2010"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印刷费</w:t>
            </w:r>
          </w:p>
        </w:tc>
        <w:tc>
          <w:tcPr>
            <w:tcW w:w="1267"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2.85</w:t>
            </w:r>
          </w:p>
        </w:tc>
        <w:tc>
          <w:tcPr>
            <w:tcW w:w="1076"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30702</w:t>
            </w:r>
          </w:p>
        </w:tc>
        <w:tc>
          <w:tcPr>
            <w:tcW w:w="3972"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国外债务付息</w:t>
            </w:r>
          </w:p>
        </w:tc>
        <w:tc>
          <w:tcPr>
            <w:tcW w:w="1278"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30103</w:t>
            </w:r>
          </w:p>
        </w:tc>
        <w:tc>
          <w:tcPr>
            <w:tcW w:w="2763"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奖金</w:t>
            </w:r>
          </w:p>
        </w:tc>
        <w:tc>
          <w:tcPr>
            <w:tcW w:w="1290"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456.51</w:t>
            </w:r>
          </w:p>
        </w:tc>
        <w:tc>
          <w:tcPr>
            <w:tcW w:w="1095"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30203</w:t>
            </w:r>
          </w:p>
        </w:tc>
        <w:tc>
          <w:tcPr>
            <w:tcW w:w="2010"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咨询费</w:t>
            </w:r>
          </w:p>
        </w:tc>
        <w:tc>
          <w:tcPr>
            <w:tcW w:w="1267"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135.00</w:t>
            </w:r>
          </w:p>
        </w:tc>
        <w:tc>
          <w:tcPr>
            <w:tcW w:w="1076"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310</w:t>
            </w:r>
          </w:p>
        </w:tc>
        <w:tc>
          <w:tcPr>
            <w:tcW w:w="3972" w:type="dxa"/>
            <w:tcBorders>
              <w:top w:val="nil"/>
              <w:left w:val="nil"/>
              <w:bottom w:val="single" w:color="auto" w:sz="8" w:space="0"/>
              <w:right w:val="single" w:color="auto" w:sz="8" w:space="0"/>
            </w:tcBorders>
            <w:shd w:val="clear" w:color="auto" w:fill="auto"/>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资本性支出</w:t>
            </w:r>
          </w:p>
        </w:tc>
        <w:tc>
          <w:tcPr>
            <w:tcW w:w="1278"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9.93</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30106</w:t>
            </w:r>
          </w:p>
        </w:tc>
        <w:tc>
          <w:tcPr>
            <w:tcW w:w="2763"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伙食补助费</w:t>
            </w:r>
          </w:p>
        </w:tc>
        <w:tc>
          <w:tcPr>
            <w:tcW w:w="1290"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12.54</w:t>
            </w:r>
          </w:p>
        </w:tc>
        <w:tc>
          <w:tcPr>
            <w:tcW w:w="1095"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30204</w:t>
            </w:r>
          </w:p>
        </w:tc>
        <w:tc>
          <w:tcPr>
            <w:tcW w:w="2010"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手续费</w:t>
            </w:r>
          </w:p>
        </w:tc>
        <w:tc>
          <w:tcPr>
            <w:tcW w:w="1267"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c>
          <w:tcPr>
            <w:tcW w:w="1076"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31001</w:t>
            </w:r>
          </w:p>
        </w:tc>
        <w:tc>
          <w:tcPr>
            <w:tcW w:w="3972"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房屋建筑物购建</w:t>
            </w:r>
          </w:p>
        </w:tc>
        <w:tc>
          <w:tcPr>
            <w:tcW w:w="1278"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30107</w:t>
            </w:r>
          </w:p>
        </w:tc>
        <w:tc>
          <w:tcPr>
            <w:tcW w:w="2763"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绩效工资</w:t>
            </w:r>
          </w:p>
        </w:tc>
        <w:tc>
          <w:tcPr>
            <w:tcW w:w="1290"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c>
          <w:tcPr>
            <w:tcW w:w="1095"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30205</w:t>
            </w:r>
          </w:p>
        </w:tc>
        <w:tc>
          <w:tcPr>
            <w:tcW w:w="2010"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水费</w:t>
            </w:r>
          </w:p>
        </w:tc>
        <w:tc>
          <w:tcPr>
            <w:tcW w:w="1267"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1.68</w:t>
            </w:r>
          </w:p>
        </w:tc>
        <w:tc>
          <w:tcPr>
            <w:tcW w:w="1076"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31002</w:t>
            </w:r>
          </w:p>
        </w:tc>
        <w:tc>
          <w:tcPr>
            <w:tcW w:w="3972"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办公设备购置</w:t>
            </w:r>
          </w:p>
        </w:tc>
        <w:tc>
          <w:tcPr>
            <w:tcW w:w="1278"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7.83</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30108</w:t>
            </w:r>
          </w:p>
        </w:tc>
        <w:tc>
          <w:tcPr>
            <w:tcW w:w="2763"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机关事业单位基本养老保险费</w:t>
            </w:r>
          </w:p>
        </w:tc>
        <w:tc>
          <w:tcPr>
            <w:tcW w:w="1290"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115.39</w:t>
            </w:r>
          </w:p>
        </w:tc>
        <w:tc>
          <w:tcPr>
            <w:tcW w:w="1095"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30206</w:t>
            </w:r>
          </w:p>
        </w:tc>
        <w:tc>
          <w:tcPr>
            <w:tcW w:w="2010"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电费</w:t>
            </w:r>
          </w:p>
        </w:tc>
        <w:tc>
          <w:tcPr>
            <w:tcW w:w="1267"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2.77</w:t>
            </w:r>
          </w:p>
        </w:tc>
        <w:tc>
          <w:tcPr>
            <w:tcW w:w="1076"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31003</w:t>
            </w:r>
          </w:p>
        </w:tc>
        <w:tc>
          <w:tcPr>
            <w:tcW w:w="3972"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专用设备购置</w:t>
            </w:r>
          </w:p>
        </w:tc>
        <w:tc>
          <w:tcPr>
            <w:tcW w:w="1278"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2.10</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30109</w:t>
            </w:r>
          </w:p>
        </w:tc>
        <w:tc>
          <w:tcPr>
            <w:tcW w:w="2763"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职业年金缴费</w:t>
            </w:r>
          </w:p>
        </w:tc>
        <w:tc>
          <w:tcPr>
            <w:tcW w:w="1290"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c>
          <w:tcPr>
            <w:tcW w:w="1095"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30207</w:t>
            </w:r>
          </w:p>
        </w:tc>
        <w:tc>
          <w:tcPr>
            <w:tcW w:w="2010"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邮电费</w:t>
            </w:r>
          </w:p>
        </w:tc>
        <w:tc>
          <w:tcPr>
            <w:tcW w:w="1267"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1.73</w:t>
            </w:r>
          </w:p>
        </w:tc>
        <w:tc>
          <w:tcPr>
            <w:tcW w:w="1076"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31005</w:t>
            </w:r>
          </w:p>
        </w:tc>
        <w:tc>
          <w:tcPr>
            <w:tcW w:w="3972"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基础设施建设</w:t>
            </w:r>
          </w:p>
        </w:tc>
        <w:tc>
          <w:tcPr>
            <w:tcW w:w="1278"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30110</w:t>
            </w:r>
          </w:p>
        </w:tc>
        <w:tc>
          <w:tcPr>
            <w:tcW w:w="2763"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职工基本医疗保险缴费</w:t>
            </w:r>
          </w:p>
        </w:tc>
        <w:tc>
          <w:tcPr>
            <w:tcW w:w="1290"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25.33</w:t>
            </w:r>
          </w:p>
        </w:tc>
        <w:tc>
          <w:tcPr>
            <w:tcW w:w="1095"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30208</w:t>
            </w:r>
          </w:p>
        </w:tc>
        <w:tc>
          <w:tcPr>
            <w:tcW w:w="2010"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取暖费</w:t>
            </w:r>
          </w:p>
        </w:tc>
        <w:tc>
          <w:tcPr>
            <w:tcW w:w="1267"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c>
          <w:tcPr>
            <w:tcW w:w="1076"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31006</w:t>
            </w:r>
          </w:p>
        </w:tc>
        <w:tc>
          <w:tcPr>
            <w:tcW w:w="3972"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大型修缮</w:t>
            </w:r>
          </w:p>
        </w:tc>
        <w:tc>
          <w:tcPr>
            <w:tcW w:w="1278"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30111</w:t>
            </w:r>
          </w:p>
        </w:tc>
        <w:tc>
          <w:tcPr>
            <w:tcW w:w="2763"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公务员医疗补助缴费</w:t>
            </w:r>
          </w:p>
        </w:tc>
        <w:tc>
          <w:tcPr>
            <w:tcW w:w="1290"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26.87</w:t>
            </w:r>
          </w:p>
        </w:tc>
        <w:tc>
          <w:tcPr>
            <w:tcW w:w="1095"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30209</w:t>
            </w:r>
          </w:p>
        </w:tc>
        <w:tc>
          <w:tcPr>
            <w:tcW w:w="2010"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物业管理费</w:t>
            </w:r>
          </w:p>
        </w:tc>
        <w:tc>
          <w:tcPr>
            <w:tcW w:w="1267"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1.54</w:t>
            </w:r>
          </w:p>
        </w:tc>
        <w:tc>
          <w:tcPr>
            <w:tcW w:w="1076"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31007</w:t>
            </w:r>
          </w:p>
        </w:tc>
        <w:tc>
          <w:tcPr>
            <w:tcW w:w="3972"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信息网络及软件购置更新</w:t>
            </w:r>
          </w:p>
        </w:tc>
        <w:tc>
          <w:tcPr>
            <w:tcW w:w="1278"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30112</w:t>
            </w:r>
          </w:p>
        </w:tc>
        <w:tc>
          <w:tcPr>
            <w:tcW w:w="2763"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其他社会保障缴费</w:t>
            </w:r>
          </w:p>
        </w:tc>
        <w:tc>
          <w:tcPr>
            <w:tcW w:w="1290"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1.66</w:t>
            </w:r>
          </w:p>
        </w:tc>
        <w:tc>
          <w:tcPr>
            <w:tcW w:w="1095"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30211</w:t>
            </w:r>
          </w:p>
        </w:tc>
        <w:tc>
          <w:tcPr>
            <w:tcW w:w="2010"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差旅费</w:t>
            </w:r>
          </w:p>
        </w:tc>
        <w:tc>
          <w:tcPr>
            <w:tcW w:w="1267"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12.45</w:t>
            </w:r>
          </w:p>
        </w:tc>
        <w:tc>
          <w:tcPr>
            <w:tcW w:w="1076"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31008</w:t>
            </w:r>
          </w:p>
        </w:tc>
        <w:tc>
          <w:tcPr>
            <w:tcW w:w="3972"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物资储备</w:t>
            </w:r>
          </w:p>
        </w:tc>
        <w:tc>
          <w:tcPr>
            <w:tcW w:w="1278"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30113</w:t>
            </w:r>
          </w:p>
        </w:tc>
        <w:tc>
          <w:tcPr>
            <w:tcW w:w="2763"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住房公积金</w:t>
            </w:r>
          </w:p>
        </w:tc>
        <w:tc>
          <w:tcPr>
            <w:tcW w:w="1290"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c>
          <w:tcPr>
            <w:tcW w:w="1095"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30212</w:t>
            </w:r>
          </w:p>
        </w:tc>
        <w:tc>
          <w:tcPr>
            <w:tcW w:w="2010"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因公出国（境）费用</w:t>
            </w:r>
          </w:p>
        </w:tc>
        <w:tc>
          <w:tcPr>
            <w:tcW w:w="1267"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c>
          <w:tcPr>
            <w:tcW w:w="1076"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31009</w:t>
            </w:r>
          </w:p>
        </w:tc>
        <w:tc>
          <w:tcPr>
            <w:tcW w:w="3972"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土地补偿</w:t>
            </w:r>
          </w:p>
        </w:tc>
        <w:tc>
          <w:tcPr>
            <w:tcW w:w="1278"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30114</w:t>
            </w:r>
          </w:p>
        </w:tc>
        <w:tc>
          <w:tcPr>
            <w:tcW w:w="2763"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医疗费</w:t>
            </w:r>
          </w:p>
        </w:tc>
        <w:tc>
          <w:tcPr>
            <w:tcW w:w="1290"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c>
          <w:tcPr>
            <w:tcW w:w="1095"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30213</w:t>
            </w:r>
          </w:p>
        </w:tc>
        <w:tc>
          <w:tcPr>
            <w:tcW w:w="2010"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维修（护）费</w:t>
            </w:r>
          </w:p>
        </w:tc>
        <w:tc>
          <w:tcPr>
            <w:tcW w:w="1267"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16.13</w:t>
            </w:r>
          </w:p>
        </w:tc>
        <w:tc>
          <w:tcPr>
            <w:tcW w:w="1076"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31010</w:t>
            </w:r>
          </w:p>
        </w:tc>
        <w:tc>
          <w:tcPr>
            <w:tcW w:w="3972"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安置补助</w:t>
            </w:r>
          </w:p>
        </w:tc>
        <w:tc>
          <w:tcPr>
            <w:tcW w:w="1278"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30199</w:t>
            </w:r>
          </w:p>
        </w:tc>
        <w:tc>
          <w:tcPr>
            <w:tcW w:w="2763"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其他工资福利支出</w:t>
            </w:r>
          </w:p>
        </w:tc>
        <w:tc>
          <w:tcPr>
            <w:tcW w:w="1290"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22.50</w:t>
            </w:r>
          </w:p>
        </w:tc>
        <w:tc>
          <w:tcPr>
            <w:tcW w:w="1095"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30214</w:t>
            </w:r>
          </w:p>
        </w:tc>
        <w:tc>
          <w:tcPr>
            <w:tcW w:w="2010"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租赁费</w:t>
            </w:r>
          </w:p>
        </w:tc>
        <w:tc>
          <w:tcPr>
            <w:tcW w:w="1267"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c>
          <w:tcPr>
            <w:tcW w:w="1076"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31011</w:t>
            </w:r>
          </w:p>
        </w:tc>
        <w:tc>
          <w:tcPr>
            <w:tcW w:w="3972"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地上附着物和青苗补偿</w:t>
            </w:r>
          </w:p>
        </w:tc>
        <w:tc>
          <w:tcPr>
            <w:tcW w:w="1278"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303</w:t>
            </w:r>
          </w:p>
        </w:tc>
        <w:tc>
          <w:tcPr>
            <w:tcW w:w="2763" w:type="dxa"/>
            <w:tcBorders>
              <w:top w:val="nil"/>
              <w:left w:val="nil"/>
              <w:bottom w:val="single" w:color="auto" w:sz="8" w:space="0"/>
              <w:right w:val="single" w:color="auto" w:sz="8" w:space="0"/>
            </w:tcBorders>
            <w:shd w:val="clear" w:color="auto" w:fill="auto"/>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对个人和家庭的补助</w:t>
            </w:r>
          </w:p>
        </w:tc>
        <w:tc>
          <w:tcPr>
            <w:tcW w:w="1290"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95.09</w:t>
            </w:r>
          </w:p>
        </w:tc>
        <w:tc>
          <w:tcPr>
            <w:tcW w:w="1095"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30215</w:t>
            </w:r>
          </w:p>
        </w:tc>
        <w:tc>
          <w:tcPr>
            <w:tcW w:w="2010"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会议费</w:t>
            </w:r>
          </w:p>
        </w:tc>
        <w:tc>
          <w:tcPr>
            <w:tcW w:w="1267"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c>
          <w:tcPr>
            <w:tcW w:w="1076"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31012</w:t>
            </w:r>
          </w:p>
        </w:tc>
        <w:tc>
          <w:tcPr>
            <w:tcW w:w="3972"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拆迁补偿</w:t>
            </w:r>
          </w:p>
        </w:tc>
        <w:tc>
          <w:tcPr>
            <w:tcW w:w="1278"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30301</w:t>
            </w:r>
          </w:p>
        </w:tc>
        <w:tc>
          <w:tcPr>
            <w:tcW w:w="2763"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离休费</w:t>
            </w:r>
          </w:p>
        </w:tc>
        <w:tc>
          <w:tcPr>
            <w:tcW w:w="1290"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c>
          <w:tcPr>
            <w:tcW w:w="1095"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30216</w:t>
            </w:r>
          </w:p>
        </w:tc>
        <w:tc>
          <w:tcPr>
            <w:tcW w:w="2010"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培训费</w:t>
            </w:r>
          </w:p>
        </w:tc>
        <w:tc>
          <w:tcPr>
            <w:tcW w:w="1267"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1.08</w:t>
            </w:r>
          </w:p>
        </w:tc>
        <w:tc>
          <w:tcPr>
            <w:tcW w:w="1076"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31013</w:t>
            </w:r>
          </w:p>
        </w:tc>
        <w:tc>
          <w:tcPr>
            <w:tcW w:w="3972"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公务用车购置</w:t>
            </w:r>
          </w:p>
        </w:tc>
        <w:tc>
          <w:tcPr>
            <w:tcW w:w="1278"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30302</w:t>
            </w:r>
          </w:p>
        </w:tc>
        <w:tc>
          <w:tcPr>
            <w:tcW w:w="2763"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退休费</w:t>
            </w:r>
          </w:p>
        </w:tc>
        <w:tc>
          <w:tcPr>
            <w:tcW w:w="1290"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c>
          <w:tcPr>
            <w:tcW w:w="1095"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30217</w:t>
            </w:r>
          </w:p>
        </w:tc>
        <w:tc>
          <w:tcPr>
            <w:tcW w:w="2010"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公务接待费</w:t>
            </w:r>
          </w:p>
        </w:tc>
        <w:tc>
          <w:tcPr>
            <w:tcW w:w="1267"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10.70</w:t>
            </w:r>
          </w:p>
        </w:tc>
        <w:tc>
          <w:tcPr>
            <w:tcW w:w="1076"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31019</w:t>
            </w:r>
          </w:p>
        </w:tc>
        <w:tc>
          <w:tcPr>
            <w:tcW w:w="3972"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其他交通工具购置</w:t>
            </w:r>
          </w:p>
        </w:tc>
        <w:tc>
          <w:tcPr>
            <w:tcW w:w="1278"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30303</w:t>
            </w:r>
          </w:p>
        </w:tc>
        <w:tc>
          <w:tcPr>
            <w:tcW w:w="2763"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退职（役）费</w:t>
            </w:r>
          </w:p>
        </w:tc>
        <w:tc>
          <w:tcPr>
            <w:tcW w:w="1290"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c>
          <w:tcPr>
            <w:tcW w:w="1095"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30218</w:t>
            </w:r>
          </w:p>
        </w:tc>
        <w:tc>
          <w:tcPr>
            <w:tcW w:w="2010"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专用材料费</w:t>
            </w:r>
          </w:p>
        </w:tc>
        <w:tc>
          <w:tcPr>
            <w:tcW w:w="1267"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0.39</w:t>
            </w:r>
          </w:p>
        </w:tc>
        <w:tc>
          <w:tcPr>
            <w:tcW w:w="1076"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31021</w:t>
            </w:r>
          </w:p>
        </w:tc>
        <w:tc>
          <w:tcPr>
            <w:tcW w:w="3972"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文物和陈列品购置</w:t>
            </w:r>
          </w:p>
        </w:tc>
        <w:tc>
          <w:tcPr>
            <w:tcW w:w="1278"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30304</w:t>
            </w:r>
          </w:p>
        </w:tc>
        <w:tc>
          <w:tcPr>
            <w:tcW w:w="2763"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抚恤金</w:t>
            </w:r>
          </w:p>
        </w:tc>
        <w:tc>
          <w:tcPr>
            <w:tcW w:w="1290"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28.72</w:t>
            </w:r>
          </w:p>
        </w:tc>
        <w:tc>
          <w:tcPr>
            <w:tcW w:w="1095"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30224</w:t>
            </w:r>
          </w:p>
        </w:tc>
        <w:tc>
          <w:tcPr>
            <w:tcW w:w="2010"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被装购置费</w:t>
            </w:r>
          </w:p>
        </w:tc>
        <w:tc>
          <w:tcPr>
            <w:tcW w:w="1267"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c>
          <w:tcPr>
            <w:tcW w:w="1076"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31022</w:t>
            </w:r>
          </w:p>
        </w:tc>
        <w:tc>
          <w:tcPr>
            <w:tcW w:w="3972"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无形资产购置</w:t>
            </w:r>
          </w:p>
        </w:tc>
        <w:tc>
          <w:tcPr>
            <w:tcW w:w="1278"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30305</w:t>
            </w:r>
          </w:p>
        </w:tc>
        <w:tc>
          <w:tcPr>
            <w:tcW w:w="2763"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生活补助</w:t>
            </w:r>
          </w:p>
        </w:tc>
        <w:tc>
          <w:tcPr>
            <w:tcW w:w="1290"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53.88</w:t>
            </w:r>
          </w:p>
        </w:tc>
        <w:tc>
          <w:tcPr>
            <w:tcW w:w="1095"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30225</w:t>
            </w:r>
          </w:p>
        </w:tc>
        <w:tc>
          <w:tcPr>
            <w:tcW w:w="2010"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专用燃料费</w:t>
            </w:r>
          </w:p>
        </w:tc>
        <w:tc>
          <w:tcPr>
            <w:tcW w:w="1267"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c>
          <w:tcPr>
            <w:tcW w:w="1076"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31099</w:t>
            </w:r>
          </w:p>
        </w:tc>
        <w:tc>
          <w:tcPr>
            <w:tcW w:w="3972"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其他资本性支出</w:t>
            </w:r>
          </w:p>
        </w:tc>
        <w:tc>
          <w:tcPr>
            <w:tcW w:w="1278"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30306</w:t>
            </w:r>
          </w:p>
        </w:tc>
        <w:tc>
          <w:tcPr>
            <w:tcW w:w="2763"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救济费</w:t>
            </w:r>
          </w:p>
        </w:tc>
        <w:tc>
          <w:tcPr>
            <w:tcW w:w="1290"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c>
          <w:tcPr>
            <w:tcW w:w="1095"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30226</w:t>
            </w:r>
          </w:p>
        </w:tc>
        <w:tc>
          <w:tcPr>
            <w:tcW w:w="2010"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劳务费</w:t>
            </w:r>
          </w:p>
        </w:tc>
        <w:tc>
          <w:tcPr>
            <w:tcW w:w="1267"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1.37</w:t>
            </w:r>
          </w:p>
        </w:tc>
        <w:tc>
          <w:tcPr>
            <w:tcW w:w="1076"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399</w:t>
            </w:r>
          </w:p>
        </w:tc>
        <w:tc>
          <w:tcPr>
            <w:tcW w:w="3972" w:type="dxa"/>
            <w:tcBorders>
              <w:top w:val="nil"/>
              <w:left w:val="nil"/>
              <w:bottom w:val="single" w:color="auto" w:sz="8" w:space="0"/>
              <w:right w:val="single" w:color="auto" w:sz="8" w:space="0"/>
            </w:tcBorders>
            <w:shd w:val="clear" w:color="auto" w:fill="auto"/>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其他支出</w:t>
            </w:r>
          </w:p>
        </w:tc>
        <w:tc>
          <w:tcPr>
            <w:tcW w:w="1278"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30307</w:t>
            </w:r>
          </w:p>
        </w:tc>
        <w:tc>
          <w:tcPr>
            <w:tcW w:w="2763"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医疗费补助</w:t>
            </w:r>
          </w:p>
        </w:tc>
        <w:tc>
          <w:tcPr>
            <w:tcW w:w="1290"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c>
          <w:tcPr>
            <w:tcW w:w="1095"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30227</w:t>
            </w:r>
          </w:p>
        </w:tc>
        <w:tc>
          <w:tcPr>
            <w:tcW w:w="2010"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委托业务费</w:t>
            </w:r>
          </w:p>
        </w:tc>
        <w:tc>
          <w:tcPr>
            <w:tcW w:w="1267"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c>
          <w:tcPr>
            <w:tcW w:w="1076"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39906</w:t>
            </w:r>
          </w:p>
        </w:tc>
        <w:tc>
          <w:tcPr>
            <w:tcW w:w="3972"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赠与</w:t>
            </w:r>
          </w:p>
        </w:tc>
        <w:tc>
          <w:tcPr>
            <w:tcW w:w="1278"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30308</w:t>
            </w:r>
          </w:p>
        </w:tc>
        <w:tc>
          <w:tcPr>
            <w:tcW w:w="2763"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助学金</w:t>
            </w:r>
          </w:p>
        </w:tc>
        <w:tc>
          <w:tcPr>
            <w:tcW w:w="1290"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c>
          <w:tcPr>
            <w:tcW w:w="1095"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30228</w:t>
            </w:r>
          </w:p>
        </w:tc>
        <w:tc>
          <w:tcPr>
            <w:tcW w:w="2010"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工会经费</w:t>
            </w:r>
          </w:p>
        </w:tc>
        <w:tc>
          <w:tcPr>
            <w:tcW w:w="1267"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35.43</w:t>
            </w:r>
          </w:p>
        </w:tc>
        <w:tc>
          <w:tcPr>
            <w:tcW w:w="1076"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39907</w:t>
            </w:r>
          </w:p>
        </w:tc>
        <w:tc>
          <w:tcPr>
            <w:tcW w:w="3972"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国家赔偿费用支出</w:t>
            </w:r>
          </w:p>
        </w:tc>
        <w:tc>
          <w:tcPr>
            <w:tcW w:w="1278"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255" w:hRule="exact"/>
        </w:trPr>
        <w:tc>
          <w:tcPr>
            <w:tcW w:w="1149" w:type="dxa"/>
            <w:tcBorders>
              <w:top w:val="single" w:color="auto" w:sz="8" w:space="0"/>
              <w:left w:val="single" w:color="auto" w:sz="8" w:space="0"/>
              <w:bottom w:val="single" w:color="auto" w:sz="8" w:space="0"/>
              <w:right w:val="single" w:color="auto" w:sz="8" w:space="0"/>
            </w:tcBorders>
            <w:shd w:val="clear" w:color="auto" w:fill="auto"/>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30309</w:t>
            </w:r>
          </w:p>
        </w:tc>
        <w:tc>
          <w:tcPr>
            <w:tcW w:w="2763"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奖励金</w:t>
            </w:r>
          </w:p>
        </w:tc>
        <w:tc>
          <w:tcPr>
            <w:tcW w:w="1290"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Times New Roman" w:hAnsi="Times New Roman" w:eastAsia="宋体" w:cs="Times New Roman"/>
                <w:color w:val="000000"/>
                <w:kern w:val="0"/>
                <w:sz w:val="18"/>
                <w:szCs w:val="18"/>
              </w:rPr>
            </w:pPr>
            <w:r>
              <w:rPr>
                <w:rFonts w:hint="eastAsia" w:ascii="宋体" w:hAnsi="宋体" w:eastAsia="宋体" w:cs="宋体"/>
                <w:i w:val="0"/>
                <w:color w:val="000000"/>
                <w:kern w:val="0"/>
                <w:sz w:val="22"/>
                <w:szCs w:val="22"/>
                <w:u w:val="none"/>
                <w:lang w:val="en-US" w:eastAsia="zh-CN" w:bidi="ar"/>
              </w:rPr>
              <w:t>4.09</w:t>
            </w:r>
          </w:p>
        </w:tc>
        <w:tc>
          <w:tcPr>
            <w:tcW w:w="1095" w:type="dxa"/>
            <w:tcBorders>
              <w:top w:val="nil"/>
              <w:left w:val="nil"/>
              <w:bottom w:val="single" w:color="auto" w:sz="8" w:space="0"/>
              <w:right w:val="single" w:color="auto" w:sz="8" w:space="0"/>
            </w:tcBorders>
            <w:shd w:val="clear" w:color="auto" w:fill="auto"/>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30229</w:t>
            </w:r>
          </w:p>
        </w:tc>
        <w:tc>
          <w:tcPr>
            <w:tcW w:w="2010" w:type="dxa"/>
            <w:tcBorders>
              <w:top w:val="nil"/>
              <w:left w:val="nil"/>
              <w:bottom w:val="single" w:color="auto" w:sz="8" w:space="0"/>
              <w:right w:val="single" w:color="auto" w:sz="8" w:space="0"/>
            </w:tcBorders>
            <w:shd w:val="clear" w:color="auto" w:fill="auto"/>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xml:space="preserve">  福利费</w:t>
            </w:r>
          </w:p>
        </w:tc>
        <w:tc>
          <w:tcPr>
            <w:tcW w:w="1267"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Times New Roman" w:hAnsi="Times New Roman" w:eastAsia="宋体" w:cs="Times New Roman"/>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c>
          <w:tcPr>
            <w:tcW w:w="1076"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39908</w:t>
            </w:r>
          </w:p>
        </w:tc>
        <w:tc>
          <w:tcPr>
            <w:tcW w:w="3972" w:type="dxa"/>
            <w:tcBorders>
              <w:top w:val="nil"/>
              <w:left w:val="nil"/>
              <w:bottom w:val="single" w:color="auto" w:sz="8" w:space="0"/>
              <w:right w:val="single" w:color="auto" w:sz="8" w:space="0"/>
            </w:tcBorders>
            <w:shd w:val="clear" w:color="auto" w:fill="auto"/>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xml:space="preserve">  对民间非营利组织和群众性自治组织补贴</w:t>
            </w:r>
          </w:p>
        </w:tc>
        <w:tc>
          <w:tcPr>
            <w:tcW w:w="1278"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255" w:hRule="exact"/>
        </w:trPr>
        <w:tc>
          <w:tcPr>
            <w:tcW w:w="1149" w:type="dxa"/>
            <w:tcBorders>
              <w:top w:val="single" w:color="auto" w:sz="8" w:space="0"/>
              <w:left w:val="single" w:color="auto" w:sz="8" w:space="0"/>
              <w:bottom w:val="single" w:color="auto" w:sz="8" w:space="0"/>
              <w:right w:val="single" w:color="auto" w:sz="8" w:space="0"/>
            </w:tcBorders>
            <w:shd w:val="clear" w:color="auto" w:fill="auto"/>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30310</w:t>
            </w:r>
          </w:p>
        </w:tc>
        <w:tc>
          <w:tcPr>
            <w:tcW w:w="2763"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个人农业生产补贴</w:t>
            </w:r>
          </w:p>
        </w:tc>
        <w:tc>
          <w:tcPr>
            <w:tcW w:w="1290"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Times New Roman" w:hAnsi="Times New Roman" w:eastAsia="宋体" w:cs="Times New Roman"/>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c>
          <w:tcPr>
            <w:tcW w:w="1095" w:type="dxa"/>
            <w:tcBorders>
              <w:top w:val="nil"/>
              <w:left w:val="nil"/>
              <w:bottom w:val="single" w:color="auto" w:sz="8" w:space="0"/>
              <w:right w:val="single" w:color="auto" w:sz="8" w:space="0"/>
            </w:tcBorders>
            <w:shd w:val="clear" w:color="auto" w:fill="auto"/>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30231</w:t>
            </w:r>
          </w:p>
        </w:tc>
        <w:tc>
          <w:tcPr>
            <w:tcW w:w="2010" w:type="dxa"/>
            <w:tcBorders>
              <w:top w:val="nil"/>
              <w:left w:val="nil"/>
              <w:bottom w:val="single" w:color="auto" w:sz="8" w:space="0"/>
              <w:right w:val="single" w:color="auto" w:sz="8" w:space="0"/>
            </w:tcBorders>
            <w:shd w:val="clear" w:color="auto" w:fill="auto"/>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xml:space="preserve">  公务用车运行维护费</w:t>
            </w:r>
          </w:p>
        </w:tc>
        <w:tc>
          <w:tcPr>
            <w:tcW w:w="1267"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Times New Roman" w:hAnsi="Times New Roman" w:eastAsia="宋体" w:cs="Times New Roman"/>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c>
          <w:tcPr>
            <w:tcW w:w="1076"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39999</w:t>
            </w:r>
          </w:p>
        </w:tc>
        <w:tc>
          <w:tcPr>
            <w:tcW w:w="3972" w:type="dxa"/>
            <w:tcBorders>
              <w:top w:val="nil"/>
              <w:left w:val="nil"/>
              <w:bottom w:val="single" w:color="auto" w:sz="8" w:space="0"/>
              <w:right w:val="single" w:color="auto" w:sz="8" w:space="0"/>
            </w:tcBorders>
            <w:shd w:val="clear" w:color="auto" w:fill="auto"/>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xml:space="preserve">  其他支出</w:t>
            </w:r>
          </w:p>
        </w:tc>
        <w:tc>
          <w:tcPr>
            <w:tcW w:w="1278"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255" w:hRule="exact"/>
        </w:trPr>
        <w:tc>
          <w:tcPr>
            <w:tcW w:w="1149" w:type="dxa"/>
            <w:tcBorders>
              <w:top w:val="single" w:color="auto" w:sz="8" w:space="0"/>
              <w:left w:val="single" w:color="auto" w:sz="8" w:space="0"/>
              <w:bottom w:val="single" w:color="auto" w:sz="8" w:space="0"/>
              <w:right w:val="single" w:color="auto" w:sz="8" w:space="0"/>
            </w:tcBorders>
            <w:shd w:val="clear" w:color="auto" w:fill="auto"/>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30399</w:t>
            </w:r>
          </w:p>
        </w:tc>
        <w:tc>
          <w:tcPr>
            <w:tcW w:w="2763" w:type="dxa"/>
            <w:tcBorders>
              <w:top w:val="single" w:color="auto" w:sz="8" w:space="0"/>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对其他个人和家庭的补助支出</w:t>
            </w:r>
          </w:p>
        </w:tc>
        <w:tc>
          <w:tcPr>
            <w:tcW w:w="1290" w:type="dxa"/>
            <w:tcBorders>
              <w:top w:val="single" w:color="auto" w:sz="8" w:space="0"/>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Times New Roman" w:hAnsi="Times New Roman" w:eastAsia="宋体" w:cs="Times New Roman"/>
                <w:color w:val="000000"/>
                <w:kern w:val="0"/>
                <w:sz w:val="18"/>
                <w:szCs w:val="18"/>
              </w:rPr>
            </w:pPr>
            <w:r>
              <w:rPr>
                <w:rFonts w:hint="eastAsia" w:ascii="宋体" w:hAnsi="宋体" w:eastAsia="宋体" w:cs="宋体"/>
                <w:i w:val="0"/>
                <w:color w:val="000000"/>
                <w:kern w:val="0"/>
                <w:sz w:val="22"/>
                <w:szCs w:val="22"/>
                <w:u w:val="none"/>
                <w:lang w:val="en-US" w:eastAsia="zh-CN" w:bidi="ar"/>
              </w:rPr>
              <w:t>8.40</w:t>
            </w:r>
          </w:p>
        </w:tc>
        <w:tc>
          <w:tcPr>
            <w:tcW w:w="1095" w:type="dxa"/>
            <w:tcBorders>
              <w:top w:val="single" w:color="auto" w:sz="8" w:space="0"/>
              <w:left w:val="nil"/>
              <w:bottom w:val="single" w:color="auto" w:sz="8" w:space="0"/>
              <w:right w:val="single" w:color="auto" w:sz="8" w:space="0"/>
            </w:tcBorders>
            <w:shd w:val="clear" w:color="auto" w:fill="auto"/>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30239</w:t>
            </w:r>
          </w:p>
        </w:tc>
        <w:tc>
          <w:tcPr>
            <w:tcW w:w="2010" w:type="dxa"/>
            <w:tcBorders>
              <w:top w:val="single" w:color="auto" w:sz="8" w:space="0"/>
              <w:left w:val="nil"/>
              <w:bottom w:val="single" w:color="auto" w:sz="8" w:space="0"/>
              <w:right w:val="single" w:color="auto" w:sz="8" w:space="0"/>
            </w:tcBorders>
            <w:shd w:val="clear" w:color="auto" w:fill="auto"/>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xml:space="preserve">  其他交通费用</w:t>
            </w:r>
          </w:p>
        </w:tc>
        <w:tc>
          <w:tcPr>
            <w:tcW w:w="1267" w:type="dxa"/>
            <w:tcBorders>
              <w:top w:val="single" w:color="auto" w:sz="8" w:space="0"/>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Times New Roman" w:hAnsi="Times New Roman" w:eastAsia="宋体" w:cs="Times New Roman"/>
                <w:color w:val="000000"/>
                <w:kern w:val="0"/>
                <w:sz w:val="18"/>
                <w:szCs w:val="18"/>
              </w:rPr>
            </w:pPr>
            <w:r>
              <w:rPr>
                <w:rFonts w:hint="eastAsia" w:ascii="宋体" w:hAnsi="宋体" w:eastAsia="宋体" w:cs="宋体"/>
                <w:i w:val="0"/>
                <w:color w:val="000000"/>
                <w:kern w:val="0"/>
                <w:sz w:val="22"/>
                <w:szCs w:val="22"/>
                <w:u w:val="none"/>
                <w:lang w:val="en-US" w:eastAsia="zh-CN" w:bidi="ar"/>
              </w:rPr>
              <w:t>0.85</w:t>
            </w:r>
          </w:p>
        </w:tc>
        <w:tc>
          <w:tcPr>
            <w:tcW w:w="1076" w:type="dxa"/>
            <w:tcBorders>
              <w:top w:val="single" w:color="auto" w:sz="8" w:space="0"/>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w:t>
            </w:r>
          </w:p>
        </w:tc>
        <w:tc>
          <w:tcPr>
            <w:tcW w:w="3972" w:type="dxa"/>
            <w:tcBorders>
              <w:top w:val="single" w:color="auto" w:sz="8" w:space="0"/>
              <w:left w:val="nil"/>
              <w:bottom w:val="single" w:color="auto" w:sz="8" w:space="0"/>
              <w:right w:val="single" w:color="auto" w:sz="8" w:space="0"/>
            </w:tcBorders>
            <w:shd w:val="clear" w:color="auto" w:fill="auto"/>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1278" w:type="dxa"/>
            <w:tcBorders>
              <w:top w:val="single" w:color="auto" w:sz="8" w:space="0"/>
              <w:left w:val="nil"/>
              <w:bottom w:val="single" w:color="auto" w:sz="8" w:space="0"/>
              <w:right w:val="single" w:color="auto" w:sz="8" w:space="0"/>
            </w:tcBorders>
            <w:shd w:val="clear" w:color="auto" w:fill="auto"/>
            <w:vAlign w:val="center"/>
          </w:tcPr>
          <w:p>
            <w:pPr>
              <w:jc w:val="right"/>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2763"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w:t>
            </w:r>
          </w:p>
        </w:tc>
        <w:tc>
          <w:tcPr>
            <w:tcW w:w="1290" w:type="dxa"/>
            <w:tcBorders>
              <w:top w:val="nil"/>
              <w:left w:val="nil"/>
              <w:bottom w:val="single" w:color="auto" w:sz="8" w:space="0"/>
              <w:right w:val="single" w:color="auto" w:sz="8" w:space="0"/>
            </w:tcBorders>
            <w:shd w:val="clear" w:color="auto" w:fill="auto"/>
            <w:vAlign w:val="center"/>
          </w:tcPr>
          <w:p>
            <w:pPr>
              <w:jc w:val="right"/>
              <w:rPr>
                <w:rFonts w:ascii="Times New Roman" w:hAnsi="Times New Roman" w:eastAsia="宋体" w:cs="Times New Roman"/>
                <w:color w:val="000000"/>
                <w:kern w:val="0"/>
                <w:sz w:val="18"/>
                <w:szCs w:val="18"/>
              </w:rPr>
            </w:pPr>
          </w:p>
        </w:tc>
        <w:tc>
          <w:tcPr>
            <w:tcW w:w="1095" w:type="dxa"/>
            <w:tcBorders>
              <w:top w:val="nil"/>
              <w:left w:val="nil"/>
              <w:bottom w:val="single" w:color="auto" w:sz="8" w:space="0"/>
              <w:right w:val="single" w:color="auto" w:sz="8" w:space="0"/>
            </w:tcBorders>
            <w:shd w:val="clear" w:color="auto" w:fill="auto"/>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30240</w:t>
            </w:r>
          </w:p>
        </w:tc>
        <w:tc>
          <w:tcPr>
            <w:tcW w:w="2010" w:type="dxa"/>
            <w:tcBorders>
              <w:top w:val="nil"/>
              <w:left w:val="nil"/>
              <w:bottom w:val="single" w:color="auto" w:sz="8" w:space="0"/>
              <w:right w:val="single" w:color="auto" w:sz="8" w:space="0"/>
            </w:tcBorders>
            <w:shd w:val="clear" w:color="auto" w:fill="auto"/>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xml:space="preserve">  税金及附加费用</w:t>
            </w:r>
          </w:p>
        </w:tc>
        <w:tc>
          <w:tcPr>
            <w:tcW w:w="1267"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Times New Roman" w:hAnsi="Times New Roman" w:eastAsia="宋体" w:cs="Times New Roman"/>
                <w:color w:val="000000"/>
                <w:kern w:val="0"/>
                <w:sz w:val="18"/>
                <w:szCs w:val="18"/>
              </w:rPr>
            </w:pPr>
            <w:r>
              <w:rPr>
                <w:rFonts w:hint="eastAsia" w:ascii="宋体" w:hAnsi="宋体" w:eastAsia="宋体" w:cs="宋体"/>
                <w:i w:val="0"/>
                <w:color w:val="000000"/>
                <w:kern w:val="0"/>
                <w:sz w:val="22"/>
                <w:szCs w:val="22"/>
                <w:u w:val="none"/>
                <w:lang w:val="en-US" w:eastAsia="zh-CN" w:bidi="ar"/>
              </w:rPr>
              <w:t>0.00</w:t>
            </w:r>
          </w:p>
        </w:tc>
        <w:tc>
          <w:tcPr>
            <w:tcW w:w="1076"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w:t>
            </w:r>
          </w:p>
        </w:tc>
        <w:tc>
          <w:tcPr>
            <w:tcW w:w="3972" w:type="dxa"/>
            <w:tcBorders>
              <w:top w:val="nil"/>
              <w:left w:val="nil"/>
              <w:bottom w:val="single" w:color="auto" w:sz="8" w:space="0"/>
              <w:right w:val="single" w:color="auto" w:sz="8" w:space="0"/>
            </w:tcBorders>
            <w:shd w:val="clear" w:color="auto" w:fill="auto"/>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1278" w:type="dxa"/>
            <w:tcBorders>
              <w:top w:val="nil"/>
              <w:left w:val="nil"/>
              <w:bottom w:val="single" w:color="auto" w:sz="8" w:space="0"/>
              <w:right w:val="single" w:color="auto" w:sz="8" w:space="0"/>
            </w:tcBorders>
            <w:shd w:val="clear" w:color="auto" w:fill="auto"/>
            <w:vAlign w:val="center"/>
          </w:tcPr>
          <w:p>
            <w:pPr>
              <w:jc w:val="right"/>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2763"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w:t>
            </w:r>
          </w:p>
        </w:tc>
        <w:tc>
          <w:tcPr>
            <w:tcW w:w="1290" w:type="dxa"/>
            <w:tcBorders>
              <w:top w:val="nil"/>
              <w:left w:val="nil"/>
              <w:bottom w:val="single" w:color="auto" w:sz="8" w:space="0"/>
              <w:right w:val="single" w:color="auto" w:sz="8" w:space="0"/>
            </w:tcBorders>
            <w:shd w:val="clear" w:color="auto" w:fill="auto"/>
            <w:vAlign w:val="center"/>
          </w:tcPr>
          <w:p>
            <w:pPr>
              <w:jc w:val="right"/>
              <w:rPr>
                <w:rFonts w:ascii="Times New Roman" w:hAnsi="Times New Roman" w:eastAsia="宋体" w:cs="Times New Roman"/>
                <w:color w:val="000000"/>
                <w:kern w:val="0"/>
                <w:sz w:val="18"/>
                <w:szCs w:val="18"/>
              </w:rPr>
            </w:pPr>
          </w:p>
        </w:tc>
        <w:tc>
          <w:tcPr>
            <w:tcW w:w="1095" w:type="dxa"/>
            <w:tcBorders>
              <w:top w:val="nil"/>
              <w:left w:val="nil"/>
              <w:bottom w:val="single" w:color="auto" w:sz="8" w:space="0"/>
              <w:right w:val="single" w:color="auto" w:sz="8" w:space="0"/>
            </w:tcBorders>
            <w:shd w:val="clear" w:color="auto" w:fill="auto"/>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30299</w:t>
            </w:r>
          </w:p>
        </w:tc>
        <w:tc>
          <w:tcPr>
            <w:tcW w:w="2010" w:type="dxa"/>
            <w:tcBorders>
              <w:top w:val="nil"/>
              <w:left w:val="nil"/>
              <w:bottom w:val="single" w:color="auto" w:sz="8" w:space="0"/>
              <w:right w:val="single" w:color="auto" w:sz="8" w:space="0"/>
            </w:tcBorders>
            <w:shd w:val="clear" w:color="auto" w:fill="auto"/>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xml:space="preserve">  其他商品和服务支出</w:t>
            </w:r>
          </w:p>
        </w:tc>
        <w:tc>
          <w:tcPr>
            <w:tcW w:w="1267"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Times New Roman" w:hAnsi="Times New Roman" w:eastAsia="宋体" w:cs="Times New Roman"/>
                <w:color w:val="000000"/>
                <w:kern w:val="0"/>
                <w:sz w:val="18"/>
                <w:szCs w:val="18"/>
              </w:rPr>
            </w:pPr>
            <w:r>
              <w:rPr>
                <w:rFonts w:hint="eastAsia" w:ascii="宋体" w:hAnsi="宋体" w:eastAsia="宋体" w:cs="宋体"/>
                <w:i w:val="0"/>
                <w:color w:val="000000"/>
                <w:kern w:val="0"/>
                <w:sz w:val="22"/>
                <w:szCs w:val="22"/>
                <w:u w:val="none"/>
                <w:lang w:val="en-US" w:eastAsia="zh-CN" w:bidi="ar"/>
              </w:rPr>
              <w:t>60.32</w:t>
            </w:r>
          </w:p>
        </w:tc>
        <w:tc>
          <w:tcPr>
            <w:tcW w:w="1076" w:type="dxa"/>
            <w:tcBorders>
              <w:top w:val="nil"/>
              <w:left w:val="nil"/>
              <w:bottom w:val="single" w:color="auto" w:sz="8" w:space="0"/>
              <w:right w:val="single" w:color="auto" w:sz="8" w:space="0"/>
            </w:tcBorders>
            <w:shd w:val="clear" w:color="auto" w:fill="auto"/>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w:t>
            </w:r>
          </w:p>
        </w:tc>
        <w:tc>
          <w:tcPr>
            <w:tcW w:w="3972" w:type="dxa"/>
            <w:tcBorders>
              <w:top w:val="nil"/>
              <w:left w:val="nil"/>
              <w:bottom w:val="single" w:color="auto" w:sz="8" w:space="0"/>
              <w:right w:val="single" w:color="auto" w:sz="8" w:space="0"/>
            </w:tcBorders>
            <w:shd w:val="clear" w:color="auto" w:fill="auto"/>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1278" w:type="dxa"/>
            <w:tcBorders>
              <w:top w:val="nil"/>
              <w:left w:val="nil"/>
              <w:bottom w:val="single" w:color="auto" w:sz="8" w:space="0"/>
              <w:right w:val="single" w:color="auto" w:sz="8" w:space="0"/>
            </w:tcBorders>
            <w:shd w:val="clear" w:color="auto" w:fill="auto"/>
            <w:vAlign w:val="center"/>
          </w:tcPr>
          <w:p>
            <w:pPr>
              <w:jc w:val="right"/>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255" w:hRule="exact"/>
        </w:trPr>
        <w:tc>
          <w:tcPr>
            <w:tcW w:w="3912" w:type="dxa"/>
            <w:gridSpan w:val="2"/>
            <w:tcBorders>
              <w:top w:val="nil"/>
              <w:left w:val="single" w:color="auto" w:sz="8" w:space="0"/>
              <w:bottom w:val="single" w:color="auto" w:sz="8" w:space="0"/>
              <w:right w:val="single" w:color="auto" w:sz="8" w:space="0"/>
            </w:tcBorders>
            <w:shd w:val="clear" w:color="auto" w:fill="auto"/>
          </w:tcPr>
          <w:p>
            <w:pPr>
              <w:widowControl/>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人员经费合计</w:t>
            </w:r>
          </w:p>
        </w:tc>
        <w:tc>
          <w:tcPr>
            <w:tcW w:w="1290"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Times New Roman" w:hAnsi="Times New Roman" w:eastAsia="宋体" w:cs="Times New Roman"/>
                <w:color w:val="000000"/>
                <w:kern w:val="0"/>
                <w:sz w:val="18"/>
                <w:szCs w:val="18"/>
              </w:rPr>
            </w:pPr>
            <w:r>
              <w:rPr>
                <w:rFonts w:hint="eastAsia" w:ascii="宋体" w:hAnsi="宋体" w:eastAsia="宋体" w:cs="宋体"/>
                <w:i w:val="0"/>
                <w:color w:val="000000"/>
                <w:kern w:val="0"/>
                <w:sz w:val="22"/>
                <w:szCs w:val="22"/>
                <w:u w:val="none"/>
                <w:lang w:val="en-US" w:eastAsia="zh-CN" w:bidi="ar"/>
              </w:rPr>
              <w:t>1,108.23</w:t>
            </w:r>
          </w:p>
        </w:tc>
        <w:tc>
          <w:tcPr>
            <w:tcW w:w="9420" w:type="dxa"/>
            <w:gridSpan w:val="5"/>
            <w:tcBorders>
              <w:top w:val="nil"/>
              <w:left w:val="nil"/>
              <w:bottom w:val="single" w:color="auto" w:sz="8" w:space="0"/>
              <w:right w:val="single" w:color="auto" w:sz="8" w:space="0"/>
            </w:tcBorders>
            <w:shd w:val="clear" w:color="auto" w:fill="auto"/>
          </w:tcPr>
          <w:p>
            <w:pPr>
              <w:widowControl/>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公用经费合计</w:t>
            </w:r>
          </w:p>
        </w:tc>
        <w:tc>
          <w:tcPr>
            <w:tcW w:w="1278"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仿宋_GB2312" w:hAnsi="宋体" w:eastAsia="仿宋_GB2312" w:cs="宋体"/>
                <w:color w:val="000000"/>
                <w:kern w:val="0"/>
                <w:sz w:val="18"/>
                <w:szCs w:val="18"/>
              </w:rPr>
            </w:pPr>
            <w:r>
              <w:rPr>
                <w:rFonts w:hint="eastAsia" w:ascii="宋体" w:hAnsi="宋体" w:eastAsia="宋体" w:cs="宋体"/>
                <w:i w:val="0"/>
                <w:color w:val="000000"/>
                <w:kern w:val="0"/>
                <w:sz w:val="22"/>
                <w:szCs w:val="22"/>
                <w:u w:val="none"/>
                <w:lang w:val="en-US" w:eastAsia="zh-CN" w:bidi="ar"/>
              </w:rPr>
              <w:t>313.34</w:t>
            </w:r>
          </w:p>
        </w:tc>
      </w:tr>
    </w:tbl>
    <w:p>
      <w:pPr>
        <w:widowControl/>
        <w:jc w:val="left"/>
        <w:rPr>
          <w:rFonts w:ascii="黑体" w:hAnsi="黑体" w:eastAsia="黑体"/>
          <w:szCs w:val="21"/>
        </w:rPr>
      </w:pPr>
      <w:r>
        <w:rPr>
          <w:rFonts w:hint="eastAsia" w:ascii="黑体" w:hAnsi="黑体" w:eastAsia="黑体"/>
          <w:szCs w:val="21"/>
        </w:rPr>
        <w:t>注：本表反映部门年度一般公共预算财政拨款基本支出明细情况。</w:t>
      </w:r>
      <w:r>
        <w:rPr>
          <w:rFonts w:ascii="黑体" w:hAnsi="黑体" w:eastAsia="黑体"/>
          <w:szCs w:val="21"/>
        </w:rPr>
        <w:br w:type="page"/>
      </w:r>
    </w:p>
    <w:p>
      <w:pPr>
        <w:widowControl/>
        <w:jc w:val="center"/>
        <w:rPr>
          <w:rFonts w:ascii="Times New Roman" w:hAnsi="Times New Roman" w:eastAsia="方正小标宋_GBK" w:cs="Times New Roman"/>
          <w:color w:val="000000"/>
          <w:kern w:val="0"/>
          <w:sz w:val="36"/>
          <w:szCs w:val="36"/>
        </w:rPr>
      </w:pPr>
      <w:r>
        <w:rPr>
          <w:rFonts w:hint="eastAsia" w:ascii="Times New Roman" w:hAnsi="Times New Roman" w:eastAsia="方正小标宋_GBK" w:cs="Times New Roman"/>
          <w:color w:val="000000"/>
          <w:kern w:val="0"/>
          <w:sz w:val="36"/>
          <w:szCs w:val="36"/>
        </w:rPr>
        <w:t>一般公共预算财政拨款“三公”经费支出决算表</w:t>
      </w:r>
    </w:p>
    <w:p>
      <w:pPr>
        <w:widowControl/>
        <w:jc w:val="left"/>
        <w:rPr>
          <w:rFonts w:ascii="Times New Roman" w:hAnsi="Times New Roman" w:eastAsia="仿宋_GB2312" w:cs="Times New Roman"/>
          <w:color w:val="000000"/>
          <w:kern w:val="0"/>
          <w:szCs w:val="21"/>
        </w:rPr>
      </w:pPr>
      <w:r>
        <w:rPr>
          <w:rFonts w:ascii="Times New Roman" w:hAnsi="Times New Roman" w:eastAsia="仿宋_GB2312" w:cs="Times New Roman"/>
          <w:color w:val="000000"/>
          <w:kern w:val="0"/>
          <w:szCs w:val="21"/>
        </w:rPr>
        <w:t xml:space="preserve">部门：    </w:t>
      </w:r>
      <w:r>
        <w:rPr>
          <w:rFonts w:hint="eastAsia" w:ascii="Times New Roman" w:hAnsi="Times New Roman" w:eastAsia="仿宋_GB2312" w:cs="Times New Roman"/>
          <w:color w:val="000000"/>
          <w:kern w:val="0"/>
          <w:szCs w:val="21"/>
          <w:lang w:eastAsia="zh-CN"/>
        </w:rPr>
        <w:t>零陵区发改局</w:t>
      </w:r>
      <w:r>
        <w:rPr>
          <w:rFonts w:ascii="Times New Roman" w:hAnsi="Times New Roman" w:eastAsia="仿宋_GB2312" w:cs="Times New Roman"/>
          <w:color w:val="000000"/>
          <w:kern w:val="0"/>
          <w:szCs w:val="21"/>
        </w:rPr>
        <w:t xml:space="preserve">                                                                                                        </w:t>
      </w:r>
      <w:r>
        <w:rPr>
          <w:rFonts w:hint="eastAsia" w:ascii="Times New Roman" w:hAnsi="Times New Roman" w:eastAsia="仿宋_GB2312" w:cs="Times New Roman"/>
          <w:color w:val="000000"/>
          <w:kern w:val="0"/>
          <w:szCs w:val="21"/>
          <w:lang w:val="en-US" w:eastAsia="zh-CN"/>
        </w:rPr>
        <w:t xml:space="preserve">   </w:t>
      </w:r>
      <w:r>
        <w:rPr>
          <w:rFonts w:ascii="Times New Roman" w:hAnsi="Times New Roman" w:eastAsia="仿宋_GB2312" w:cs="Times New Roman"/>
          <w:color w:val="000000"/>
          <w:kern w:val="0"/>
          <w:szCs w:val="21"/>
        </w:rPr>
        <w:t xml:space="preserve">   公开0</w:t>
      </w:r>
      <w:r>
        <w:rPr>
          <w:rFonts w:hint="eastAsia" w:ascii="Times New Roman" w:hAnsi="Times New Roman" w:eastAsia="仿宋_GB2312" w:cs="Times New Roman"/>
          <w:color w:val="000000"/>
          <w:kern w:val="0"/>
          <w:szCs w:val="21"/>
        </w:rPr>
        <w:t>7</w:t>
      </w:r>
      <w:r>
        <w:rPr>
          <w:rFonts w:ascii="Times New Roman" w:hAnsi="Times New Roman" w:eastAsia="仿宋_GB2312" w:cs="Times New Roman"/>
          <w:color w:val="000000"/>
          <w:kern w:val="0"/>
          <w:szCs w:val="21"/>
        </w:rPr>
        <w:t>表</w:t>
      </w:r>
    </w:p>
    <w:p>
      <w:pPr>
        <w:widowControl/>
        <w:ind w:right="420"/>
        <w:jc w:val="right"/>
        <w:rPr>
          <w:rFonts w:ascii="Times New Roman" w:hAnsi="Times New Roman" w:eastAsia="仿宋_GB2312" w:cs="Times New Roman"/>
          <w:color w:val="000000"/>
          <w:kern w:val="0"/>
          <w:szCs w:val="21"/>
        </w:rPr>
      </w:pPr>
      <w:r>
        <w:rPr>
          <w:rFonts w:ascii="Times New Roman" w:hAnsi="Times New Roman" w:eastAsia="仿宋_GB2312" w:cs="Times New Roman"/>
          <w:color w:val="000000"/>
          <w:kern w:val="0"/>
          <w:szCs w:val="21"/>
        </w:rPr>
        <w:t>单位：万元</w:t>
      </w:r>
    </w:p>
    <w:tbl>
      <w:tblPr>
        <w:tblStyle w:val="6"/>
        <w:tblW w:w="14640" w:type="dxa"/>
        <w:jc w:val="center"/>
        <w:tblLayout w:type="fixed"/>
        <w:tblCellMar>
          <w:top w:w="0" w:type="dxa"/>
          <w:left w:w="108" w:type="dxa"/>
          <w:bottom w:w="0" w:type="dxa"/>
          <w:right w:w="108" w:type="dxa"/>
        </w:tblCellMar>
      </w:tblPr>
      <w:tblGrid>
        <w:gridCol w:w="1220"/>
        <w:gridCol w:w="1220"/>
        <w:gridCol w:w="1220"/>
        <w:gridCol w:w="1220"/>
        <w:gridCol w:w="1220"/>
        <w:gridCol w:w="1220"/>
        <w:gridCol w:w="1220"/>
        <w:gridCol w:w="1220"/>
        <w:gridCol w:w="1220"/>
        <w:gridCol w:w="1220"/>
        <w:gridCol w:w="1220"/>
        <w:gridCol w:w="1220"/>
      </w:tblGrid>
      <w:tr>
        <w:tblPrEx>
          <w:tblCellMar>
            <w:top w:w="0" w:type="dxa"/>
            <w:left w:w="108" w:type="dxa"/>
            <w:bottom w:w="0" w:type="dxa"/>
            <w:right w:w="108" w:type="dxa"/>
          </w:tblCellMar>
        </w:tblPrEx>
        <w:trPr>
          <w:trHeight w:val="397" w:hRule="atLeast"/>
          <w:jc w:val="center"/>
        </w:trPr>
        <w:tc>
          <w:tcPr>
            <w:tcW w:w="7320" w:type="dxa"/>
            <w:gridSpan w:val="6"/>
            <w:tcBorders>
              <w:top w:val="single" w:color="auto" w:sz="8" w:space="0"/>
              <w:left w:val="single" w:color="auto" w:sz="8" w:space="0"/>
              <w:bottom w:val="single" w:color="auto" w:sz="4" w:space="0"/>
              <w:right w:val="single" w:color="000000"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预算数</w:t>
            </w:r>
          </w:p>
        </w:tc>
        <w:tc>
          <w:tcPr>
            <w:tcW w:w="7320" w:type="dxa"/>
            <w:gridSpan w:val="6"/>
            <w:tcBorders>
              <w:top w:val="single" w:color="auto" w:sz="8" w:space="0"/>
              <w:left w:val="nil"/>
              <w:bottom w:val="single" w:color="auto" w:sz="4" w:space="0"/>
              <w:right w:val="single" w:color="000000" w:sz="8"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决算数</w:t>
            </w:r>
          </w:p>
        </w:tc>
      </w:tr>
      <w:tr>
        <w:tblPrEx>
          <w:tblCellMar>
            <w:top w:w="0" w:type="dxa"/>
            <w:left w:w="108" w:type="dxa"/>
            <w:bottom w:w="0" w:type="dxa"/>
            <w:right w:w="108" w:type="dxa"/>
          </w:tblCellMar>
        </w:tblPrEx>
        <w:trPr>
          <w:trHeight w:val="397" w:hRule="atLeast"/>
          <w:jc w:val="center"/>
        </w:trPr>
        <w:tc>
          <w:tcPr>
            <w:tcW w:w="1220" w:type="dxa"/>
            <w:vMerge w:val="restart"/>
            <w:tcBorders>
              <w:top w:val="nil"/>
              <w:left w:val="single" w:color="auto" w:sz="8" w:space="0"/>
              <w:bottom w:val="single" w:color="000000"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合计</w:t>
            </w:r>
          </w:p>
        </w:tc>
        <w:tc>
          <w:tcPr>
            <w:tcW w:w="1220" w:type="dxa"/>
            <w:vMerge w:val="restart"/>
            <w:tcBorders>
              <w:top w:val="nil"/>
              <w:left w:val="single" w:color="auto" w:sz="4" w:space="0"/>
              <w:bottom w:val="single" w:color="000000"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因公出国（境）费</w:t>
            </w:r>
          </w:p>
        </w:tc>
        <w:tc>
          <w:tcPr>
            <w:tcW w:w="3660" w:type="dxa"/>
            <w:gridSpan w:val="3"/>
            <w:tcBorders>
              <w:top w:val="single" w:color="auto" w:sz="4" w:space="0"/>
              <w:left w:val="nil"/>
              <w:bottom w:val="single" w:color="auto" w:sz="4" w:space="0"/>
              <w:right w:val="single" w:color="000000"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公务用车购置及运行费</w:t>
            </w:r>
          </w:p>
        </w:tc>
        <w:tc>
          <w:tcPr>
            <w:tcW w:w="1220"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公务</w:t>
            </w:r>
          </w:p>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接待费</w:t>
            </w:r>
          </w:p>
        </w:tc>
        <w:tc>
          <w:tcPr>
            <w:tcW w:w="1220" w:type="dxa"/>
            <w:vMerge w:val="restart"/>
            <w:tcBorders>
              <w:top w:val="nil"/>
              <w:left w:val="nil"/>
              <w:bottom w:val="single" w:color="000000"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合计</w:t>
            </w:r>
          </w:p>
        </w:tc>
        <w:tc>
          <w:tcPr>
            <w:tcW w:w="1220" w:type="dxa"/>
            <w:vMerge w:val="restart"/>
            <w:tcBorders>
              <w:top w:val="nil"/>
              <w:left w:val="single" w:color="auto" w:sz="4" w:space="0"/>
              <w:bottom w:val="single" w:color="000000"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因公出国（境）费</w:t>
            </w:r>
          </w:p>
        </w:tc>
        <w:tc>
          <w:tcPr>
            <w:tcW w:w="3660" w:type="dxa"/>
            <w:gridSpan w:val="3"/>
            <w:tcBorders>
              <w:top w:val="single" w:color="auto" w:sz="4" w:space="0"/>
              <w:left w:val="nil"/>
              <w:bottom w:val="single" w:color="auto" w:sz="4" w:space="0"/>
              <w:right w:val="single" w:color="000000"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公务用车购置及运行费</w:t>
            </w:r>
          </w:p>
        </w:tc>
        <w:tc>
          <w:tcPr>
            <w:tcW w:w="1220" w:type="dxa"/>
            <w:vMerge w:val="restart"/>
            <w:tcBorders>
              <w:top w:val="nil"/>
              <w:left w:val="single" w:color="auto" w:sz="4" w:space="0"/>
              <w:bottom w:val="single" w:color="000000" w:sz="4" w:space="0"/>
              <w:right w:val="single" w:color="auto" w:sz="8"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公务</w:t>
            </w:r>
          </w:p>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接待费</w:t>
            </w:r>
          </w:p>
        </w:tc>
      </w:tr>
      <w:tr>
        <w:tblPrEx>
          <w:tblCellMar>
            <w:top w:w="0" w:type="dxa"/>
            <w:left w:w="108" w:type="dxa"/>
            <w:bottom w:w="0" w:type="dxa"/>
            <w:right w:w="108" w:type="dxa"/>
          </w:tblCellMar>
        </w:tblPrEx>
        <w:trPr>
          <w:trHeight w:val="397" w:hRule="atLeast"/>
          <w:jc w:val="center"/>
        </w:trPr>
        <w:tc>
          <w:tcPr>
            <w:tcW w:w="1220" w:type="dxa"/>
            <w:vMerge w:val="continue"/>
            <w:tcBorders>
              <w:top w:val="nil"/>
              <w:left w:val="single" w:color="auto" w:sz="8" w:space="0"/>
              <w:bottom w:val="single" w:color="000000"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1220" w:type="dxa"/>
            <w:vMerge w:val="continue"/>
            <w:tcBorders>
              <w:top w:val="nil"/>
              <w:left w:val="single" w:color="auto" w:sz="4" w:space="0"/>
              <w:bottom w:val="single" w:color="000000"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1220" w:type="dxa"/>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小计</w:t>
            </w:r>
          </w:p>
        </w:tc>
        <w:tc>
          <w:tcPr>
            <w:tcW w:w="1220" w:type="dxa"/>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公务用车</w:t>
            </w:r>
            <w:r>
              <w:rPr>
                <w:rFonts w:ascii="Times New Roman" w:hAnsi="Times New Roman" w:eastAsia="仿宋_GB2312" w:cs="Times New Roman"/>
                <w:kern w:val="0"/>
                <w:szCs w:val="21"/>
              </w:rPr>
              <w:br w:type="textWrapping"/>
            </w:r>
            <w:r>
              <w:rPr>
                <w:rFonts w:ascii="Times New Roman" w:hAnsi="Times New Roman" w:eastAsia="仿宋_GB2312" w:cs="Times New Roman"/>
                <w:kern w:val="0"/>
                <w:szCs w:val="21"/>
              </w:rPr>
              <w:t>购置费</w:t>
            </w:r>
          </w:p>
        </w:tc>
        <w:tc>
          <w:tcPr>
            <w:tcW w:w="1220" w:type="dxa"/>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公务用车</w:t>
            </w:r>
            <w:r>
              <w:rPr>
                <w:rFonts w:ascii="Times New Roman" w:hAnsi="Times New Roman" w:eastAsia="仿宋_GB2312" w:cs="Times New Roman"/>
                <w:kern w:val="0"/>
                <w:szCs w:val="21"/>
              </w:rPr>
              <w:br w:type="textWrapping"/>
            </w:r>
            <w:r>
              <w:rPr>
                <w:rFonts w:ascii="Times New Roman" w:hAnsi="Times New Roman" w:eastAsia="仿宋_GB2312" w:cs="Times New Roman"/>
                <w:kern w:val="0"/>
                <w:szCs w:val="21"/>
              </w:rPr>
              <w:t>运行费</w:t>
            </w:r>
          </w:p>
        </w:tc>
        <w:tc>
          <w:tcPr>
            <w:tcW w:w="1220" w:type="dxa"/>
            <w:vMerge w:val="continue"/>
            <w:tcBorders>
              <w:top w:val="nil"/>
              <w:left w:val="single" w:color="auto" w:sz="4" w:space="0"/>
              <w:bottom w:val="single" w:color="auto"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1220" w:type="dxa"/>
            <w:vMerge w:val="continue"/>
            <w:tcBorders>
              <w:top w:val="nil"/>
              <w:left w:val="nil"/>
              <w:bottom w:val="single" w:color="000000"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1220" w:type="dxa"/>
            <w:vMerge w:val="continue"/>
            <w:tcBorders>
              <w:top w:val="nil"/>
              <w:left w:val="single" w:color="auto" w:sz="4" w:space="0"/>
              <w:bottom w:val="single" w:color="000000"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1220" w:type="dxa"/>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小计</w:t>
            </w:r>
          </w:p>
        </w:tc>
        <w:tc>
          <w:tcPr>
            <w:tcW w:w="1220" w:type="dxa"/>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公务用车</w:t>
            </w:r>
            <w:r>
              <w:rPr>
                <w:rFonts w:ascii="Times New Roman" w:hAnsi="Times New Roman" w:eastAsia="仿宋_GB2312" w:cs="Times New Roman"/>
                <w:kern w:val="0"/>
                <w:szCs w:val="21"/>
              </w:rPr>
              <w:br w:type="textWrapping"/>
            </w:r>
            <w:r>
              <w:rPr>
                <w:rFonts w:ascii="Times New Roman" w:hAnsi="Times New Roman" w:eastAsia="仿宋_GB2312" w:cs="Times New Roman"/>
                <w:kern w:val="0"/>
                <w:szCs w:val="21"/>
              </w:rPr>
              <w:t>购置费</w:t>
            </w:r>
          </w:p>
        </w:tc>
        <w:tc>
          <w:tcPr>
            <w:tcW w:w="1220" w:type="dxa"/>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公务用车</w:t>
            </w:r>
            <w:r>
              <w:rPr>
                <w:rFonts w:ascii="Times New Roman" w:hAnsi="Times New Roman" w:eastAsia="仿宋_GB2312" w:cs="Times New Roman"/>
                <w:kern w:val="0"/>
                <w:szCs w:val="21"/>
              </w:rPr>
              <w:br w:type="textWrapping"/>
            </w:r>
            <w:r>
              <w:rPr>
                <w:rFonts w:ascii="Times New Roman" w:hAnsi="Times New Roman" w:eastAsia="仿宋_GB2312" w:cs="Times New Roman"/>
                <w:kern w:val="0"/>
                <w:szCs w:val="21"/>
              </w:rPr>
              <w:t>运行费</w:t>
            </w:r>
          </w:p>
        </w:tc>
        <w:tc>
          <w:tcPr>
            <w:tcW w:w="1220" w:type="dxa"/>
            <w:vMerge w:val="continue"/>
            <w:tcBorders>
              <w:top w:val="nil"/>
              <w:left w:val="single" w:color="auto" w:sz="4" w:space="0"/>
              <w:bottom w:val="single" w:color="000000" w:sz="4" w:space="0"/>
              <w:right w:val="single" w:color="auto" w:sz="8" w:space="0"/>
            </w:tcBorders>
            <w:vAlign w:val="center"/>
          </w:tcPr>
          <w:p>
            <w:pPr>
              <w:widowControl/>
              <w:jc w:val="left"/>
              <w:rPr>
                <w:rFonts w:ascii="Times New Roman" w:hAnsi="Times New Roman" w:eastAsia="仿宋_GB2312" w:cs="Times New Roman"/>
                <w:kern w:val="0"/>
                <w:szCs w:val="21"/>
              </w:rPr>
            </w:pPr>
          </w:p>
        </w:tc>
      </w:tr>
      <w:tr>
        <w:tblPrEx>
          <w:tblCellMar>
            <w:top w:w="0" w:type="dxa"/>
            <w:left w:w="108" w:type="dxa"/>
            <w:bottom w:w="0" w:type="dxa"/>
            <w:right w:w="108" w:type="dxa"/>
          </w:tblCellMar>
        </w:tblPrEx>
        <w:trPr>
          <w:trHeight w:val="397" w:hRule="atLeast"/>
          <w:jc w:val="center"/>
        </w:trPr>
        <w:tc>
          <w:tcPr>
            <w:tcW w:w="1220" w:type="dxa"/>
            <w:tcBorders>
              <w:top w:val="nil"/>
              <w:left w:val="single" w:color="auto" w:sz="8" w:space="0"/>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w:t>
            </w:r>
          </w:p>
        </w:tc>
        <w:tc>
          <w:tcPr>
            <w:tcW w:w="1220" w:type="dxa"/>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w:t>
            </w:r>
          </w:p>
        </w:tc>
        <w:tc>
          <w:tcPr>
            <w:tcW w:w="1220" w:type="dxa"/>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3</w:t>
            </w:r>
          </w:p>
        </w:tc>
        <w:tc>
          <w:tcPr>
            <w:tcW w:w="1220" w:type="dxa"/>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4</w:t>
            </w:r>
          </w:p>
        </w:tc>
        <w:tc>
          <w:tcPr>
            <w:tcW w:w="1220" w:type="dxa"/>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5</w:t>
            </w:r>
          </w:p>
        </w:tc>
        <w:tc>
          <w:tcPr>
            <w:tcW w:w="1220" w:type="dxa"/>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6</w:t>
            </w:r>
          </w:p>
        </w:tc>
        <w:tc>
          <w:tcPr>
            <w:tcW w:w="1220" w:type="dxa"/>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7</w:t>
            </w:r>
          </w:p>
        </w:tc>
        <w:tc>
          <w:tcPr>
            <w:tcW w:w="1220" w:type="dxa"/>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8</w:t>
            </w:r>
          </w:p>
        </w:tc>
        <w:tc>
          <w:tcPr>
            <w:tcW w:w="1220" w:type="dxa"/>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9</w:t>
            </w:r>
          </w:p>
        </w:tc>
        <w:tc>
          <w:tcPr>
            <w:tcW w:w="1220" w:type="dxa"/>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10</w:t>
            </w:r>
          </w:p>
        </w:tc>
        <w:tc>
          <w:tcPr>
            <w:tcW w:w="1220" w:type="dxa"/>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11</w:t>
            </w:r>
          </w:p>
        </w:tc>
        <w:tc>
          <w:tcPr>
            <w:tcW w:w="1220" w:type="dxa"/>
            <w:tcBorders>
              <w:top w:val="nil"/>
              <w:left w:val="nil"/>
              <w:bottom w:val="single" w:color="auto" w:sz="4" w:space="0"/>
              <w:right w:val="single" w:color="auto" w:sz="8"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12</w:t>
            </w:r>
          </w:p>
        </w:tc>
      </w:tr>
      <w:tr>
        <w:tblPrEx>
          <w:tblCellMar>
            <w:top w:w="0" w:type="dxa"/>
            <w:left w:w="108" w:type="dxa"/>
            <w:bottom w:w="0" w:type="dxa"/>
            <w:right w:w="108" w:type="dxa"/>
          </w:tblCellMar>
        </w:tblPrEx>
        <w:trPr>
          <w:trHeight w:val="397" w:hRule="atLeast"/>
          <w:jc w:val="center"/>
        </w:trPr>
        <w:tc>
          <w:tcPr>
            <w:tcW w:w="1220" w:type="dxa"/>
            <w:tcBorders>
              <w:top w:val="nil"/>
              <w:left w:val="single" w:color="auto" w:sz="8" w:space="0"/>
              <w:bottom w:val="single" w:color="auto" w:sz="8"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220" w:type="dxa"/>
            <w:tcBorders>
              <w:top w:val="nil"/>
              <w:left w:val="nil"/>
              <w:bottom w:val="single" w:color="auto" w:sz="8"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220" w:type="dxa"/>
            <w:tcBorders>
              <w:top w:val="nil"/>
              <w:left w:val="nil"/>
              <w:bottom w:val="single" w:color="auto" w:sz="8"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220" w:type="dxa"/>
            <w:tcBorders>
              <w:top w:val="nil"/>
              <w:left w:val="nil"/>
              <w:bottom w:val="single" w:color="auto" w:sz="8"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220" w:type="dxa"/>
            <w:tcBorders>
              <w:top w:val="nil"/>
              <w:left w:val="nil"/>
              <w:bottom w:val="single" w:color="auto" w:sz="8"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220" w:type="dxa"/>
            <w:tcBorders>
              <w:top w:val="nil"/>
              <w:left w:val="nil"/>
              <w:bottom w:val="single" w:color="auto" w:sz="8"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220" w:type="dxa"/>
            <w:tcBorders>
              <w:top w:val="nil"/>
              <w:left w:val="nil"/>
              <w:bottom w:val="single" w:color="auto" w:sz="8"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10.70</w:t>
            </w:r>
          </w:p>
        </w:tc>
        <w:tc>
          <w:tcPr>
            <w:tcW w:w="1220" w:type="dxa"/>
            <w:tcBorders>
              <w:top w:val="nil"/>
              <w:left w:val="nil"/>
              <w:bottom w:val="single" w:color="auto" w:sz="8"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220" w:type="dxa"/>
            <w:tcBorders>
              <w:top w:val="nil"/>
              <w:left w:val="nil"/>
              <w:bottom w:val="single" w:color="auto" w:sz="8"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220" w:type="dxa"/>
            <w:tcBorders>
              <w:top w:val="nil"/>
              <w:left w:val="nil"/>
              <w:bottom w:val="single" w:color="auto" w:sz="8"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220" w:type="dxa"/>
            <w:tcBorders>
              <w:top w:val="nil"/>
              <w:left w:val="nil"/>
              <w:bottom w:val="single" w:color="auto" w:sz="8" w:space="0"/>
              <w:right w:val="nil"/>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220" w:type="dxa"/>
            <w:tcBorders>
              <w:top w:val="nil"/>
              <w:left w:val="single" w:color="auto" w:sz="4" w:space="0"/>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10.70</w:t>
            </w:r>
          </w:p>
        </w:tc>
      </w:tr>
    </w:tbl>
    <w:p>
      <w:pPr>
        <w:autoSpaceDE w:val="0"/>
        <w:autoSpaceDN w:val="0"/>
        <w:adjustRightInd w:val="0"/>
        <w:ind w:left="315" w:leftChars="150"/>
        <w:jc w:val="left"/>
        <w:rPr>
          <w:rFonts w:ascii="宋体" w:eastAsia="宋体" w:cs="宋体"/>
          <w:kern w:val="0"/>
          <w:sz w:val="24"/>
          <w:szCs w:val="24"/>
        </w:rPr>
      </w:pPr>
      <w:r>
        <w:rPr>
          <w:rFonts w:hint="eastAsia" w:ascii="宋体" w:eastAsia="宋体" w:cs="宋体"/>
          <w:kern w:val="0"/>
          <w:sz w:val="24"/>
          <w:szCs w:val="24"/>
        </w:rPr>
        <w:t>注：本表反映部门本年度“三公”经费支出预决算情况。其中，预算数为“三公”经费全年预算数，反映按规定程序调整后的预算数；决算数是包括当年一般公共预算财政拨款和以前年度结转资金安排的实际支出。</w:t>
      </w:r>
    </w:p>
    <w:p>
      <w:pPr>
        <w:widowControl/>
        <w:jc w:val="left"/>
        <w:rPr>
          <w:rFonts w:ascii="宋体" w:eastAsia="宋体" w:cs="宋体"/>
          <w:kern w:val="0"/>
          <w:sz w:val="24"/>
          <w:szCs w:val="24"/>
        </w:rPr>
      </w:pPr>
      <w:r>
        <w:rPr>
          <w:rFonts w:ascii="宋体" w:eastAsia="宋体" w:cs="宋体"/>
          <w:kern w:val="0"/>
          <w:sz w:val="24"/>
          <w:szCs w:val="24"/>
        </w:rPr>
        <w:br w:type="page"/>
      </w:r>
    </w:p>
    <w:p>
      <w:pPr>
        <w:autoSpaceDE w:val="0"/>
        <w:autoSpaceDN w:val="0"/>
        <w:adjustRightInd w:val="0"/>
        <w:ind w:left="315" w:leftChars="150"/>
        <w:jc w:val="left"/>
        <w:rPr>
          <w:rFonts w:ascii="宋体" w:eastAsia="宋体" w:cs="宋体"/>
          <w:kern w:val="0"/>
          <w:sz w:val="24"/>
          <w:szCs w:val="24"/>
        </w:rPr>
      </w:pPr>
    </w:p>
    <w:p>
      <w:pPr>
        <w:widowControl/>
        <w:jc w:val="center"/>
        <w:rPr>
          <w:rFonts w:ascii="Times New Roman" w:hAnsi="Times New Roman" w:eastAsia="方正小标宋_GBK" w:cs="Times New Roman"/>
          <w:kern w:val="0"/>
          <w:sz w:val="36"/>
          <w:szCs w:val="36"/>
        </w:rPr>
      </w:pPr>
      <w:r>
        <w:rPr>
          <w:rFonts w:ascii="Times New Roman" w:hAnsi="Times New Roman" w:eastAsia="方正小标宋_GBK" w:cs="Times New Roman"/>
          <w:kern w:val="0"/>
          <w:sz w:val="36"/>
          <w:szCs w:val="36"/>
        </w:rPr>
        <w:t>政府性基金预算财政拨款收入支出决算表</w:t>
      </w:r>
    </w:p>
    <w:p>
      <w:pPr>
        <w:widowControl/>
        <w:wordWrap w:val="0"/>
        <w:jc w:val="right"/>
        <w:rPr>
          <w:rFonts w:ascii="Times New Roman" w:hAnsi="Times New Roman" w:eastAsia="仿宋_GB2312" w:cs="Times New Roman"/>
          <w:color w:val="000000"/>
          <w:kern w:val="0"/>
          <w:szCs w:val="21"/>
        </w:rPr>
      </w:pPr>
      <w:r>
        <w:rPr>
          <w:rFonts w:ascii="Times New Roman" w:hAnsi="Times New Roman" w:eastAsia="仿宋_GB2312" w:cs="Times New Roman"/>
          <w:color w:val="000000"/>
          <w:kern w:val="0"/>
          <w:szCs w:val="21"/>
        </w:rPr>
        <w:t>部门：                                                                                                                       公开08表</w:t>
      </w:r>
    </w:p>
    <w:p>
      <w:pPr>
        <w:widowControl/>
        <w:jc w:val="right"/>
        <w:rPr>
          <w:rFonts w:ascii="Times New Roman" w:hAnsi="Times New Roman" w:eastAsia="仿宋_GB2312" w:cs="Times New Roman"/>
          <w:color w:val="000000"/>
          <w:kern w:val="0"/>
          <w:szCs w:val="21"/>
        </w:rPr>
      </w:pPr>
      <w:r>
        <w:rPr>
          <w:rFonts w:ascii="Times New Roman" w:hAnsi="Times New Roman" w:eastAsia="仿宋_GB2312" w:cs="Times New Roman"/>
          <w:color w:val="000000"/>
          <w:kern w:val="0"/>
          <w:szCs w:val="21"/>
        </w:rPr>
        <w:t>单位：万元</w:t>
      </w:r>
    </w:p>
    <w:tbl>
      <w:tblPr>
        <w:tblStyle w:val="6"/>
        <w:tblW w:w="14440" w:type="dxa"/>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
      <w:tblGrid>
        <w:gridCol w:w="1120"/>
        <w:gridCol w:w="1833"/>
        <w:gridCol w:w="1905"/>
        <w:gridCol w:w="2130"/>
        <w:gridCol w:w="1920"/>
        <w:gridCol w:w="1905"/>
        <w:gridCol w:w="1890"/>
        <w:gridCol w:w="1737"/>
      </w:tblGrid>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2953" w:type="dxa"/>
            <w:gridSpan w:val="2"/>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 xml:space="preserve">项 </w:t>
            </w:r>
            <w:r>
              <w:rPr>
                <w:rFonts w:ascii="Times New Roman" w:hAnsi="Times New Roman" w:eastAsia="仿宋_GB2312" w:cs="Times New Roman"/>
                <w:b/>
                <w:color w:val="000000"/>
                <w:kern w:val="0"/>
                <w:szCs w:val="21"/>
              </w:rPr>
              <w:t xml:space="preserve">   </w:t>
            </w:r>
            <w:r>
              <w:rPr>
                <w:rFonts w:ascii="Times New Roman" w:hAnsi="Times New Roman" w:eastAsia="仿宋_GB2312" w:cs="Times New Roman"/>
                <w:b/>
                <w:kern w:val="0"/>
                <w:szCs w:val="21"/>
              </w:rPr>
              <w:t>目</w:t>
            </w:r>
          </w:p>
        </w:tc>
        <w:tc>
          <w:tcPr>
            <w:tcW w:w="1905" w:type="dxa"/>
            <w:vMerge w:val="restart"/>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年初结转和结余</w:t>
            </w:r>
          </w:p>
        </w:tc>
        <w:tc>
          <w:tcPr>
            <w:tcW w:w="2130" w:type="dxa"/>
            <w:vMerge w:val="restart"/>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本年收入</w:t>
            </w:r>
          </w:p>
        </w:tc>
        <w:tc>
          <w:tcPr>
            <w:tcW w:w="5715" w:type="dxa"/>
            <w:gridSpan w:val="3"/>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本年支出</w:t>
            </w:r>
          </w:p>
        </w:tc>
        <w:tc>
          <w:tcPr>
            <w:tcW w:w="1737" w:type="dxa"/>
            <w:vMerge w:val="restart"/>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年末结转和结余</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1120" w:type="dxa"/>
            <w:vMerge w:val="restart"/>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功能分类科目编码</w:t>
            </w:r>
          </w:p>
        </w:tc>
        <w:tc>
          <w:tcPr>
            <w:tcW w:w="1833" w:type="dxa"/>
            <w:vMerge w:val="restart"/>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科目名称</w:t>
            </w:r>
          </w:p>
        </w:tc>
        <w:tc>
          <w:tcPr>
            <w:tcW w:w="1905" w:type="dxa"/>
            <w:vMerge w:val="continue"/>
            <w:vAlign w:val="center"/>
          </w:tcPr>
          <w:p>
            <w:pPr>
              <w:widowControl/>
              <w:jc w:val="left"/>
              <w:rPr>
                <w:rFonts w:ascii="Times New Roman" w:hAnsi="Times New Roman" w:eastAsia="仿宋_GB2312" w:cs="Times New Roman"/>
                <w:b/>
                <w:kern w:val="0"/>
                <w:szCs w:val="21"/>
              </w:rPr>
            </w:pPr>
          </w:p>
        </w:tc>
        <w:tc>
          <w:tcPr>
            <w:tcW w:w="2130" w:type="dxa"/>
            <w:vMerge w:val="continue"/>
            <w:vAlign w:val="center"/>
          </w:tcPr>
          <w:p>
            <w:pPr>
              <w:widowControl/>
              <w:jc w:val="left"/>
              <w:rPr>
                <w:rFonts w:ascii="Times New Roman" w:hAnsi="Times New Roman" w:eastAsia="仿宋_GB2312" w:cs="Times New Roman"/>
                <w:b/>
                <w:kern w:val="0"/>
                <w:szCs w:val="21"/>
              </w:rPr>
            </w:pPr>
          </w:p>
        </w:tc>
        <w:tc>
          <w:tcPr>
            <w:tcW w:w="1920" w:type="dxa"/>
            <w:vMerge w:val="restart"/>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小计</w:t>
            </w:r>
          </w:p>
        </w:tc>
        <w:tc>
          <w:tcPr>
            <w:tcW w:w="1905" w:type="dxa"/>
            <w:vMerge w:val="restart"/>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 xml:space="preserve">基本支出  </w:t>
            </w:r>
          </w:p>
        </w:tc>
        <w:tc>
          <w:tcPr>
            <w:tcW w:w="1890" w:type="dxa"/>
            <w:vMerge w:val="restart"/>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项目支出</w:t>
            </w:r>
          </w:p>
        </w:tc>
        <w:tc>
          <w:tcPr>
            <w:tcW w:w="1737" w:type="dxa"/>
            <w:vMerge w:val="continue"/>
            <w:vAlign w:val="center"/>
          </w:tcPr>
          <w:p>
            <w:pPr>
              <w:widowControl/>
              <w:jc w:val="left"/>
              <w:rPr>
                <w:rFonts w:ascii="Times New Roman" w:hAnsi="Times New Roman" w:eastAsia="仿宋_GB2312" w:cs="Times New Roman"/>
                <w:b/>
                <w:kern w:val="0"/>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1120" w:type="dxa"/>
            <w:vMerge w:val="continue"/>
            <w:vAlign w:val="center"/>
          </w:tcPr>
          <w:p>
            <w:pPr>
              <w:widowControl/>
              <w:jc w:val="left"/>
              <w:rPr>
                <w:rFonts w:ascii="Times New Roman" w:hAnsi="Times New Roman" w:eastAsia="仿宋_GB2312" w:cs="Times New Roman"/>
                <w:kern w:val="0"/>
                <w:szCs w:val="21"/>
              </w:rPr>
            </w:pPr>
          </w:p>
        </w:tc>
        <w:tc>
          <w:tcPr>
            <w:tcW w:w="1833" w:type="dxa"/>
            <w:vMerge w:val="continue"/>
            <w:vAlign w:val="center"/>
          </w:tcPr>
          <w:p>
            <w:pPr>
              <w:widowControl/>
              <w:jc w:val="left"/>
              <w:rPr>
                <w:rFonts w:ascii="Times New Roman" w:hAnsi="Times New Roman" w:eastAsia="仿宋_GB2312" w:cs="Times New Roman"/>
                <w:kern w:val="0"/>
                <w:szCs w:val="21"/>
              </w:rPr>
            </w:pPr>
          </w:p>
        </w:tc>
        <w:tc>
          <w:tcPr>
            <w:tcW w:w="1905" w:type="dxa"/>
            <w:vMerge w:val="continue"/>
            <w:vAlign w:val="center"/>
          </w:tcPr>
          <w:p>
            <w:pPr>
              <w:widowControl/>
              <w:jc w:val="left"/>
              <w:rPr>
                <w:rFonts w:ascii="Times New Roman" w:hAnsi="Times New Roman" w:eastAsia="仿宋_GB2312" w:cs="Times New Roman"/>
                <w:kern w:val="0"/>
                <w:szCs w:val="21"/>
              </w:rPr>
            </w:pPr>
          </w:p>
        </w:tc>
        <w:tc>
          <w:tcPr>
            <w:tcW w:w="2130" w:type="dxa"/>
            <w:vMerge w:val="continue"/>
            <w:vAlign w:val="center"/>
          </w:tcPr>
          <w:p>
            <w:pPr>
              <w:widowControl/>
              <w:jc w:val="left"/>
              <w:rPr>
                <w:rFonts w:ascii="Times New Roman" w:hAnsi="Times New Roman" w:eastAsia="仿宋_GB2312" w:cs="Times New Roman"/>
                <w:kern w:val="0"/>
                <w:szCs w:val="21"/>
              </w:rPr>
            </w:pPr>
          </w:p>
        </w:tc>
        <w:tc>
          <w:tcPr>
            <w:tcW w:w="1920" w:type="dxa"/>
            <w:vMerge w:val="continue"/>
            <w:vAlign w:val="center"/>
          </w:tcPr>
          <w:p>
            <w:pPr>
              <w:widowControl/>
              <w:jc w:val="left"/>
              <w:rPr>
                <w:rFonts w:ascii="Times New Roman" w:hAnsi="Times New Roman" w:eastAsia="仿宋_GB2312" w:cs="Times New Roman"/>
                <w:kern w:val="0"/>
                <w:szCs w:val="21"/>
              </w:rPr>
            </w:pPr>
          </w:p>
        </w:tc>
        <w:tc>
          <w:tcPr>
            <w:tcW w:w="1905" w:type="dxa"/>
            <w:vMerge w:val="continue"/>
            <w:vAlign w:val="center"/>
          </w:tcPr>
          <w:p>
            <w:pPr>
              <w:widowControl/>
              <w:jc w:val="left"/>
              <w:rPr>
                <w:rFonts w:ascii="Times New Roman" w:hAnsi="Times New Roman" w:eastAsia="仿宋_GB2312" w:cs="Times New Roman"/>
                <w:kern w:val="0"/>
                <w:szCs w:val="21"/>
              </w:rPr>
            </w:pPr>
          </w:p>
        </w:tc>
        <w:tc>
          <w:tcPr>
            <w:tcW w:w="1890" w:type="dxa"/>
            <w:vMerge w:val="continue"/>
            <w:vAlign w:val="center"/>
          </w:tcPr>
          <w:p>
            <w:pPr>
              <w:widowControl/>
              <w:jc w:val="left"/>
              <w:rPr>
                <w:rFonts w:ascii="Times New Roman" w:hAnsi="Times New Roman" w:eastAsia="仿宋_GB2312" w:cs="Times New Roman"/>
                <w:kern w:val="0"/>
                <w:szCs w:val="21"/>
              </w:rPr>
            </w:pPr>
          </w:p>
        </w:tc>
        <w:tc>
          <w:tcPr>
            <w:tcW w:w="1737" w:type="dxa"/>
            <w:vMerge w:val="continue"/>
            <w:vAlign w:val="center"/>
          </w:tcPr>
          <w:p>
            <w:pPr>
              <w:widowControl/>
              <w:jc w:val="left"/>
              <w:rPr>
                <w:rFonts w:ascii="Times New Roman" w:hAnsi="Times New Roman" w:eastAsia="仿宋_GB2312" w:cs="Times New Roman"/>
                <w:kern w:val="0"/>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1120" w:type="dxa"/>
            <w:vMerge w:val="continue"/>
            <w:vAlign w:val="center"/>
          </w:tcPr>
          <w:p>
            <w:pPr>
              <w:widowControl/>
              <w:jc w:val="left"/>
              <w:rPr>
                <w:rFonts w:ascii="Times New Roman" w:hAnsi="Times New Roman" w:eastAsia="仿宋_GB2312" w:cs="Times New Roman"/>
                <w:kern w:val="0"/>
                <w:szCs w:val="21"/>
              </w:rPr>
            </w:pPr>
          </w:p>
        </w:tc>
        <w:tc>
          <w:tcPr>
            <w:tcW w:w="1833" w:type="dxa"/>
            <w:vMerge w:val="continue"/>
            <w:vAlign w:val="center"/>
          </w:tcPr>
          <w:p>
            <w:pPr>
              <w:widowControl/>
              <w:jc w:val="left"/>
              <w:rPr>
                <w:rFonts w:ascii="Times New Roman" w:hAnsi="Times New Roman" w:eastAsia="仿宋_GB2312" w:cs="Times New Roman"/>
                <w:kern w:val="0"/>
                <w:szCs w:val="21"/>
              </w:rPr>
            </w:pPr>
          </w:p>
        </w:tc>
        <w:tc>
          <w:tcPr>
            <w:tcW w:w="1905" w:type="dxa"/>
            <w:vMerge w:val="continue"/>
            <w:vAlign w:val="center"/>
          </w:tcPr>
          <w:p>
            <w:pPr>
              <w:widowControl/>
              <w:jc w:val="left"/>
              <w:rPr>
                <w:rFonts w:ascii="Times New Roman" w:hAnsi="Times New Roman" w:eastAsia="仿宋_GB2312" w:cs="Times New Roman"/>
                <w:kern w:val="0"/>
                <w:szCs w:val="21"/>
              </w:rPr>
            </w:pPr>
          </w:p>
        </w:tc>
        <w:tc>
          <w:tcPr>
            <w:tcW w:w="2130" w:type="dxa"/>
            <w:vMerge w:val="continue"/>
            <w:vAlign w:val="center"/>
          </w:tcPr>
          <w:p>
            <w:pPr>
              <w:widowControl/>
              <w:jc w:val="left"/>
              <w:rPr>
                <w:rFonts w:ascii="Times New Roman" w:hAnsi="Times New Roman" w:eastAsia="仿宋_GB2312" w:cs="Times New Roman"/>
                <w:kern w:val="0"/>
                <w:szCs w:val="21"/>
              </w:rPr>
            </w:pPr>
          </w:p>
        </w:tc>
        <w:tc>
          <w:tcPr>
            <w:tcW w:w="1920" w:type="dxa"/>
            <w:vMerge w:val="continue"/>
            <w:vAlign w:val="center"/>
          </w:tcPr>
          <w:p>
            <w:pPr>
              <w:widowControl/>
              <w:jc w:val="left"/>
              <w:rPr>
                <w:rFonts w:ascii="Times New Roman" w:hAnsi="Times New Roman" w:eastAsia="仿宋_GB2312" w:cs="Times New Roman"/>
                <w:kern w:val="0"/>
                <w:szCs w:val="21"/>
              </w:rPr>
            </w:pPr>
          </w:p>
        </w:tc>
        <w:tc>
          <w:tcPr>
            <w:tcW w:w="1905" w:type="dxa"/>
            <w:vMerge w:val="continue"/>
            <w:vAlign w:val="center"/>
          </w:tcPr>
          <w:p>
            <w:pPr>
              <w:widowControl/>
              <w:jc w:val="left"/>
              <w:rPr>
                <w:rFonts w:ascii="Times New Roman" w:hAnsi="Times New Roman" w:eastAsia="仿宋_GB2312" w:cs="Times New Roman"/>
                <w:kern w:val="0"/>
                <w:szCs w:val="21"/>
              </w:rPr>
            </w:pPr>
          </w:p>
        </w:tc>
        <w:tc>
          <w:tcPr>
            <w:tcW w:w="1890" w:type="dxa"/>
            <w:vMerge w:val="continue"/>
            <w:vAlign w:val="center"/>
          </w:tcPr>
          <w:p>
            <w:pPr>
              <w:widowControl/>
              <w:jc w:val="left"/>
              <w:rPr>
                <w:rFonts w:ascii="Times New Roman" w:hAnsi="Times New Roman" w:eastAsia="仿宋_GB2312" w:cs="Times New Roman"/>
                <w:kern w:val="0"/>
                <w:szCs w:val="21"/>
              </w:rPr>
            </w:pPr>
          </w:p>
        </w:tc>
        <w:tc>
          <w:tcPr>
            <w:tcW w:w="1737" w:type="dxa"/>
            <w:vMerge w:val="continue"/>
            <w:vAlign w:val="center"/>
          </w:tcPr>
          <w:p>
            <w:pPr>
              <w:widowControl/>
              <w:jc w:val="left"/>
              <w:rPr>
                <w:rFonts w:ascii="Times New Roman" w:hAnsi="Times New Roman" w:eastAsia="仿宋_GB2312" w:cs="Times New Roman"/>
                <w:kern w:val="0"/>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2953" w:type="dxa"/>
            <w:gridSpan w:val="2"/>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栏次</w:t>
            </w:r>
          </w:p>
        </w:tc>
        <w:tc>
          <w:tcPr>
            <w:tcW w:w="1905"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w:t>
            </w:r>
          </w:p>
        </w:tc>
        <w:tc>
          <w:tcPr>
            <w:tcW w:w="213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w:t>
            </w:r>
          </w:p>
        </w:tc>
        <w:tc>
          <w:tcPr>
            <w:tcW w:w="192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3</w:t>
            </w:r>
          </w:p>
        </w:tc>
        <w:tc>
          <w:tcPr>
            <w:tcW w:w="1905"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4</w:t>
            </w:r>
          </w:p>
        </w:tc>
        <w:tc>
          <w:tcPr>
            <w:tcW w:w="189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5</w:t>
            </w:r>
          </w:p>
        </w:tc>
        <w:tc>
          <w:tcPr>
            <w:tcW w:w="1737"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6</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2953" w:type="dxa"/>
            <w:gridSpan w:val="2"/>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合计</w:t>
            </w:r>
          </w:p>
        </w:tc>
        <w:tc>
          <w:tcPr>
            <w:tcW w:w="1905"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b/>
                <w:i w:val="0"/>
                <w:color w:val="000000"/>
                <w:kern w:val="0"/>
                <w:sz w:val="22"/>
                <w:szCs w:val="22"/>
                <w:u w:val="none"/>
                <w:lang w:val="en-US" w:eastAsia="zh-CN" w:bidi="ar"/>
              </w:rPr>
              <w:t>0.00</w:t>
            </w:r>
          </w:p>
        </w:tc>
        <w:tc>
          <w:tcPr>
            <w:tcW w:w="213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b/>
                <w:i w:val="0"/>
                <w:color w:val="000000"/>
                <w:kern w:val="0"/>
                <w:sz w:val="22"/>
                <w:szCs w:val="22"/>
                <w:u w:val="none"/>
                <w:lang w:val="en-US" w:eastAsia="zh-CN" w:bidi="ar"/>
              </w:rPr>
              <w:t>95.36</w:t>
            </w:r>
          </w:p>
        </w:tc>
        <w:tc>
          <w:tcPr>
            <w:tcW w:w="192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b/>
                <w:i w:val="0"/>
                <w:color w:val="000000"/>
                <w:kern w:val="0"/>
                <w:sz w:val="22"/>
                <w:szCs w:val="22"/>
                <w:u w:val="none"/>
                <w:lang w:val="en-US" w:eastAsia="zh-CN" w:bidi="ar"/>
              </w:rPr>
              <w:t>95.36</w:t>
            </w:r>
          </w:p>
        </w:tc>
        <w:tc>
          <w:tcPr>
            <w:tcW w:w="1905"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b/>
                <w:i w:val="0"/>
                <w:color w:val="000000"/>
                <w:kern w:val="0"/>
                <w:sz w:val="22"/>
                <w:szCs w:val="22"/>
                <w:u w:val="none"/>
                <w:lang w:val="en-US" w:eastAsia="zh-CN" w:bidi="ar"/>
              </w:rPr>
              <w:t>0.00</w:t>
            </w:r>
          </w:p>
        </w:tc>
        <w:tc>
          <w:tcPr>
            <w:tcW w:w="189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b/>
                <w:i w:val="0"/>
                <w:color w:val="000000"/>
                <w:kern w:val="0"/>
                <w:sz w:val="22"/>
                <w:szCs w:val="22"/>
                <w:u w:val="none"/>
                <w:lang w:val="en-US" w:eastAsia="zh-CN" w:bidi="ar"/>
              </w:rPr>
              <w:t>95.36</w:t>
            </w:r>
          </w:p>
        </w:tc>
        <w:tc>
          <w:tcPr>
            <w:tcW w:w="1737"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b/>
                <w:i w:val="0"/>
                <w:color w:val="000000"/>
                <w:kern w:val="0"/>
                <w:sz w:val="22"/>
                <w:szCs w:val="22"/>
                <w:u w:val="none"/>
                <w:lang w:val="en-US" w:eastAsia="zh-CN" w:bidi="ar"/>
              </w:rPr>
              <w:t>0.00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1120" w:type="dxa"/>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212</w:t>
            </w:r>
          </w:p>
        </w:tc>
        <w:tc>
          <w:tcPr>
            <w:tcW w:w="1833" w:type="dxa"/>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城乡社区支出</w:t>
            </w:r>
          </w:p>
        </w:tc>
        <w:tc>
          <w:tcPr>
            <w:tcW w:w="1905"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13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95.36</w:t>
            </w:r>
          </w:p>
        </w:tc>
        <w:tc>
          <w:tcPr>
            <w:tcW w:w="192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95.36</w:t>
            </w:r>
          </w:p>
        </w:tc>
        <w:tc>
          <w:tcPr>
            <w:tcW w:w="1905"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89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95.36</w:t>
            </w:r>
          </w:p>
        </w:tc>
        <w:tc>
          <w:tcPr>
            <w:tcW w:w="1737"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1120" w:type="dxa"/>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21208</w:t>
            </w:r>
          </w:p>
        </w:tc>
        <w:tc>
          <w:tcPr>
            <w:tcW w:w="1833" w:type="dxa"/>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国有土地使用权出让收入及对应专项债务收入安排的支出</w:t>
            </w:r>
          </w:p>
        </w:tc>
        <w:tc>
          <w:tcPr>
            <w:tcW w:w="1905"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13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95.36</w:t>
            </w:r>
          </w:p>
        </w:tc>
        <w:tc>
          <w:tcPr>
            <w:tcW w:w="192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95.36</w:t>
            </w:r>
          </w:p>
        </w:tc>
        <w:tc>
          <w:tcPr>
            <w:tcW w:w="1905"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89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95.36</w:t>
            </w:r>
          </w:p>
        </w:tc>
        <w:tc>
          <w:tcPr>
            <w:tcW w:w="1737"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1120" w:type="dxa"/>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2120801</w:t>
            </w:r>
          </w:p>
        </w:tc>
        <w:tc>
          <w:tcPr>
            <w:tcW w:w="1833" w:type="dxa"/>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 xml:space="preserve">  征地和拆迁补偿支出</w:t>
            </w:r>
          </w:p>
        </w:tc>
        <w:tc>
          <w:tcPr>
            <w:tcW w:w="1905"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213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95.36</w:t>
            </w:r>
          </w:p>
        </w:tc>
        <w:tc>
          <w:tcPr>
            <w:tcW w:w="192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95.36</w:t>
            </w:r>
          </w:p>
        </w:tc>
        <w:tc>
          <w:tcPr>
            <w:tcW w:w="1905"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c>
          <w:tcPr>
            <w:tcW w:w="1890"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95.36</w:t>
            </w:r>
          </w:p>
        </w:tc>
        <w:tc>
          <w:tcPr>
            <w:tcW w:w="1737" w:type="dxa"/>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color w:val="000000"/>
                <w:kern w:val="0"/>
                <w:sz w:val="22"/>
                <w:szCs w:val="22"/>
                <w:u w:val="none"/>
                <w:lang w:val="en-US" w:eastAsia="zh-CN" w:bidi="ar"/>
              </w:rPr>
              <w:t>0.00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112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833"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905"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130"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920"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905"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890"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737"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bl>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注：本表反映部门本年度政府性基金预算财政拨款收入、支出及结转和结余情况</w:t>
      </w:r>
    </w:p>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(若本单位无政府性基金收支</w:t>
      </w:r>
      <w:r>
        <w:rPr>
          <w:rFonts w:hint="eastAsia" w:ascii="Times New Roman" w:hAnsi="Times New Roman" w:eastAsia="仿宋_GB2312" w:cs="Times New Roman"/>
          <w:kern w:val="0"/>
          <w:szCs w:val="21"/>
        </w:rPr>
        <w:t>,请说明：XX单位没有政府性基金收入，也没有使用政府性基金安排的支出，故本表无数据</w:t>
      </w:r>
      <w:r>
        <w:rPr>
          <w:rFonts w:ascii="Times New Roman" w:hAnsi="Times New Roman" w:eastAsia="仿宋_GB2312" w:cs="Times New Roman"/>
          <w:kern w:val="0"/>
          <w:szCs w:val="21"/>
        </w:rPr>
        <w:t>)。</w:t>
      </w:r>
    </w:p>
    <w:p>
      <w:pPr>
        <w:widowControl/>
        <w:jc w:val="left"/>
        <w:rPr>
          <w:sz w:val="72"/>
          <w:szCs w:val="72"/>
        </w:rPr>
        <w:sectPr>
          <w:pgSz w:w="16838" w:h="11906" w:orient="landscape"/>
          <w:pgMar w:top="720" w:right="720" w:bottom="720" w:left="720" w:header="851" w:footer="992" w:gutter="0"/>
          <w:cols w:space="425" w:num="1"/>
          <w:docGrid w:type="lines" w:linePitch="312" w:charSpace="0"/>
        </w:sectPr>
      </w:pPr>
    </w:p>
    <w:p>
      <w:pPr>
        <w:pStyle w:val="11"/>
        <w:rPr>
          <w:sz w:val="72"/>
          <w:szCs w:val="72"/>
        </w:rPr>
      </w:pPr>
    </w:p>
    <w:p>
      <w:pPr>
        <w:pStyle w:val="11"/>
        <w:rPr>
          <w:sz w:val="72"/>
          <w:szCs w:val="72"/>
        </w:rPr>
      </w:pPr>
    </w:p>
    <w:p>
      <w:pPr>
        <w:pStyle w:val="11"/>
        <w:rPr>
          <w:sz w:val="72"/>
          <w:szCs w:val="72"/>
        </w:rPr>
      </w:pPr>
    </w:p>
    <w:p>
      <w:pPr>
        <w:pStyle w:val="11"/>
        <w:rPr>
          <w:sz w:val="72"/>
          <w:szCs w:val="72"/>
        </w:rPr>
      </w:pPr>
    </w:p>
    <w:p>
      <w:pPr>
        <w:pStyle w:val="11"/>
        <w:jc w:val="center"/>
        <w:rPr>
          <w:sz w:val="72"/>
          <w:szCs w:val="72"/>
        </w:rPr>
      </w:pPr>
    </w:p>
    <w:p>
      <w:pPr>
        <w:pStyle w:val="11"/>
        <w:jc w:val="center"/>
        <w:rPr>
          <w:sz w:val="72"/>
          <w:szCs w:val="72"/>
        </w:rPr>
      </w:pPr>
    </w:p>
    <w:p>
      <w:pPr>
        <w:pStyle w:val="11"/>
        <w:jc w:val="center"/>
        <w:rPr>
          <w:sz w:val="72"/>
          <w:szCs w:val="72"/>
        </w:rPr>
      </w:pPr>
      <w:r>
        <w:rPr>
          <w:rFonts w:hint="eastAsia"/>
          <w:sz w:val="72"/>
          <w:szCs w:val="72"/>
        </w:rPr>
        <w:t>第三部分</w:t>
      </w:r>
    </w:p>
    <w:p>
      <w:pPr>
        <w:pStyle w:val="11"/>
        <w:jc w:val="center"/>
        <w:rPr>
          <w:sz w:val="70"/>
          <w:szCs w:val="70"/>
        </w:rPr>
      </w:pPr>
    </w:p>
    <w:p>
      <w:pPr>
        <w:pStyle w:val="11"/>
        <w:jc w:val="center"/>
        <w:rPr>
          <w:sz w:val="70"/>
          <w:szCs w:val="70"/>
        </w:rPr>
      </w:pPr>
      <w:r>
        <w:rPr>
          <w:sz w:val="70"/>
          <w:szCs w:val="70"/>
        </w:rPr>
        <w:t>2019</w:t>
      </w:r>
      <w:r>
        <w:rPr>
          <w:rFonts w:hint="eastAsia"/>
          <w:sz w:val="70"/>
          <w:szCs w:val="70"/>
        </w:rPr>
        <w:t>年度部门决算情况说明</w:t>
      </w:r>
    </w:p>
    <w:p>
      <w:pPr>
        <w:widowControl/>
        <w:jc w:val="left"/>
        <w:rPr>
          <w:rFonts w:ascii="黑体" w:eastAsia="黑体" w:cs="黑体"/>
          <w:color w:val="000000"/>
          <w:kern w:val="0"/>
          <w:sz w:val="70"/>
          <w:szCs w:val="70"/>
        </w:rPr>
      </w:pPr>
      <w:r>
        <w:rPr>
          <w:sz w:val="70"/>
          <w:szCs w:val="70"/>
        </w:rPr>
        <w:br w:type="page"/>
      </w:r>
    </w:p>
    <w:p>
      <w:pPr>
        <w:pStyle w:val="11"/>
        <w:rPr>
          <w:rFonts w:asciiTheme="minorEastAsia" w:hAnsiTheme="minorEastAsia" w:eastAsiaTheme="minorEastAsia"/>
          <w:sz w:val="32"/>
          <w:szCs w:val="32"/>
        </w:rPr>
      </w:pPr>
    </w:p>
    <w:p>
      <w:pPr>
        <w:pStyle w:val="11"/>
        <w:rPr>
          <w:rFonts w:hAnsi="黑体"/>
          <w:b/>
          <w:sz w:val="32"/>
          <w:szCs w:val="32"/>
        </w:rPr>
      </w:pPr>
      <w:r>
        <w:rPr>
          <w:rFonts w:hint="eastAsia" w:hAnsi="黑体"/>
          <w:b/>
          <w:sz w:val="32"/>
          <w:szCs w:val="32"/>
        </w:rPr>
        <w:t>一、收入支出决算总体情况说明</w:t>
      </w:r>
    </w:p>
    <w:p>
      <w:pPr>
        <w:pStyle w:val="11"/>
        <w:ind w:firstLine="640" w:firstLineChars="200"/>
        <w:rPr>
          <w:rFonts w:hint="eastAsia" w:asciiTheme="minorEastAsia" w:hAnsiTheme="minorEastAsia" w:eastAsiaTheme="minorEastAsia"/>
          <w:sz w:val="32"/>
          <w:szCs w:val="32"/>
        </w:rPr>
      </w:pPr>
      <w:r>
        <w:rPr>
          <w:rFonts w:hint="eastAsia" w:asciiTheme="minorEastAsia" w:hAnsiTheme="minorEastAsia" w:eastAsiaTheme="minorEastAsia"/>
          <w:sz w:val="32"/>
          <w:szCs w:val="32"/>
        </w:rPr>
        <w:t>本部门2019年度收入支出总决算</w:t>
      </w:r>
      <w:r>
        <w:rPr>
          <w:rFonts w:hint="eastAsia" w:asciiTheme="minorEastAsia" w:hAnsiTheme="minorEastAsia" w:eastAsiaTheme="minorEastAsia"/>
          <w:sz w:val="32"/>
          <w:szCs w:val="32"/>
          <w:lang w:val="en-US" w:eastAsia="zh-CN"/>
        </w:rPr>
        <w:t>2077.46</w:t>
      </w:r>
      <w:r>
        <w:rPr>
          <w:rFonts w:hint="eastAsia" w:asciiTheme="minorEastAsia" w:hAnsiTheme="minorEastAsia" w:eastAsiaTheme="minorEastAsia"/>
          <w:sz w:val="32"/>
          <w:szCs w:val="32"/>
        </w:rPr>
        <w:t>万元，本部门 2018年度收入支出总决算</w:t>
      </w:r>
      <w:r>
        <w:rPr>
          <w:rFonts w:hint="eastAsia" w:asciiTheme="minorEastAsia" w:hAnsiTheme="minorEastAsia" w:eastAsiaTheme="minorEastAsia"/>
          <w:sz w:val="32"/>
          <w:szCs w:val="32"/>
          <w:lang w:val="en-US" w:eastAsia="zh-CN"/>
        </w:rPr>
        <w:t>1803.84</w:t>
      </w:r>
      <w:r>
        <w:rPr>
          <w:rFonts w:hint="eastAsia" w:asciiTheme="minorEastAsia" w:hAnsiTheme="minorEastAsia" w:eastAsiaTheme="minorEastAsia"/>
          <w:sz w:val="32"/>
          <w:szCs w:val="32"/>
        </w:rPr>
        <w:t>万元，与2018年相比较增加</w:t>
      </w:r>
      <w:r>
        <w:rPr>
          <w:rFonts w:hint="eastAsia" w:asciiTheme="minorEastAsia" w:hAnsiTheme="minorEastAsia" w:eastAsiaTheme="minorEastAsia"/>
          <w:sz w:val="32"/>
          <w:szCs w:val="32"/>
          <w:lang w:val="en-US" w:eastAsia="zh-CN"/>
        </w:rPr>
        <w:t>273.62</w:t>
      </w:r>
      <w:r>
        <w:rPr>
          <w:rFonts w:hint="eastAsia" w:asciiTheme="minorEastAsia" w:hAnsiTheme="minorEastAsia" w:eastAsiaTheme="minorEastAsia"/>
          <w:sz w:val="32"/>
          <w:szCs w:val="32"/>
        </w:rPr>
        <w:t>万元，递增</w:t>
      </w:r>
      <w:r>
        <w:rPr>
          <w:rFonts w:hint="eastAsia" w:asciiTheme="minorEastAsia" w:hAnsiTheme="minorEastAsia" w:eastAsiaTheme="minorEastAsia"/>
          <w:sz w:val="32"/>
          <w:szCs w:val="32"/>
          <w:lang w:val="en-US" w:eastAsia="zh-CN"/>
        </w:rPr>
        <w:t>15.17</w:t>
      </w:r>
      <w:r>
        <w:rPr>
          <w:rFonts w:hint="eastAsia" w:asciiTheme="minorEastAsia" w:hAnsiTheme="minorEastAsia" w:eastAsiaTheme="minorEastAsia"/>
          <w:sz w:val="32"/>
          <w:szCs w:val="32"/>
        </w:rPr>
        <w:t>%，</w:t>
      </w:r>
      <w:r>
        <w:rPr>
          <w:rFonts w:hint="eastAsia" w:asciiTheme="minorEastAsia" w:hAnsiTheme="minorEastAsia" w:eastAsiaTheme="minorEastAsia"/>
          <w:sz w:val="32"/>
          <w:szCs w:val="32"/>
          <w:lang w:eastAsia="zh-CN"/>
        </w:rPr>
        <w:t>主要是因为</w:t>
      </w:r>
      <w:r>
        <w:rPr>
          <w:rFonts w:hint="eastAsia" w:asciiTheme="minorEastAsia" w:hAnsiTheme="minorEastAsia" w:eastAsiaTheme="minorEastAsia"/>
          <w:sz w:val="32"/>
          <w:szCs w:val="32"/>
        </w:rPr>
        <w:t>人员正常晋职和</w:t>
      </w:r>
      <w:r>
        <w:rPr>
          <w:rFonts w:hint="eastAsia" w:asciiTheme="minorEastAsia" w:hAnsiTheme="minorEastAsia" w:eastAsiaTheme="minorEastAsia"/>
          <w:sz w:val="32"/>
          <w:szCs w:val="32"/>
          <w:lang w:eastAsia="zh-CN"/>
        </w:rPr>
        <w:t>机构改革职能划入</w:t>
      </w:r>
      <w:r>
        <w:rPr>
          <w:rFonts w:hint="eastAsia" w:asciiTheme="minorEastAsia" w:hAnsiTheme="minorEastAsia" w:eastAsiaTheme="minorEastAsia"/>
          <w:sz w:val="32"/>
          <w:szCs w:val="32"/>
        </w:rPr>
        <w:t>项目经费</w:t>
      </w:r>
      <w:r>
        <w:rPr>
          <w:rFonts w:hint="eastAsia" w:asciiTheme="minorEastAsia" w:hAnsiTheme="minorEastAsia" w:eastAsiaTheme="minorEastAsia"/>
          <w:sz w:val="32"/>
          <w:szCs w:val="32"/>
          <w:lang w:eastAsia="zh-CN"/>
        </w:rPr>
        <w:t>、及人员经费、绩效考核等对应划入。</w:t>
      </w:r>
    </w:p>
    <w:p>
      <w:pPr>
        <w:pStyle w:val="11"/>
        <w:rPr>
          <w:rFonts w:hAnsi="黑体"/>
          <w:b/>
          <w:sz w:val="32"/>
          <w:szCs w:val="32"/>
        </w:rPr>
      </w:pPr>
      <w:r>
        <w:rPr>
          <w:rFonts w:hint="eastAsia" w:hAnsi="黑体"/>
          <w:b/>
          <w:sz w:val="32"/>
          <w:szCs w:val="32"/>
        </w:rPr>
        <w:t>二、收入决算情况说明</w:t>
      </w:r>
    </w:p>
    <w:p>
      <w:pPr>
        <w:pStyle w:val="11"/>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本年收入合计</w:t>
      </w:r>
      <w:r>
        <w:rPr>
          <w:rFonts w:hint="eastAsia" w:asciiTheme="minorEastAsia" w:hAnsiTheme="minorEastAsia" w:eastAsiaTheme="minorEastAsia"/>
          <w:sz w:val="32"/>
          <w:szCs w:val="32"/>
          <w:lang w:val="en-US" w:eastAsia="zh-CN"/>
        </w:rPr>
        <w:t>2077.46</w:t>
      </w:r>
      <w:r>
        <w:rPr>
          <w:rFonts w:hint="eastAsia" w:asciiTheme="minorEastAsia" w:hAnsiTheme="minorEastAsia" w:eastAsiaTheme="minorEastAsia"/>
          <w:sz w:val="32"/>
          <w:szCs w:val="32"/>
        </w:rPr>
        <w:t>万元，其中：财政拨款收入</w:t>
      </w:r>
      <w:r>
        <w:rPr>
          <w:rFonts w:hint="eastAsia" w:asciiTheme="minorEastAsia" w:hAnsiTheme="minorEastAsia" w:eastAsiaTheme="minorEastAsia"/>
          <w:sz w:val="32"/>
          <w:szCs w:val="32"/>
          <w:lang w:val="en-US" w:eastAsia="zh-CN"/>
        </w:rPr>
        <w:t>2077.46</w:t>
      </w:r>
      <w:r>
        <w:rPr>
          <w:rFonts w:hint="eastAsia" w:asciiTheme="minorEastAsia" w:hAnsiTheme="minorEastAsia" w:eastAsiaTheme="minorEastAsia"/>
          <w:sz w:val="32"/>
          <w:szCs w:val="32"/>
        </w:rPr>
        <w:t>万元，占</w:t>
      </w:r>
      <w:r>
        <w:rPr>
          <w:rFonts w:hint="eastAsia" w:asciiTheme="minorEastAsia" w:hAnsiTheme="minorEastAsia" w:eastAsiaTheme="minorEastAsia"/>
          <w:sz w:val="32"/>
          <w:szCs w:val="32"/>
          <w:lang w:val="en-US" w:eastAsia="zh-CN"/>
        </w:rPr>
        <w:t>100</w:t>
      </w:r>
      <w:r>
        <w:rPr>
          <w:rFonts w:hint="eastAsia" w:asciiTheme="minorEastAsia" w:hAnsiTheme="minorEastAsia" w:eastAsiaTheme="minorEastAsia"/>
          <w:sz w:val="32"/>
          <w:szCs w:val="32"/>
        </w:rPr>
        <w:t>%。</w:t>
      </w:r>
    </w:p>
    <w:p>
      <w:pPr>
        <w:pStyle w:val="11"/>
        <w:rPr>
          <w:rFonts w:hAnsi="黑体"/>
          <w:b/>
          <w:sz w:val="32"/>
          <w:szCs w:val="32"/>
        </w:rPr>
      </w:pPr>
      <w:r>
        <w:rPr>
          <w:rFonts w:hint="eastAsia" w:hAnsi="黑体"/>
          <w:b/>
          <w:sz w:val="32"/>
          <w:szCs w:val="32"/>
        </w:rPr>
        <w:t>三、支出决算情况说明</w:t>
      </w:r>
    </w:p>
    <w:p>
      <w:pPr>
        <w:pStyle w:val="11"/>
        <w:ind w:firstLine="640" w:firstLineChars="200"/>
        <w:rPr>
          <w:rFonts w:hint="eastAsia" w:asciiTheme="minorEastAsia" w:hAnsiTheme="minorEastAsia" w:eastAsiaTheme="minorEastAsia"/>
          <w:sz w:val="32"/>
          <w:szCs w:val="32"/>
          <w:lang w:eastAsia="zh-CN"/>
        </w:rPr>
      </w:pPr>
      <w:r>
        <w:rPr>
          <w:rFonts w:hint="eastAsia" w:asciiTheme="minorEastAsia" w:hAnsiTheme="minorEastAsia" w:eastAsiaTheme="minorEastAsia"/>
          <w:sz w:val="32"/>
          <w:szCs w:val="32"/>
        </w:rPr>
        <w:t>本年支出合计</w:t>
      </w:r>
      <w:r>
        <w:rPr>
          <w:rFonts w:hint="eastAsia" w:asciiTheme="minorEastAsia" w:hAnsiTheme="minorEastAsia" w:eastAsiaTheme="minorEastAsia"/>
          <w:sz w:val="32"/>
          <w:szCs w:val="32"/>
          <w:lang w:val="en-US" w:eastAsia="zh-CN"/>
        </w:rPr>
        <w:t>2077.46</w:t>
      </w:r>
      <w:r>
        <w:rPr>
          <w:rFonts w:hint="eastAsia" w:asciiTheme="minorEastAsia" w:hAnsiTheme="minorEastAsia" w:eastAsiaTheme="minorEastAsia"/>
          <w:sz w:val="32"/>
          <w:szCs w:val="32"/>
        </w:rPr>
        <w:t>万元，其中：基本支出1421.57万元，占</w:t>
      </w:r>
      <w:r>
        <w:rPr>
          <w:rFonts w:hint="eastAsia" w:asciiTheme="minorEastAsia" w:hAnsiTheme="minorEastAsia" w:eastAsiaTheme="minorEastAsia"/>
          <w:sz w:val="32"/>
          <w:szCs w:val="32"/>
          <w:lang w:val="en-US" w:eastAsia="zh-CN"/>
        </w:rPr>
        <w:t>68.43</w:t>
      </w:r>
      <w:r>
        <w:rPr>
          <w:rFonts w:hint="eastAsia" w:asciiTheme="minorEastAsia" w:hAnsiTheme="minorEastAsia" w:eastAsiaTheme="minorEastAsia"/>
          <w:sz w:val="32"/>
          <w:szCs w:val="32"/>
        </w:rPr>
        <w:t>%；项目支出655.88万元，占</w:t>
      </w:r>
      <w:r>
        <w:rPr>
          <w:rFonts w:hint="eastAsia" w:asciiTheme="minorEastAsia" w:hAnsiTheme="minorEastAsia" w:eastAsiaTheme="minorEastAsia"/>
          <w:sz w:val="32"/>
          <w:szCs w:val="32"/>
          <w:lang w:val="en-US" w:eastAsia="zh-CN"/>
        </w:rPr>
        <w:t>31.57</w:t>
      </w:r>
      <w:r>
        <w:rPr>
          <w:rFonts w:hint="eastAsia" w:asciiTheme="minorEastAsia" w:hAnsiTheme="minorEastAsia" w:eastAsiaTheme="minorEastAsia"/>
          <w:sz w:val="32"/>
          <w:szCs w:val="32"/>
        </w:rPr>
        <w:t>%</w:t>
      </w:r>
      <w:r>
        <w:rPr>
          <w:rFonts w:hint="eastAsia" w:asciiTheme="minorEastAsia" w:hAnsiTheme="minorEastAsia" w:eastAsiaTheme="minorEastAsia"/>
          <w:sz w:val="32"/>
          <w:szCs w:val="32"/>
          <w:lang w:eastAsia="zh-CN"/>
        </w:rPr>
        <w:t>。</w:t>
      </w:r>
    </w:p>
    <w:p>
      <w:pPr>
        <w:pStyle w:val="11"/>
        <w:rPr>
          <w:rFonts w:hAnsi="黑体"/>
          <w:b/>
          <w:sz w:val="32"/>
          <w:szCs w:val="32"/>
        </w:rPr>
      </w:pPr>
      <w:r>
        <w:rPr>
          <w:rFonts w:hint="eastAsia" w:hAnsi="黑体"/>
          <w:b/>
          <w:sz w:val="32"/>
          <w:szCs w:val="32"/>
        </w:rPr>
        <w:t>四、财政拨款收入支出决算总体情况说明</w:t>
      </w:r>
    </w:p>
    <w:p>
      <w:pPr>
        <w:pStyle w:val="11"/>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 xml:space="preserve">    2019年度财政拨款收、支总计</w:t>
      </w:r>
      <w:r>
        <w:rPr>
          <w:rFonts w:hint="eastAsia" w:asciiTheme="minorEastAsia" w:hAnsiTheme="minorEastAsia" w:eastAsiaTheme="minorEastAsia"/>
          <w:sz w:val="32"/>
          <w:szCs w:val="32"/>
          <w:lang w:val="en-US" w:eastAsia="zh-CN"/>
        </w:rPr>
        <w:t>2077.46</w:t>
      </w:r>
      <w:r>
        <w:rPr>
          <w:rFonts w:hint="eastAsia" w:asciiTheme="minorEastAsia" w:hAnsiTheme="minorEastAsia" w:eastAsiaTheme="minorEastAsia"/>
          <w:sz w:val="32"/>
          <w:szCs w:val="32"/>
        </w:rPr>
        <w:t>万元，与2018年相比，增加</w:t>
      </w:r>
      <w:r>
        <w:rPr>
          <w:rFonts w:hint="eastAsia" w:asciiTheme="minorEastAsia" w:hAnsiTheme="minorEastAsia" w:eastAsiaTheme="minorEastAsia"/>
          <w:sz w:val="32"/>
          <w:szCs w:val="32"/>
          <w:lang w:val="en-US" w:eastAsia="zh-CN"/>
        </w:rPr>
        <w:t>273.62</w:t>
      </w:r>
      <w:r>
        <w:rPr>
          <w:rFonts w:hint="eastAsia" w:asciiTheme="minorEastAsia" w:hAnsiTheme="minorEastAsia" w:eastAsiaTheme="minorEastAsia"/>
          <w:sz w:val="32"/>
          <w:szCs w:val="32"/>
        </w:rPr>
        <w:t>万元,增长</w:t>
      </w:r>
      <w:r>
        <w:rPr>
          <w:rFonts w:hint="eastAsia" w:asciiTheme="minorEastAsia" w:hAnsiTheme="minorEastAsia" w:eastAsiaTheme="minorEastAsia"/>
          <w:sz w:val="32"/>
          <w:szCs w:val="32"/>
          <w:lang w:val="en-US" w:eastAsia="zh-CN"/>
        </w:rPr>
        <w:t>15.17</w:t>
      </w:r>
      <w:r>
        <w:rPr>
          <w:rFonts w:hint="eastAsia" w:asciiTheme="minorEastAsia" w:hAnsiTheme="minorEastAsia" w:eastAsiaTheme="minorEastAsia"/>
          <w:sz w:val="32"/>
          <w:szCs w:val="32"/>
        </w:rPr>
        <w:t>%，</w:t>
      </w:r>
      <w:r>
        <w:rPr>
          <w:rFonts w:hint="eastAsia" w:asciiTheme="minorEastAsia" w:hAnsiTheme="minorEastAsia" w:eastAsiaTheme="minorEastAsia"/>
          <w:sz w:val="32"/>
          <w:szCs w:val="32"/>
          <w:lang w:eastAsia="zh-CN"/>
        </w:rPr>
        <w:t>主要是因为</w:t>
      </w:r>
      <w:r>
        <w:rPr>
          <w:rFonts w:hint="eastAsia" w:asciiTheme="minorEastAsia" w:hAnsiTheme="minorEastAsia" w:eastAsiaTheme="minorEastAsia"/>
          <w:sz w:val="32"/>
          <w:szCs w:val="32"/>
        </w:rPr>
        <w:t>人员正常晋职和</w:t>
      </w:r>
      <w:r>
        <w:rPr>
          <w:rFonts w:hint="eastAsia" w:asciiTheme="minorEastAsia" w:hAnsiTheme="minorEastAsia" w:eastAsiaTheme="minorEastAsia"/>
          <w:sz w:val="32"/>
          <w:szCs w:val="32"/>
          <w:lang w:eastAsia="zh-CN"/>
        </w:rPr>
        <w:t>机构改革职能划入</w:t>
      </w:r>
      <w:r>
        <w:rPr>
          <w:rFonts w:hint="eastAsia" w:asciiTheme="minorEastAsia" w:hAnsiTheme="minorEastAsia" w:eastAsiaTheme="minorEastAsia"/>
          <w:sz w:val="32"/>
          <w:szCs w:val="32"/>
        </w:rPr>
        <w:t>项目经费</w:t>
      </w:r>
      <w:r>
        <w:rPr>
          <w:rFonts w:hint="eastAsia" w:asciiTheme="minorEastAsia" w:hAnsiTheme="minorEastAsia" w:eastAsiaTheme="minorEastAsia"/>
          <w:sz w:val="32"/>
          <w:szCs w:val="32"/>
          <w:lang w:eastAsia="zh-CN"/>
        </w:rPr>
        <w:t>、及人员经费、绩效考核等对应划入。</w:t>
      </w:r>
    </w:p>
    <w:p>
      <w:pPr>
        <w:pStyle w:val="11"/>
        <w:rPr>
          <w:rFonts w:hAnsi="黑体"/>
          <w:b/>
          <w:sz w:val="32"/>
          <w:szCs w:val="32"/>
        </w:rPr>
      </w:pPr>
      <w:r>
        <w:rPr>
          <w:rFonts w:hint="eastAsia" w:hAnsi="黑体"/>
          <w:b/>
          <w:sz w:val="32"/>
          <w:szCs w:val="32"/>
        </w:rPr>
        <w:t>五、一般公共预算财政拨款支出决算情况说明</w:t>
      </w:r>
    </w:p>
    <w:p>
      <w:pPr>
        <w:pStyle w:val="11"/>
        <w:ind w:firstLine="640" w:firstLineChars="200"/>
        <w:rPr>
          <w:rFonts w:asciiTheme="minorEastAsia" w:hAnsiTheme="minorEastAsia" w:eastAsiaTheme="minorEastAsia"/>
          <w:b/>
          <w:sz w:val="32"/>
          <w:szCs w:val="32"/>
        </w:rPr>
      </w:pPr>
      <w:r>
        <w:rPr>
          <w:rFonts w:hint="eastAsia" w:asciiTheme="minorEastAsia" w:hAnsiTheme="minorEastAsia" w:eastAsiaTheme="minorEastAsia"/>
          <w:b/>
          <w:sz w:val="32"/>
          <w:szCs w:val="32"/>
        </w:rPr>
        <w:t>（一）财政拨款支出决算总体情况</w:t>
      </w:r>
    </w:p>
    <w:p>
      <w:pPr>
        <w:pStyle w:val="11"/>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2019年度财政拨款支出</w:t>
      </w:r>
      <w:r>
        <w:rPr>
          <w:rFonts w:hint="eastAsia" w:asciiTheme="minorEastAsia" w:hAnsiTheme="minorEastAsia" w:eastAsiaTheme="minorEastAsia"/>
          <w:sz w:val="32"/>
          <w:szCs w:val="32"/>
          <w:lang w:val="en-US" w:eastAsia="zh-CN"/>
        </w:rPr>
        <w:t>2077.46</w:t>
      </w:r>
      <w:r>
        <w:rPr>
          <w:rFonts w:hint="eastAsia" w:asciiTheme="minorEastAsia" w:hAnsiTheme="minorEastAsia" w:eastAsiaTheme="minorEastAsia"/>
          <w:sz w:val="32"/>
          <w:szCs w:val="32"/>
        </w:rPr>
        <w:t>万元，占本年支出合计的</w:t>
      </w:r>
      <w:r>
        <w:rPr>
          <w:rFonts w:hint="eastAsia" w:asciiTheme="minorEastAsia" w:hAnsiTheme="minorEastAsia" w:eastAsiaTheme="minorEastAsia"/>
          <w:sz w:val="32"/>
          <w:szCs w:val="32"/>
          <w:lang w:val="en-US" w:eastAsia="zh-CN"/>
        </w:rPr>
        <w:t>100</w:t>
      </w:r>
      <w:r>
        <w:rPr>
          <w:rFonts w:hint="eastAsia" w:asciiTheme="minorEastAsia" w:hAnsiTheme="minorEastAsia" w:eastAsiaTheme="minorEastAsia"/>
          <w:sz w:val="32"/>
          <w:szCs w:val="32"/>
        </w:rPr>
        <w:t>%，与2018年相比，财政拨款支出增加</w:t>
      </w:r>
      <w:r>
        <w:rPr>
          <w:rFonts w:hint="eastAsia" w:asciiTheme="minorEastAsia" w:hAnsiTheme="minorEastAsia" w:eastAsiaTheme="minorEastAsia"/>
          <w:sz w:val="32"/>
          <w:szCs w:val="32"/>
          <w:lang w:val="en-US" w:eastAsia="zh-CN"/>
        </w:rPr>
        <w:t>273.62</w:t>
      </w:r>
      <w:r>
        <w:rPr>
          <w:rFonts w:hint="eastAsia" w:asciiTheme="minorEastAsia" w:hAnsiTheme="minorEastAsia" w:eastAsiaTheme="minorEastAsia"/>
          <w:sz w:val="32"/>
          <w:szCs w:val="32"/>
        </w:rPr>
        <w:t>万元，增长</w:t>
      </w:r>
      <w:r>
        <w:rPr>
          <w:rFonts w:hint="eastAsia" w:asciiTheme="minorEastAsia" w:hAnsiTheme="minorEastAsia" w:eastAsiaTheme="minorEastAsia"/>
          <w:sz w:val="32"/>
          <w:szCs w:val="32"/>
          <w:lang w:val="en-US" w:eastAsia="zh-CN"/>
        </w:rPr>
        <w:t>15.17</w:t>
      </w:r>
      <w:r>
        <w:rPr>
          <w:rFonts w:hint="eastAsia" w:asciiTheme="minorEastAsia" w:hAnsiTheme="minorEastAsia" w:eastAsiaTheme="minorEastAsia"/>
          <w:sz w:val="32"/>
          <w:szCs w:val="32"/>
        </w:rPr>
        <w:t>%，主要是因为人员正常晋职和</w:t>
      </w:r>
      <w:r>
        <w:rPr>
          <w:rFonts w:hint="eastAsia" w:asciiTheme="minorEastAsia" w:hAnsiTheme="minorEastAsia" w:eastAsiaTheme="minorEastAsia"/>
          <w:sz w:val="32"/>
          <w:szCs w:val="32"/>
          <w:lang w:eastAsia="zh-CN"/>
        </w:rPr>
        <w:t>机构改革职能划入</w:t>
      </w:r>
      <w:r>
        <w:rPr>
          <w:rFonts w:hint="eastAsia" w:asciiTheme="minorEastAsia" w:hAnsiTheme="minorEastAsia" w:eastAsiaTheme="minorEastAsia"/>
          <w:sz w:val="32"/>
          <w:szCs w:val="32"/>
        </w:rPr>
        <w:t>项目经费</w:t>
      </w:r>
      <w:r>
        <w:rPr>
          <w:rFonts w:hint="eastAsia" w:asciiTheme="minorEastAsia" w:hAnsiTheme="minorEastAsia" w:eastAsiaTheme="minorEastAsia"/>
          <w:sz w:val="32"/>
          <w:szCs w:val="32"/>
          <w:lang w:eastAsia="zh-CN"/>
        </w:rPr>
        <w:t>、及人员经费、绩效考核等对应划入。</w:t>
      </w:r>
    </w:p>
    <w:p>
      <w:pPr>
        <w:pStyle w:val="11"/>
        <w:ind w:firstLine="480" w:firstLineChars="150"/>
        <w:rPr>
          <w:rFonts w:asciiTheme="minorEastAsia" w:hAnsiTheme="minorEastAsia" w:eastAsiaTheme="minorEastAsia"/>
          <w:b/>
          <w:sz w:val="32"/>
          <w:szCs w:val="32"/>
        </w:rPr>
      </w:pPr>
      <w:r>
        <w:rPr>
          <w:rFonts w:hint="eastAsia" w:asciiTheme="minorEastAsia" w:hAnsiTheme="minorEastAsia" w:eastAsiaTheme="minorEastAsia"/>
          <w:b/>
          <w:sz w:val="32"/>
          <w:szCs w:val="32"/>
        </w:rPr>
        <w:t>（二）财政拨款支出决算结构情况</w:t>
      </w:r>
    </w:p>
    <w:p>
      <w:pPr>
        <w:pStyle w:val="11"/>
        <w:ind w:firstLine="640" w:firstLineChars="200"/>
        <w:rPr>
          <w:rFonts w:hint="default" w:asciiTheme="minorEastAsia" w:hAnsiTheme="minorEastAsia" w:eastAsiaTheme="minorEastAsia"/>
          <w:sz w:val="32"/>
          <w:szCs w:val="32"/>
          <w:lang w:val="en-US" w:eastAsia="zh-CN"/>
        </w:rPr>
      </w:pPr>
      <w:r>
        <w:rPr>
          <w:rFonts w:hint="eastAsia" w:asciiTheme="minorEastAsia" w:hAnsiTheme="minorEastAsia" w:eastAsiaTheme="minorEastAsia"/>
          <w:sz w:val="32"/>
          <w:szCs w:val="32"/>
        </w:rPr>
        <w:t>2019年度财政拨款支出</w:t>
      </w:r>
      <w:r>
        <w:rPr>
          <w:rFonts w:hint="eastAsia" w:asciiTheme="minorEastAsia" w:hAnsiTheme="minorEastAsia" w:eastAsiaTheme="minorEastAsia"/>
          <w:sz w:val="32"/>
          <w:szCs w:val="32"/>
          <w:lang w:val="en-US" w:eastAsia="zh-CN"/>
        </w:rPr>
        <w:t>2077.46</w:t>
      </w:r>
      <w:r>
        <w:rPr>
          <w:rFonts w:hint="eastAsia" w:asciiTheme="minorEastAsia" w:hAnsiTheme="minorEastAsia" w:eastAsiaTheme="minorEastAsia"/>
          <w:sz w:val="32"/>
          <w:szCs w:val="32"/>
        </w:rPr>
        <w:t>万元，主要用于以下方面：一般公共服务（类）支出1208.24万元，</w:t>
      </w:r>
      <w:r>
        <w:rPr>
          <w:rFonts w:hint="eastAsia" w:asciiTheme="minorEastAsia" w:hAnsiTheme="minorEastAsia" w:eastAsiaTheme="minorEastAsia"/>
          <w:sz w:val="32"/>
          <w:szCs w:val="32"/>
          <w:lang w:eastAsia="zh-CN"/>
        </w:rPr>
        <w:t>占比</w:t>
      </w:r>
      <w:r>
        <w:rPr>
          <w:rFonts w:hint="eastAsia" w:asciiTheme="minorEastAsia" w:hAnsiTheme="minorEastAsia" w:eastAsiaTheme="minorEastAsia"/>
          <w:sz w:val="32"/>
          <w:szCs w:val="32"/>
          <w:lang w:val="en-US" w:eastAsia="zh-CN"/>
        </w:rPr>
        <w:t>58.1%；社会保障和就业支出218.87万元，占比10.5%；卫生健康支出26.87万元，占比1.3%；城乡社区支出111.36万元，占比5.4%；农林水支出49.3万元，占比2.4%；资源勘探信息等支出337万元，占比16.2%；粮油物资储备支出55.82万元，占比2.7%；其他支出70万元，占比3.4%。</w:t>
      </w:r>
    </w:p>
    <w:p>
      <w:pPr>
        <w:pStyle w:val="11"/>
        <w:ind w:firstLine="800" w:firstLineChars="250"/>
        <w:rPr>
          <w:rFonts w:asciiTheme="minorEastAsia" w:hAnsiTheme="minorEastAsia" w:eastAsiaTheme="minorEastAsia"/>
          <w:b/>
          <w:sz w:val="32"/>
          <w:szCs w:val="32"/>
        </w:rPr>
      </w:pPr>
      <w:r>
        <w:rPr>
          <w:rFonts w:hint="eastAsia" w:asciiTheme="minorEastAsia" w:hAnsiTheme="minorEastAsia" w:eastAsiaTheme="minorEastAsia"/>
          <w:b/>
          <w:sz w:val="32"/>
          <w:szCs w:val="32"/>
        </w:rPr>
        <w:t>（三）财政拨款支出决算具体情况</w:t>
      </w:r>
    </w:p>
    <w:p>
      <w:pPr>
        <w:pStyle w:val="11"/>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2019年度财政拨款支出年初预算数为</w:t>
      </w:r>
      <w:r>
        <w:rPr>
          <w:rFonts w:hint="eastAsia" w:asciiTheme="minorEastAsia" w:hAnsiTheme="minorEastAsia" w:eastAsiaTheme="minorEastAsia"/>
          <w:sz w:val="32"/>
          <w:szCs w:val="32"/>
          <w:lang w:val="en-US" w:eastAsia="zh-CN"/>
        </w:rPr>
        <w:t>653.52</w:t>
      </w:r>
      <w:r>
        <w:rPr>
          <w:rFonts w:hint="eastAsia" w:asciiTheme="minorEastAsia" w:hAnsiTheme="minorEastAsia" w:eastAsiaTheme="minorEastAsia"/>
          <w:sz w:val="32"/>
          <w:szCs w:val="32"/>
        </w:rPr>
        <w:t>万元，支出决算数为</w:t>
      </w:r>
      <w:r>
        <w:rPr>
          <w:rFonts w:hint="eastAsia" w:asciiTheme="minorEastAsia" w:hAnsiTheme="minorEastAsia" w:eastAsiaTheme="minorEastAsia"/>
          <w:sz w:val="32"/>
          <w:szCs w:val="32"/>
          <w:lang w:val="en-US" w:eastAsia="zh-CN"/>
        </w:rPr>
        <w:t>2077.46</w:t>
      </w:r>
      <w:r>
        <w:rPr>
          <w:rFonts w:hint="eastAsia" w:asciiTheme="minorEastAsia" w:hAnsiTheme="minorEastAsia" w:eastAsiaTheme="minorEastAsia"/>
          <w:sz w:val="32"/>
          <w:szCs w:val="32"/>
        </w:rPr>
        <w:t>万元，完成年初预算的</w:t>
      </w:r>
      <w:r>
        <w:rPr>
          <w:rFonts w:hint="eastAsia" w:asciiTheme="minorEastAsia" w:hAnsiTheme="minorEastAsia" w:eastAsiaTheme="minorEastAsia"/>
          <w:sz w:val="32"/>
          <w:szCs w:val="32"/>
          <w:lang w:val="en-US" w:eastAsia="zh-CN"/>
        </w:rPr>
        <w:t>317.88</w:t>
      </w:r>
      <w:r>
        <w:rPr>
          <w:rFonts w:hint="eastAsia" w:asciiTheme="minorEastAsia" w:hAnsiTheme="minorEastAsia" w:eastAsiaTheme="minorEastAsia"/>
          <w:sz w:val="32"/>
          <w:szCs w:val="32"/>
        </w:rPr>
        <w:t>%，其中：</w:t>
      </w:r>
    </w:p>
    <w:p>
      <w:pPr>
        <w:pStyle w:val="11"/>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1、一般公共服务。</w:t>
      </w:r>
    </w:p>
    <w:p>
      <w:pPr>
        <w:pStyle w:val="14"/>
        <w:spacing w:line="560" w:lineRule="exact"/>
        <w:ind w:firstLine="640" w:firstLineChars="200"/>
        <w:rPr>
          <w:rFonts w:hint="eastAsia" w:asciiTheme="minorEastAsia" w:hAnsiTheme="minorEastAsia" w:eastAsiaTheme="minorEastAsia"/>
          <w:sz w:val="32"/>
          <w:szCs w:val="32"/>
        </w:rPr>
      </w:pPr>
      <w:r>
        <w:rPr>
          <w:rFonts w:hint="eastAsia" w:asciiTheme="minorEastAsia" w:hAnsiTheme="minorEastAsia" w:eastAsiaTheme="minorEastAsia"/>
          <w:sz w:val="32"/>
          <w:szCs w:val="32"/>
        </w:rPr>
        <w:t>年初预算为</w:t>
      </w:r>
      <w:r>
        <w:rPr>
          <w:rFonts w:hint="eastAsia" w:asciiTheme="minorEastAsia" w:hAnsiTheme="minorEastAsia" w:eastAsiaTheme="minorEastAsia"/>
          <w:sz w:val="32"/>
          <w:szCs w:val="32"/>
          <w:lang w:val="en-US" w:eastAsia="zh-CN"/>
        </w:rPr>
        <w:t>563.98</w:t>
      </w:r>
      <w:r>
        <w:rPr>
          <w:rFonts w:hint="eastAsia" w:asciiTheme="minorEastAsia" w:hAnsiTheme="minorEastAsia" w:eastAsiaTheme="minorEastAsia"/>
          <w:sz w:val="32"/>
          <w:szCs w:val="32"/>
        </w:rPr>
        <w:t>万元，支出决算为</w:t>
      </w:r>
      <w:r>
        <w:rPr>
          <w:rFonts w:hint="eastAsia" w:asciiTheme="minorEastAsia" w:hAnsiTheme="minorEastAsia" w:eastAsiaTheme="minorEastAsia"/>
          <w:sz w:val="32"/>
          <w:szCs w:val="32"/>
          <w:lang w:val="en-US" w:eastAsia="zh-CN"/>
        </w:rPr>
        <w:t>1208.24</w:t>
      </w:r>
      <w:r>
        <w:rPr>
          <w:rFonts w:hint="eastAsia" w:asciiTheme="minorEastAsia" w:hAnsiTheme="minorEastAsia" w:eastAsiaTheme="minorEastAsia"/>
          <w:sz w:val="32"/>
          <w:szCs w:val="32"/>
        </w:rPr>
        <w:t>万元，完成年初预算的</w:t>
      </w:r>
      <w:r>
        <w:rPr>
          <w:rFonts w:hint="eastAsia" w:asciiTheme="minorEastAsia" w:hAnsiTheme="minorEastAsia" w:eastAsiaTheme="minorEastAsia"/>
          <w:sz w:val="32"/>
          <w:szCs w:val="32"/>
          <w:lang w:val="en-US" w:eastAsia="zh-CN"/>
        </w:rPr>
        <w:t>214.23</w:t>
      </w:r>
      <w:r>
        <w:rPr>
          <w:rFonts w:hint="eastAsia" w:asciiTheme="minorEastAsia" w:hAnsiTheme="minorEastAsia" w:eastAsiaTheme="minorEastAsia"/>
          <w:sz w:val="32"/>
          <w:szCs w:val="32"/>
        </w:rPr>
        <w:t>%，决算数大于年初预算数的主要原因是：</w:t>
      </w:r>
      <w:r>
        <w:rPr>
          <w:rFonts w:hint="eastAsia" w:asciiTheme="minorEastAsia" w:hAnsiTheme="minorEastAsia" w:eastAsiaTheme="minorEastAsia"/>
          <w:sz w:val="32"/>
          <w:szCs w:val="32"/>
          <w:lang w:eastAsia="zh-CN"/>
        </w:rPr>
        <w:t>粮食职能及重点办划入发改局，其中主要有财政拨入原粮食局下属粮油供销公司的区级储备粮食轮换费用</w:t>
      </w:r>
      <w:r>
        <w:rPr>
          <w:rFonts w:hint="eastAsia" w:asciiTheme="minorEastAsia" w:hAnsiTheme="minorEastAsia" w:eastAsiaTheme="minorEastAsia"/>
          <w:sz w:val="32"/>
          <w:szCs w:val="32"/>
          <w:lang w:val="en-US" w:eastAsia="zh-CN"/>
        </w:rPr>
        <w:t>246.5万元，2018年度重点项目奖励资金，另外人员晋级及人员划转经费也有所增加。</w:t>
      </w:r>
      <w:r>
        <w:rPr>
          <w:rFonts w:hint="eastAsia" w:asciiTheme="minorEastAsia" w:hAnsiTheme="minorEastAsia" w:eastAsiaTheme="minorEastAsia"/>
          <w:sz w:val="32"/>
          <w:szCs w:val="32"/>
          <w:lang w:eastAsia="zh-CN"/>
        </w:rPr>
        <w:t>人员经费增加主要是人员工资晋级及年终考核奖励</w:t>
      </w:r>
      <w:r>
        <w:rPr>
          <w:rFonts w:hint="eastAsia" w:asciiTheme="minorEastAsia" w:hAnsiTheme="minorEastAsia"/>
          <w:sz w:val="32"/>
          <w:szCs w:val="32"/>
          <w:lang w:eastAsia="zh-CN"/>
        </w:rPr>
        <w:t>、综治奖励</w:t>
      </w:r>
      <w:r>
        <w:rPr>
          <w:rFonts w:hint="eastAsia" w:asciiTheme="minorEastAsia" w:hAnsiTheme="minorEastAsia" w:eastAsiaTheme="minorEastAsia"/>
          <w:sz w:val="32"/>
          <w:szCs w:val="32"/>
          <w:lang w:eastAsia="zh-CN"/>
        </w:rPr>
        <w:t>增加及划转人员工资，</w:t>
      </w:r>
      <w:r>
        <w:rPr>
          <w:rFonts w:hint="eastAsia" w:asciiTheme="minorEastAsia" w:hAnsiTheme="minorEastAsia" w:eastAsiaTheme="minorEastAsia"/>
          <w:sz w:val="32"/>
          <w:szCs w:val="32"/>
        </w:rPr>
        <w:t>日常公用经费预算</w:t>
      </w:r>
      <w:r>
        <w:rPr>
          <w:rFonts w:hint="eastAsia" w:asciiTheme="minorEastAsia" w:hAnsiTheme="minorEastAsia" w:eastAsiaTheme="minorEastAsia"/>
          <w:sz w:val="32"/>
          <w:szCs w:val="32"/>
          <w:lang w:eastAsia="zh-CN"/>
        </w:rPr>
        <w:t>增加主要是</w:t>
      </w:r>
      <w:r>
        <w:rPr>
          <w:rFonts w:hint="eastAsia" w:asciiTheme="minorEastAsia" w:hAnsiTheme="minorEastAsia" w:eastAsiaTheme="minorEastAsia"/>
          <w:sz w:val="32"/>
          <w:szCs w:val="32"/>
          <w:lang w:val="en-US" w:eastAsia="zh-CN"/>
        </w:rPr>
        <w:t>2019年前期项目可研报告服务咨询费及中央预算内前期项目经费补助及机构改革粮食职能划转，粮食经费划入。</w:t>
      </w:r>
    </w:p>
    <w:p>
      <w:pPr>
        <w:pStyle w:val="11"/>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2、社会保障和就业。</w:t>
      </w:r>
    </w:p>
    <w:p>
      <w:pPr>
        <w:pStyle w:val="11"/>
        <w:ind w:firstLine="800" w:firstLineChars="250"/>
        <w:rPr>
          <w:rFonts w:hint="eastAsia" w:asciiTheme="minorEastAsia" w:hAnsiTheme="minorEastAsia" w:eastAsiaTheme="minorEastAsia"/>
          <w:sz w:val="32"/>
          <w:szCs w:val="32"/>
          <w:lang w:eastAsia="zh-CN"/>
        </w:rPr>
      </w:pPr>
      <w:r>
        <w:rPr>
          <w:rFonts w:hint="eastAsia" w:asciiTheme="minorEastAsia" w:hAnsiTheme="minorEastAsia" w:eastAsiaTheme="minorEastAsia"/>
          <w:sz w:val="32"/>
          <w:szCs w:val="32"/>
        </w:rPr>
        <w:t>年初预算为</w:t>
      </w:r>
      <w:r>
        <w:rPr>
          <w:rFonts w:hint="eastAsia" w:asciiTheme="minorEastAsia" w:hAnsiTheme="minorEastAsia" w:eastAsiaTheme="minorEastAsia"/>
          <w:sz w:val="32"/>
          <w:szCs w:val="32"/>
          <w:lang w:val="en-US" w:eastAsia="zh-CN"/>
        </w:rPr>
        <w:t>89.54</w:t>
      </w:r>
      <w:r>
        <w:rPr>
          <w:rFonts w:hint="eastAsia" w:asciiTheme="minorEastAsia" w:hAnsiTheme="minorEastAsia" w:eastAsiaTheme="minorEastAsia"/>
          <w:sz w:val="32"/>
          <w:szCs w:val="32"/>
        </w:rPr>
        <w:t>万元，支出决算为218.87万元，完成年初预算的</w:t>
      </w:r>
      <w:r>
        <w:rPr>
          <w:rFonts w:hint="eastAsia" w:asciiTheme="minorEastAsia" w:hAnsiTheme="minorEastAsia" w:eastAsiaTheme="minorEastAsia"/>
          <w:sz w:val="32"/>
          <w:szCs w:val="32"/>
          <w:lang w:val="en-US" w:eastAsia="zh-CN"/>
        </w:rPr>
        <w:t>244.43</w:t>
      </w:r>
      <w:r>
        <w:rPr>
          <w:rFonts w:hint="eastAsia" w:asciiTheme="minorEastAsia" w:hAnsiTheme="minorEastAsia" w:eastAsiaTheme="minorEastAsia"/>
          <w:sz w:val="32"/>
          <w:szCs w:val="32"/>
        </w:rPr>
        <w:t>%，决算数大于年初预算数的主要原因是：</w:t>
      </w:r>
      <w:r>
        <w:rPr>
          <w:rFonts w:hint="eastAsia" w:asciiTheme="minorEastAsia" w:hAnsiTheme="minorEastAsia" w:eastAsiaTheme="minorEastAsia"/>
          <w:sz w:val="32"/>
          <w:szCs w:val="32"/>
          <w:lang w:eastAsia="zh-CN"/>
        </w:rPr>
        <w:t>机构改革原粮食局退休老同志转至我局管理，人员工资增加，另外年终绩效考核奖励及综治奖励增加。</w:t>
      </w:r>
    </w:p>
    <w:p>
      <w:pPr>
        <w:pStyle w:val="11"/>
        <w:numPr>
          <w:ilvl w:val="0"/>
          <w:numId w:val="2"/>
        </w:numPr>
        <w:ind w:firstLine="800" w:firstLineChars="250"/>
        <w:rPr>
          <w:rFonts w:hint="eastAsia" w:asciiTheme="minorEastAsia" w:hAnsiTheme="minorEastAsia" w:eastAsiaTheme="minorEastAsia"/>
          <w:sz w:val="32"/>
          <w:szCs w:val="32"/>
          <w:lang w:val="en-US" w:eastAsia="zh-CN"/>
        </w:rPr>
      </w:pPr>
      <w:r>
        <w:rPr>
          <w:rFonts w:hint="eastAsia" w:asciiTheme="minorEastAsia" w:hAnsiTheme="minorEastAsia" w:eastAsiaTheme="minorEastAsia"/>
          <w:sz w:val="32"/>
          <w:szCs w:val="32"/>
          <w:lang w:val="en-US" w:eastAsia="zh-CN"/>
        </w:rPr>
        <w:t>卫生健康支出。</w:t>
      </w:r>
    </w:p>
    <w:p>
      <w:pPr>
        <w:pStyle w:val="11"/>
        <w:numPr>
          <w:ilvl w:val="0"/>
          <w:numId w:val="0"/>
        </w:numPr>
        <w:rPr>
          <w:rFonts w:hint="eastAsia" w:asciiTheme="minorEastAsia" w:hAnsiTheme="minorEastAsia" w:eastAsiaTheme="minorEastAsia"/>
          <w:sz w:val="32"/>
          <w:szCs w:val="32"/>
          <w:lang w:eastAsia="zh-CN"/>
        </w:rPr>
      </w:pPr>
      <w:r>
        <w:rPr>
          <w:rFonts w:hint="eastAsia" w:asciiTheme="minorEastAsia" w:hAnsiTheme="minorEastAsia" w:eastAsiaTheme="minorEastAsia"/>
          <w:sz w:val="32"/>
          <w:szCs w:val="32"/>
          <w:lang w:val="en-US" w:eastAsia="zh-CN"/>
        </w:rPr>
        <w:t xml:space="preserve">     </w:t>
      </w:r>
      <w:r>
        <w:rPr>
          <w:rFonts w:hint="eastAsia" w:asciiTheme="minorEastAsia" w:hAnsiTheme="minorEastAsia" w:eastAsiaTheme="minorEastAsia"/>
          <w:sz w:val="32"/>
          <w:szCs w:val="32"/>
        </w:rPr>
        <w:t>年初预算为</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万元，支出决算为26.87万元</w:t>
      </w:r>
      <w:r>
        <w:rPr>
          <w:rFonts w:hint="eastAsia" w:asciiTheme="minorEastAsia" w:hAnsiTheme="minorEastAsia" w:eastAsiaTheme="minorEastAsia"/>
          <w:sz w:val="32"/>
          <w:szCs w:val="32"/>
          <w:lang w:eastAsia="zh-CN"/>
        </w:rPr>
        <w:t>，较年初数增加</w:t>
      </w:r>
      <w:r>
        <w:rPr>
          <w:rFonts w:hint="eastAsia" w:asciiTheme="minorEastAsia" w:hAnsiTheme="minorEastAsia" w:eastAsiaTheme="minorEastAsia"/>
          <w:sz w:val="32"/>
          <w:szCs w:val="32"/>
          <w:lang w:val="en-US" w:eastAsia="zh-CN"/>
        </w:rPr>
        <w:t>26.87万元。主要原因是：</w:t>
      </w:r>
      <w:r>
        <w:rPr>
          <w:rFonts w:hint="eastAsia" w:asciiTheme="minorEastAsia" w:hAnsiTheme="minorEastAsia" w:eastAsiaTheme="minorEastAsia"/>
          <w:sz w:val="32"/>
          <w:szCs w:val="32"/>
          <w:lang w:eastAsia="zh-CN"/>
        </w:rPr>
        <w:t>医疗补助缴费增加。</w:t>
      </w:r>
    </w:p>
    <w:p>
      <w:pPr>
        <w:pStyle w:val="11"/>
        <w:numPr>
          <w:ilvl w:val="0"/>
          <w:numId w:val="2"/>
        </w:numPr>
        <w:ind w:left="0" w:leftChars="0" w:firstLine="800" w:firstLineChars="250"/>
        <w:rPr>
          <w:rFonts w:hint="eastAsia" w:asciiTheme="minorEastAsia" w:hAnsiTheme="minorEastAsia" w:eastAsiaTheme="minorEastAsia"/>
          <w:sz w:val="32"/>
          <w:szCs w:val="32"/>
          <w:lang w:val="en-US" w:eastAsia="zh-CN"/>
        </w:rPr>
      </w:pPr>
      <w:r>
        <w:rPr>
          <w:rFonts w:hint="eastAsia" w:asciiTheme="minorEastAsia" w:hAnsiTheme="minorEastAsia" w:eastAsiaTheme="minorEastAsia"/>
          <w:sz w:val="32"/>
          <w:szCs w:val="32"/>
          <w:lang w:val="en-US" w:eastAsia="zh-CN"/>
        </w:rPr>
        <w:t>城乡社区支出。</w:t>
      </w:r>
    </w:p>
    <w:p>
      <w:pPr>
        <w:pStyle w:val="11"/>
        <w:numPr>
          <w:ilvl w:val="0"/>
          <w:numId w:val="0"/>
        </w:numPr>
        <w:ind w:leftChars="250"/>
        <w:rPr>
          <w:rFonts w:hint="eastAsia" w:asciiTheme="minorEastAsia" w:hAnsiTheme="minorEastAsia" w:eastAsiaTheme="minorEastAsia"/>
          <w:sz w:val="32"/>
          <w:szCs w:val="32"/>
          <w:lang w:val="en-US" w:eastAsia="zh-CN"/>
        </w:rPr>
      </w:pPr>
      <w:r>
        <w:rPr>
          <w:rFonts w:hint="eastAsia" w:asciiTheme="minorEastAsia" w:hAnsiTheme="minorEastAsia" w:eastAsiaTheme="minorEastAsia"/>
          <w:sz w:val="32"/>
          <w:szCs w:val="32"/>
          <w:lang w:val="en-US" w:eastAsia="zh-CN"/>
        </w:rPr>
        <w:t xml:space="preserve">  </w:t>
      </w:r>
      <w:r>
        <w:rPr>
          <w:rFonts w:hint="eastAsia" w:asciiTheme="minorEastAsia" w:hAnsiTheme="minorEastAsia" w:eastAsiaTheme="minorEastAsia"/>
          <w:sz w:val="32"/>
          <w:szCs w:val="32"/>
        </w:rPr>
        <w:t>年初预算为</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万元，支出决算为111.36万元</w:t>
      </w:r>
      <w:r>
        <w:rPr>
          <w:rFonts w:hint="eastAsia" w:asciiTheme="minorEastAsia" w:hAnsiTheme="minorEastAsia" w:eastAsiaTheme="minorEastAsia"/>
          <w:sz w:val="32"/>
          <w:szCs w:val="32"/>
          <w:lang w:eastAsia="zh-CN"/>
        </w:rPr>
        <w:t>，较年初数增加</w:t>
      </w:r>
      <w:r>
        <w:rPr>
          <w:rFonts w:hint="eastAsia" w:asciiTheme="minorEastAsia" w:hAnsiTheme="minorEastAsia" w:eastAsiaTheme="minorEastAsia"/>
          <w:sz w:val="32"/>
          <w:szCs w:val="32"/>
          <w:lang w:val="en-US" w:eastAsia="zh-CN"/>
        </w:rPr>
        <w:t>111.36万元。主要原因是：根据实际业务发生情况预算调整。</w:t>
      </w:r>
    </w:p>
    <w:p>
      <w:pPr>
        <w:pStyle w:val="11"/>
        <w:numPr>
          <w:ilvl w:val="0"/>
          <w:numId w:val="0"/>
        </w:numPr>
        <w:ind w:firstLine="960" w:firstLineChars="300"/>
        <w:rPr>
          <w:rFonts w:hint="eastAsia" w:asciiTheme="minorEastAsia" w:hAnsiTheme="minorEastAsia" w:eastAsiaTheme="minorEastAsia"/>
          <w:sz w:val="32"/>
          <w:szCs w:val="32"/>
          <w:lang w:val="en-US" w:eastAsia="zh-CN"/>
        </w:rPr>
      </w:pPr>
      <w:r>
        <w:rPr>
          <w:rFonts w:hint="eastAsia" w:asciiTheme="minorEastAsia" w:hAnsiTheme="minorEastAsia" w:eastAsiaTheme="minorEastAsia"/>
          <w:sz w:val="32"/>
          <w:szCs w:val="32"/>
          <w:lang w:val="en-US" w:eastAsia="zh-CN"/>
        </w:rPr>
        <w:t>5、农林水支出。</w:t>
      </w:r>
    </w:p>
    <w:p>
      <w:pPr>
        <w:pStyle w:val="11"/>
        <w:numPr>
          <w:ilvl w:val="0"/>
          <w:numId w:val="0"/>
        </w:numPr>
        <w:ind w:firstLine="960" w:firstLineChars="300"/>
        <w:rPr>
          <w:rFonts w:hint="eastAsia" w:asciiTheme="minorEastAsia" w:hAnsiTheme="minorEastAsia" w:eastAsiaTheme="minorEastAsia"/>
          <w:sz w:val="32"/>
          <w:szCs w:val="32"/>
          <w:lang w:val="en-US" w:eastAsia="zh-CN"/>
        </w:rPr>
      </w:pPr>
      <w:r>
        <w:rPr>
          <w:rFonts w:hint="eastAsia" w:asciiTheme="minorEastAsia" w:hAnsiTheme="minorEastAsia" w:eastAsiaTheme="minorEastAsia"/>
          <w:sz w:val="32"/>
          <w:szCs w:val="32"/>
        </w:rPr>
        <w:t>年初预算为</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万元，支出决算为49.3万元</w:t>
      </w:r>
      <w:r>
        <w:rPr>
          <w:rFonts w:hint="eastAsia" w:asciiTheme="minorEastAsia" w:hAnsiTheme="minorEastAsia" w:eastAsiaTheme="minorEastAsia"/>
          <w:sz w:val="32"/>
          <w:szCs w:val="32"/>
          <w:lang w:eastAsia="zh-CN"/>
        </w:rPr>
        <w:t>，较年初数增加</w:t>
      </w:r>
      <w:r>
        <w:rPr>
          <w:rFonts w:hint="eastAsia" w:asciiTheme="minorEastAsia" w:hAnsiTheme="minorEastAsia" w:eastAsiaTheme="minorEastAsia"/>
          <w:sz w:val="32"/>
          <w:szCs w:val="32"/>
          <w:lang w:val="en-US" w:eastAsia="zh-CN"/>
        </w:rPr>
        <w:t>49.3万元。主要原因是：根据实际业务发生情况预算调整。</w:t>
      </w:r>
    </w:p>
    <w:p>
      <w:pPr>
        <w:pStyle w:val="11"/>
        <w:numPr>
          <w:ilvl w:val="0"/>
          <w:numId w:val="0"/>
        </w:numPr>
        <w:ind w:leftChars="250" w:firstLine="320" w:firstLineChars="100"/>
        <w:rPr>
          <w:rFonts w:hint="eastAsia" w:asciiTheme="minorEastAsia" w:hAnsiTheme="minorEastAsia" w:eastAsiaTheme="minorEastAsia"/>
          <w:sz w:val="32"/>
          <w:szCs w:val="32"/>
          <w:lang w:val="en-US" w:eastAsia="zh-CN"/>
        </w:rPr>
      </w:pPr>
      <w:r>
        <w:rPr>
          <w:rFonts w:hint="eastAsia" w:asciiTheme="minorEastAsia" w:hAnsiTheme="minorEastAsia" w:eastAsiaTheme="minorEastAsia"/>
          <w:sz w:val="32"/>
          <w:szCs w:val="32"/>
          <w:lang w:val="en-US" w:eastAsia="zh-CN"/>
        </w:rPr>
        <w:t>6、资源勘探信息等支出。</w:t>
      </w:r>
    </w:p>
    <w:p>
      <w:pPr>
        <w:pStyle w:val="11"/>
        <w:numPr>
          <w:ilvl w:val="0"/>
          <w:numId w:val="0"/>
        </w:numPr>
        <w:ind w:firstLine="960" w:firstLineChars="300"/>
        <w:rPr>
          <w:rFonts w:hint="eastAsia" w:asciiTheme="minorEastAsia" w:hAnsiTheme="minorEastAsia" w:eastAsiaTheme="minorEastAsia"/>
          <w:sz w:val="32"/>
          <w:szCs w:val="32"/>
          <w:lang w:val="en-US" w:eastAsia="zh-CN"/>
        </w:rPr>
      </w:pPr>
      <w:r>
        <w:rPr>
          <w:rFonts w:hint="eastAsia" w:asciiTheme="minorEastAsia" w:hAnsiTheme="minorEastAsia" w:eastAsiaTheme="minorEastAsia"/>
          <w:sz w:val="32"/>
          <w:szCs w:val="32"/>
        </w:rPr>
        <w:t>年初预算为</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万元，支出决算为49.3万元</w:t>
      </w:r>
      <w:r>
        <w:rPr>
          <w:rFonts w:hint="eastAsia" w:asciiTheme="minorEastAsia" w:hAnsiTheme="minorEastAsia" w:eastAsiaTheme="minorEastAsia"/>
          <w:sz w:val="32"/>
          <w:szCs w:val="32"/>
          <w:lang w:eastAsia="zh-CN"/>
        </w:rPr>
        <w:t>，较年初数增加</w:t>
      </w:r>
      <w:r>
        <w:rPr>
          <w:rFonts w:hint="eastAsia" w:asciiTheme="minorEastAsia" w:hAnsiTheme="minorEastAsia" w:eastAsiaTheme="minorEastAsia"/>
          <w:sz w:val="32"/>
          <w:szCs w:val="32"/>
          <w:lang w:val="en-US" w:eastAsia="zh-CN"/>
        </w:rPr>
        <w:t>49.3万元。主要原因是：发改局招商引资项目70万吨锰硅钙镁项目的各项征地等补贴资金。</w:t>
      </w:r>
    </w:p>
    <w:p>
      <w:pPr>
        <w:pStyle w:val="11"/>
        <w:numPr>
          <w:ilvl w:val="0"/>
          <w:numId w:val="3"/>
        </w:numPr>
        <w:ind w:leftChars="250" w:firstLine="320" w:firstLineChars="100"/>
        <w:rPr>
          <w:rFonts w:hint="eastAsia" w:asciiTheme="minorEastAsia" w:hAnsiTheme="minorEastAsia" w:eastAsiaTheme="minorEastAsia"/>
          <w:sz w:val="32"/>
          <w:szCs w:val="32"/>
          <w:lang w:val="en-US" w:eastAsia="zh-CN"/>
        </w:rPr>
      </w:pPr>
      <w:r>
        <w:rPr>
          <w:rFonts w:hint="eastAsia" w:asciiTheme="minorEastAsia" w:hAnsiTheme="minorEastAsia" w:eastAsiaTheme="minorEastAsia"/>
          <w:sz w:val="32"/>
          <w:szCs w:val="32"/>
          <w:lang w:val="en-US" w:eastAsia="zh-CN"/>
        </w:rPr>
        <w:t>粮油物资储备支出。</w:t>
      </w:r>
    </w:p>
    <w:p>
      <w:pPr>
        <w:pStyle w:val="11"/>
        <w:numPr>
          <w:ilvl w:val="0"/>
          <w:numId w:val="0"/>
        </w:numPr>
        <w:ind w:firstLine="960" w:firstLineChars="300"/>
        <w:rPr>
          <w:rFonts w:hint="eastAsia" w:asciiTheme="minorEastAsia" w:hAnsiTheme="minorEastAsia" w:eastAsiaTheme="minorEastAsia"/>
          <w:sz w:val="32"/>
          <w:szCs w:val="32"/>
          <w:lang w:val="en-US" w:eastAsia="zh-CN"/>
        </w:rPr>
      </w:pPr>
      <w:r>
        <w:rPr>
          <w:rFonts w:hint="eastAsia" w:asciiTheme="minorEastAsia" w:hAnsiTheme="minorEastAsia" w:eastAsiaTheme="minorEastAsia"/>
          <w:sz w:val="32"/>
          <w:szCs w:val="32"/>
          <w:lang w:val="en-US" w:eastAsia="zh-CN"/>
        </w:rPr>
        <w:t xml:space="preserve"> 年初预算为0万元，支出决算为55.82万元，较年初数增加55.82万元。主要原因是：粮食职能划入，区级储备粮轮换资金追加资金等粮食业务临时发生。</w:t>
      </w:r>
    </w:p>
    <w:p>
      <w:pPr>
        <w:pStyle w:val="11"/>
        <w:numPr>
          <w:ilvl w:val="0"/>
          <w:numId w:val="3"/>
        </w:numPr>
        <w:ind w:left="525" w:leftChars="250" w:firstLine="320" w:firstLineChars="100"/>
        <w:rPr>
          <w:rFonts w:hint="eastAsia" w:asciiTheme="minorEastAsia" w:hAnsiTheme="minorEastAsia" w:eastAsiaTheme="minorEastAsia"/>
          <w:sz w:val="32"/>
          <w:szCs w:val="32"/>
          <w:lang w:val="en-US" w:eastAsia="zh-CN"/>
        </w:rPr>
      </w:pPr>
      <w:r>
        <w:rPr>
          <w:rFonts w:hint="eastAsia" w:asciiTheme="minorEastAsia" w:hAnsiTheme="minorEastAsia" w:eastAsiaTheme="minorEastAsia"/>
          <w:sz w:val="32"/>
          <w:szCs w:val="32"/>
          <w:lang w:val="en-US" w:eastAsia="zh-CN"/>
        </w:rPr>
        <w:t>其他支出。</w:t>
      </w:r>
    </w:p>
    <w:p>
      <w:pPr>
        <w:pStyle w:val="11"/>
        <w:numPr>
          <w:ilvl w:val="0"/>
          <w:numId w:val="0"/>
        </w:numPr>
        <w:ind w:firstLine="960" w:firstLineChars="300"/>
        <w:rPr>
          <w:rFonts w:hint="default" w:asciiTheme="minorEastAsia" w:hAnsiTheme="minorEastAsia" w:eastAsiaTheme="minorEastAsia"/>
          <w:sz w:val="32"/>
          <w:szCs w:val="32"/>
          <w:lang w:val="en-US" w:eastAsia="zh-CN"/>
        </w:rPr>
      </w:pPr>
      <w:r>
        <w:rPr>
          <w:rFonts w:hint="eastAsia" w:asciiTheme="minorEastAsia" w:hAnsiTheme="minorEastAsia" w:eastAsiaTheme="minorEastAsia"/>
          <w:sz w:val="32"/>
          <w:szCs w:val="32"/>
          <w:lang w:val="en-US" w:eastAsia="zh-CN"/>
        </w:rPr>
        <w:t xml:space="preserve"> 年初预算为0万元，支出决算为70万元，较年初数增加70万元。主要原因是：3P前期项目增加资金。</w:t>
      </w:r>
    </w:p>
    <w:p>
      <w:pPr>
        <w:pStyle w:val="11"/>
        <w:rPr>
          <w:rFonts w:hAnsi="黑体"/>
          <w:b/>
          <w:sz w:val="32"/>
          <w:szCs w:val="32"/>
        </w:rPr>
      </w:pPr>
      <w:r>
        <w:rPr>
          <w:rFonts w:hint="eastAsia" w:hAnsi="黑体"/>
          <w:b/>
          <w:sz w:val="32"/>
          <w:szCs w:val="32"/>
        </w:rPr>
        <w:t>六、一般公共预算财政拨款基本支出决算情况说明</w:t>
      </w:r>
    </w:p>
    <w:p>
      <w:pPr>
        <w:pStyle w:val="11"/>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2019年度财政拨款基本支出</w:t>
      </w:r>
      <w:r>
        <w:rPr>
          <w:rFonts w:hint="eastAsia" w:ascii="仿宋" w:hAnsi="仿宋" w:eastAsia="仿宋" w:cs="仿宋"/>
          <w:sz w:val="32"/>
          <w:szCs w:val="32"/>
          <w:lang w:val="en-US" w:eastAsia="zh-CN"/>
        </w:rPr>
        <w:t>1421.57</w:t>
      </w:r>
      <w:r>
        <w:rPr>
          <w:rFonts w:hint="eastAsia" w:asciiTheme="minorEastAsia" w:hAnsiTheme="minorEastAsia" w:eastAsiaTheme="minorEastAsia"/>
          <w:sz w:val="32"/>
          <w:szCs w:val="32"/>
        </w:rPr>
        <w:t>万元，其中：人员经费</w:t>
      </w:r>
      <w:r>
        <w:rPr>
          <w:rFonts w:hint="eastAsia" w:ascii="仿宋" w:hAnsi="仿宋" w:eastAsia="仿宋" w:cs="仿宋"/>
          <w:sz w:val="32"/>
          <w:szCs w:val="32"/>
          <w:lang w:val="en-US" w:eastAsia="zh-CN"/>
        </w:rPr>
        <w:t>1108.23</w:t>
      </w:r>
      <w:r>
        <w:rPr>
          <w:rFonts w:hint="eastAsia" w:asciiTheme="minorEastAsia" w:hAnsiTheme="minorEastAsia" w:eastAsiaTheme="minorEastAsia"/>
          <w:sz w:val="32"/>
          <w:szCs w:val="32"/>
        </w:rPr>
        <w:t>万元，占基本支出的</w:t>
      </w:r>
      <w:r>
        <w:rPr>
          <w:rFonts w:hint="eastAsia" w:asciiTheme="minorEastAsia" w:hAnsiTheme="minorEastAsia" w:eastAsiaTheme="minorEastAsia"/>
          <w:sz w:val="32"/>
          <w:szCs w:val="32"/>
          <w:lang w:val="en-US" w:eastAsia="zh-CN"/>
        </w:rPr>
        <w:t>77.96</w:t>
      </w:r>
      <w:r>
        <w:rPr>
          <w:rFonts w:hint="eastAsia" w:asciiTheme="minorEastAsia" w:hAnsiTheme="minorEastAsia" w:eastAsiaTheme="minorEastAsia"/>
          <w:sz w:val="32"/>
          <w:szCs w:val="32"/>
        </w:rPr>
        <w:t>%,主要包括基本工资、津贴补贴、奖金、伙食补助费</w:t>
      </w:r>
      <w:r>
        <w:rPr>
          <w:rFonts w:hint="eastAsia" w:asciiTheme="minorEastAsia" w:hAnsiTheme="minorEastAsia" w:eastAsiaTheme="minorEastAsia"/>
          <w:sz w:val="32"/>
          <w:szCs w:val="32"/>
          <w:lang w:eastAsia="zh-CN"/>
        </w:rPr>
        <w:t>、其他工资福利支出</w:t>
      </w:r>
      <w:r>
        <w:rPr>
          <w:rFonts w:hint="eastAsia" w:asciiTheme="minorEastAsia" w:hAnsiTheme="minorEastAsia" w:eastAsiaTheme="minorEastAsia"/>
          <w:sz w:val="32"/>
          <w:szCs w:val="32"/>
        </w:rPr>
        <w:t>；公用经费</w:t>
      </w:r>
      <w:r>
        <w:rPr>
          <w:rFonts w:hint="eastAsia" w:ascii="仿宋" w:hAnsi="仿宋" w:eastAsia="仿宋" w:cs="仿宋"/>
          <w:sz w:val="32"/>
          <w:szCs w:val="32"/>
          <w:lang w:val="en-US" w:eastAsia="zh-CN"/>
        </w:rPr>
        <w:t>313.34</w:t>
      </w:r>
      <w:r>
        <w:rPr>
          <w:rFonts w:hint="eastAsia" w:asciiTheme="minorEastAsia" w:hAnsiTheme="minorEastAsia" w:eastAsiaTheme="minorEastAsia"/>
          <w:sz w:val="32"/>
          <w:szCs w:val="32"/>
        </w:rPr>
        <w:t>万元，占基本支出的</w:t>
      </w:r>
      <w:r>
        <w:rPr>
          <w:rFonts w:hint="eastAsia" w:ascii="仿宋" w:hAnsi="仿宋" w:eastAsia="仿宋" w:cs="仿宋"/>
          <w:sz w:val="32"/>
          <w:szCs w:val="32"/>
          <w:lang w:val="en-US" w:eastAsia="zh-CN"/>
        </w:rPr>
        <w:t>22.04</w:t>
      </w:r>
      <w:r>
        <w:rPr>
          <w:rFonts w:hint="eastAsia" w:asciiTheme="minorEastAsia" w:hAnsiTheme="minorEastAsia" w:eastAsiaTheme="minorEastAsia"/>
          <w:sz w:val="32"/>
          <w:szCs w:val="32"/>
        </w:rPr>
        <w:t>%，主要包括办公费、印刷费、咨询费、手续费</w:t>
      </w:r>
      <w:r>
        <w:rPr>
          <w:rFonts w:hint="eastAsia" w:asciiTheme="minorEastAsia" w:hAnsiTheme="minorEastAsia" w:eastAsiaTheme="minorEastAsia"/>
          <w:sz w:val="32"/>
          <w:szCs w:val="32"/>
          <w:lang w:eastAsia="zh-CN"/>
        </w:rPr>
        <w:t>、公务接待费、差旅费、维修（护）费及其他费用</w:t>
      </w:r>
      <w:r>
        <w:rPr>
          <w:rFonts w:hint="eastAsia" w:asciiTheme="minorEastAsia" w:hAnsiTheme="minorEastAsia" w:eastAsiaTheme="minorEastAsia"/>
          <w:sz w:val="32"/>
          <w:szCs w:val="32"/>
        </w:rPr>
        <w:t>。</w:t>
      </w:r>
    </w:p>
    <w:p>
      <w:pPr>
        <w:pStyle w:val="11"/>
        <w:rPr>
          <w:rFonts w:hAnsi="黑体"/>
          <w:b/>
          <w:sz w:val="32"/>
          <w:szCs w:val="32"/>
        </w:rPr>
      </w:pPr>
      <w:r>
        <w:rPr>
          <w:rFonts w:hint="eastAsia" w:hAnsi="黑体"/>
          <w:b/>
          <w:sz w:val="32"/>
          <w:szCs w:val="32"/>
        </w:rPr>
        <w:t>七、一般公共预算财政拨款三公经费支出决算情况说明</w:t>
      </w:r>
    </w:p>
    <w:p>
      <w:pPr>
        <w:pStyle w:val="11"/>
        <w:rPr>
          <w:rFonts w:asciiTheme="minorEastAsia" w:hAnsiTheme="minorEastAsia" w:eastAsiaTheme="minorEastAsia"/>
          <w:b/>
          <w:sz w:val="32"/>
          <w:szCs w:val="32"/>
        </w:rPr>
      </w:pPr>
      <w:r>
        <w:rPr>
          <w:rFonts w:hint="eastAsia" w:asciiTheme="minorEastAsia" w:hAnsiTheme="minorEastAsia" w:eastAsiaTheme="minorEastAsia"/>
          <w:b/>
          <w:sz w:val="32"/>
          <w:szCs w:val="32"/>
        </w:rPr>
        <w:t>（一）“三公”经费财政拨款支出决算总体情况说明</w:t>
      </w:r>
    </w:p>
    <w:p>
      <w:pPr>
        <w:pStyle w:val="11"/>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“三公”经费财政拨款支出预算为</w:t>
      </w:r>
      <w:r>
        <w:rPr>
          <w:rFonts w:hint="eastAsia" w:ascii="仿宋" w:hAnsi="仿宋" w:eastAsia="仿宋" w:cs="仿宋"/>
          <w:sz w:val="32"/>
          <w:szCs w:val="32"/>
          <w:lang w:val="en-US" w:eastAsia="zh-CN"/>
        </w:rPr>
        <w:t>11.8</w:t>
      </w:r>
      <w:r>
        <w:rPr>
          <w:rFonts w:hint="eastAsia" w:asciiTheme="minorEastAsia" w:hAnsiTheme="minorEastAsia" w:eastAsiaTheme="minorEastAsia"/>
          <w:sz w:val="32"/>
          <w:szCs w:val="32"/>
        </w:rPr>
        <w:t>万元，支出决算为</w:t>
      </w:r>
      <w:r>
        <w:rPr>
          <w:rFonts w:hint="eastAsia" w:ascii="仿宋" w:hAnsi="仿宋" w:eastAsia="仿宋" w:cs="仿宋"/>
          <w:sz w:val="32"/>
          <w:szCs w:val="32"/>
          <w:lang w:val="en-US" w:eastAsia="zh-CN"/>
        </w:rPr>
        <w:t>10.7</w:t>
      </w:r>
      <w:r>
        <w:rPr>
          <w:rFonts w:hint="eastAsia" w:asciiTheme="minorEastAsia" w:hAnsiTheme="minorEastAsia" w:eastAsiaTheme="minorEastAsia"/>
          <w:sz w:val="32"/>
          <w:szCs w:val="32"/>
        </w:rPr>
        <w:t>万元，完成预算的</w:t>
      </w:r>
      <w:r>
        <w:rPr>
          <w:rFonts w:hint="eastAsia" w:ascii="仿宋" w:hAnsi="仿宋" w:eastAsia="仿宋" w:cs="仿宋"/>
          <w:sz w:val="32"/>
          <w:szCs w:val="32"/>
          <w:lang w:val="en-US" w:eastAsia="zh-CN"/>
        </w:rPr>
        <w:t>90.67</w:t>
      </w:r>
      <w:r>
        <w:rPr>
          <w:rFonts w:hint="eastAsia" w:asciiTheme="minorEastAsia" w:hAnsiTheme="minorEastAsia" w:eastAsiaTheme="minorEastAsia"/>
          <w:sz w:val="32"/>
          <w:szCs w:val="32"/>
        </w:rPr>
        <w:t>%，其中：</w:t>
      </w:r>
    </w:p>
    <w:p>
      <w:pPr>
        <w:pStyle w:val="11"/>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因公出国（境）费支出预算为</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万元，支出决算为</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万元，完成预算的</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w:t>
      </w:r>
    </w:p>
    <w:p>
      <w:pPr>
        <w:pStyle w:val="11"/>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公务接待费支出预算为</w:t>
      </w:r>
      <w:r>
        <w:rPr>
          <w:rFonts w:hint="eastAsia" w:asciiTheme="minorEastAsia" w:hAnsiTheme="minorEastAsia" w:eastAsiaTheme="minorEastAsia"/>
          <w:sz w:val="32"/>
          <w:szCs w:val="32"/>
          <w:lang w:val="en-US" w:eastAsia="zh-CN"/>
        </w:rPr>
        <w:t>11.8</w:t>
      </w:r>
      <w:r>
        <w:rPr>
          <w:rFonts w:hint="eastAsia" w:asciiTheme="minorEastAsia" w:hAnsiTheme="minorEastAsia" w:eastAsiaTheme="minorEastAsia"/>
          <w:sz w:val="32"/>
          <w:szCs w:val="32"/>
        </w:rPr>
        <w:t>万元，支出决算为</w:t>
      </w:r>
      <w:r>
        <w:rPr>
          <w:rFonts w:hint="eastAsia" w:asciiTheme="minorEastAsia" w:hAnsiTheme="minorEastAsia" w:eastAsiaTheme="minorEastAsia"/>
          <w:sz w:val="32"/>
          <w:szCs w:val="32"/>
          <w:lang w:val="en-US" w:eastAsia="zh-CN"/>
        </w:rPr>
        <w:t>10.7</w:t>
      </w:r>
      <w:r>
        <w:rPr>
          <w:rFonts w:hint="eastAsia" w:asciiTheme="minorEastAsia" w:hAnsiTheme="minorEastAsia" w:eastAsiaTheme="minorEastAsia"/>
          <w:sz w:val="32"/>
          <w:szCs w:val="32"/>
        </w:rPr>
        <w:t>万元，完成预算的</w:t>
      </w:r>
      <w:r>
        <w:rPr>
          <w:rFonts w:hint="eastAsia" w:asciiTheme="minorEastAsia" w:hAnsiTheme="minorEastAsia" w:eastAsiaTheme="minorEastAsia"/>
          <w:sz w:val="32"/>
          <w:szCs w:val="32"/>
          <w:lang w:val="en-US" w:eastAsia="zh-CN"/>
        </w:rPr>
        <w:t>90.67</w:t>
      </w:r>
      <w:r>
        <w:rPr>
          <w:rFonts w:hint="eastAsia" w:asciiTheme="minorEastAsia" w:hAnsiTheme="minorEastAsia" w:eastAsiaTheme="minorEastAsia"/>
          <w:sz w:val="32"/>
          <w:szCs w:val="32"/>
        </w:rPr>
        <w:t>%，决算数小于年初预算数的主要原因是</w:t>
      </w:r>
      <w:r>
        <w:rPr>
          <w:rFonts w:hint="eastAsia" w:asciiTheme="minorEastAsia" w:hAnsiTheme="minorEastAsia" w:eastAsiaTheme="minorEastAsia"/>
          <w:sz w:val="32"/>
          <w:szCs w:val="32"/>
          <w:lang w:eastAsia="zh-CN"/>
        </w:rPr>
        <w:t>厉行节约，严格执行八项规定</w:t>
      </w:r>
      <w:r>
        <w:rPr>
          <w:rFonts w:hint="eastAsia" w:asciiTheme="minorEastAsia" w:hAnsiTheme="minorEastAsia" w:eastAsiaTheme="minorEastAsia"/>
          <w:sz w:val="32"/>
          <w:szCs w:val="32"/>
        </w:rPr>
        <w:t>，与上年相比减少</w:t>
      </w:r>
      <w:r>
        <w:rPr>
          <w:rFonts w:hint="eastAsia" w:asciiTheme="minorEastAsia" w:hAnsiTheme="minorEastAsia" w:eastAsiaTheme="minorEastAsia"/>
          <w:sz w:val="32"/>
          <w:szCs w:val="32"/>
          <w:lang w:val="en-US" w:eastAsia="zh-CN"/>
        </w:rPr>
        <w:t>0.1</w:t>
      </w:r>
      <w:r>
        <w:rPr>
          <w:rFonts w:hint="eastAsia" w:asciiTheme="minorEastAsia" w:hAnsiTheme="minorEastAsia" w:eastAsiaTheme="minorEastAsia"/>
          <w:sz w:val="32"/>
          <w:szCs w:val="32"/>
        </w:rPr>
        <w:t>万元，减少</w:t>
      </w:r>
      <w:r>
        <w:rPr>
          <w:rFonts w:hint="eastAsia" w:asciiTheme="minorEastAsia" w:hAnsiTheme="minorEastAsia" w:eastAsiaTheme="minorEastAsia"/>
          <w:sz w:val="32"/>
          <w:szCs w:val="32"/>
          <w:lang w:val="en-US" w:eastAsia="zh-CN"/>
        </w:rPr>
        <w:t>1</w:t>
      </w:r>
      <w:r>
        <w:rPr>
          <w:rFonts w:hint="eastAsia" w:asciiTheme="minorEastAsia" w:hAnsiTheme="minorEastAsia" w:eastAsiaTheme="minorEastAsia"/>
          <w:sz w:val="32"/>
          <w:szCs w:val="32"/>
        </w:rPr>
        <w:t>%,减少的主要原因是</w:t>
      </w:r>
      <w:r>
        <w:rPr>
          <w:rFonts w:hint="eastAsia" w:asciiTheme="minorEastAsia" w:hAnsiTheme="minorEastAsia" w:eastAsiaTheme="minorEastAsia"/>
          <w:sz w:val="32"/>
          <w:szCs w:val="32"/>
          <w:lang w:eastAsia="zh-CN"/>
        </w:rPr>
        <w:t>厉行节约，严格执行八项规定</w:t>
      </w:r>
      <w:r>
        <w:rPr>
          <w:rFonts w:hint="eastAsia" w:asciiTheme="minorEastAsia" w:hAnsiTheme="minorEastAsia" w:eastAsiaTheme="minorEastAsia"/>
          <w:sz w:val="32"/>
          <w:szCs w:val="32"/>
        </w:rPr>
        <w:t>。</w:t>
      </w:r>
    </w:p>
    <w:p>
      <w:pPr>
        <w:pStyle w:val="11"/>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公务用车购置费及运行维护费支出预算为</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万元，支出决算为</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万元，完成预算的</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w:t>
      </w:r>
    </w:p>
    <w:p>
      <w:pPr>
        <w:pStyle w:val="11"/>
        <w:rPr>
          <w:rFonts w:asciiTheme="minorEastAsia" w:hAnsiTheme="minorEastAsia" w:eastAsiaTheme="minorEastAsia"/>
          <w:b/>
          <w:sz w:val="32"/>
          <w:szCs w:val="32"/>
        </w:rPr>
      </w:pPr>
      <w:r>
        <w:rPr>
          <w:rFonts w:hint="eastAsia" w:asciiTheme="minorEastAsia" w:hAnsiTheme="minorEastAsia" w:eastAsiaTheme="minorEastAsia"/>
          <w:b/>
          <w:sz w:val="32"/>
          <w:szCs w:val="32"/>
        </w:rPr>
        <w:t>（二）“三公”经费财政拨款支出决算具体情况说明</w:t>
      </w:r>
    </w:p>
    <w:p>
      <w:pPr>
        <w:pStyle w:val="11"/>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2019年度“三公”经费财政拨款支出决算中，公务接待费支出决算</w:t>
      </w:r>
      <w:r>
        <w:rPr>
          <w:rFonts w:hint="eastAsia" w:asciiTheme="minorEastAsia" w:hAnsiTheme="minorEastAsia" w:eastAsiaTheme="minorEastAsia"/>
          <w:sz w:val="32"/>
          <w:szCs w:val="32"/>
          <w:lang w:val="en-US" w:eastAsia="zh-CN"/>
        </w:rPr>
        <w:t>10.7</w:t>
      </w:r>
      <w:r>
        <w:rPr>
          <w:rFonts w:hint="eastAsia" w:asciiTheme="minorEastAsia" w:hAnsiTheme="minorEastAsia" w:eastAsiaTheme="minorEastAsia"/>
          <w:sz w:val="32"/>
          <w:szCs w:val="32"/>
        </w:rPr>
        <w:t>万元，占</w:t>
      </w:r>
      <w:r>
        <w:rPr>
          <w:rFonts w:hint="eastAsia" w:asciiTheme="minorEastAsia" w:hAnsiTheme="minorEastAsia" w:eastAsiaTheme="minorEastAsia"/>
          <w:sz w:val="32"/>
          <w:szCs w:val="32"/>
          <w:lang w:val="en-US" w:eastAsia="zh-CN"/>
        </w:rPr>
        <w:t>100</w:t>
      </w:r>
      <w:r>
        <w:rPr>
          <w:rFonts w:hint="eastAsia" w:asciiTheme="minorEastAsia" w:hAnsiTheme="minorEastAsia" w:eastAsiaTheme="minorEastAsia"/>
          <w:sz w:val="32"/>
          <w:szCs w:val="32"/>
        </w:rPr>
        <w:t>%,因公出国（境）费支出决算</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万元，占</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%,公务用车购置费及运行维护费支出决算</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万元，占</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%。其中：</w:t>
      </w:r>
    </w:p>
    <w:p>
      <w:pPr>
        <w:pStyle w:val="11"/>
        <w:rPr>
          <w:rFonts w:hint="eastAsia" w:asciiTheme="minorEastAsia" w:hAnsiTheme="minorEastAsia" w:eastAsiaTheme="minorEastAsia"/>
          <w:sz w:val="32"/>
          <w:szCs w:val="32"/>
          <w:lang w:val="en-US" w:eastAsia="zh-CN"/>
        </w:rPr>
      </w:pPr>
      <w:r>
        <w:rPr>
          <w:rFonts w:hint="eastAsia" w:asciiTheme="minorEastAsia" w:hAnsiTheme="minorEastAsia" w:eastAsiaTheme="minorEastAsia"/>
          <w:sz w:val="32"/>
          <w:szCs w:val="32"/>
        </w:rPr>
        <w:t>1、因公出国（境）费支出决算为</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万元，全年安排因公出国（境）团组</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个，累计</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人次</w:t>
      </w:r>
      <w:r>
        <w:rPr>
          <w:rFonts w:hint="eastAsia" w:asciiTheme="minorEastAsia" w:hAnsiTheme="minorEastAsia" w:eastAsiaTheme="minorEastAsia"/>
          <w:sz w:val="32"/>
          <w:szCs w:val="32"/>
          <w:lang w:eastAsia="zh-CN"/>
        </w:rPr>
        <w:t>。</w:t>
      </w:r>
    </w:p>
    <w:p>
      <w:pPr>
        <w:pStyle w:val="11"/>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2、公务接待费支出决算为</w:t>
      </w:r>
      <w:r>
        <w:rPr>
          <w:rFonts w:hint="eastAsia" w:asciiTheme="minorEastAsia" w:hAnsiTheme="minorEastAsia" w:eastAsiaTheme="minorEastAsia"/>
          <w:sz w:val="32"/>
          <w:szCs w:val="32"/>
          <w:lang w:val="en-US" w:eastAsia="zh-CN"/>
        </w:rPr>
        <w:t>10.7</w:t>
      </w:r>
      <w:r>
        <w:rPr>
          <w:rFonts w:hint="eastAsia" w:asciiTheme="minorEastAsia" w:hAnsiTheme="minorEastAsia" w:eastAsiaTheme="minorEastAsia"/>
          <w:sz w:val="32"/>
          <w:szCs w:val="32"/>
        </w:rPr>
        <w:t>万元，全年共接待来访团组107个、来宾</w:t>
      </w:r>
      <w:r>
        <w:rPr>
          <w:rFonts w:hint="eastAsia" w:asciiTheme="minorEastAsia" w:hAnsiTheme="minorEastAsia" w:eastAsiaTheme="minorEastAsia"/>
          <w:sz w:val="32"/>
          <w:szCs w:val="32"/>
          <w:lang w:val="en-US" w:eastAsia="zh-CN"/>
        </w:rPr>
        <w:t>600</w:t>
      </w:r>
      <w:r>
        <w:rPr>
          <w:rFonts w:hint="eastAsia" w:asciiTheme="minorEastAsia" w:hAnsiTheme="minorEastAsia" w:eastAsiaTheme="minorEastAsia"/>
          <w:sz w:val="32"/>
          <w:szCs w:val="32"/>
        </w:rPr>
        <w:t>人次，主要是</w:t>
      </w:r>
      <w:r>
        <w:rPr>
          <w:rFonts w:hint="eastAsia" w:asciiTheme="minorEastAsia" w:hAnsiTheme="minorEastAsia" w:eastAsiaTheme="minorEastAsia"/>
          <w:sz w:val="32"/>
          <w:szCs w:val="32"/>
          <w:lang w:eastAsia="zh-CN"/>
        </w:rPr>
        <w:t>招商引资及上级检查、系统单位交流业务</w:t>
      </w:r>
      <w:r>
        <w:rPr>
          <w:rFonts w:hint="eastAsia" w:asciiTheme="minorEastAsia" w:hAnsiTheme="minorEastAsia" w:eastAsiaTheme="minorEastAsia"/>
          <w:sz w:val="32"/>
          <w:szCs w:val="32"/>
        </w:rPr>
        <w:t>发生的接待支出。</w:t>
      </w:r>
    </w:p>
    <w:p>
      <w:pPr>
        <w:ind w:firstLine="800" w:firstLineChars="250"/>
        <w:rPr>
          <w:rFonts w:hint="eastAsia" w:cs="黑体" w:asciiTheme="minorEastAsia" w:hAnsiTheme="minorEastAsia" w:eastAsiaTheme="minorEastAsia"/>
          <w:color w:val="000000"/>
          <w:kern w:val="0"/>
          <w:sz w:val="32"/>
          <w:szCs w:val="32"/>
          <w:lang w:eastAsia="zh-CN"/>
        </w:rPr>
      </w:pPr>
      <w:r>
        <w:rPr>
          <w:rFonts w:hint="eastAsia" w:asciiTheme="minorEastAsia" w:hAnsiTheme="minorEastAsia"/>
          <w:sz w:val="32"/>
          <w:szCs w:val="32"/>
        </w:rPr>
        <w:t>3、公务用车购置费及运行维护费支出决算为</w:t>
      </w:r>
      <w:r>
        <w:rPr>
          <w:rFonts w:hint="eastAsia" w:asciiTheme="minorEastAsia" w:hAnsiTheme="minorEastAsia"/>
          <w:sz w:val="32"/>
          <w:szCs w:val="32"/>
          <w:lang w:val="en-US" w:eastAsia="zh-CN"/>
        </w:rPr>
        <w:t>0</w:t>
      </w:r>
      <w:r>
        <w:rPr>
          <w:rFonts w:hint="eastAsia" w:asciiTheme="minorEastAsia" w:hAnsiTheme="minorEastAsia"/>
          <w:sz w:val="32"/>
          <w:szCs w:val="32"/>
        </w:rPr>
        <w:t>万元，其中：公务用车购置费</w:t>
      </w:r>
      <w:r>
        <w:rPr>
          <w:rFonts w:hint="eastAsia" w:asciiTheme="minorEastAsia" w:hAnsiTheme="minorEastAsia"/>
          <w:sz w:val="32"/>
          <w:szCs w:val="32"/>
          <w:lang w:val="en-US" w:eastAsia="zh-CN"/>
        </w:rPr>
        <w:t>0</w:t>
      </w:r>
      <w:r>
        <w:rPr>
          <w:rFonts w:hint="eastAsia" w:asciiTheme="minorEastAsia" w:hAnsiTheme="minorEastAsia"/>
          <w:sz w:val="32"/>
          <w:szCs w:val="32"/>
        </w:rPr>
        <w:t>万元</w:t>
      </w:r>
      <w:r>
        <w:rPr>
          <w:rFonts w:hint="eastAsia" w:asciiTheme="minorEastAsia" w:hAnsiTheme="minorEastAsia"/>
          <w:sz w:val="32"/>
          <w:szCs w:val="32"/>
          <w:lang w:eastAsia="zh-CN"/>
        </w:rPr>
        <w:t>。</w:t>
      </w:r>
    </w:p>
    <w:p>
      <w:pPr>
        <w:pStyle w:val="11"/>
        <w:rPr>
          <w:rFonts w:hAnsi="黑体"/>
          <w:b/>
          <w:sz w:val="32"/>
          <w:szCs w:val="32"/>
        </w:rPr>
      </w:pPr>
      <w:r>
        <w:rPr>
          <w:rFonts w:hint="eastAsia" w:hAnsi="黑体"/>
          <w:b/>
          <w:sz w:val="32"/>
          <w:szCs w:val="32"/>
        </w:rPr>
        <w:t>八、政府性基金预算收入支出决算情况</w:t>
      </w:r>
    </w:p>
    <w:p>
      <w:pPr>
        <w:pStyle w:val="11"/>
        <w:rPr>
          <w:rFonts w:hint="eastAsia" w:asciiTheme="minorEastAsia" w:hAnsiTheme="minorEastAsia" w:eastAsiaTheme="minorEastAsia"/>
          <w:sz w:val="32"/>
          <w:szCs w:val="32"/>
        </w:rPr>
      </w:pPr>
      <w:r>
        <w:rPr>
          <w:rFonts w:hint="eastAsia" w:asciiTheme="minorEastAsia" w:hAnsiTheme="minorEastAsia" w:eastAsiaTheme="minorEastAsia"/>
          <w:sz w:val="32"/>
          <w:szCs w:val="32"/>
        </w:rPr>
        <w:t xml:space="preserve">     2019年度政府性基金预算财政拨款收入</w:t>
      </w:r>
      <w:r>
        <w:rPr>
          <w:rFonts w:hint="eastAsia" w:asciiTheme="minorEastAsia" w:hAnsiTheme="minorEastAsia" w:eastAsiaTheme="minorEastAsia"/>
          <w:sz w:val="32"/>
          <w:szCs w:val="32"/>
          <w:lang w:val="en-US" w:eastAsia="zh-CN"/>
        </w:rPr>
        <w:t>95.36</w:t>
      </w:r>
      <w:r>
        <w:rPr>
          <w:rFonts w:hint="eastAsia" w:asciiTheme="minorEastAsia" w:hAnsiTheme="minorEastAsia" w:eastAsiaTheme="minorEastAsia"/>
          <w:sz w:val="32"/>
          <w:szCs w:val="32"/>
        </w:rPr>
        <w:t>万元；年初结转和结余</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万元；支出</w:t>
      </w:r>
      <w:r>
        <w:rPr>
          <w:rFonts w:hint="eastAsia" w:asciiTheme="minorEastAsia" w:hAnsiTheme="minorEastAsia" w:eastAsiaTheme="minorEastAsia"/>
          <w:sz w:val="32"/>
          <w:szCs w:val="32"/>
          <w:lang w:val="en-US" w:eastAsia="zh-CN"/>
        </w:rPr>
        <w:t>95.6</w:t>
      </w:r>
      <w:r>
        <w:rPr>
          <w:rFonts w:hint="eastAsia" w:asciiTheme="minorEastAsia" w:hAnsiTheme="minorEastAsia" w:eastAsiaTheme="minorEastAsia"/>
          <w:sz w:val="32"/>
          <w:szCs w:val="32"/>
        </w:rPr>
        <w:t>万元，其中基本支出</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万元，项目支出</w:t>
      </w:r>
      <w:r>
        <w:rPr>
          <w:rFonts w:hint="eastAsia" w:asciiTheme="minorEastAsia" w:hAnsiTheme="minorEastAsia" w:eastAsiaTheme="minorEastAsia"/>
          <w:sz w:val="32"/>
          <w:szCs w:val="32"/>
          <w:lang w:val="en-US" w:eastAsia="zh-CN"/>
        </w:rPr>
        <w:t>95.36</w:t>
      </w:r>
      <w:r>
        <w:rPr>
          <w:rFonts w:hint="eastAsia" w:asciiTheme="minorEastAsia" w:hAnsiTheme="minorEastAsia" w:eastAsiaTheme="minorEastAsia"/>
          <w:sz w:val="32"/>
          <w:szCs w:val="32"/>
        </w:rPr>
        <w:t>万元；年末结转和结余</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万元。</w:t>
      </w:r>
    </w:p>
    <w:p>
      <w:pPr>
        <w:pStyle w:val="11"/>
        <w:rPr>
          <w:rFonts w:hAnsi="黑体"/>
          <w:b/>
          <w:sz w:val="32"/>
          <w:szCs w:val="32"/>
        </w:rPr>
      </w:pPr>
      <w:r>
        <w:rPr>
          <w:rFonts w:hint="eastAsia" w:hAnsi="黑体"/>
          <w:b/>
          <w:sz w:val="32"/>
          <w:szCs w:val="32"/>
        </w:rPr>
        <w:t>九、关于2019年度预算绩效情况说明</w:t>
      </w:r>
    </w:p>
    <w:p>
      <w:pPr>
        <w:pStyle w:val="11"/>
        <w:rPr>
          <w:rFonts w:hint="eastAsia" w:asciiTheme="minorEastAsia" w:hAnsiTheme="minorEastAsia" w:eastAsiaTheme="minorEastAsia"/>
          <w:sz w:val="32"/>
          <w:szCs w:val="32"/>
          <w:lang w:val="en-US" w:eastAsia="zh-CN"/>
        </w:rPr>
      </w:pPr>
      <w:r>
        <w:rPr>
          <w:rFonts w:hint="eastAsia" w:asciiTheme="minorEastAsia" w:hAnsiTheme="minorEastAsia" w:eastAsiaTheme="minorEastAsia"/>
          <w:sz w:val="32"/>
          <w:szCs w:val="32"/>
          <w:lang w:val="en-US" w:eastAsia="zh-CN"/>
        </w:rPr>
        <w:t xml:space="preserve">   2019年，本部门对单位整体绩效及项目资金进行了预算绩效评价，评价结果好。</w:t>
      </w:r>
    </w:p>
    <w:p>
      <w:pPr>
        <w:pStyle w:val="11"/>
        <w:rPr>
          <w:rFonts w:hint="eastAsia" w:asciiTheme="minorEastAsia" w:hAnsiTheme="minorEastAsia" w:eastAsiaTheme="minorEastAsia"/>
          <w:sz w:val="32"/>
          <w:szCs w:val="32"/>
          <w:lang w:val="en-US" w:eastAsia="zh-CN"/>
        </w:rPr>
      </w:pPr>
      <w:r>
        <w:rPr>
          <w:rFonts w:hint="eastAsia" w:asciiTheme="minorEastAsia" w:hAnsiTheme="minorEastAsia" w:eastAsiaTheme="minorEastAsia"/>
          <w:sz w:val="32"/>
          <w:szCs w:val="32"/>
          <w:lang w:val="en-US" w:eastAsia="zh-CN"/>
        </w:rPr>
        <w:t xml:space="preserve">  本单位整体支出绩效目标实现情况</w:t>
      </w:r>
    </w:p>
    <w:p>
      <w:pPr>
        <w:pStyle w:val="11"/>
        <w:rPr>
          <w:rFonts w:hint="eastAsia" w:asciiTheme="minorEastAsia" w:hAnsiTheme="minorEastAsia" w:eastAsiaTheme="minorEastAsia"/>
          <w:sz w:val="32"/>
          <w:szCs w:val="32"/>
          <w:lang w:val="en-US" w:eastAsia="zh-CN"/>
        </w:rPr>
      </w:pPr>
      <w:r>
        <w:rPr>
          <w:rFonts w:hint="eastAsia" w:asciiTheme="minorEastAsia" w:hAnsiTheme="minorEastAsia" w:eastAsiaTheme="minorEastAsia"/>
          <w:sz w:val="32"/>
          <w:szCs w:val="32"/>
          <w:lang w:val="en-US" w:eastAsia="zh-CN"/>
        </w:rPr>
        <w:t>（1）零陵区落实粮食安全责任制工作成效明显，获得省真抓实干成效明显地区通报表扬。</w:t>
      </w:r>
    </w:p>
    <w:p>
      <w:pPr>
        <w:pStyle w:val="11"/>
        <w:rPr>
          <w:rFonts w:hint="default" w:asciiTheme="minorEastAsia" w:hAnsiTheme="minorEastAsia" w:eastAsiaTheme="minorEastAsia"/>
          <w:sz w:val="32"/>
          <w:szCs w:val="32"/>
          <w:lang w:val="en-US" w:eastAsia="zh-CN"/>
        </w:rPr>
      </w:pPr>
      <w:r>
        <w:rPr>
          <w:rFonts w:hint="eastAsia" w:asciiTheme="minorEastAsia" w:hAnsiTheme="minorEastAsia" w:eastAsiaTheme="minorEastAsia"/>
          <w:sz w:val="32"/>
          <w:szCs w:val="32"/>
          <w:lang w:val="en-US" w:eastAsia="zh-CN"/>
        </w:rPr>
        <w:t>（2）固定资产投资，2019年度固定资产投资增幅10.7%，全市排名前三。</w:t>
      </w:r>
    </w:p>
    <w:p>
      <w:pPr>
        <w:pStyle w:val="11"/>
        <w:rPr>
          <w:rFonts w:hint="default" w:asciiTheme="minorEastAsia" w:hAnsiTheme="minorEastAsia" w:eastAsiaTheme="minorEastAsia"/>
          <w:sz w:val="32"/>
          <w:szCs w:val="32"/>
          <w:lang w:val="en-US" w:eastAsia="zh-CN"/>
        </w:rPr>
      </w:pPr>
      <w:r>
        <w:rPr>
          <w:rFonts w:hint="eastAsia" w:asciiTheme="minorEastAsia" w:hAnsiTheme="minorEastAsia" w:eastAsiaTheme="minorEastAsia"/>
          <w:sz w:val="32"/>
          <w:szCs w:val="32"/>
          <w:lang w:val="en-US" w:eastAsia="zh-CN"/>
        </w:rPr>
        <w:t>（3）向上争资工作，争取上级项目资金21.9亿元，同比增幅6%。</w:t>
      </w:r>
    </w:p>
    <w:p>
      <w:pPr>
        <w:pStyle w:val="11"/>
        <w:rPr>
          <w:rFonts w:hint="default" w:asciiTheme="minorEastAsia" w:hAnsiTheme="minorEastAsia" w:eastAsiaTheme="minorEastAsia"/>
          <w:sz w:val="32"/>
          <w:szCs w:val="32"/>
          <w:lang w:val="en-US" w:eastAsia="zh-CN"/>
        </w:rPr>
      </w:pPr>
      <w:r>
        <w:rPr>
          <w:rFonts w:hint="eastAsia" w:asciiTheme="minorEastAsia" w:hAnsiTheme="minorEastAsia" w:eastAsiaTheme="minorEastAsia"/>
          <w:sz w:val="32"/>
          <w:szCs w:val="32"/>
          <w:lang w:val="en-US" w:eastAsia="zh-CN"/>
        </w:rPr>
        <w:t>（4）重点项目建设取得明显成效，2019年全年共实施重点项目136个，年度投资175.6亿元，完成投资180亿元，完成年度计划投资的102.5%；其中市重点项目52个全部开工，新入统5000万元以上项目45个，同比增长32%。</w:t>
      </w:r>
    </w:p>
    <w:p>
      <w:pPr>
        <w:pStyle w:val="11"/>
        <w:rPr>
          <w:rFonts w:hint="default" w:asciiTheme="minorEastAsia" w:hAnsiTheme="minorEastAsia" w:eastAsiaTheme="minorEastAsia"/>
          <w:sz w:val="32"/>
          <w:szCs w:val="32"/>
          <w:lang w:val="en-US" w:eastAsia="zh-CN"/>
        </w:rPr>
      </w:pPr>
      <w:r>
        <w:rPr>
          <w:rFonts w:hint="eastAsia" w:asciiTheme="minorEastAsia" w:hAnsiTheme="minorEastAsia" w:eastAsiaTheme="minorEastAsia"/>
          <w:sz w:val="32"/>
          <w:szCs w:val="32"/>
          <w:lang w:val="en-US" w:eastAsia="zh-CN"/>
        </w:rPr>
        <w:t>（5）我局在农网改造，光伏扶贫，文化教育旅游，价格管理等方面的工作也取得了非常显著的成效，另外，</w:t>
      </w:r>
      <w:r>
        <w:rPr>
          <w:rFonts w:hint="default" w:asciiTheme="minorEastAsia" w:hAnsiTheme="minorEastAsia" w:eastAsiaTheme="minorEastAsia"/>
          <w:sz w:val="32"/>
          <w:szCs w:val="32"/>
          <w:lang w:val="en-US" w:eastAsia="zh-CN"/>
        </w:rPr>
        <w:t>市级文明标兵单位创建成效显著</w:t>
      </w:r>
      <w:r>
        <w:rPr>
          <w:rFonts w:hint="eastAsia" w:asciiTheme="minorEastAsia" w:hAnsiTheme="minorEastAsia" w:eastAsiaTheme="minorEastAsia"/>
          <w:sz w:val="32"/>
          <w:szCs w:val="32"/>
          <w:lang w:val="en-US" w:eastAsia="zh-CN"/>
        </w:rPr>
        <w:t>。</w:t>
      </w:r>
    </w:p>
    <w:p>
      <w:pPr>
        <w:pStyle w:val="11"/>
        <w:rPr>
          <w:rFonts w:hAnsi="黑体"/>
          <w:b/>
          <w:sz w:val="32"/>
          <w:szCs w:val="32"/>
        </w:rPr>
      </w:pPr>
      <w:r>
        <w:rPr>
          <w:rFonts w:hint="eastAsia" w:hAnsi="黑体"/>
          <w:b/>
          <w:sz w:val="32"/>
          <w:szCs w:val="32"/>
        </w:rPr>
        <w:t>十、其他重要事项情况说明</w:t>
      </w:r>
    </w:p>
    <w:p>
      <w:pPr>
        <w:ind w:firstLine="480" w:firstLineChars="150"/>
        <w:rPr>
          <w:rFonts w:cs="黑体" w:asciiTheme="minorEastAsia" w:hAnsiTheme="minorEastAsia"/>
          <w:b/>
          <w:color w:val="000000"/>
          <w:kern w:val="0"/>
          <w:sz w:val="32"/>
          <w:szCs w:val="32"/>
        </w:rPr>
      </w:pPr>
      <w:r>
        <w:rPr>
          <w:rFonts w:hint="eastAsia" w:cs="黑体" w:asciiTheme="minorEastAsia" w:hAnsiTheme="minorEastAsia"/>
          <w:b/>
          <w:color w:val="000000"/>
          <w:kern w:val="0"/>
          <w:sz w:val="32"/>
          <w:szCs w:val="32"/>
        </w:rPr>
        <w:t>（一）机关运行经费支出情况</w:t>
      </w:r>
    </w:p>
    <w:p>
      <w:pPr>
        <w:ind w:firstLine="640" w:firstLineChars="200"/>
        <w:rPr>
          <w:rFonts w:hint="eastAsia" w:cs="黑体" w:asciiTheme="minorEastAsia" w:hAnsiTheme="minorEastAsia" w:eastAsiaTheme="minorEastAsia"/>
          <w:color w:val="000000"/>
          <w:kern w:val="0"/>
          <w:sz w:val="32"/>
          <w:szCs w:val="32"/>
          <w:lang w:eastAsia="zh-CN"/>
        </w:rPr>
      </w:pPr>
      <w:r>
        <w:rPr>
          <w:rFonts w:hint="eastAsia" w:cs="黑体" w:asciiTheme="minorEastAsia" w:hAnsiTheme="minorEastAsia"/>
          <w:color w:val="000000"/>
          <w:kern w:val="0"/>
          <w:sz w:val="32"/>
          <w:szCs w:val="32"/>
        </w:rPr>
        <w:t>本部门2019 年度机关运行经费支出313.34万元，比年初预算数增加</w:t>
      </w:r>
      <w:r>
        <w:rPr>
          <w:rFonts w:hint="eastAsia" w:cs="黑体" w:asciiTheme="minorEastAsia" w:hAnsiTheme="minorEastAsia"/>
          <w:color w:val="000000"/>
          <w:kern w:val="0"/>
          <w:sz w:val="32"/>
          <w:szCs w:val="32"/>
          <w:lang w:val="en-US" w:eastAsia="zh-CN"/>
        </w:rPr>
        <w:t>253.34</w:t>
      </w:r>
      <w:r>
        <w:rPr>
          <w:rFonts w:hint="eastAsia" w:cs="黑体" w:asciiTheme="minorEastAsia" w:hAnsiTheme="minorEastAsia"/>
          <w:color w:val="000000"/>
          <w:kern w:val="0"/>
          <w:sz w:val="32"/>
          <w:szCs w:val="32"/>
        </w:rPr>
        <w:t>万元。主要原因是：</w:t>
      </w:r>
      <w:r>
        <w:rPr>
          <w:rFonts w:hint="eastAsia" w:cs="黑体" w:asciiTheme="minorEastAsia" w:hAnsiTheme="minorEastAsia"/>
          <w:color w:val="000000"/>
          <w:kern w:val="0"/>
          <w:sz w:val="32"/>
          <w:szCs w:val="32"/>
          <w:lang w:eastAsia="zh-CN"/>
        </w:rPr>
        <w:t>机构改革，增加经费开支。</w:t>
      </w:r>
    </w:p>
    <w:p>
      <w:pPr>
        <w:ind w:firstLine="640" w:firstLineChars="200"/>
        <w:rPr>
          <w:rFonts w:hint="eastAsia" w:cs="黑体" w:asciiTheme="minorEastAsia" w:hAnsiTheme="minorEastAsia"/>
          <w:b/>
          <w:color w:val="000000"/>
          <w:kern w:val="0"/>
          <w:sz w:val="32"/>
          <w:szCs w:val="32"/>
        </w:rPr>
      </w:pPr>
      <w:r>
        <w:rPr>
          <w:rFonts w:hint="eastAsia" w:cs="黑体" w:asciiTheme="minorEastAsia" w:hAnsiTheme="minorEastAsia"/>
          <w:b/>
          <w:color w:val="000000"/>
          <w:kern w:val="0"/>
          <w:sz w:val="32"/>
          <w:szCs w:val="32"/>
        </w:rPr>
        <w:t>（二）一般性支出情况</w:t>
      </w:r>
    </w:p>
    <w:p>
      <w:pPr>
        <w:ind w:firstLine="640" w:firstLineChars="200"/>
        <w:rPr>
          <w:rFonts w:hint="eastAsia" w:cs="黑体" w:asciiTheme="minorEastAsia" w:hAnsiTheme="minorEastAsia" w:eastAsiaTheme="minorEastAsia"/>
          <w:color w:val="000000"/>
          <w:kern w:val="0"/>
          <w:sz w:val="32"/>
          <w:szCs w:val="32"/>
          <w:lang w:eastAsia="zh-CN"/>
        </w:rPr>
      </w:pPr>
      <w:r>
        <w:rPr>
          <w:rFonts w:hint="eastAsia" w:cs="黑体" w:asciiTheme="minorEastAsia" w:hAnsiTheme="minorEastAsia"/>
          <w:color w:val="000000"/>
          <w:kern w:val="0"/>
          <w:sz w:val="32"/>
          <w:szCs w:val="32"/>
        </w:rPr>
        <w:t>2019年本部门开支会议费</w:t>
      </w:r>
      <w:r>
        <w:rPr>
          <w:rFonts w:hint="eastAsia" w:cs="黑体" w:asciiTheme="minorEastAsia" w:hAnsiTheme="minorEastAsia"/>
          <w:color w:val="000000"/>
          <w:kern w:val="0"/>
          <w:sz w:val="32"/>
          <w:szCs w:val="32"/>
          <w:lang w:val="en-US" w:eastAsia="zh-CN"/>
        </w:rPr>
        <w:t>0</w:t>
      </w:r>
      <w:r>
        <w:rPr>
          <w:rFonts w:hint="eastAsia" w:cs="黑体" w:asciiTheme="minorEastAsia" w:hAnsiTheme="minorEastAsia"/>
          <w:color w:val="000000"/>
          <w:kern w:val="0"/>
          <w:sz w:val="32"/>
          <w:szCs w:val="32"/>
        </w:rPr>
        <w:t>万元，；开支培训费</w:t>
      </w:r>
      <w:r>
        <w:rPr>
          <w:rFonts w:hint="eastAsia" w:cs="黑体" w:asciiTheme="minorEastAsia" w:hAnsiTheme="minorEastAsia"/>
          <w:color w:val="000000"/>
          <w:kern w:val="0"/>
          <w:sz w:val="32"/>
          <w:szCs w:val="32"/>
          <w:lang w:val="en-US" w:eastAsia="zh-CN"/>
        </w:rPr>
        <w:t>1.08</w:t>
      </w:r>
      <w:r>
        <w:rPr>
          <w:rFonts w:hint="eastAsia" w:cs="黑体" w:asciiTheme="minorEastAsia" w:hAnsiTheme="minorEastAsia"/>
          <w:color w:val="000000"/>
          <w:kern w:val="0"/>
          <w:sz w:val="32"/>
          <w:szCs w:val="32"/>
        </w:rPr>
        <w:t>万元，</w:t>
      </w:r>
      <w:r>
        <w:rPr>
          <w:rFonts w:hint="eastAsia" w:cs="黑体" w:asciiTheme="minorEastAsia" w:hAnsiTheme="minorEastAsia"/>
          <w:color w:val="000000"/>
          <w:kern w:val="0"/>
          <w:sz w:val="32"/>
          <w:szCs w:val="32"/>
          <w:lang w:eastAsia="zh-CN"/>
        </w:rPr>
        <w:t>主要是系统内业务培训及党校培训。</w:t>
      </w:r>
    </w:p>
    <w:p>
      <w:pPr>
        <w:ind w:firstLine="640" w:firstLineChars="200"/>
        <w:rPr>
          <w:rFonts w:cs="黑体" w:asciiTheme="minorEastAsia" w:hAnsiTheme="minorEastAsia"/>
          <w:b/>
          <w:color w:val="000000"/>
          <w:kern w:val="0"/>
          <w:sz w:val="32"/>
          <w:szCs w:val="32"/>
        </w:rPr>
      </w:pPr>
      <w:r>
        <w:rPr>
          <w:rFonts w:hint="eastAsia" w:cs="黑体" w:asciiTheme="minorEastAsia" w:hAnsiTheme="minorEastAsia"/>
          <w:b/>
          <w:color w:val="000000"/>
          <w:kern w:val="0"/>
          <w:sz w:val="32"/>
          <w:szCs w:val="32"/>
        </w:rPr>
        <w:t>（三）政府采购支出情况</w:t>
      </w:r>
    </w:p>
    <w:p>
      <w:pPr>
        <w:ind w:firstLine="640" w:firstLineChars="200"/>
        <w:rPr>
          <w:rFonts w:cs="黑体" w:asciiTheme="minorEastAsia" w:hAnsiTheme="minorEastAsia"/>
          <w:i/>
          <w:color w:val="FF0000"/>
          <w:kern w:val="0"/>
          <w:sz w:val="32"/>
          <w:szCs w:val="32"/>
        </w:rPr>
      </w:pPr>
      <w:r>
        <w:rPr>
          <w:rFonts w:hint="eastAsia" w:cs="黑体" w:asciiTheme="minorEastAsia" w:hAnsiTheme="minorEastAsia"/>
          <w:color w:val="000000"/>
          <w:kern w:val="0"/>
          <w:sz w:val="32"/>
          <w:szCs w:val="32"/>
        </w:rPr>
        <w:t>本部门2019年度政府采购支出总额</w:t>
      </w:r>
      <w:r>
        <w:rPr>
          <w:rFonts w:hint="eastAsia" w:cs="黑体" w:asciiTheme="minorEastAsia" w:hAnsiTheme="minorEastAsia"/>
          <w:color w:val="000000"/>
          <w:kern w:val="0"/>
          <w:sz w:val="32"/>
          <w:szCs w:val="32"/>
          <w:lang w:val="en-US" w:eastAsia="zh-CN"/>
        </w:rPr>
        <w:t>0</w:t>
      </w:r>
      <w:r>
        <w:rPr>
          <w:rFonts w:hint="eastAsia" w:cs="黑体" w:asciiTheme="minorEastAsia" w:hAnsiTheme="minorEastAsia"/>
          <w:color w:val="000000"/>
          <w:kern w:val="0"/>
          <w:sz w:val="32"/>
          <w:szCs w:val="32"/>
        </w:rPr>
        <w:t>万元，其中：政府采购货物支出</w:t>
      </w:r>
      <w:r>
        <w:rPr>
          <w:rFonts w:hint="eastAsia" w:cs="黑体" w:asciiTheme="minorEastAsia" w:hAnsiTheme="minorEastAsia"/>
          <w:color w:val="000000"/>
          <w:kern w:val="0"/>
          <w:sz w:val="32"/>
          <w:szCs w:val="32"/>
          <w:lang w:val="en-US" w:eastAsia="zh-CN"/>
        </w:rPr>
        <w:t>0</w:t>
      </w:r>
      <w:r>
        <w:rPr>
          <w:rFonts w:hint="eastAsia" w:cs="黑体" w:asciiTheme="minorEastAsia" w:hAnsiTheme="minorEastAsia"/>
          <w:color w:val="000000"/>
          <w:kern w:val="0"/>
          <w:sz w:val="32"/>
          <w:szCs w:val="32"/>
        </w:rPr>
        <w:t>万元、政府采购工程支出</w:t>
      </w:r>
      <w:r>
        <w:rPr>
          <w:rFonts w:hint="eastAsia" w:cs="黑体" w:asciiTheme="minorEastAsia" w:hAnsiTheme="minorEastAsia"/>
          <w:color w:val="000000"/>
          <w:kern w:val="0"/>
          <w:sz w:val="32"/>
          <w:szCs w:val="32"/>
          <w:lang w:val="en-US" w:eastAsia="zh-CN"/>
        </w:rPr>
        <w:t>0</w:t>
      </w:r>
      <w:r>
        <w:rPr>
          <w:rFonts w:hint="eastAsia" w:cs="黑体" w:asciiTheme="minorEastAsia" w:hAnsiTheme="minorEastAsia"/>
          <w:color w:val="000000"/>
          <w:kern w:val="0"/>
          <w:sz w:val="32"/>
          <w:szCs w:val="32"/>
        </w:rPr>
        <w:t>万元、政府采购服务支出</w:t>
      </w:r>
      <w:r>
        <w:rPr>
          <w:rFonts w:hint="eastAsia" w:cs="黑体" w:asciiTheme="minorEastAsia" w:hAnsiTheme="minorEastAsia"/>
          <w:color w:val="000000"/>
          <w:kern w:val="0"/>
          <w:sz w:val="32"/>
          <w:szCs w:val="32"/>
          <w:lang w:val="en-US" w:eastAsia="zh-CN"/>
        </w:rPr>
        <w:t>0</w:t>
      </w:r>
      <w:r>
        <w:rPr>
          <w:rFonts w:hint="eastAsia" w:cs="黑体" w:asciiTheme="minorEastAsia" w:hAnsiTheme="minorEastAsia"/>
          <w:color w:val="000000"/>
          <w:kern w:val="0"/>
          <w:sz w:val="32"/>
          <w:szCs w:val="32"/>
        </w:rPr>
        <w:t>万元。</w:t>
      </w:r>
      <w:r>
        <w:rPr>
          <w:rFonts w:hint="eastAsia" w:ascii="宋体" w:hAnsi="宋体" w:cs="宋体"/>
          <w:color w:val="000000"/>
          <w:kern w:val="0"/>
          <w:sz w:val="32"/>
          <w:szCs w:val="32"/>
        </w:rPr>
        <w:t>授予中小企业合同金额</w:t>
      </w:r>
      <w:r>
        <w:rPr>
          <w:rFonts w:ascii="宋体" w:cs="宋体"/>
          <w:color w:val="000000"/>
          <w:kern w:val="0"/>
          <w:sz w:val="32"/>
          <w:szCs w:val="32"/>
        </w:rPr>
        <w:t>0</w:t>
      </w:r>
      <w:r>
        <w:rPr>
          <w:rFonts w:hint="eastAsia" w:ascii="宋体" w:hAnsi="宋体" w:cs="宋体"/>
          <w:color w:val="000000"/>
          <w:kern w:val="0"/>
          <w:sz w:val="32"/>
          <w:szCs w:val="32"/>
        </w:rPr>
        <w:t>万元，占政府采购支出总额的</w:t>
      </w:r>
      <w:r>
        <w:rPr>
          <w:rFonts w:ascii="宋体" w:hAnsi="宋体" w:cs="宋体"/>
          <w:color w:val="000000"/>
          <w:kern w:val="0"/>
          <w:sz w:val="32"/>
          <w:szCs w:val="32"/>
        </w:rPr>
        <w:t>0%</w:t>
      </w:r>
      <w:r>
        <w:rPr>
          <w:rFonts w:hint="eastAsia" w:ascii="宋体" w:hAnsi="宋体" w:cs="宋体"/>
          <w:color w:val="000000"/>
          <w:kern w:val="0"/>
          <w:sz w:val="32"/>
          <w:szCs w:val="32"/>
        </w:rPr>
        <w:t>，其中：授予小微企业合同金额</w:t>
      </w:r>
      <w:r>
        <w:rPr>
          <w:rFonts w:ascii="宋体" w:cs="宋体"/>
          <w:color w:val="000000"/>
          <w:kern w:val="0"/>
          <w:sz w:val="32"/>
          <w:szCs w:val="32"/>
        </w:rPr>
        <w:t>0</w:t>
      </w:r>
      <w:r>
        <w:rPr>
          <w:rFonts w:hint="eastAsia" w:ascii="宋体" w:hAnsi="宋体" w:cs="宋体"/>
          <w:color w:val="000000"/>
          <w:kern w:val="0"/>
          <w:sz w:val="32"/>
          <w:szCs w:val="32"/>
        </w:rPr>
        <w:t>万元，占政府采购支出总额的</w:t>
      </w:r>
      <w:r>
        <w:rPr>
          <w:rFonts w:ascii="宋体" w:hAnsi="宋体" w:cs="宋体"/>
          <w:color w:val="000000"/>
          <w:kern w:val="0"/>
          <w:sz w:val="32"/>
          <w:szCs w:val="32"/>
        </w:rPr>
        <w:t>0%</w:t>
      </w:r>
      <w:r>
        <w:rPr>
          <w:rFonts w:hint="eastAsia" w:ascii="宋体" w:hAnsi="宋体" w:cs="宋体"/>
          <w:color w:val="000000"/>
          <w:kern w:val="0"/>
          <w:sz w:val="32"/>
          <w:szCs w:val="32"/>
        </w:rPr>
        <w:t>。</w:t>
      </w:r>
    </w:p>
    <w:p>
      <w:pPr>
        <w:ind w:firstLine="480" w:firstLineChars="150"/>
        <w:rPr>
          <w:rFonts w:cs="黑体" w:asciiTheme="minorEastAsia" w:hAnsiTheme="minorEastAsia"/>
          <w:b/>
          <w:color w:val="000000"/>
          <w:kern w:val="0"/>
          <w:sz w:val="32"/>
          <w:szCs w:val="32"/>
        </w:rPr>
      </w:pPr>
      <w:r>
        <w:rPr>
          <w:rFonts w:hint="eastAsia" w:cs="黑体" w:asciiTheme="minorEastAsia" w:hAnsiTheme="minorEastAsia"/>
          <w:b/>
          <w:color w:val="000000"/>
          <w:kern w:val="0"/>
          <w:sz w:val="32"/>
          <w:szCs w:val="32"/>
        </w:rPr>
        <w:t>（四）国有资产占用情况</w:t>
      </w:r>
    </w:p>
    <w:p>
      <w:pPr>
        <w:ind w:firstLine="640" w:firstLineChars="200"/>
        <w:rPr>
          <w:rFonts w:cs="黑体" w:asciiTheme="minorEastAsia" w:hAnsiTheme="minorEastAsia"/>
          <w:color w:val="000000"/>
          <w:kern w:val="0"/>
          <w:sz w:val="32"/>
          <w:szCs w:val="32"/>
        </w:rPr>
      </w:pPr>
      <w:r>
        <w:rPr>
          <w:rFonts w:hint="eastAsia" w:cs="黑体" w:asciiTheme="minorEastAsia" w:hAnsiTheme="minorEastAsia"/>
          <w:color w:val="000000"/>
          <w:kern w:val="0"/>
          <w:sz w:val="32"/>
          <w:szCs w:val="32"/>
        </w:rPr>
        <w:t>截至2019年12月31日，本单位共有车辆</w:t>
      </w:r>
      <w:r>
        <w:rPr>
          <w:rFonts w:hint="eastAsia" w:cs="黑体" w:asciiTheme="minorEastAsia" w:hAnsiTheme="minorEastAsia"/>
          <w:color w:val="000000"/>
          <w:kern w:val="0"/>
          <w:sz w:val="32"/>
          <w:szCs w:val="32"/>
          <w:lang w:val="en-US" w:eastAsia="zh-CN"/>
        </w:rPr>
        <w:t>0</w:t>
      </w:r>
      <w:r>
        <w:rPr>
          <w:rFonts w:hint="eastAsia" w:cs="黑体" w:asciiTheme="minorEastAsia" w:hAnsiTheme="minorEastAsia"/>
          <w:color w:val="000000"/>
          <w:kern w:val="0"/>
          <w:sz w:val="32"/>
          <w:szCs w:val="32"/>
        </w:rPr>
        <w:t>辆，其中，领导干部用车</w:t>
      </w:r>
      <w:r>
        <w:rPr>
          <w:rFonts w:hint="eastAsia" w:cs="黑体" w:asciiTheme="minorEastAsia" w:hAnsiTheme="minorEastAsia"/>
          <w:color w:val="000000"/>
          <w:kern w:val="0"/>
          <w:sz w:val="32"/>
          <w:szCs w:val="32"/>
          <w:lang w:val="en-US" w:eastAsia="zh-CN"/>
        </w:rPr>
        <w:t>0</w:t>
      </w:r>
      <w:r>
        <w:rPr>
          <w:rFonts w:hint="eastAsia" w:cs="黑体" w:asciiTheme="minorEastAsia" w:hAnsiTheme="minorEastAsia"/>
          <w:color w:val="000000"/>
          <w:kern w:val="0"/>
          <w:sz w:val="32"/>
          <w:szCs w:val="32"/>
        </w:rPr>
        <w:t>辆、机要通信用车</w:t>
      </w:r>
      <w:r>
        <w:rPr>
          <w:rFonts w:hint="eastAsia" w:cs="黑体" w:asciiTheme="minorEastAsia" w:hAnsiTheme="minorEastAsia"/>
          <w:color w:val="000000"/>
          <w:kern w:val="0"/>
          <w:sz w:val="32"/>
          <w:szCs w:val="32"/>
          <w:lang w:val="en-US" w:eastAsia="zh-CN"/>
        </w:rPr>
        <w:t>0</w:t>
      </w:r>
      <w:r>
        <w:rPr>
          <w:rFonts w:hint="eastAsia" w:cs="黑体" w:asciiTheme="minorEastAsia" w:hAnsiTheme="minorEastAsia"/>
          <w:color w:val="000000"/>
          <w:kern w:val="0"/>
          <w:sz w:val="32"/>
          <w:szCs w:val="32"/>
        </w:rPr>
        <w:t>辆、应急保障用车</w:t>
      </w:r>
      <w:r>
        <w:rPr>
          <w:rFonts w:hint="eastAsia" w:cs="黑体" w:asciiTheme="minorEastAsia" w:hAnsiTheme="minorEastAsia"/>
          <w:color w:val="000000"/>
          <w:kern w:val="0"/>
          <w:sz w:val="32"/>
          <w:szCs w:val="32"/>
          <w:lang w:val="en-US" w:eastAsia="zh-CN"/>
        </w:rPr>
        <w:t>0</w:t>
      </w:r>
      <w:r>
        <w:rPr>
          <w:rFonts w:hint="eastAsia" w:cs="黑体" w:asciiTheme="minorEastAsia" w:hAnsiTheme="minorEastAsia"/>
          <w:color w:val="000000"/>
          <w:kern w:val="0"/>
          <w:sz w:val="32"/>
          <w:szCs w:val="32"/>
        </w:rPr>
        <w:t>辆、执法执勤用车</w:t>
      </w:r>
      <w:r>
        <w:rPr>
          <w:rFonts w:hint="eastAsia" w:cs="黑体" w:asciiTheme="minorEastAsia" w:hAnsiTheme="minorEastAsia"/>
          <w:color w:val="000000"/>
          <w:kern w:val="0"/>
          <w:sz w:val="32"/>
          <w:szCs w:val="32"/>
          <w:lang w:val="en-US" w:eastAsia="zh-CN"/>
        </w:rPr>
        <w:t>0</w:t>
      </w:r>
      <w:r>
        <w:rPr>
          <w:rFonts w:hint="eastAsia" w:cs="黑体" w:asciiTheme="minorEastAsia" w:hAnsiTheme="minorEastAsia"/>
          <w:color w:val="000000"/>
          <w:kern w:val="0"/>
          <w:sz w:val="32"/>
          <w:szCs w:val="32"/>
        </w:rPr>
        <w:t>辆、特种专业技术用车</w:t>
      </w:r>
      <w:r>
        <w:rPr>
          <w:rFonts w:hint="eastAsia" w:cs="黑体" w:asciiTheme="minorEastAsia" w:hAnsiTheme="minorEastAsia"/>
          <w:color w:val="000000"/>
          <w:kern w:val="0"/>
          <w:sz w:val="32"/>
          <w:szCs w:val="32"/>
          <w:lang w:val="en-US" w:eastAsia="zh-CN"/>
        </w:rPr>
        <w:t>0</w:t>
      </w:r>
      <w:r>
        <w:rPr>
          <w:rFonts w:hint="eastAsia" w:cs="黑体" w:asciiTheme="minorEastAsia" w:hAnsiTheme="minorEastAsia"/>
          <w:color w:val="000000"/>
          <w:kern w:val="0"/>
          <w:sz w:val="32"/>
          <w:szCs w:val="32"/>
        </w:rPr>
        <w:t>辆、其他用车</w:t>
      </w:r>
      <w:r>
        <w:rPr>
          <w:rFonts w:hint="eastAsia" w:cs="黑体" w:asciiTheme="minorEastAsia" w:hAnsiTheme="minorEastAsia"/>
          <w:color w:val="000000"/>
          <w:kern w:val="0"/>
          <w:sz w:val="32"/>
          <w:szCs w:val="32"/>
          <w:lang w:val="en-US" w:eastAsia="zh-CN"/>
        </w:rPr>
        <w:t>0</w:t>
      </w:r>
      <w:r>
        <w:rPr>
          <w:rFonts w:hint="eastAsia" w:cs="黑体" w:asciiTheme="minorEastAsia" w:hAnsiTheme="minorEastAsia"/>
          <w:color w:val="000000"/>
          <w:kern w:val="0"/>
          <w:sz w:val="32"/>
          <w:szCs w:val="32"/>
        </w:rPr>
        <w:t>辆，；单位价值50万元以上通用设备</w:t>
      </w:r>
      <w:r>
        <w:rPr>
          <w:rFonts w:hint="eastAsia" w:cs="黑体" w:asciiTheme="minorEastAsia" w:hAnsiTheme="minorEastAsia"/>
          <w:color w:val="000000"/>
          <w:kern w:val="0"/>
          <w:sz w:val="32"/>
          <w:szCs w:val="32"/>
          <w:lang w:val="en-US" w:eastAsia="zh-CN"/>
        </w:rPr>
        <w:t>0</w:t>
      </w:r>
      <w:r>
        <w:rPr>
          <w:rFonts w:hint="eastAsia" w:cs="黑体" w:asciiTheme="minorEastAsia" w:hAnsiTheme="minorEastAsia"/>
          <w:color w:val="000000"/>
          <w:kern w:val="0"/>
          <w:sz w:val="32"/>
          <w:szCs w:val="32"/>
        </w:rPr>
        <w:t>台（套）；单位价值100万元以上专用设备</w:t>
      </w:r>
      <w:r>
        <w:rPr>
          <w:rFonts w:hint="eastAsia" w:cs="黑体" w:asciiTheme="minorEastAsia" w:hAnsiTheme="minorEastAsia"/>
          <w:color w:val="000000"/>
          <w:kern w:val="0"/>
          <w:sz w:val="32"/>
          <w:szCs w:val="32"/>
          <w:lang w:val="en-US" w:eastAsia="zh-CN"/>
        </w:rPr>
        <w:t>0</w:t>
      </w:r>
      <w:r>
        <w:rPr>
          <w:rFonts w:hint="eastAsia" w:cs="黑体" w:asciiTheme="minorEastAsia" w:hAnsiTheme="minorEastAsia"/>
          <w:color w:val="000000"/>
          <w:kern w:val="0"/>
          <w:sz w:val="32"/>
          <w:szCs w:val="32"/>
        </w:rPr>
        <w:t>台（套）。</w:t>
      </w:r>
    </w:p>
    <w:p>
      <w:pPr>
        <w:widowControl/>
        <w:jc w:val="left"/>
        <w:rPr>
          <w:rFonts w:cs="黑体" w:asciiTheme="minorEastAsia" w:hAnsiTheme="minorEastAsia"/>
          <w:color w:val="000000"/>
          <w:kern w:val="0"/>
          <w:sz w:val="32"/>
          <w:szCs w:val="32"/>
        </w:rPr>
      </w:pPr>
      <w:r>
        <w:rPr>
          <w:rFonts w:cs="黑体" w:asciiTheme="minorEastAsia" w:hAnsiTheme="minorEastAsia"/>
          <w:color w:val="000000"/>
          <w:kern w:val="0"/>
          <w:sz w:val="32"/>
          <w:szCs w:val="32"/>
        </w:rPr>
        <w:br w:type="page"/>
      </w:r>
    </w:p>
    <w:p>
      <w:pPr>
        <w:ind w:firstLine="640" w:firstLineChars="200"/>
        <w:rPr>
          <w:rFonts w:cs="黑体" w:asciiTheme="minorEastAsia" w:hAnsiTheme="minorEastAsia"/>
          <w:color w:val="000000"/>
          <w:kern w:val="0"/>
          <w:sz w:val="32"/>
          <w:szCs w:val="32"/>
        </w:rPr>
      </w:pPr>
    </w:p>
    <w:p>
      <w:pPr>
        <w:pStyle w:val="11"/>
        <w:jc w:val="center"/>
        <w:rPr>
          <w:sz w:val="72"/>
          <w:szCs w:val="72"/>
        </w:rPr>
      </w:pPr>
    </w:p>
    <w:p>
      <w:pPr>
        <w:pStyle w:val="11"/>
        <w:jc w:val="center"/>
        <w:rPr>
          <w:sz w:val="72"/>
          <w:szCs w:val="72"/>
        </w:rPr>
      </w:pPr>
    </w:p>
    <w:p>
      <w:pPr>
        <w:pStyle w:val="11"/>
        <w:jc w:val="center"/>
        <w:rPr>
          <w:sz w:val="72"/>
          <w:szCs w:val="72"/>
        </w:rPr>
      </w:pPr>
    </w:p>
    <w:p>
      <w:pPr>
        <w:pStyle w:val="11"/>
        <w:jc w:val="center"/>
        <w:rPr>
          <w:sz w:val="72"/>
          <w:szCs w:val="72"/>
        </w:rPr>
      </w:pPr>
    </w:p>
    <w:p>
      <w:pPr>
        <w:pStyle w:val="11"/>
        <w:jc w:val="center"/>
        <w:rPr>
          <w:sz w:val="72"/>
          <w:szCs w:val="72"/>
        </w:rPr>
      </w:pPr>
    </w:p>
    <w:p>
      <w:pPr>
        <w:pStyle w:val="11"/>
        <w:jc w:val="center"/>
        <w:rPr>
          <w:sz w:val="72"/>
          <w:szCs w:val="72"/>
        </w:rPr>
      </w:pPr>
    </w:p>
    <w:p>
      <w:pPr>
        <w:pStyle w:val="11"/>
        <w:jc w:val="center"/>
        <w:rPr>
          <w:sz w:val="72"/>
          <w:szCs w:val="72"/>
        </w:rPr>
      </w:pPr>
      <w:r>
        <w:rPr>
          <w:rFonts w:hint="eastAsia"/>
          <w:sz w:val="72"/>
          <w:szCs w:val="72"/>
        </w:rPr>
        <w:t>第四部分</w:t>
      </w:r>
    </w:p>
    <w:p>
      <w:pPr>
        <w:jc w:val="center"/>
        <w:rPr>
          <w:rFonts w:ascii="黑体" w:eastAsia="黑体" w:cs="黑体"/>
          <w:color w:val="000000"/>
          <w:kern w:val="0"/>
          <w:sz w:val="70"/>
          <w:szCs w:val="70"/>
        </w:rPr>
      </w:pPr>
    </w:p>
    <w:p>
      <w:pPr>
        <w:jc w:val="center"/>
        <w:rPr>
          <w:rFonts w:ascii="黑体" w:eastAsia="黑体" w:cs="黑体"/>
          <w:color w:val="000000"/>
          <w:kern w:val="0"/>
          <w:sz w:val="70"/>
          <w:szCs w:val="70"/>
        </w:rPr>
      </w:pPr>
      <w:r>
        <w:rPr>
          <w:rFonts w:hint="eastAsia" w:ascii="黑体" w:eastAsia="黑体" w:cs="黑体"/>
          <w:color w:val="000000"/>
          <w:kern w:val="0"/>
          <w:sz w:val="70"/>
          <w:szCs w:val="70"/>
        </w:rPr>
        <w:t>名词解释</w:t>
      </w:r>
    </w:p>
    <w:p>
      <w:pPr>
        <w:widowControl/>
        <w:jc w:val="left"/>
        <w:rPr>
          <w:rFonts w:ascii="黑体" w:eastAsia="黑体" w:cs="黑体"/>
          <w:color w:val="000000"/>
          <w:kern w:val="0"/>
          <w:sz w:val="70"/>
          <w:szCs w:val="70"/>
        </w:rPr>
      </w:pPr>
      <w:r>
        <w:rPr>
          <w:rFonts w:ascii="黑体" w:eastAsia="黑体" w:cs="黑体"/>
          <w:color w:val="000000"/>
          <w:kern w:val="0"/>
          <w:sz w:val="70"/>
          <w:szCs w:val="70"/>
        </w:rPr>
        <w:br w:type="page"/>
      </w:r>
    </w:p>
    <w:p>
      <w:pPr>
        <w:widowControl/>
        <w:shd w:val="clear" w:color="auto" w:fill="FFFFFF"/>
        <w:spacing w:line="600" w:lineRule="atLeast"/>
        <w:ind w:firstLine="660"/>
        <w:jc w:val="left"/>
        <w:rPr>
          <w:rFonts w:ascii="??" w:hAnsi="??" w:cs="??"/>
          <w:color w:val="000000"/>
          <w:kern w:val="0"/>
          <w:sz w:val="30"/>
          <w:szCs w:val="30"/>
        </w:rPr>
      </w:pPr>
      <w:r>
        <w:rPr>
          <w:rFonts w:ascii="华文楷体" w:hAnsi="华文楷体" w:eastAsia="华文楷体" w:cs="华文楷体"/>
          <w:b/>
          <w:bCs/>
          <w:color w:val="000000"/>
          <w:kern w:val="0"/>
          <w:sz w:val="30"/>
          <w:szCs w:val="30"/>
        </w:rPr>
        <w:t>1</w:t>
      </w:r>
      <w:r>
        <w:rPr>
          <w:rFonts w:hint="eastAsia" w:ascii="华文楷体" w:hAnsi="华文楷体" w:eastAsia="华文楷体" w:cs="华文楷体"/>
          <w:b/>
          <w:bCs/>
          <w:color w:val="000000"/>
          <w:kern w:val="0"/>
          <w:sz w:val="30"/>
          <w:szCs w:val="30"/>
        </w:rPr>
        <w:t>、机关运行经费：</w:t>
      </w:r>
      <w:r>
        <w:rPr>
          <w:rFonts w:hint="eastAsia" w:ascii="??" w:hAnsi="??" w:cs="宋体"/>
          <w:color w:val="000000"/>
          <w:kern w:val="0"/>
          <w:sz w:val="30"/>
          <w:szCs w:val="30"/>
        </w:rPr>
        <w:t>是指各部门的公用经费，包括办公及印刷费、邮电费、差旅费、培训费、会议费、公务接待费、福利费、日常维修费、专用资料及一般设备购置费、办公用房水电费、办公用房取暖费、办公用房物业管理费、公务用车运行维护费以及其他费用。</w:t>
      </w:r>
    </w:p>
    <w:p>
      <w:pPr>
        <w:widowControl/>
        <w:shd w:val="clear" w:color="auto" w:fill="FFFFFF"/>
        <w:spacing w:line="600" w:lineRule="atLeast"/>
        <w:ind w:firstLine="660"/>
        <w:jc w:val="left"/>
        <w:rPr>
          <w:rFonts w:ascii="??" w:hAnsi="??" w:cs="??"/>
          <w:color w:val="000000"/>
          <w:kern w:val="0"/>
          <w:sz w:val="30"/>
          <w:szCs w:val="30"/>
        </w:rPr>
      </w:pPr>
      <w:r>
        <w:rPr>
          <w:rFonts w:ascii="华文楷体" w:hAnsi="华文楷体" w:eastAsia="华文楷体" w:cs="华文楷体"/>
          <w:b/>
          <w:bCs/>
          <w:color w:val="000000"/>
          <w:kern w:val="0"/>
          <w:sz w:val="30"/>
          <w:szCs w:val="30"/>
        </w:rPr>
        <w:t>2</w:t>
      </w:r>
      <w:r>
        <w:rPr>
          <w:rFonts w:hint="eastAsia" w:ascii="华文楷体" w:hAnsi="华文楷体" w:eastAsia="华文楷体" w:cs="华文楷体"/>
          <w:b/>
          <w:bCs/>
          <w:color w:val="000000"/>
          <w:kern w:val="0"/>
          <w:sz w:val="30"/>
          <w:szCs w:val="30"/>
        </w:rPr>
        <w:t>、“三公”经费：</w:t>
      </w:r>
      <w:r>
        <w:rPr>
          <w:rFonts w:hint="eastAsia" w:ascii="??" w:hAnsi="??" w:cs="宋体"/>
          <w:color w:val="000000"/>
          <w:kern w:val="0"/>
          <w:sz w:val="30"/>
          <w:szCs w:val="30"/>
        </w:rPr>
        <w:t>纳入财政预算管理的</w:t>
      </w:r>
      <w:r>
        <w:rPr>
          <w:rFonts w:ascii="??" w:hAnsi="??" w:cs="??"/>
          <w:color w:val="000000"/>
          <w:kern w:val="0"/>
          <w:sz w:val="30"/>
          <w:szCs w:val="30"/>
        </w:rPr>
        <w:t>“</w:t>
      </w:r>
      <w:r>
        <w:rPr>
          <w:rFonts w:hint="eastAsia" w:ascii="??" w:hAnsi="??" w:cs="宋体"/>
          <w:color w:val="000000"/>
          <w:kern w:val="0"/>
          <w:sz w:val="30"/>
          <w:szCs w:val="30"/>
        </w:rPr>
        <w:t>三公</w:t>
      </w:r>
      <w:r>
        <w:rPr>
          <w:rFonts w:ascii="??" w:hAnsi="??" w:cs="??"/>
          <w:color w:val="000000"/>
          <w:kern w:val="0"/>
          <w:sz w:val="30"/>
          <w:szCs w:val="30"/>
        </w:rPr>
        <w:t>“</w:t>
      </w:r>
      <w:r>
        <w:rPr>
          <w:rFonts w:hint="eastAsia" w:ascii="??" w:hAnsi="??" w:cs="宋体"/>
          <w:color w:val="000000"/>
          <w:kern w:val="0"/>
          <w:sz w:val="30"/>
          <w:szCs w:val="30"/>
        </w:rPr>
        <w:t>经费，是指用一般公共预算拨款安排的公务接待费、公务用车购置及运行维护费和因公出国（境）费。其中，公务接待费反映单位按规定开支的各类公务接待支出；公务用车购置及运行费反映单位公务用车车辆购置支出（含车辆购置税），以及燃料费、维修费、保险费等支出；因公出国（境）费反映单位公务出国（境）的国际旅费、国外城市间交通费、食宿费等支出。</w:t>
      </w:r>
    </w:p>
    <w:p>
      <w:pPr>
        <w:widowControl/>
        <w:ind w:firstLine="525"/>
        <w:jc w:val="left"/>
        <w:rPr>
          <w:rFonts w:ascii="宋体" w:cs="Times New Roman"/>
          <w:sz w:val="32"/>
          <w:szCs w:val="32"/>
        </w:rPr>
      </w:pPr>
      <w:r>
        <w:rPr>
          <w:rFonts w:ascii="宋体" w:hAnsi="宋体" w:cs="宋体"/>
          <w:b/>
          <w:sz w:val="32"/>
          <w:szCs w:val="32"/>
        </w:rPr>
        <w:t>3</w:t>
      </w:r>
      <w:r>
        <w:rPr>
          <w:rFonts w:hint="eastAsia" w:ascii="宋体" w:hAnsi="宋体" w:cs="宋体"/>
          <w:b/>
          <w:sz w:val="32"/>
          <w:szCs w:val="32"/>
        </w:rPr>
        <w:t>、固定资产</w:t>
      </w:r>
      <w:r>
        <w:rPr>
          <w:rFonts w:hint="eastAsia" w:ascii="宋体" w:hAnsi="宋体" w:cs="宋体"/>
          <w:sz w:val="32"/>
          <w:szCs w:val="32"/>
        </w:rPr>
        <w:t>：是指为生产商品、提供劳务、出租（非房产出租）或经营管理而持有，使用寿命超过一个会计年度的有形资产。</w:t>
      </w:r>
    </w:p>
    <w:p>
      <w:pPr>
        <w:widowControl/>
        <w:ind w:firstLine="525"/>
        <w:jc w:val="left"/>
        <w:rPr>
          <w:rFonts w:ascii="宋体" w:cs="Times New Roman"/>
          <w:kern w:val="0"/>
          <w:sz w:val="32"/>
          <w:szCs w:val="32"/>
        </w:rPr>
      </w:pPr>
      <w:r>
        <w:rPr>
          <w:rFonts w:ascii="宋体" w:hAnsi="宋体" w:cs="宋体"/>
          <w:b/>
          <w:kern w:val="0"/>
          <w:sz w:val="32"/>
          <w:szCs w:val="32"/>
        </w:rPr>
        <w:t>4</w:t>
      </w:r>
      <w:r>
        <w:rPr>
          <w:rFonts w:hint="eastAsia" w:ascii="宋体" w:hAnsi="宋体" w:cs="宋体"/>
          <w:b/>
          <w:kern w:val="0"/>
          <w:sz w:val="32"/>
          <w:szCs w:val="32"/>
        </w:rPr>
        <w:t>、财政拨款收入</w:t>
      </w:r>
      <w:r>
        <w:rPr>
          <w:rFonts w:hint="eastAsia" w:ascii="宋体" w:hAnsi="宋体" w:cs="宋体"/>
          <w:kern w:val="0"/>
          <w:sz w:val="32"/>
          <w:szCs w:val="32"/>
        </w:rPr>
        <w:t>：是指从同级财政部门取得的各项财政拨款。</w:t>
      </w:r>
    </w:p>
    <w:p>
      <w:pPr>
        <w:widowControl/>
        <w:spacing w:line="600" w:lineRule="exact"/>
        <w:ind w:firstLine="467" w:firstLineChars="146"/>
        <w:jc w:val="left"/>
        <w:rPr>
          <w:rFonts w:ascii="??_GB2312" w:hAnsi="??_GB2312" w:cs="Times New Roman"/>
          <w:kern w:val="0"/>
          <w:sz w:val="24"/>
          <w:szCs w:val="24"/>
        </w:rPr>
      </w:pPr>
      <w:r>
        <w:rPr>
          <w:rFonts w:ascii="宋体" w:hAnsi="宋体" w:cs="宋体"/>
          <w:b/>
          <w:kern w:val="0"/>
          <w:sz w:val="32"/>
          <w:szCs w:val="32"/>
        </w:rPr>
        <w:t>5</w:t>
      </w:r>
      <w:r>
        <w:rPr>
          <w:rFonts w:hint="eastAsia" w:ascii="宋体" w:hAnsi="宋体" w:cs="宋体"/>
          <w:b/>
          <w:kern w:val="0"/>
          <w:sz w:val="32"/>
          <w:szCs w:val="32"/>
        </w:rPr>
        <w:t>、财政拨款结转</w:t>
      </w:r>
      <w:r>
        <w:rPr>
          <w:rFonts w:hint="eastAsia" w:ascii="宋体" w:hAnsi="宋体" w:cs="宋体"/>
          <w:kern w:val="0"/>
          <w:sz w:val="32"/>
          <w:szCs w:val="32"/>
        </w:rPr>
        <w:t>：是指核算单位取得的同级财政拨款结转资金的调整、结转和滚存情况</w:t>
      </w:r>
      <w:r>
        <w:rPr>
          <w:rFonts w:hint="eastAsia" w:ascii="宋体" w:hAnsi="宋体" w:cs="宋体"/>
          <w:kern w:val="0"/>
          <w:sz w:val="24"/>
          <w:szCs w:val="24"/>
        </w:rPr>
        <w:t>。</w:t>
      </w:r>
    </w:p>
    <w:p>
      <w:pPr>
        <w:widowControl/>
        <w:jc w:val="left"/>
        <w:rPr>
          <w:rFonts w:asciiTheme="minorEastAsia" w:hAnsiTheme="minorEastAsia"/>
          <w:i/>
          <w:color w:val="FF0000"/>
          <w:sz w:val="32"/>
          <w:szCs w:val="32"/>
        </w:rPr>
      </w:pPr>
      <w:r>
        <w:rPr>
          <w:rFonts w:asciiTheme="minorEastAsia" w:hAnsiTheme="minorEastAsia"/>
          <w:i/>
          <w:color w:val="FF0000"/>
          <w:sz w:val="32"/>
          <w:szCs w:val="32"/>
        </w:rPr>
        <w:br w:type="page"/>
      </w:r>
    </w:p>
    <w:p>
      <w:pPr>
        <w:pStyle w:val="11"/>
        <w:jc w:val="center"/>
        <w:rPr>
          <w:sz w:val="72"/>
          <w:szCs w:val="72"/>
        </w:rPr>
      </w:pPr>
    </w:p>
    <w:p>
      <w:pPr>
        <w:pStyle w:val="11"/>
        <w:jc w:val="center"/>
        <w:rPr>
          <w:sz w:val="72"/>
          <w:szCs w:val="72"/>
        </w:rPr>
      </w:pPr>
    </w:p>
    <w:p>
      <w:pPr>
        <w:pStyle w:val="11"/>
        <w:jc w:val="center"/>
        <w:rPr>
          <w:sz w:val="72"/>
          <w:szCs w:val="72"/>
        </w:rPr>
      </w:pPr>
    </w:p>
    <w:p>
      <w:pPr>
        <w:pStyle w:val="11"/>
        <w:jc w:val="center"/>
        <w:rPr>
          <w:sz w:val="72"/>
          <w:szCs w:val="72"/>
        </w:rPr>
      </w:pPr>
    </w:p>
    <w:p>
      <w:pPr>
        <w:pStyle w:val="11"/>
        <w:jc w:val="center"/>
        <w:rPr>
          <w:sz w:val="72"/>
          <w:szCs w:val="72"/>
        </w:rPr>
      </w:pPr>
    </w:p>
    <w:p>
      <w:pPr>
        <w:pStyle w:val="11"/>
        <w:jc w:val="center"/>
        <w:rPr>
          <w:sz w:val="72"/>
          <w:szCs w:val="72"/>
        </w:rPr>
      </w:pPr>
    </w:p>
    <w:p>
      <w:pPr>
        <w:pStyle w:val="11"/>
        <w:jc w:val="center"/>
        <w:rPr>
          <w:sz w:val="72"/>
          <w:szCs w:val="72"/>
        </w:rPr>
      </w:pPr>
      <w:r>
        <w:rPr>
          <w:rFonts w:hint="eastAsia"/>
          <w:sz w:val="72"/>
          <w:szCs w:val="72"/>
        </w:rPr>
        <w:t>第五部分</w:t>
      </w:r>
    </w:p>
    <w:p>
      <w:pPr>
        <w:jc w:val="center"/>
        <w:rPr>
          <w:rFonts w:ascii="黑体" w:eastAsia="黑体" w:cs="黑体"/>
          <w:color w:val="000000"/>
          <w:kern w:val="0"/>
          <w:sz w:val="70"/>
          <w:szCs w:val="70"/>
        </w:rPr>
      </w:pPr>
    </w:p>
    <w:p>
      <w:pPr>
        <w:jc w:val="center"/>
        <w:rPr>
          <w:rFonts w:ascii="黑体" w:eastAsia="黑体" w:cs="黑体"/>
          <w:color w:val="000000"/>
          <w:kern w:val="0"/>
          <w:sz w:val="70"/>
          <w:szCs w:val="70"/>
        </w:rPr>
      </w:pPr>
      <w:r>
        <w:rPr>
          <w:rFonts w:hint="eastAsia" w:ascii="黑体" w:eastAsia="黑体" w:cs="黑体"/>
          <w:color w:val="000000"/>
          <w:kern w:val="0"/>
          <w:sz w:val="70"/>
          <w:szCs w:val="70"/>
        </w:rPr>
        <w:t>附件</w:t>
      </w:r>
    </w:p>
    <w:p>
      <w:pPr>
        <w:widowControl/>
        <w:jc w:val="left"/>
        <w:rPr>
          <w:rFonts w:ascii="黑体" w:eastAsia="黑体" w:cs="黑体"/>
          <w:color w:val="000000"/>
          <w:kern w:val="0"/>
          <w:sz w:val="70"/>
          <w:szCs w:val="70"/>
        </w:rPr>
      </w:pPr>
      <w:r>
        <w:rPr>
          <w:rFonts w:ascii="黑体" w:eastAsia="黑体" w:cs="黑体"/>
          <w:color w:val="000000"/>
          <w:kern w:val="0"/>
          <w:sz w:val="70"/>
          <w:szCs w:val="70"/>
        </w:rPr>
        <w:br w:type="page"/>
      </w:r>
    </w:p>
    <w:p>
      <w:pPr>
        <w:jc w:val="center"/>
        <w:rPr>
          <w:rFonts w:ascii="黑体" w:eastAsia="黑体" w:cs="黑体"/>
          <w:color w:val="000000"/>
          <w:kern w:val="0"/>
          <w:sz w:val="70"/>
          <w:szCs w:val="70"/>
        </w:rPr>
      </w:pPr>
    </w:p>
    <w:p>
      <w:pPr>
        <w:adjustRightInd w:val="0"/>
        <w:spacing w:line="600" w:lineRule="exact"/>
        <w:jc w:val="center"/>
        <w:rPr>
          <w:rFonts w:eastAsia="方正小标宋_GBK"/>
          <w:sz w:val="36"/>
          <w:szCs w:val="36"/>
        </w:rPr>
      </w:pPr>
      <w:r>
        <w:rPr>
          <w:rFonts w:eastAsia="方正小标宋_GBK"/>
          <w:sz w:val="36"/>
          <w:szCs w:val="36"/>
        </w:rPr>
        <w:t>201</w:t>
      </w:r>
      <w:r>
        <w:rPr>
          <w:rFonts w:hint="eastAsia" w:eastAsia="方正小标宋_GBK"/>
          <w:sz w:val="36"/>
          <w:szCs w:val="36"/>
          <w:lang w:val="en-US" w:eastAsia="zh-CN"/>
        </w:rPr>
        <w:t>9</w:t>
      </w:r>
      <w:r>
        <w:rPr>
          <w:rFonts w:hint="eastAsia" w:eastAsia="方正小标宋_GBK"/>
          <w:sz w:val="36"/>
          <w:szCs w:val="36"/>
        </w:rPr>
        <w:t>年度</w:t>
      </w:r>
      <w:r>
        <w:rPr>
          <w:rFonts w:hint="eastAsia" w:eastAsia="方正小标宋_GBK"/>
          <w:sz w:val="36"/>
          <w:szCs w:val="36"/>
          <w:lang w:eastAsia="zh-CN"/>
        </w:rPr>
        <w:t>零陵区</w:t>
      </w:r>
      <w:r>
        <w:rPr>
          <w:rFonts w:hint="eastAsia" w:eastAsia="方正小标宋_GBK"/>
          <w:sz w:val="36"/>
          <w:szCs w:val="36"/>
          <w:lang w:val="en-US" w:eastAsia="zh-CN"/>
        </w:rPr>
        <w:t>发改局</w:t>
      </w:r>
      <w:r>
        <w:rPr>
          <w:rFonts w:hint="eastAsia" w:eastAsia="方正小标宋_GBK"/>
          <w:sz w:val="36"/>
          <w:szCs w:val="36"/>
        </w:rPr>
        <w:t>部门整体支出绩效评价报告</w:t>
      </w:r>
    </w:p>
    <w:p>
      <w:pPr>
        <w:adjustRightInd w:val="0"/>
        <w:spacing w:line="600" w:lineRule="exact"/>
        <w:rPr>
          <w:rFonts w:eastAsia="仿宋_GB2312"/>
          <w:sz w:val="32"/>
          <w:szCs w:val="32"/>
        </w:rPr>
      </w:pPr>
    </w:p>
    <w:p>
      <w:pPr>
        <w:widowControl/>
        <w:spacing w:line="480" w:lineRule="auto"/>
        <w:ind w:firstLine="600" w:firstLineChars="200"/>
        <w:jc w:val="left"/>
        <w:rPr>
          <w:rFonts w:hint="eastAsia" w:ascii="仿宋_GB2312" w:hAnsi="黑体" w:eastAsia="仿宋_GB2312" w:cs="宋体"/>
          <w:b w:val="0"/>
          <w:bCs/>
          <w:color w:val="000000"/>
          <w:kern w:val="0"/>
          <w:sz w:val="30"/>
          <w:szCs w:val="30"/>
        </w:rPr>
      </w:pPr>
      <w:r>
        <w:rPr>
          <w:rFonts w:hint="eastAsia" w:ascii="仿宋_GB2312" w:hAnsi="黑体" w:eastAsia="仿宋_GB2312" w:cs="宋体"/>
          <w:b w:val="0"/>
          <w:bCs/>
          <w:color w:val="000000"/>
          <w:kern w:val="0"/>
          <w:sz w:val="30"/>
          <w:szCs w:val="30"/>
          <w:lang w:val="en-US" w:eastAsia="zh-CN"/>
        </w:rPr>
        <w:t>根据《零陵区财政局关于开展2019年度部门整体支出绩效评价工作的通知》（零财绩〔2020〕1号）的文件精神</w:t>
      </w:r>
      <w:r>
        <w:rPr>
          <w:rFonts w:hint="default" w:ascii="仿宋_GB2312" w:hAnsi="黑体" w:eastAsia="仿宋_GB2312" w:cs="宋体"/>
          <w:b w:val="0"/>
          <w:bCs/>
          <w:color w:val="000000"/>
          <w:kern w:val="0"/>
          <w:sz w:val="30"/>
          <w:szCs w:val="30"/>
          <w:lang w:val="en-US" w:eastAsia="zh-CN"/>
        </w:rPr>
        <w:t>，我</w:t>
      </w:r>
      <w:r>
        <w:rPr>
          <w:rFonts w:hint="eastAsia" w:ascii="仿宋_GB2312" w:hAnsi="黑体" w:eastAsia="仿宋_GB2312" w:cs="宋体"/>
          <w:b w:val="0"/>
          <w:bCs/>
          <w:color w:val="000000"/>
          <w:kern w:val="0"/>
          <w:sz w:val="30"/>
          <w:szCs w:val="30"/>
          <w:lang w:val="en-US" w:eastAsia="zh-CN"/>
        </w:rPr>
        <w:t>局</w:t>
      </w:r>
      <w:r>
        <w:rPr>
          <w:rFonts w:hint="default" w:ascii="仿宋_GB2312" w:hAnsi="黑体" w:eastAsia="仿宋_GB2312" w:cs="宋体"/>
          <w:b w:val="0"/>
          <w:bCs/>
          <w:color w:val="000000"/>
          <w:kern w:val="0"/>
          <w:sz w:val="30"/>
          <w:szCs w:val="30"/>
          <w:lang w:val="en-US" w:eastAsia="zh-CN"/>
        </w:rPr>
        <w:t>对部门整体支出进行了绩效评价，现报告如下： </w:t>
      </w:r>
    </w:p>
    <w:p>
      <w:pPr>
        <w:numPr>
          <w:ilvl w:val="0"/>
          <w:numId w:val="4"/>
        </w:numPr>
        <w:adjustRightInd w:val="0"/>
        <w:snapToGrid w:val="0"/>
        <w:spacing w:line="600" w:lineRule="exact"/>
        <w:ind w:firstLine="640" w:firstLineChars="200"/>
        <w:rPr>
          <w:rFonts w:hint="eastAsia" w:eastAsia="黑体"/>
          <w:sz w:val="32"/>
          <w:szCs w:val="32"/>
        </w:rPr>
      </w:pPr>
      <w:r>
        <w:rPr>
          <w:rFonts w:hint="eastAsia" w:eastAsia="黑体"/>
          <w:sz w:val="32"/>
          <w:szCs w:val="32"/>
        </w:rPr>
        <w:t>部门概况</w:t>
      </w:r>
    </w:p>
    <w:p>
      <w:pPr>
        <w:widowControl/>
        <w:spacing w:line="480" w:lineRule="auto"/>
        <w:ind w:firstLine="600" w:firstLineChars="200"/>
        <w:jc w:val="left"/>
        <w:rPr>
          <w:rFonts w:hint="eastAsia" w:ascii="仿宋_GB2312" w:hAnsi="黑体" w:eastAsia="仿宋_GB2312" w:cs="宋体"/>
          <w:b w:val="0"/>
          <w:bCs/>
          <w:color w:val="000000"/>
          <w:kern w:val="0"/>
          <w:sz w:val="30"/>
          <w:szCs w:val="30"/>
          <w:lang w:val="en-US" w:eastAsia="zh-CN"/>
        </w:rPr>
      </w:pPr>
      <w:r>
        <w:rPr>
          <w:rFonts w:hint="eastAsia" w:ascii="仿宋_GB2312" w:hAnsi="黑体" w:eastAsia="仿宋_GB2312" w:cs="宋体"/>
          <w:b w:val="0"/>
          <w:bCs/>
          <w:color w:val="000000"/>
          <w:kern w:val="0"/>
          <w:sz w:val="30"/>
          <w:szCs w:val="30"/>
          <w:lang w:val="en-US" w:eastAsia="zh-CN"/>
        </w:rPr>
        <w:t>零陵区发改局内设机构为16个：办公室、行政审批股、招投标管理办公室、工业基础产业和高新技术股、农村经济股、固定资产投资股、社会发展股、财政经贸股、能源股、前期办、价格调控和价费管理股、商品、服务价格管理股、政工股、重点项目管理股、粮食调控与物质储备股、粮食行业发展和秩序监督股。下辖1个正股级单位。</w:t>
      </w:r>
    </w:p>
    <w:p>
      <w:pPr>
        <w:keepNext w:val="0"/>
        <w:keepLines w:val="0"/>
        <w:pageBreakBefore w:val="0"/>
        <w:widowControl w:val="0"/>
        <w:numPr>
          <w:ilvl w:val="0"/>
          <w:numId w:val="5"/>
        </w:numPr>
        <w:kinsoku/>
        <w:wordWrap/>
        <w:overflowPunct/>
        <w:topLinePunct w:val="0"/>
        <w:autoSpaceDE/>
        <w:autoSpaceDN/>
        <w:bidi w:val="0"/>
        <w:adjustRightInd/>
        <w:snapToGrid/>
        <w:spacing w:line="240" w:lineRule="auto"/>
        <w:ind w:leftChars="200" w:right="0" w:rightChars="0"/>
        <w:jc w:val="left"/>
        <w:textAlignment w:val="auto"/>
        <w:outlineLvl w:val="9"/>
        <w:rPr>
          <w:rFonts w:hint="eastAsia" w:ascii="仿宋" w:hAnsi="仿宋" w:eastAsia="仿宋" w:cs="仿宋"/>
          <w:b/>
          <w:bCs/>
          <w:sz w:val="30"/>
          <w:szCs w:val="30"/>
          <w:lang w:val="en-US" w:eastAsia="zh-CN"/>
        </w:rPr>
      </w:pPr>
      <w:r>
        <w:rPr>
          <w:rFonts w:hint="eastAsia" w:ascii="仿宋" w:hAnsi="仿宋" w:eastAsia="仿宋" w:cs="仿宋"/>
          <w:b/>
          <w:bCs/>
          <w:sz w:val="30"/>
          <w:szCs w:val="30"/>
          <w:lang w:val="en-US" w:eastAsia="zh-CN"/>
        </w:rPr>
        <w:t>人员编制。</w:t>
      </w:r>
    </w:p>
    <w:p>
      <w:pPr>
        <w:widowControl/>
        <w:spacing w:line="480" w:lineRule="auto"/>
        <w:ind w:firstLine="600" w:firstLineChars="200"/>
        <w:jc w:val="left"/>
        <w:rPr>
          <w:rFonts w:hint="eastAsia" w:ascii="仿宋_GB2312" w:hAnsi="黑体" w:eastAsia="仿宋_GB2312" w:cs="宋体"/>
          <w:b w:val="0"/>
          <w:bCs/>
          <w:color w:val="000000"/>
          <w:kern w:val="0"/>
          <w:sz w:val="30"/>
          <w:szCs w:val="30"/>
          <w:lang w:val="en-US" w:eastAsia="zh-CN"/>
        </w:rPr>
      </w:pPr>
      <w:r>
        <w:rPr>
          <w:rFonts w:hint="eastAsia" w:ascii="仿宋_GB2312" w:hAnsi="黑体" w:eastAsia="仿宋_GB2312" w:cs="宋体"/>
          <w:b w:val="0"/>
          <w:bCs/>
          <w:color w:val="000000"/>
          <w:kern w:val="0"/>
          <w:sz w:val="30"/>
          <w:szCs w:val="30"/>
          <w:lang w:val="en-US" w:eastAsia="zh-CN"/>
        </w:rPr>
        <w:t>2019年部门预算编报范围本部门核定编制数31名，全额编制31名，实有人数97名，其中：在职人员48人，退休人员49人。</w:t>
      </w:r>
    </w:p>
    <w:p>
      <w:pPr>
        <w:keepNext w:val="0"/>
        <w:keepLines w:val="0"/>
        <w:pageBreakBefore w:val="0"/>
        <w:widowControl w:val="0"/>
        <w:numPr>
          <w:ilvl w:val="0"/>
          <w:numId w:val="5"/>
        </w:numPr>
        <w:kinsoku/>
        <w:wordWrap/>
        <w:overflowPunct/>
        <w:topLinePunct w:val="0"/>
        <w:autoSpaceDE/>
        <w:autoSpaceDN/>
        <w:bidi w:val="0"/>
        <w:adjustRightInd/>
        <w:snapToGrid/>
        <w:spacing w:line="240" w:lineRule="auto"/>
        <w:ind w:leftChars="200" w:right="0" w:rightChars="0"/>
        <w:jc w:val="left"/>
        <w:textAlignment w:val="auto"/>
        <w:outlineLvl w:val="9"/>
        <w:rPr>
          <w:rFonts w:hint="eastAsia" w:ascii="仿宋" w:hAnsi="仿宋" w:eastAsia="仿宋" w:cs="仿宋"/>
          <w:b/>
          <w:bCs/>
          <w:sz w:val="30"/>
          <w:szCs w:val="30"/>
          <w:lang w:val="en-US" w:eastAsia="zh-CN"/>
        </w:rPr>
      </w:pPr>
      <w:r>
        <w:rPr>
          <w:rFonts w:hint="eastAsia" w:ascii="仿宋" w:hAnsi="仿宋" w:eastAsia="仿宋" w:cs="仿宋"/>
          <w:b/>
          <w:bCs/>
          <w:sz w:val="30"/>
          <w:szCs w:val="30"/>
          <w:lang w:val="en-US" w:eastAsia="zh-CN"/>
        </w:rPr>
        <w:t>主要工作职能</w:t>
      </w:r>
    </w:p>
    <w:p>
      <w:pPr>
        <w:widowControl/>
        <w:spacing w:line="480" w:lineRule="auto"/>
        <w:ind w:firstLine="600" w:firstLineChars="200"/>
        <w:jc w:val="left"/>
        <w:rPr>
          <w:rFonts w:hint="eastAsia" w:ascii="仿宋_GB2312" w:hAnsi="黑体" w:eastAsia="仿宋_GB2312" w:cs="宋体"/>
          <w:b w:val="0"/>
          <w:bCs/>
          <w:color w:val="000000"/>
          <w:kern w:val="0"/>
          <w:sz w:val="30"/>
          <w:szCs w:val="30"/>
          <w:lang w:val="en-US" w:eastAsia="zh-CN"/>
        </w:rPr>
      </w:pPr>
      <w:r>
        <w:rPr>
          <w:rFonts w:hint="eastAsia" w:ascii="仿宋_GB2312" w:hAnsi="黑体" w:eastAsia="仿宋_GB2312" w:cs="宋体"/>
          <w:b w:val="0"/>
          <w:bCs/>
          <w:color w:val="000000"/>
          <w:kern w:val="0"/>
          <w:sz w:val="30"/>
          <w:szCs w:val="30"/>
          <w:lang w:val="en-US" w:eastAsia="zh-CN"/>
        </w:rPr>
        <w:t>作为区人民政府工作部门，我局的主要职责为： </w:t>
      </w:r>
    </w:p>
    <w:p>
      <w:pPr>
        <w:widowControl/>
        <w:spacing w:line="480" w:lineRule="auto"/>
        <w:ind w:firstLine="600" w:firstLineChars="200"/>
        <w:jc w:val="left"/>
        <w:rPr>
          <w:rFonts w:hint="eastAsia" w:ascii="仿宋_GB2312" w:hAnsi="黑体" w:eastAsia="仿宋_GB2312" w:cs="宋体"/>
          <w:b w:val="0"/>
          <w:bCs/>
          <w:color w:val="000000"/>
          <w:kern w:val="0"/>
          <w:sz w:val="30"/>
          <w:szCs w:val="30"/>
          <w:lang w:val="en-US" w:eastAsia="zh-CN"/>
        </w:rPr>
      </w:pPr>
      <w:r>
        <w:rPr>
          <w:rFonts w:hint="eastAsia" w:ascii="仿宋_GB2312" w:hAnsi="黑体" w:eastAsia="仿宋_GB2312" w:cs="宋体"/>
          <w:b w:val="0"/>
          <w:bCs/>
          <w:color w:val="000000"/>
          <w:kern w:val="0"/>
          <w:sz w:val="30"/>
          <w:szCs w:val="30"/>
          <w:lang w:val="en-US" w:eastAsia="zh-CN"/>
        </w:rPr>
        <w:t xml:space="preserve">  (一)负责拟订并组织实施全区国民经济和社会发展战略、中长期规划和年度计划，统筹协调相关总体规划、区域规划与专项规划。负责提出全区国民经济发展、价格总水平调控和优化重大经济结构的目标、措施。</w:t>
      </w:r>
    </w:p>
    <w:p>
      <w:pPr>
        <w:widowControl/>
        <w:spacing w:line="480" w:lineRule="auto"/>
        <w:ind w:firstLine="600" w:firstLineChars="200"/>
        <w:jc w:val="left"/>
        <w:rPr>
          <w:rFonts w:hint="eastAsia" w:ascii="仿宋_GB2312" w:hAnsi="黑体" w:eastAsia="仿宋_GB2312" w:cs="宋体"/>
          <w:b w:val="0"/>
          <w:bCs/>
          <w:color w:val="000000"/>
          <w:kern w:val="0"/>
          <w:sz w:val="30"/>
          <w:szCs w:val="30"/>
          <w:lang w:val="en-US" w:eastAsia="zh-CN"/>
        </w:rPr>
      </w:pPr>
      <w:r>
        <w:rPr>
          <w:rFonts w:hint="eastAsia" w:ascii="仿宋_GB2312" w:hAnsi="黑体" w:eastAsia="仿宋_GB2312" w:cs="宋体"/>
          <w:b w:val="0"/>
          <w:bCs/>
          <w:color w:val="000000"/>
          <w:kern w:val="0"/>
          <w:sz w:val="30"/>
          <w:szCs w:val="30"/>
          <w:lang w:val="en-US" w:eastAsia="zh-CN"/>
        </w:rPr>
        <w:t xml:space="preserve"> (二)负责研究全区宏观经济运行、总量平衡、经济安全和总体产业安全等重要问题，提出宏观调控措施建议。负责协调解决全区经济运行中的重大问题。</w:t>
      </w:r>
    </w:p>
    <w:p>
      <w:pPr>
        <w:widowControl/>
        <w:spacing w:line="480" w:lineRule="auto"/>
        <w:ind w:firstLine="600" w:firstLineChars="200"/>
        <w:jc w:val="left"/>
        <w:rPr>
          <w:rFonts w:hint="eastAsia" w:ascii="仿宋_GB2312" w:hAnsi="黑体" w:eastAsia="仿宋_GB2312" w:cs="宋体"/>
          <w:b w:val="0"/>
          <w:bCs/>
          <w:color w:val="000000"/>
          <w:kern w:val="0"/>
          <w:sz w:val="30"/>
          <w:szCs w:val="30"/>
          <w:lang w:val="en-US" w:eastAsia="zh-CN"/>
        </w:rPr>
      </w:pPr>
      <w:r>
        <w:rPr>
          <w:rFonts w:hint="eastAsia" w:ascii="仿宋_GB2312" w:hAnsi="黑体" w:eastAsia="仿宋_GB2312" w:cs="宋体"/>
          <w:b w:val="0"/>
          <w:bCs/>
          <w:color w:val="000000"/>
          <w:kern w:val="0"/>
          <w:sz w:val="30"/>
          <w:szCs w:val="30"/>
          <w:lang w:val="en-US" w:eastAsia="zh-CN"/>
        </w:rPr>
        <w:t xml:space="preserve"> (三)负责汇总全区社会资金总体运行情况，综合分析财政、金融的执行效果，会同有关部门完善宏观调控协调机制，协调推进产业、创业等投资基金的发展。</w:t>
      </w:r>
    </w:p>
    <w:p>
      <w:pPr>
        <w:widowControl/>
        <w:spacing w:line="480" w:lineRule="auto"/>
        <w:ind w:firstLine="600" w:firstLineChars="200"/>
        <w:jc w:val="left"/>
        <w:rPr>
          <w:rFonts w:hint="eastAsia" w:ascii="仿宋_GB2312" w:hAnsi="黑体" w:eastAsia="仿宋_GB2312" w:cs="宋体"/>
          <w:b w:val="0"/>
          <w:bCs/>
          <w:color w:val="000000"/>
          <w:kern w:val="0"/>
          <w:sz w:val="30"/>
          <w:szCs w:val="30"/>
          <w:lang w:val="en-US" w:eastAsia="zh-CN"/>
        </w:rPr>
      </w:pPr>
      <w:r>
        <w:rPr>
          <w:rFonts w:hint="eastAsia" w:ascii="仿宋_GB2312" w:hAnsi="黑体" w:eastAsia="仿宋_GB2312" w:cs="宋体"/>
          <w:b w:val="0"/>
          <w:bCs/>
          <w:color w:val="000000"/>
          <w:kern w:val="0"/>
          <w:sz w:val="30"/>
          <w:szCs w:val="30"/>
          <w:lang w:val="en-US" w:eastAsia="zh-CN"/>
        </w:rPr>
        <w:t xml:space="preserve"> (四)负责研究全区经济体制改革和对外开放重大问题。负责组织拟订全区综合性经济体制改革方案，协调有关专项改革方案，会同有关部门搞好专项改革之间的衔接。</w:t>
      </w:r>
    </w:p>
    <w:p>
      <w:pPr>
        <w:widowControl/>
        <w:spacing w:line="480" w:lineRule="auto"/>
        <w:ind w:firstLine="600" w:firstLineChars="200"/>
        <w:jc w:val="left"/>
        <w:rPr>
          <w:rFonts w:hint="eastAsia" w:ascii="仿宋_GB2312" w:hAnsi="黑体" w:eastAsia="仿宋_GB2312" w:cs="宋体"/>
          <w:b w:val="0"/>
          <w:bCs/>
          <w:color w:val="000000"/>
          <w:kern w:val="0"/>
          <w:sz w:val="30"/>
          <w:szCs w:val="30"/>
          <w:lang w:val="en-US" w:eastAsia="zh-CN"/>
        </w:rPr>
      </w:pPr>
      <w:r>
        <w:rPr>
          <w:rFonts w:hint="eastAsia" w:ascii="仿宋_GB2312" w:hAnsi="黑体" w:eastAsia="仿宋_GB2312" w:cs="宋体"/>
          <w:b w:val="0"/>
          <w:bCs/>
          <w:color w:val="000000"/>
          <w:kern w:val="0"/>
          <w:sz w:val="30"/>
          <w:szCs w:val="30"/>
          <w:lang w:val="en-US" w:eastAsia="zh-CN"/>
        </w:rPr>
        <w:t xml:space="preserve"> (五)负责拟订全区社会固定资产投资总规模和投资结构的调控目标、意见及措施，统筹安排区级财政性建设资金和投资项目，编制下达政府投资年度计划。</w:t>
      </w:r>
    </w:p>
    <w:p>
      <w:pPr>
        <w:widowControl/>
        <w:spacing w:line="480" w:lineRule="auto"/>
        <w:ind w:firstLine="600" w:firstLineChars="200"/>
        <w:jc w:val="left"/>
        <w:rPr>
          <w:rFonts w:hint="eastAsia" w:ascii="仿宋_GB2312" w:hAnsi="黑体" w:eastAsia="仿宋_GB2312" w:cs="宋体"/>
          <w:b w:val="0"/>
          <w:bCs/>
          <w:color w:val="000000"/>
          <w:kern w:val="0"/>
          <w:sz w:val="30"/>
          <w:szCs w:val="30"/>
          <w:lang w:val="en-US" w:eastAsia="zh-CN"/>
        </w:rPr>
      </w:pPr>
      <w:r>
        <w:rPr>
          <w:rFonts w:hint="eastAsia" w:ascii="仿宋_GB2312" w:hAnsi="黑体" w:eastAsia="仿宋_GB2312" w:cs="宋体"/>
          <w:b w:val="0"/>
          <w:bCs/>
          <w:color w:val="000000"/>
          <w:kern w:val="0"/>
          <w:sz w:val="30"/>
          <w:szCs w:val="30"/>
          <w:lang w:val="en-US" w:eastAsia="zh-CN"/>
        </w:rPr>
        <w:t>(六)负责贯彻实施综合性产业政策，协调全区一、二、三产业发展的重大问题并衔接平衡相关发展规划和重大政策。负责协调农业和农村经济社会发展的重大问题。</w:t>
      </w:r>
    </w:p>
    <w:p>
      <w:pPr>
        <w:widowControl/>
        <w:spacing w:line="480" w:lineRule="auto"/>
        <w:ind w:firstLine="600" w:firstLineChars="200"/>
        <w:jc w:val="left"/>
        <w:rPr>
          <w:rFonts w:hint="eastAsia" w:ascii="仿宋_GB2312" w:hAnsi="黑体" w:eastAsia="仿宋_GB2312" w:cs="宋体"/>
          <w:b w:val="0"/>
          <w:bCs/>
          <w:color w:val="000000"/>
          <w:kern w:val="0"/>
          <w:sz w:val="30"/>
          <w:szCs w:val="30"/>
          <w:lang w:val="en-US" w:eastAsia="zh-CN"/>
        </w:rPr>
      </w:pPr>
      <w:r>
        <w:rPr>
          <w:rFonts w:hint="eastAsia" w:ascii="仿宋_GB2312" w:hAnsi="黑体" w:eastAsia="仿宋_GB2312" w:cs="宋体"/>
          <w:b w:val="0"/>
          <w:bCs/>
          <w:color w:val="000000"/>
          <w:kern w:val="0"/>
          <w:sz w:val="30"/>
          <w:szCs w:val="30"/>
          <w:lang w:val="en-US" w:eastAsia="zh-CN"/>
        </w:rPr>
        <w:t>(七)负责贯彻落实国家西部开发、中部崛起、长江经济带开发建设的政策措施。负责研究制定统筹促进各乡镇协调发展和老少边穷地区加快发展的战略、规划和意见措施。负责拟订并组织实施全区以工代赈规划和计划。</w:t>
      </w:r>
    </w:p>
    <w:p>
      <w:pPr>
        <w:widowControl/>
        <w:spacing w:line="480" w:lineRule="auto"/>
        <w:ind w:firstLine="600" w:firstLineChars="200"/>
        <w:jc w:val="left"/>
        <w:rPr>
          <w:rFonts w:hint="eastAsia" w:ascii="仿宋_GB2312" w:hAnsi="黑体" w:eastAsia="仿宋_GB2312" w:cs="宋体"/>
          <w:b w:val="0"/>
          <w:bCs/>
          <w:color w:val="000000"/>
          <w:kern w:val="0"/>
          <w:sz w:val="30"/>
          <w:szCs w:val="30"/>
          <w:lang w:val="en-US" w:eastAsia="zh-CN"/>
        </w:rPr>
      </w:pPr>
      <w:r>
        <w:rPr>
          <w:rFonts w:hint="eastAsia" w:ascii="仿宋_GB2312" w:hAnsi="黑体" w:eastAsia="仿宋_GB2312" w:cs="宋体"/>
          <w:b w:val="0"/>
          <w:bCs/>
          <w:color w:val="000000"/>
          <w:kern w:val="0"/>
          <w:sz w:val="30"/>
          <w:szCs w:val="30"/>
          <w:lang w:val="en-US" w:eastAsia="zh-CN"/>
        </w:rPr>
        <w:t>(八)承担全区重要商品总量平衡和宏观调控，编制重要农产品、工业品和原材料进出口总量平衡计划并监督执行，根据全区经济运行情况对计划进行调整。</w:t>
      </w:r>
    </w:p>
    <w:p>
      <w:pPr>
        <w:widowControl/>
        <w:spacing w:line="480" w:lineRule="auto"/>
        <w:ind w:firstLine="600" w:firstLineChars="200"/>
        <w:jc w:val="left"/>
        <w:rPr>
          <w:rFonts w:hint="eastAsia" w:ascii="仿宋_GB2312" w:hAnsi="黑体" w:eastAsia="仿宋_GB2312" w:cs="宋体"/>
          <w:b w:val="0"/>
          <w:bCs/>
          <w:color w:val="000000"/>
          <w:kern w:val="0"/>
          <w:sz w:val="30"/>
          <w:szCs w:val="30"/>
          <w:lang w:val="en-US" w:eastAsia="zh-CN"/>
        </w:rPr>
      </w:pPr>
      <w:r>
        <w:rPr>
          <w:rFonts w:hint="eastAsia" w:ascii="仿宋_GB2312" w:hAnsi="黑体" w:eastAsia="仿宋_GB2312" w:cs="宋体"/>
          <w:b w:val="0"/>
          <w:bCs/>
          <w:color w:val="000000"/>
          <w:kern w:val="0"/>
          <w:sz w:val="30"/>
          <w:szCs w:val="30"/>
          <w:lang w:val="en-US" w:eastAsia="zh-CN"/>
        </w:rPr>
        <w:t>(九)负责全区社会发展与国民经济发展的相互衔接，组织拟订全区社会发展战略、总体规划和年度计划，贯彻执行人口和计划生育、科学技术、教育、文化、卫生、民政等发展政策。</w:t>
      </w:r>
    </w:p>
    <w:p>
      <w:pPr>
        <w:widowControl/>
        <w:spacing w:line="480" w:lineRule="auto"/>
        <w:ind w:firstLine="600" w:firstLineChars="200"/>
        <w:jc w:val="left"/>
        <w:rPr>
          <w:rFonts w:hint="eastAsia" w:ascii="仿宋_GB2312" w:hAnsi="黑体" w:eastAsia="仿宋_GB2312" w:cs="宋体"/>
          <w:b w:val="0"/>
          <w:bCs/>
          <w:color w:val="000000"/>
          <w:kern w:val="0"/>
          <w:sz w:val="30"/>
          <w:szCs w:val="30"/>
          <w:lang w:val="en-US" w:eastAsia="zh-CN"/>
        </w:rPr>
      </w:pPr>
      <w:r>
        <w:rPr>
          <w:rFonts w:hint="eastAsia" w:ascii="仿宋_GB2312" w:hAnsi="黑体" w:eastAsia="仿宋_GB2312" w:cs="宋体"/>
          <w:b w:val="0"/>
          <w:bCs/>
          <w:color w:val="000000"/>
          <w:kern w:val="0"/>
          <w:sz w:val="30"/>
          <w:szCs w:val="30"/>
          <w:lang w:val="en-US" w:eastAsia="zh-CN"/>
        </w:rPr>
        <w:t>(十) 负责组织编制全区国民经济动员和装备动员规划、计划，组织实施全区国民经济动员和装备动员有关工作，协调有关重大问题。</w:t>
      </w:r>
    </w:p>
    <w:p>
      <w:pPr>
        <w:widowControl/>
        <w:spacing w:line="480" w:lineRule="auto"/>
        <w:ind w:firstLine="600" w:firstLineChars="200"/>
        <w:jc w:val="left"/>
        <w:rPr>
          <w:rFonts w:hint="eastAsia" w:ascii="仿宋_GB2312" w:hAnsi="黑体" w:eastAsia="仿宋_GB2312" w:cs="宋体"/>
          <w:b w:val="0"/>
          <w:bCs/>
          <w:color w:val="000000"/>
          <w:kern w:val="0"/>
          <w:sz w:val="30"/>
          <w:szCs w:val="30"/>
          <w:lang w:val="en-US" w:eastAsia="zh-CN"/>
        </w:rPr>
      </w:pPr>
      <w:r>
        <w:rPr>
          <w:rFonts w:hint="eastAsia" w:ascii="仿宋_GB2312" w:hAnsi="黑体" w:eastAsia="仿宋_GB2312" w:cs="宋体"/>
          <w:b w:val="0"/>
          <w:bCs/>
          <w:color w:val="000000"/>
          <w:kern w:val="0"/>
          <w:sz w:val="30"/>
          <w:szCs w:val="30"/>
          <w:lang w:val="en-US" w:eastAsia="zh-CN"/>
        </w:rPr>
        <w:t>(十一) 负责组织编制全区国民经济动员和装备动员规划、计划，组织实施全区国民经济动员和装备动员有关工作，协调有关重大问题。</w:t>
      </w:r>
    </w:p>
    <w:p>
      <w:pPr>
        <w:widowControl/>
        <w:spacing w:line="480" w:lineRule="auto"/>
        <w:ind w:firstLine="600" w:firstLineChars="200"/>
        <w:jc w:val="left"/>
        <w:rPr>
          <w:rFonts w:hint="eastAsia" w:ascii="仿宋_GB2312" w:hAnsi="黑体" w:eastAsia="仿宋_GB2312" w:cs="宋体"/>
          <w:b w:val="0"/>
          <w:bCs/>
          <w:color w:val="000000"/>
          <w:kern w:val="0"/>
          <w:sz w:val="30"/>
          <w:szCs w:val="30"/>
          <w:lang w:val="en-US" w:eastAsia="zh-CN"/>
        </w:rPr>
      </w:pPr>
      <w:r>
        <w:rPr>
          <w:rFonts w:hint="eastAsia" w:ascii="仿宋_GB2312" w:hAnsi="黑体" w:eastAsia="仿宋_GB2312" w:cs="宋体"/>
          <w:b w:val="0"/>
          <w:bCs/>
          <w:color w:val="000000"/>
          <w:kern w:val="0"/>
          <w:sz w:val="30"/>
          <w:szCs w:val="30"/>
          <w:lang w:val="en-US" w:eastAsia="zh-CN"/>
        </w:rPr>
        <w:t>(十二) 负责全区粮食宏观调控，总量平衡，编制全区粮食流通及仓储、加工设施的建设规划，贯彻落实最低保护价粮食收购政策，拟定区级储备粮规模，粮食行业管理，负责做好应急救灾粮、救济粮和军工粮供应工作。</w:t>
      </w:r>
    </w:p>
    <w:p>
      <w:pPr>
        <w:widowControl/>
        <w:spacing w:line="480" w:lineRule="auto"/>
        <w:ind w:firstLine="600" w:firstLineChars="200"/>
        <w:jc w:val="left"/>
        <w:rPr>
          <w:rFonts w:hint="eastAsia" w:ascii="仿宋_GB2312" w:hAnsi="黑体" w:eastAsia="仿宋_GB2312" w:cs="宋体"/>
          <w:b w:val="0"/>
          <w:bCs/>
          <w:color w:val="000000"/>
          <w:kern w:val="0"/>
          <w:sz w:val="30"/>
          <w:szCs w:val="30"/>
          <w:lang w:val="en-US" w:eastAsia="zh-CN"/>
        </w:rPr>
      </w:pPr>
      <w:r>
        <w:rPr>
          <w:rFonts w:hint="eastAsia" w:ascii="仿宋_GB2312" w:hAnsi="黑体" w:eastAsia="仿宋_GB2312" w:cs="宋体"/>
          <w:b w:val="0"/>
          <w:bCs/>
          <w:color w:val="000000"/>
          <w:kern w:val="0"/>
          <w:sz w:val="30"/>
          <w:szCs w:val="30"/>
          <w:lang w:val="en-US" w:eastAsia="zh-CN"/>
        </w:rPr>
        <w:t>（十三）负责全区重大建设项目管理工作。</w:t>
      </w:r>
    </w:p>
    <w:p>
      <w:pPr>
        <w:widowControl/>
        <w:spacing w:line="480" w:lineRule="auto"/>
        <w:ind w:firstLine="600" w:firstLineChars="200"/>
        <w:jc w:val="left"/>
        <w:rPr>
          <w:rFonts w:hint="eastAsia" w:ascii="仿宋_GB2312" w:hAnsi="黑体" w:eastAsia="仿宋_GB2312" w:cs="宋体"/>
          <w:b w:val="0"/>
          <w:bCs/>
          <w:color w:val="000000"/>
          <w:kern w:val="0"/>
          <w:sz w:val="30"/>
          <w:szCs w:val="30"/>
          <w:lang w:val="en-US" w:eastAsia="zh-CN"/>
        </w:rPr>
      </w:pPr>
      <w:r>
        <w:rPr>
          <w:rFonts w:hint="eastAsia" w:ascii="仿宋_GB2312" w:hAnsi="黑体" w:eastAsia="仿宋_GB2312" w:cs="宋体"/>
          <w:b w:val="0"/>
          <w:bCs/>
          <w:color w:val="000000"/>
          <w:kern w:val="0"/>
          <w:sz w:val="30"/>
          <w:szCs w:val="30"/>
          <w:lang w:val="en-US" w:eastAsia="zh-CN"/>
        </w:rPr>
        <w:t>（十四）承办区委、区人民政府交办的其他事项。</w:t>
      </w:r>
    </w:p>
    <w:p>
      <w:pPr>
        <w:keepNext w:val="0"/>
        <w:keepLines w:val="0"/>
        <w:pageBreakBefore w:val="0"/>
        <w:widowControl w:val="0"/>
        <w:numPr>
          <w:ilvl w:val="0"/>
          <w:numId w:val="0"/>
        </w:numPr>
        <w:kinsoku/>
        <w:wordWrap/>
        <w:overflowPunct/>
        <w:topLinePunct w:val="0"/>
        <w:autoSpaceDE/>
        <w:autoSpaceDN/>
        <w:bidi w:val="0"/>
        <w:adjustRightInd w:val="0"/>
        <w:snapToGrid w:val="0"/>
        <w:spacing w:line="600" w:lineRule="exact"/>
        <w:ind w:firstLine="640" w:firstLineChars="200"/>
        <w:textAlignment w:val="auto"/>
        <w:rPr>
          <w:rFonts w:hint="default" w:eastAsia="黑体"/>
          <w:sz w:val="32"/>
          <w:szCs w:val="32"/>
        </w:rPr>
      </w:pPr>
      <w:r>
        <w:rPr>
          <w:rFonts w:hint="default" w:eastAsia="黑体"/>
          <w:sz w:val="32"/>
          <w:szCs w:val="32"/>
        </w:rPr>
        <w:t>二、部门整体支出管理及使用情况 </w:t>
      </w:r>
    </w:p>
    <w:p>
      <w:pPr>
        <w:widowControl/>
        <w:spacing w:line="480" w:lineRule="auto"/>
        <w:ind w:firstLine="600" w:firstLineChars="200"/>
        <w:jc w:val="left"/>
        <w:rPr>
          <w:rFonts w:hint="default" w:ascii="仿宋_GB2312" w:hAnsi="黑体" w:eastAsia="仿宋_GB2312" w:cs="宋体"/>
          <w:b w:val="0"/>
          <w:bCs/>
          <w:color w:val="000000"/>
          <w:kern w:val="0"/>
          <w:sz w:val="30"/>
          <w:szCs w:val="30"/>
          <w:lang w:val="en-US" w:eastAsia="zh-CN"/>
        </w:rPr>
      </w:pPr>
      <w:r>
        <w:rPr>
          <w:rFonts w:hint="default" w:ascii="仿宋_GB2312" w:hAnsi="黑体" w:eastAsia="仿宋_GB2312" w:cs="宋体"/>
          <w:b w:val="0"/>
          <w:bCs/>
          <w:color w:val="000000"/>
          <w:kern w:val="0"/>
          <w:sz w:val="30"/>
          <w:szCs w:val="30"/>
          <w:lang w:val="en-US" w:eastAsia="zh-CN"/>
        </w:rPr>
        <w:t>（一）201</w:t>
      </w:r>
      <w:r>
        <w:rPr>
          <w:rFonts w:hint="eastAsia" w:ascii="仿宋_GB2312" w:hAnsi="黑体" w:eastAsia="仿宋_GB2312" w:cs="宋体"/>
          <w:b w:val="0"/>
          <w:bCs/>
          <w:color w:val="000000"/>
          <w:kern w:val="0"/>
          <w:sz w:val="30"/>
          <w:szCs w:val="30"/>
          <w:lang w:val="en-US" w:eastAsia="zh-CN"/>
        </w:rPr>
        <w:t>9</w:t>
      </w:r>
      <w:r>
        <w:rPr>
          <w:rFonts w:hint="default" w:ascii="仿宋_GB2312" w:hAnsi="黑体" w:eastAsia="仿宋_GB2312" w:cs="宋体"/>
          <w:b w:val="0"/>
          <w:bCs/>
          <w:color w:val="000000"/>
          <w:kern w:val="0"/>
          <w:sz w:val="30"/>
          <w:szCs w:val="30"/>
          <w:lang w:val="en-US" w:eastAsia="zh-CN"/>
        </w:rPr>
        <w:t>年部门预算情况 </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65"/>
        <w:jc w:val="both"/>
        <w:rPr>
          <w:rFonts w:hint="eastAsia" w:ascii="仿宋_GB2312" w:hAnsi="黑体" w:eastAsia="仿宋_GB2312" w:cs="宋体"/>
          <w:b w:val="0"/>
          <w:bCs/>
          <w:color w:val="000000"/>
          <w:kern w:val="0"/>
          <w:sz w:val="30"/>
          <w:szCs w:val="30"/>
          <w:lang w:val="en-US" w:eastAsia="zh-CN"/>
        </w:rPr>
      </w:pPr>
      <w:r>
        <w:rPr>
          <w:rFonts w:hint="default" w:ascii="仿宋_GB2312" w:hAnsi="黑体" w:eastAsia="仿宋_GB2312" w:cs="宋体"/>
          <w:b w:val="0"/>
          <w:bCs/>
          <w:color w:val="000000"/>
          <w:kern w:val="0"/>
          <w:sz w:val="30"/>
          <w:szCs w:val="30"/>
          <w:lang w:val="en-US" w:eastAsia="zh-CN"/>
        </w:rPr>
        <w:t>经</w:t>
      </w:r>
      <w:r>
        <w:rPr>
          <w:rFonts w:hint="eastAsia" w:ascii="仿宋_GB2312" w:hAnsi="黑体" w:eastAsia="仿宋_GB2312" w:cs="宋体"/>
          <w:b w:val="0"/>
          <w:bCs/>
          <w:color w:val="000000"/>
          <w:kern w:val="0"/>
          <w:sz w:val="30"/>
          <w:szCs w:val="30"/>
          <w:lang w:val="en-US" w:eastAsia="zh-CN"/>
        </w:rPr>
        <w:t>区级人大会议对</w:t>
      </w:r>
      <w:r>
        <w:rPr>
          <w:rFonts w:hint="default" w:ascii="仿宋_GB2312" w:hAnsi="黑体" w:eastAsia="仿宋_GB2312" w:cs="宋体"/>
          <w:b w:val="0"/>
          <w:bCs/>
          <w:color w:val="000000"/>
          <w:kern w:val="0"/>
          <w:sz w:val="30"/>
          <w:szCs w:val="30"/>
          <w:lang w:val="en-US" w:eastAsia="zh-CN"/>
        </w:rPr>
        <w:t>部门预算</w:t>
      </w:r>
      <w:r>
        <w:rPr>
          <w:rFonts w:hint="eastAsia" w:ascii="仿宋_GB2312" w:hAnsi="黑体" w:eastAsia="仿宋_GB2312" w:cs="宋体"/>
          <w:b w:val="0"/>
          <w:bCs/>
          <w:color w:val="000000"/>
          <w:kern w:val="0"/>
          <w:sz w:val="30"/>
          <w:szCs w:val="30"/>
          <w:lang w:val="en-US" w:eastAsia="zh-CN"/>
        </w:rPr>
        <w:t>的</w:t>
      </w:r>
      <w:r>
        <w:rPr>
          <w:rFonts w:hint="default" w:ascii="仿宋_GB2312" w:hAnsi="黑体" w:eastAsia="仿宋_GB2312" w:cs="宋体"/>
          <w:b w:val="0"/>
          <w:bCs/>
          <w:color w:val="000000"/>
          <w:kern w:val="0"/>
          <w:sz w:val="30"/>
          <w:szCs w:val="30"/>
          <w:lang w:val="en-US" w:eastAsia="zh-CN"/>
        </w:rPr>
        <w:t>批复，我</w:t>
      </w:r>
      <w:r>
        <w:rPr>
          <w:rFonts w:hint="eastAsia" w:ascii="仿宋_GB2312" w:hAnsi="黑体" w:eastAsia="仿宋_GB2312" w:cs="宋体"/>
          <w:b w:val="0"/>
          <w:bCs/>
          <w:color w:val="000000"/>
          <w:kern w:val="0"/>
          <w:sz w:val="30"/>
          <w:szCs w:val="30"/>
          <w:lang w:val="en-US" w:eastAsia="zh-CN"/>
        </w:rPr>
        <w:t>局</w:t>
      </w:r>
      <w:r>
        <w:rPr>
          <w:rFonts w:hint="default" w:ascii="仿宋_GB2312" w:hAnsi="黑体" w:eastAsia="仿宋_GB2312" w:cs="宋体"/>
          <w:b w:val="0"/>
          <w:bCs/>
          <w:color w:val="000000"/>
          <w:kern w:val="0"/>
          <w:sz w:val="30"/>
          <w:szCs w:val="30"/>
          <w:lang w:val="en-US" w:eastAsia="zh-CN"/>
        </w:rPr>
        <w:t>201</w:t>
      </w:r>
      <w:r>
        <w:rPr>
          <w:rFonts w:hint="eastAsia" w:ascii="仿宋_GB2312" w:hAnsi="黑体" w:eastAsia="仿宋_GB2312" w:cs="宋体"/>
          <w:b w:val="0"/>
          <w:bCs/>
          <w:color w:val="000000"/>
          <w:kern w:val="0"/>
          <w:sz w:val="30"/>
          <w:szCs w:val="30"/>
          <w:lang w:val="en-US" w:eastAsia="zh-CN"/>
        </w:rPr>
        <w:t>9</w:t>
      </w:r>
      <w:r>
        <w:rPr>
          <w:rFonts w:hint="default" w:ascii="仿宋_GB2312" w:hAnsi="黑体" w:eastAsia="仿宋_GB2312" w:cs="宋体"/>
          <w:b w:val="0"/>
          <w:bCs/>
          <w:color w:val="000000"/>
          <w:kern w:val="0"/>
          <w:sz w:val="30"/>
          <w:szCs w:val="30"/>
          <w:lang w:val="en-US" w:eastAsia="zh-CN"/>
        </w:rPr>
        <w:t>年年初收入预算</w:t>
      </w:r>
      <w:r>
        <w:rPr>
          <w:rFonts w:hint="eastAsia" w:ascii="仿宋_GB2312" w:hAnsi="黑体" w:eastAsia="仿宋_GB2312" w:cs="宋体"/>
          <w:b w:val="0"/>
          <w:bCs/>
          <w:color w:val="000000"/>
          <w:kern w:val="0"/>
          <w:sz w:val="30"/>
          <w:szCs w:val="30"/>
          <w:lang w:val="en-US" w:eastAsia="zh-CN"/>
        </w:rPr>
        <w:t>653.53</w:t>
      </w:r>
      <w:r>
        <w:rPr>
          <w:rFonts w:hint="default" w:ascii="仿宋_GB2312" w:hAnsi="黑体" w:eastAsia="仿宋_GB2312" w:cs="宋体"/>
          <w:b w:val="0"/>
          <w:bCs/>
          <w:color w:val="000000"/>
          <w:kern w:val="0"/>
          <w:sz w:val="30"/>
          <w:szCs w:val="30"/>
          <w:lang w:val="en-US" w:eastAsia="zh-CN"/>
        </w:rPr>
        <w:t>万元（其中：</w:t>
      </w:r>
      <w:r>
        <w:rPr>
          <w:rFonts w:hint="eastAsia" w:ascii="仿宋_GB2312" w:hAnsi="黑体" w:eastAsia="仿宋_GB2312" w:cs="宋体"/>
          <w:b w:val="0"/>
          <w:bCs/>
          <w:color w:val="000000"/>
          <w:kern w:val="0"/>
          <w:sz w:val="30"/>
          <w:szCs w:val="30"/>
          <w:lang w:val="en-US" w:eastAsia="zh-CN"/>
        </w:rPr>
        <w:t>一般预算拨算</w:t>
      </w:r>
      <w:r>
        <w:rPr>
          <w:rFonts w:hint="default" w:ascii="仿宋_GB2312" w:hAnsi="黑体" w:eastAsia="仿宋_GB2312" w:cs="宋体"/>
          <w:b w:val="0"/>
          <w:bCs/>
          <w:color w:val="000000"/>
          <w:kern w:val="0"/>
          <w:sz w:val="30"/>
          <w:szCs w:val="30"/>
          <w:lang w:val="en-US" w:eastAsia="zh-CN"/>
        </w:rPr>
        <w:t>拨款</w:t>
      </w:r>
      <w:r>
        <w:rPr>
          <w:rFonts w:hint="eastAsia" w:ascii="宋体" w:hAnsi="宋体" w:cs="宋体"/>
          <w:color w:val="000000"/>
          <w:kern w:val="0"/>
          <w:sz w:val="30"/>
          <w:szCs w:val="30"/>
        </w:rPr>
        <w:t>653.53</w:t>
      </w:r>
      <w:r>
        <w:rPr>
          <w:rFonts w:hint="default" w:ascii="仿宋_GB2312" w:hAnsi="黑体" w:eastAsia="仿宋_GB2312" w:cs="宋体"/>
          <w:b w:val="0"/>
          <w:bCs/>
          <w:color w:val="000000"/>
          <w:kern w:val="0"/>
          <w:sz w:val="30"/>
          <w:szCs w:val="30"/>
          <w:lang w:val="en-US" w:eastAsia="zh-CN"/>
        </w:rPr>
        <w:t>万元）。年初支出总预算</w:t>
      </w:r>
      <w:r>
        <w:rPr>
          <w:rFonts w:hint="eastAsia" w:ascii="仿宋_GB2312" w:hAnsi="黑体" w:eastAsia="仿宋_GB2312" w:cs="宋体"/>
          <w:b w:val="0"/>
          <w:bCs/>
          <w:color w:val="000000"/>
          <w:kern w:val="0"/>
          <w:sz w:val="30"/>
          <w:szCs w:val="30"/>
          <w:lang w:val="en-US" w:eastAsia="zh-CN"/>
        </w:rPr>
        <w:t>653.53</w:t>
      </w:r>
      <w:r>
        <w:rPr>
          <w:rFonts w:hint="default" w:ascii="仿宋_GB2312" w:hAnsi="黑体" w:eastAsia="仿宋_GB2312" w:cs="宋体"/>
          <w:b w:val="0"/>
          <w:bCs/>
          <w:color w:val="000000"/>
          <w:kern w:val="0"/>
          <w:sz w:val="30"/>
          <w:szCs w:val="30"/>
          <w:lang w:val="en-US" w:eastAsia="zh-CN"/>
        </w:rPr>
        <w:t>万元，其中：基本支出</w:t>
      </w:r>
      <w:r>
        <w:rPr>
          <w:rFonts w:hint="eastAsia" w:ascii="宋体" w:hAnsi="宋体" w:cs="宋体"/>
          <w:color w:val="000000"/>
          <w:kern w:val="0"/>
          <w:sz w:val="30"/>
          <w:szCs w:val="30"/>
        </w:rPr>
        <w:t>603.53</w:t>
      </w:r>
      <w:r>
        <w:rPr>
          <w:rFonts w:hint="default" w:ascii="仿宋_GB2312" w:hAnsi="黑体" w:eastAsia="仿宋_GB2312" w:cs="宋体"/>
          <w:b w:val="0"/>
          <w:bCs/>
          <w:color w:val="000000"/>
          <w:kern w:val="0"/>
          <w:sz w:val="30"/>
          <w:szCs w:val="30"/>
          <w:lang w:val="en-US" w:eastAsia="zh-CN"/>
        </w:rPr>
        <w:t>万元（工资福利支出</w:t>
      </w:r>
      <w:r>
        <w:rPr>
          <w:rFonts w:hint="eastAsia" w:ascii="宋体" w:hAnsi="宋体" w:cs="宋体"/>
          <w:color w:val="000000"/>
          <w:kern w:val="0"/>
          <w:sz w:val="30"/>
          <w:szCs w:val="30"/>
        </w:rPr>
        <w:t>453.22</w:t>
      </w:r>
      <w:r>
        <w:rPr>
          <w:rFonts w:hint="default" w:ascii="仿宋_GB2312" w:hAnsi="黑体" w:eastAsia="仿宋_GB2312" w:cs="宋体"/>
          <w:b w:val="0"/>
          <w:bCs/>
          <w:color w:val="000000"/>
          <w:kern w:val="0"/>
          <w:sz w:val="30"/>
          <w:szCs w:val="30"/>
          <w:lang w:val="en-US" w:eastAsia="zh-CN"/>
        </w:rPr>
        <w:t>万元，商品和服务支出</w:t>
      </w:r>
      <w:r>
        <w:rPr>
          <w:rFonts w:hint="eastAsia" w:ascii="仿宋_GB2312" w:hAnsi="黑体" w:eastAsia="仿宋_GB2312" w:cs="宋体"/>
          <w:b w:val="0"/>
          <w:bCs/>
          <w:color w:val="000000"/>
          <w:kern w:val="0"/>
          <w:sz w:val="30"/>
          <w:szCs w:val="30"/>
          <w:lang w:val="en-US" w:eastAsia="zh-CN"/>
        </w:rPr>
        <w:t>60</w:t>
      </w:r>
      <w:r>
        <w:rPr>
          <w:rFonts w:hint="default" w:ascii="仿宋_GB2312" w:hAnsi="黑体" w:eastAsia="仿宋_GB2312" w:cs="宋体"/>
          <w:b w:val="0"/>
          <w:bCs/>
          <w:color w:val="000000"/>
          <w:kern w:val="0"/>
          <w:sz w:val="30"/>
          <w:szCs w:val="30"/>
          <w:lang w:val="en-US" w:eastAsia="zh-CN"/>
        </w:rPr>
        <w:t>万元，对个人和家庭补助支出</w:t>
      </w:r>
      <w:r>
        <w:rPr>
          <w:rFonts w:hint="eastAsia" w:ascii="仿宋_GB2312" w:hAnsi="黑体" w:eastAsia="仿宋_GB2312" w:cs="宋体"/>
          <w:b w:val="0"/>
          <w:bCs/>
          <w:color w:val="000000"/>
          <w:kern w:val="0"/>
          <w:sz w:val="30"/>
          <w:szCs w:val="30"/>
          <w:lang w:val="en-US" w:eastAsia="zh-CN"/>
        </w:rPr>
        <w:t>90.31</w:t>
      </w:r>
      <w:r>
        <w:rPr>
          <w:rFonts w:hint="default" w:ascii="仿宋_GB2312" w:hAnsi="黑体" w:eastAsia="仿宋_GB2312" w:cs="宋体"/>
          <w:b w:val="0"/>
          <w:bCs/>
          <w:color w:val="000000"/>
          <w:kern w:val="0"/>
          <w:sz w:val="30"/>
          <w:szCs w:val="30"/>
          <w:lang w:val="en-US" w:eastAsia="zh-CN"/>
        </w:rPr>
        <w:t>万元</w:t>
      </w:r>
      <w:r>
        <w:rPr>
          <w:rFonts w:hint="eastAsia" w:ascii="仿宋_GB2312" w:hAnsi="黑体" w:eastAsia="仿宋_GB2312" w:cs="宋体"/>
          <w:b w:val="0"/>
          <w:bCs/>
          <w:color w:val="000000"/>
          <w:kern w:val="0"/>
          <w:sz w:val="30"/>
          <w:szCs w:val="30"/>
          <w:lang w:val="en-US" w:eastAsia="zh-CN"/>
        </w:rPr>
        <w:t>,</w:t>
      </w:r>
      <w:r>
        <w:rPr>
          <w:rFonts w:hint="default" w:ascii="仿宋_GB2312" w:hAnsi="黑体" w:eastAsia="仿宋_GB2312" w:cs="宋体"/>
          <w:b w:val="0"/>
          <w:bCs/>
          <w:color w:val="000000"/>
          <w:kern w:val="0"/>
          <w:sz w:val="30"/>
          <w:szCs w:val="30"/>
          <w:lang w:val="en-US" w:eastAsia="zh-CN"/>
        </w:rPr>
        <w:t>201</w:t>
      </w:r>
      <w:r>
        <w:rPr>
          <w:rFonts w:hint="eastAsia" w:ascii="仿宋_GB2312" w:hAnsi="黑体" w:eastAsia="仿宋_GB2312" w:cs="宋体"/>
          <w:b w:val="0"/>
          <w:bCs/>
          <w:color w:val="000000"/>
          <w:kern w:val="0"/>
          <w:sz w:val="30"/>
          <w:szCs w:val="30"/>
          <w:lang w:val="en-US" w:eastAsia="zh-CN"/>
        </w:rPr>
        <w:t>9</w:t>
      </w:r>
      <w:r>
        <w:rPr>
          <w:rFonts w:hint="default" w:ascii="仿宋_GB2312" w:hAnsi="黑体" w:eastAsia="仿宋_GB2312" w:cs="宋体"/>
          <w:b w:val="0"/>
          <w:bCs/>
          <w:color w:val="000000"/>
          <w:kern w:val="0"/>
          <w:sz w:val="30"/>
          <w:szCs w:val="30"/>
          <w:lang w:val="en-US" w:eastAsia="zh-CN"/>
        </w:rPr>
        <w:t>年项目支出</w:t>
      </w:r>
      <w:r>
        <w:rPr>
          <w:rFonts w:hint="eastAsia" w:ascii="仿宋_GB2312" w:hAnsi="黑体" w:eastAsia="仿宋_GB2312" w:cs="宋体"/>
          <w:b w:val="0"/>
          <w:bCs/>
          <w:color w:val="000000"/>
          <w:kern w:val="0"/>
          <w:sz w:val="30"/>
          <w:szCs w:val="30"/>
          <w:lang w:val="en-US" w:eastAsia="zh-CN"/>
        </w:rPr>
        <w:t>50</w:t>
      </w:r>
      <w:r>
        <w:rPr>
          <w:rFonts w:hint="default" w:ascii="仿宋_GB2312" w:hAnsi="黑体" w:eastAsia="仿宋_GB2312" w:cs="宋体"/>
          <w:b w:val="0"/>
          <w:bCs/>
          <w:color w:val="000000"/>
          <w:kern w:val="0"/>
          <w:sz w:val="30"/>
          <w:szCs w:val="30"/>
          <w:lang w:val="en-US" w:eastAsia="zh-CN"/>
        </w:rPr>
        <w:t>万元</w:t>
      </w:r>
      <w:r>
        <w:rPr>
          <w:rFonts w:hint="eastAsia" w:ascii="仿宋_GB2312" w:hAnsi="黑体" w:eastAsia="仿宋_GB2312" w:cs="宋体"/>
          <w:b w:val="0"/>
          <w:bCs/>
          <w:color w:val="000000"/>
          <w:kern w:val="0"/>
          <w:sz w:val="30"/>
          <w:szCs w:val="30"/>
          <w:lang w:val="en-US" w:eastAsia="zh-CN"/>
        </w:rPr>
        <w:t>。</w:t>
      </w:r>
    </w:p>
    <w:p>
      <w:pPr>
        <w:widowControl/>
        <w:spacing w:line="480" w:lineRule="auto"/>
        <w:ind w:firstLine="600" w:firstLineChars="200"/>
        <w:jc w:val="left"/>
        <w:rPr>
          <w:rFonts w:hint="eastAsia" w:ascii="仿宋_GB2312" w:hAnsi="黑体" w:eastAsia="仿宋_GB2312" w:cs="宋体"/>
          <w:b w:val="0"/>
          <w:bCs/>
          <w:color w:val="000000"/>
          <w:kern w:val="0"/>
          <w:sz w:val="30"/>
          <w:szCs w:val="30"/>
          <w:highlight w:val="none"/>
          <w:lang w:val="en-US" w:eastAsia="zh-CN"/>
        </w:rPr>
      </w:pPr>
      <w:r>
        <w:rPr>
          <w:rFonts w:hint="default" w:ascii="仿宋_GB2312" w:hAnsi="黑体" w:eastAsia="仿宋_GB2312" w:cs="宋体"/>
          <w:b w:val="0"/>
          <w:bCs/>
          <w:color w:val="000000"/>
          <w:kern w:val="0"/>
          <w:sz w:val="30"/>
          <w:szCs w:val="30"/>
          <w:highlight w:val="none"/>
          <w:lang w:val="en-US" w:eastAsia="zh-CN"/>
        </w:rPr>
        <w:t>201</w:t>
      </w:r>
      <w:r>
        <w:rPr>
          <w:rFonts w:hint="eastAsia" w:ascii="仿宋_GB2312" w:hAnsi="黑体" w:eastAsia="仿宋_GB2312" w:cs="宋体"/>
          <w:b w:val="0"/>
          <w:bCs/>
          <w:color w:val="000000"/>
          <w:kern w:val="0"/>
          <w:sz w:val="30"/>
          <w:szCs w:val="30"/>
          <w:highlight w:val="none"/>
          <w:lang w:val="en-US" w:eastAsia="zh-CN"/>
        </w:rPr>
        <w:t>9</w:t>
      </w:r>
      <w:r>
        <w:rPr>
          <w:rFonts w:hint="default" w:ascii="仿宋_GB2312" w:hAnsi="黑体" w:eastAsia="仿宋_GB2312" w:cs="宋体"/>
          <w:b w:val="0"/>
          <w:bCs/>
          <w:color w:val="000000"/>
          <w:kern w:val="0"/>
          <w:sz w:val="30"/>
          <w:szCs w:val="30"/>
          <w:highlight w:val="none"/>
          <w:lang w:val="en-US" w:eastAsia="zh-CN"/>
        </w:rPr>
        <w:t>年收入预算调整数</w:t>
      </w:r>
      <w:r>
        <w:rPr>
          <w:rFonts w:hint="eastAsia" w:ascii="仿宋_GB2312" w:hAnsi="黑体" w:eastAsia="仿宋_GB2312" w:cs="宋体"/>
          <w:b w:val="0"/>
          <w:bCs/>
          <w:color w:val="000000"/>
          <w:kern w:val="0"/>
          <w:sz w:val="30"/>
          <w:szCs w:val="30"/>
          <w:highlight w:val="none"/>
          <w:lang w:val="en-US" w:eastAsia="zh-CN"/>
        </w:rPr>
        <w:t>2077.45</w:t>
      </w:r>
      <w:r>
        <w:rPr>
          <w:rFonts w:hint="default" w:ascii="仿宋_GB2312" w:hAnsi="黑体" w:eastAsia="仿宋_GB2312" w:cs="宋体"/>
          <w:b w:val="0"/>
          <w:bCs/>
          <w:color w:val="000000"/>
          <w:kern w:val="0"/>
          <w:sz w:val="30"/>
          <w:szCs w:val="30"/>
          <w:highlight w:val="none"/>
          <w:lang w:val="en-US" w:eastAsia="zh-CN"/>
        </w:rPr>
        <w:t>万元，其中财政拨款收入调整预算数</w:t>
      </w:r>
      <w:r>
        <w:rPr>
          <w:rFonts w:hint="eastAsia" w:ascii="仿宋_GB2312" w:hAnsi="黑体" w:eastAsia="仿宋_GB2312" w:cs="宋体"/>
          <w:b w:val="0"/>
          <w:bCs/>
          <w:color w:val="000000"/>
          <w:kern w:val="0"/>
          <w:sz w:val="30"/>
          <w:szCs w:val="30"/>
          <w:highlight w:val="none"/>
          <w:lang w:val="en-US" w:eastAsia="zh-CN"/>
        </w:rPr>
        <w:t>2077.45</w:t>
      </w:r>
      <w:r>
        <w:rPr>
          <w:rFonts w:hint="default" w:ascii="仿宋_GB2312" w:hAnsi="黑体" w:eastAsia="仿宋_GB2312" w:cs="宋体"/>
          <w:b w:val="0"/>
          <w:bCs/>
          <w:color w:val="000000"/>
          <w:kern w:val="0"/>
          <w:sz w:val="30"/>
          <w:szCs w:val="30"/>
          <w:highlight w:val="none"/>
          <w:lang w:val="en-US" w:eastAsia="zh-CN"/>
        </w:rPr>
        <w:t>万元。支出预算调整数</w:t>
      </w:r>
      <w:r>
        <w:rPr>
          <w:rFonts w:hint="eastAsia" w:ascii="仿宋_GB2312" w:hAnsi="黑体" w:eastAsia="仿宋_GB2312" w:cs="宋体"/>
          <w:b w:val="0"/>
          <w:bCs/>
          <w:color w:val="000000"/>
          <w:kern w:val="0"/>
          <w:sz w:val="30"/>
          <w:szCs w:val="30"/>
          <w:highlight w:val="none"/>
          <w:lang w:val="en-US" w:eastAsia="zh-CN"/>
        </w:rPr>
        <w:t>2077.45</w:t>
      </w:r>
      <w:r>
        <w:rPr>
          <w:rFonts w:hint="default" w:ascii="仿宋_GB2312" w:hAnsi="黑体" w:eastAsia="仿宋_GB2312" w:cs="宋体"/>
          <w:b w:val="0"/>
          <w:bCs/>
          <w:color w:val="000000"/>
          <w:kern w:val="0"/>
          <w:sz w:val="30"/>
          <w:szCs w:val="30"/>
          <w:highlight w:val="none"/>
          <w:lang w:val="en-US" w:eastAsia="zh-CN"/>
        </w:rPr>
        <w:t>万元，与年初预算安排的差额主要</w:t>
      </w:r>
      <w:r>
        <w:rPr>
          <w:rFonts w:hint="eastAsia" w:ascii="仿宋_GB2312" w:hAnsi="黑体" w:eastAsia="仿宋_GB2312" w:cs="宋体"/>
          <w:b w:val="0"/>
          <w:bCs/>
          <w:color w:val="000000"/>
          <w:kern w:val="0"/>
          <w:sz w:val="30"/>
          <w:szCs w:val="30"/>
          <w:highlight w:val="none"/>
          <w:lang w:val="en-US" w:eastAsia="zh-CN"/>
        </w:rPr>
        <w:t>人员工资增加、机构改革重点办及粮食职能并入我局机关，重点项目管理资金及粮食职能方面资金增加以及上级转移支付资金增加投入。</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52"/>
        <w:jc w:val="both"/>
        <w:rPr>
          <w:rFonts w:hint="default" w:ascii="仿宋_GB2312" w:hAnsi="黑体" w:eastAsia="仿宋_GB2312" w:cs="宋体"/>
          <w:b w:val="0"/>
          <w:bCs/>
          <w:color w:val="000000"/>
          <w:kern w:val="0"/>
          <w:sz w:val="30"/>
          <w:szCs w:val="30"/>
          <w:lang w:val="en-US" w:eastAsia="zh-CN" w:bidi="ar-SA"/>
        </w:rPr>
      </w:pPr>
      <w:r>
        <w:rPr>
          <w:rFonts w:hint="default" w:ascii="仿宋_GB2312" w:hAnsi="黑体" w:eastAsia="仿宋_GB2312" w:cs="宋体"/>
          <w:b w:val="0"/>
          <w:bCs/>
          <w:color w:val="000000"/>
          <w:kern w:val="0"/>
          <w:sz w:val="30"/>
          <w:szCs w:val="30"/>
          <w:lang w:val="en-US" w:eastAsia="zh-CN" w:bidi="ar-SA"/>
        </w:rPr>
        <w:t>（二）201</w:t>
      </w:r>
      <w:r>
        <w:rPr>
          <w:rFonts w:hint="eastAsia" w:ascii="仿宋_GB2312" w:hAnsi="黑体" w:eastAsia="仿宋_GB2312" w:cs="宋体"/>
          <w:b w:val="0"/>
          <w:bCs/>
          <w:color w:val="000000"/>
          <w:kern w:val="0"/>
          <w:sz w:val="30"/>
          <w:szCs w:val="30"/>
          <w:lang w:val="en-US" w:eastAsia="zh-CN" w:bidi="ar-SA"/>
        </w:rPr>
        <w:t>9</w:t>
      </w:r>
      <w:r>
        <w:rPr>
          <w:rFonts w:hint="default" w:ascii="仿宋_GB2312" w:hAnsi="黑体" w:eastAsia="仿宋_GB2312" w:cs="宋体"/>
          <w:b w:val="0"/>
          <w:bCs/>
          <w:color w:val="000000"/>
          <w:kern w:val="0"/>
          <w:sz w:val="30"/>
          <w:szCs w:val="30"/>
          <w:lang w:val="en-US" w:eastAsia="zh-CN" w:bidi="ar-SA"/>
        </w:rPr>
        <w:t>年部门决算情况 </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1"/>
        <w:jc w:val="both"/>
        <w:rPr>
          <w:rFonts w:hint="eastAsia" w:ascii="仿宋_GB2312" w:hAnsi="黑体" w:eastAsia="仿宋_GB2312" w:cs="宋体"/>
          <w:b w:val="0"/>
          <w:bCs/>
          <w:color w:val="000000"/>
          <w:kern w:val="0"/>
          <w:sz w:val="30"/>
          <w:szCs w:val="30"/>
          <w:lang w:val="en-US" w:eastAsia="zh-CN" w:bidi="ar-SA"/>
        </w:rPr>
      </w:pPr>
      <w:r>
        <w:rPr>
          <w:rFonts w:hint="default" w:ascii="仿宋_GB2312" w:hAnsi="黑体" w:eastAsia="仿宋_GB2312" w:cs="宋体"/>
          <w:b w:val="0"/>
          <w:bCs/>
          <w:color w:val="000000"/>
          <w:kern w:val="0"/>
          <w:sz w:val="30"/>
          <w:szCs w:val="30"/>
          <w:lang w:val="en-US" w:eastAsia="zh-CN" w:bidi="ar-SA"/>
        </w:rPr>
        <w:t>201</w:t>
      </w:r>
      <w:r>
        <w:rPr>
          <w:rFonts w:hint="eastAsia" w:ascii="仿宋_GB2312" w:hAnsi="黑体" w:eastAsia="仿宋_GB2312" w:cs="宋体"/>
          <w:b w:val="0"/>
          <w:bCs/>
          <w:color w:val="000000"/>
          <w:kern w:val="0"/>
          <w:sz w:val="30"/>
          <w:szCs w:val="30"/>
          <w:lang w:val="en-US" w:eastAsia="zh-CN" w:bidi="ar-SA"/>
        </w:rPr>
        <w:t>9</w:t>
      </w:r>
      <w:r>
        <w:rPr>
          <w:rFonts w:hint="default" w:ascii="仿宋_GB2312" w:hAnsi="黑体" w:eastAsia="仿宋_GB2312" w:cs="宋体"/>
          <w:b w:val="0"/>
          <w:bCs/>
          <w:color w:val="000000"/>
          <w:kern w:val="0"/>
          <w:sz w:val="30"/>
          <w:szCs w:val="30"/>
          <w:lang w:val="en-US" w:eastAsia="zh-CN" w:bidi="ar-SA"/>
        </w:rPr>
        <w:t>年度决算总收入</w:t>
      </w:r>
      <w:r>
        <w:rPr>
          <w:rFonts w:hint="eastAsia" w:ascii="仿宋_GB2312" w:hAnsi="黑体" w:eastAsia="仿宋_GB2312" w:cs="宋体"/>
          <w:b w:val="0"/>
          <w:bCs/>
          <w:color w:val="000000"/>
          <w:kern w:val="0"/>
          <w:sz w:val="30"/>
          <w:szCs w:val="30"/>
          <w:lang w:val="en-US" w:eastAsia="zh-CN" w:bidi="ar-SA"/>
        </w:rPr>
        <w:t>2077.45</w:t>
      </w:r>
      <w:r>
        <w:rPr>
          <w:rFonts w:hint="default" w:ascii="仿宋_GB2312" w:hAnsi="黑体" w:eastAsia="仿宋_GB2312" w:cs="宋体"/>
          <w:b w:val="0"/>
          <w:bCs/>
          <w:color w:val="000000"/>
          <w:kern w:val="0"/>
          <w:sz w:val="30"/>
          <w:szCs w:val="30"/>
          <w:lang w:val="en-US" w:eastAsia="zh-CN" w:bidi="ar-SA"/>
        </w:rPr>
        <w:t>元。201</w:t>
      </w:r>
      <w:r>
        <w:rPr>
          <w:rFonts w:hint="eastAsia" w:ascii="仿宋_GB2312" w:hAnsi="黑体" w:eastAsia="仿宋_GB2312" w:cs="宋体"/>
          <w:b w:val="0"/>
          <w:bCs/>
          <w:color w:val="000000"/>
          <w:kern w:val="0"/>
          <w:sz w:val="30"/>
          <w:szCs w:val="30"/>
          <w:lang w:val="en-US" w:eastAsia="zh-CN" w:bidi="ar-SA"/>
        </w:rPr>
        <w:t>9</w:t>
      </w:r>
      <w:r>
        <w:rPr>
          <w:rFonts w:hint="default" w:ascii="仿宋_GB2312" w:hAnsi="黑体" w:eastAsia="仿宋_GB2312" w:cs="宋体"/>
          <w:b w:val="0"/>
          <w:bCs/>
          <w:color w:val="000000"/>
          <w:kern w:val="0"/>
          <w:sz w:val="30"/>
          <w:szCs w:val="30"/>
          <w:lang w:val="en-US" w:eastAsia="zh-CN" w:bidi="ar-SA"/>
        </w:rPr>
        <w:t>年度决算总支出</w:t>
      </w:r>
      <w:r>
        <w:rPr>
          <w:rFonts w:hint="eastAsia" w:ascii="仿宋_GB2312" w:hAnsi="黑体" w:eastAsia="仿宋_GB2312" w:cs="宋体"/>
          <w:b w:val="0"/>
          <w:bCs/>
          <w:color w:val="000000"/>
          <w:kern w:val="0"/>
          <w:sz w:val="30"/>
          <w:szCs w:val="30"/>
          <w:lang w:val="en-US" w:eastAsia="zh-CN" w:bidi="ar-SA"/>
        </w:rPr>
        <w:t>2077.45</w:t>
      </w:r>
      <w:r>
        <w:rPr>
          <w:rFonts w:hint="default" w:ascii="仿宋_GB2312" w:hAnsi="黑体" w:eastAsia="仿宋_GB2312" w:cs="宋体"/>
          <w:b w:val="0"/>
          <w:bCs/>
          <w:color w:val="000000"/>
          <w:kern w:val="0"/>
          <w:sz w:val="30"/>
          <w:szCs w:val="30"/>
          <w:lang w:val="en-US" w:eastAsia="zh-CN" w:bidi="ar-SA"/>
        </w:rPr>
        <w:t>万元，其中：基本支出</w:t>
      </w:r>
      <w:r>
        <w:rPr>
          <w:rFonts w:hint="eastAsia" w:ascii="仿宋_GB2312" w:hAnsi="黑体" w:eastAsia="仿宋_GB2312" w:cs="宋体"/>
          <w:b w:val="0"/>
          <w:bCs/>
          <w:color w:val="000000"/>
          <w:kern w:val="0"/>
          <w:sz w:val="30"/>
          <w:szCs w:val="30"/>
          <w:lang w:val="en-US" w:eastAsia="zh-CN" w:bidi="ar-SA"/>
        </w:rPr>
        <w:t>1421.57</w:t>
      </w:r>
      <w:r>
        <w:rPr>
          <w:rFonts w:hint="default" w:ascii="仿宋_GB2312" w:hAnsi="黑体" w:eastAsia="仿宋_GB2312" w:cs="宋体"/>
          <w:b w:val="0"/>
          <w:bCs/>
          <w:color w:val="000000"/>
          <w:kern w:val="0"/>
          <w:sz w:val="30"/>
          <w:szCs w:val="30"/>
          <w:lang w:val="en-US" w:eastAsia="zh-CN" w:bidi="ar-SA"/>
        </w:rPr>
        <w:t>万元，占总支出的</w:t>
      </w:r>
      <w:r>
        <w:rPr>
          <w:rFonts w:hint="eastAsia" w:ascii="仿宋_GB2312" w:hAnsi="黑体" w:eastAsia="仿宋_GB2312" w:cs="宋体"/>
          <w:b w:val="0"/>
          <w:bCs/>
          <w:color w:val="000000"/>
          <w:kern w:val="0"/>
          <w:sz w:val="30"/>
          <w:szCs w:val="30"/>
          <w:lang w:val="en-US" w:eastAsia="zh-CN" w:bidi="ar-SA"/>
        </w:rPr>
        <w:t>68.42</w:t>
      </w:r>
      <w:r>
        <w:rPr>
          <w:rFonts w:hint="default" w:ascii="仿宋_GB2312" w:hAnsi="黑体" w:eastAsia="仿宋_GB2312" w:cs="宋体"/>
          <w:b w:val="0"/>
          <w:bCs/>
          <w:color w:val="000000"/>
          <w:kern w:val="0"/>
          <w:sz w:val="30"/>
          <w:szCs w:val="30"/>
          <w:lang w:val="en-US" w:eastAsia="zh-CN" w:bidi="ar-SA"/>
        </w:rPr>
        <w:t>%；项目支出</w:t>
      </w:r>
      <w:r>
        <w:rPr>
          <w:rFonts w:hint="eastAsia" w:ascii="仿宋_GB2312" w:hAnsi="黑体" w:eastAsia="仿宋_GB2312" w:cs="宋体"/>
          <w:b w:val="0"/>
          <w:bCs/>
          <w:color w:val="000000"/>
          <w:kern w:val="0"/>
          <w:sz w:val="30"/>
          <w:szCs w:val="30"/>
          <w:lang w:val="en-US" w:eastAsia="zh-CN" w:bidi="ar-SA"/>
        </w:rPr>
        <w:t>655.88</w:t>
      </w:r>
      <w:r>
        <w:rPr>
          <w:rFonts w:hint="default" w:ascii="仿宋_GB2312" w:hAnsi="黑体" w:eastAsia="仿宋_GB2312" w:cs="宋体"/>
          <w:b w:val="0"/>
          <w:bCs/>
          <w:color w:val="000000"/>
          <w:kern w:val="0"/>
          <w:sz w:val="30"/>
          <w:szCs w:val="30"/>
          <w:lang w:val="en-US" w:eastAsia="zh-CN" w:bidi="ar-SA"/>
        </w:rPr>
        <w:t>万元，占总支出的</w:t>
      </w:r>
      <w:r>
        <w:rPr>
          <w:rFonts w:hint="eastAsia" w:ascii="仿宋_GB2312" w:hAnsi="黑体" w:eastAsia="仿宋_GB2312" w:cs="宋体"/>
          <w:b w:val="0"/>
          <w:bCs/>
          <w:color w:val="000000"/>
          <w:kern w:val="0"/>
          <w:sz w:val="30"/>
          <w:szCs w:val="30"/>
          <w:lang w:val="en-US" w:eastAsia="zh-CN" w:bidi="ar-SA"/>
        </w:rPr>
        <w:t>31.58</w:t>
      </w:r>
      <w:r>
        <w:rPr>
          <w:rFonts w:hint="default" w:ascii="仿宋_GB2312" w:hAnsi="黑体" w:eastAsia="仿宋_GB2312" w:cs="宋体"/>
          <w:b w:val="0"/>
          <w:bCs/>
          <w:color w:val="000000"/>
          <w:kern w:val="0"/>
          <w:sz w:val="30"/>
          <w:szCs w:val="30"/>
          <w:lang w:val="en-US" w:eastAsia="zh-CN" w:bidi="ar-SA"/>
        </w:rPr>
        <w:t>%。</w:t>
      </w:r>
      <w:r>
        <w:rPr>
          <w:rFonts w:hint="eastAsia" w:ascii="仿宋_GB2312" w:hAnsi="黑体" w:eastAsia="仿宋_GB2312" w:cs="宋体"/>
          <w:b w:val="0"/>
          <w:bCs/>
          <w:color w:val="000000"/>
          <w:kern w:val="0"/>
          <w:sz w:val="30"/>
          <w:szCs w:val="30"/>
          <w:lang w:val="en-US" w:eastAsia="zh-CN" w:bidi="ar-SA"/>
        </w:rPr>
        <w:t>上年无结余。</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1"/>
        <w:jc w:val="both"/>
        <w:rPr>
          <w:rFonts w:hint="default" w:ascii="仿宋_GB2312" w:hAnsi="黑体" w:eastAsia="仿宋_GB2312" w:cs="宋体"/>
          <w:b w:val="0"/>
          <w:bCs/>
          <w:color w:val="000000"/>
          <w:kern w:val="0"/>
          <w:sz w:val="30"/>
          <w:szCs w:val="30"/>
          <w:lang w:val="en-US" w:eastAsia="zh-CN" w:bidi="ar-SA"/>
        </w:rPr>
      </w:pPr>
      <w:r>
        <w:rPr>
          <w:rFonts w:hint="default" w:ascii="仿宋_GB2312" w:hAnsi="黑体" w:eastAsia="仿宋_GB2312" w:cs="宋体"/>
          <w:b w:val="0"/>
          <w:bCs/>
          <w:color w:val="000000"/>
          <w:kern w:val="0"/>
          <w:sz w:val="30"/>
          <w:szCs w:val="30"/>
          <w:lang w:val="en-US" w:eastAsia="zh-CN" w:bidi="ar-SA"/>
        </w:rPr>
        <w:t>（三）201</w:t>
      </w:r>
      <w:r>
        <w:rPr>
          <w:rFonts w:hint="eastAsia" w:ascii="仿宋_GB2312" w:hAnsi="黑体" w:eastAsia="仿宋_GB2312" w:cs="宋体"/>
          <w:b w:val="0"/>
          <w:bCs/>
          <w:color w:val="000000"/>
          <w:kern w:val="0"/>
          <w:sz w:val="30"/>
          <w:szCs w:val="30"/>
          <w:lang w:val="en-US" w:eastAsia="zh-CN" w:bidi="ar-SA"/>
        </w:rPr>
        <w:t>9</w:t>
      </w:r>
      <w:r>
        <w:rPr>
          <w:rFonts w:hint="default" w:ascii="仿宋_GB2312" w:hAnsi="黑体" w:eastAsia="仿宋_GB2312" w:cs="宋体"/>
          <w:b w:val="0"/>
          <w:bCs/>
          <w:color w:val="000000"/>
          <w:kern w:val="0"/>
          <w:sz w:val="30"/>
          <w:szCs w:val="30"/>
          <w:lang w:val="en-US" w:eastAsia="zh-CN" w:bidi="ar-SA"/>
        </w:rPr>
        <w:t>年支出分类情况 </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default" w:ascii="仿宋_GB2312" w:hAnsi="黑体" w:eastAsia="仿宋_GB2312" w:cs="宋体"/>
          <w:b w:val="0"/>
          <w:bCs/>
          <w:color w:val="000000"/>
          <w:kern w:val="0"/>
          <w:sz w:val="30"/>
          <w:szCs w:val="30"/>
          <w:lang w:val="en-US" w:eastAsia="zh-CN" w:bidi="ar-SA"/>
        </w:rPr>
      </w:pPr>
      <w:r>
        <w:rPr>
          <w:rFonts w:hint="default" w:ascii="仿宋_GB2312" w:hAnsi="黑体" w:eastAsia="仿宋_GB2312" w:cs="宋体"/>
          <w:b w:val="0"/>
          <w:bCs/>
          <w:color w:val="000000"/>
          <w:kern w:val="0"/>
          <w:sz w:val="30"/>
          <w:szCs w:val="30"/>
          <w:lang w:val="en-US" w:eastAsia="zh-CN" w:bidi="ar-SA"/>
        </w:rPr>
        <w:t>　　1、基本支出 </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0"/>
        <w:jc w:val="both"/>
        <w:rPr>
          <w:rFonts w:hint="eastAsia" w:ascii="仿宋_GB2312" w:hAnsi="黑体" w:eastAsia="仿宋_GB2312" w:cs="宋体"/>
          <w:b w:val="0"/>
          <w:bCs/>
          <w:color w:val="000000"/>
          <w:kern w:val="0"/>
          <w:sz w:val="30"/>
          <w:szCs w:val="30"/>
          <w:lang w:val="en-US" w:eastAsia="zh-CN" w:bidi="ar-SA"/>
        </w:rPr>
      </w:pPr>
      <w:r>
        <w:rPr>
          <w:rFonts w:hint="default" w:ascii="仿宋_GB2312" w:hAnsi="黑体" w:eastAsia="仿宋_GB2312" w:cs="宋体"/>
          <w:b w:val="0"/>
          <w:bCs/>
          <w:color w:val="000000"/>
          <w:kern w:val="0"/>
          <w:sz w:val="30"/>
          <w:szCs w:val="30"/>
          <w:lang w:val="en-US" w:eastAsia="zh-CN" w:bidi="ar-SA"/>
        </w:rPr>
        <w:t>基本支出系保障我</w:t>
      </w:r>
      <w:r>
        <w:rPr>
          <w:rFonts w:hint="eastAsia" w:ascii="仿宋_GB2312" w:hAnsi="黑体" w:eastAsia="仿宋_GB2312" w:cs="宋体"/>
          <w:b w:val="0"/>
          <w:bCs/>
          <w:color w:val="000000"/>
          <w:kern w:val="0"/>
          <w:sz w:val="30"/>
          <w:szCs w:val="30"/>
          <w:lang w:val="en-US" w:eastAsia="zh-CN" w:bidi="ar-SA"/>
        </w:rPr>
        <w:t>局</w:t>
      </w:r>
      <w:r>
        <w:rPr>
          <w:rFonts w:hint="default" w:ascii="仿宋_GB2312" w:hAnsi="黑体" w:eastAsia="仿宋_GB2312" w:cs="宋体"/>
          <w:b w:val="0"/>
          <w:bCs/>
          <w:color w:val="000000"/>
          <w:kern w:val="0"/>
          <w:sz w:val="30"/>
          <w:szCs w:val="30"/>
          <w:lang w:val="en-US" w:eastAsia="zh-CN" w:bidi="ar-SA"/>
        </w:rPr>
        <w:t>机构正常运转、完成日常工作任务而发生的各项支出，包括用于在职人员基本工资、津贴补贴</w:t>
      </w:r>
      <w:r>
        <w:rPr>
          <w:rFonts w:hint="eastAsia" w:ascii="仿宋_GB2312" w:hAnsi="黑体" w:eastAsia="仿宋_GB2312" w:cs="宋体"/>
          <w:b w:val="0"/>
          <w:bCs/>
          <w:color w:val="000000"/>
          <w:kern w:val="0"/>
          <w:sz w:val="30"/>
          <w:szCs w:val="30"/>
          <w:lang w:val="en-US" w:eastAsia="zh-CN" w:bidi="ar-SA"/>
        </w:rPr>
        <w:t>、奖金</w:t>
      </w:r>
      <w:r>
        <w:rPr>
          <w:rFonts w:hint="default" w:ascii="仿宋_GB2312" w:hAnsi="黑体" w:eastAsia="仿宋_GB2312" w:cs="宋体"/>
          <w:b w:val="0"/>
          <w:bCs/>
          <w:color w:val="000000"/>
          <w:kern w:val="0"/>
          <w:sz w:val="30"/>
          <w:szCs w:val="30"/>
          <w:lang w:val="en-US" w:eastAsia="zh-CN" w:bidi="ar-SA"/>
        </w:rPr>
        <w:t>等人员经费以及办公费、印刷费、</w:t>
      </w:r>
      <w:r>
        <w:rPr>
          <w:rFonts w:hint="eastAsia" w:ascii="仿宋_GB2312" w:hAnsi="黑体" w:eastAsia="仿宋_GB2312" w:cs="宋体"/>
          <w:b w:val="0"/>
          <w:bCs/>
          <w:color w:val="000000"/>
          <w:kern w:val="0"/>
          <w:sz w:val="30"/>
          <w:szCs w:val="30"/>
          <w:lang w:val="en-US" w:eastAsia="zh-CN" w:bidi="ar-SA"/>
        </w:rPr>
        <w:t>咨询费、</w:t>
      </w:r>
      <w:r>
        <w:rPr>
          <w:rFonts w:hint="default" w:ascii="仿宋_GB2312" w:hAnsi="黑体" w:eastAsia="仿宋_GB2312" w:cs="宋体"/>
          <w:b w:val="0"/>
          <w:bCs/>
          <w:color w:val="000000"/>
          <w:kern w:val="0"/>
          <w:sz w:val="30"/>
          <w:szCs w:val="30"/>
          <w:lang w:val="en-US" w:eastAsia="zh-CN" w:bidi="ar-SA"/>
        </w:rPr>
        <w:t>水电费、</w:t>
      </w:r>
      <w:r>
        <w:rPr>
          <w:rFonts w:hint="eastAsia" w:ascii="仿宋_GB2312" w:hAnsi="黑体" w:eastAsia="仿宋_GB2312" w:cs="宋体"/>
          <w:b w:val="0"/>
          <w:bCs/>
          <w:color w:val="000000"/>
          <w:kern w:val="0"/>
          <w:sz w:val="30"/>
          <w:szCs w:val="30"/>
          <w:lang w:val="en-US" w:eastAsia="zh-CN" w:bidi="ar-SA"/>
        </w:rPr>
        <w:t>维修（护）费、</w:t>
      </w:r>
      <w:r>
        <w:rPr>
          <w:rFonts w:hint="default" w:ascii="仿宋_GB2312" w:hAnsi="黑体" w:eastAsia="仿宋_GB2312" w:cs="宋体"/>
          <w:b w:val="0"/>
          <w:bCs/>
          <w:color w:val="000000"/>
          <w:kern w:val="0"/>
          <w:sz w:val="30"/>
          <w:szCs w:val="30"/>
          <w:lang w:val="en-US" w:eastAsia="zh-CN" w:bidi="ar-SA"/>
        </w:rPr>
        <w:t>办公设备购置等日常公用经费。201</w:t>
      </w:r>
      <w:r>
        <w:rPr>
          <w:rFonts w:hint="eastAsia" w:ascii="仿宋_GB2312" w:hAnsi="黑体" w:eastAsia="仿宋_GB2312" w:cs="宋体"/>
          <w:b w:val="0"/>
          <w:bCs/>
          <w:color w:val="000000"/>
          <w:kern w:val="0"/>
          <w:sz w:val="30"/>
          <w:szCs w:val="30"/>
          <w:lang w:val="en-US" w:eastAsia="zh-CN" w:bidi="ar-SA"/>
        </w:rPr>
        <w:t>9</w:t>
      </w:r>
      <w:r>
        <w:rPr>
          <w:rFonts w:hint="default" w:ascii="仿宋_GB2312" w:hAnsi="黑体" w:eastAsia="仿宋_GB2312" w:cs="宋体"/>
          <w:b w:val="0"/>
          <w:bCs/>
          <w:color w:val="000000"/>
          <w:kern w:val="0"/>
          <w:sz w:val="30"/>
          <w:szCs w:val="30"/>
          <w:lang w:val="en-US" w:eastAsia="zh-CN" w:bidi="ar-SA"/>
        </w:rPr>
        <w:t>年基本支出</w:t>
      </w:r>
      <w:r>
        <w:rPr>
          <w:rFonts w:hint="eastAsia" w:ascii="仿宋_GB2312" w:hAnsi="黑体" w:eastAsia="仿宋_GB2312" w:cs="宋体"/>
          <w:b w:val="0"/>
          <w:bCs/>
          <w:color w:val="000000"/>
          <w:kern w:val="0"/>
          <w:sz w:val="30"/>
          <w:szCs w:val="30"/>
          <w:lang w:val="en-US" w:eastAsia="zh-CN" w:bidi="ar-SA"/>
        </w:rPr>
        <w:t>1421.57</w:t>
      </w:r>
      <w:r>
        <w:rPr>
          <w:rFonts w:hint="default" w:ascii="仿宋_GB2312" w:hAnsi="黑体" w:eastAsia="仿宋_GB2312" w:cs="宋体"/>
          <w:b w:val="0"/>
          <w:bCs/>
          <w:color w:val="000000"/>
          <w:kern w:val="0"/>
          <w:sz w:val="30"/>
          <w:szCs w:val="30"/>
          <w:lang w:val="en-US" w:eastAsia="zh-CN" w:bidi="ar-SA"/>
        </w:rPr>
        <w:t>万元，。基本支出中人员经费</w:t>
      </w:r>
      <w:r>
        <w:rPr>
          <w:rFonts w:hint="eastAsia" w:ascii="仿宋_GB2312" w:hAnsi="黑体" w:eastAsia="仿宋_GB2312" w:cs="宋体"/>
          <w:b w:val="0"/>
          <w:bCs/>
          <w:color w:val="000000"/>
          <w:kern w:val="0"/>
          <w:sz w:val="30"/>
          <w:szCs w:val="30"/>
          <w:lang w:val="en-US" w:eastAsia="zh-CN" w:bidi="ar-SA"/>
        </w:rPr>
        <w:t>1108.23</w:t>
      </w:r>
      <w:r>
        <w:rPr>
          <w:rFonts w:hint="default" w:ascii="仿宋_GB2312" w:hAnsi="黑体" w:eastAsia="仿宋_GB2312" w:cs="宋体"/>
          <w:b w:val="0"/>
          <w:bCs/>
          <w:color w:val="000000"/>
          <w:kern w:val="0"/>
          <w:sz w:val="30"/>
          <w:szCs w:val="30"/>
          <w:lang w:val="en-US" w:eastAsia="zh-CN" w:bidi="ar-SA"/>
        </w:rPr>
        <w:t>万元，占基本支出的</w:t>
      </w:r>
      <w:r>
        <w:rPr>
          <w:rFonts w:hint="eastAsia" w:ascii="仿宋_GB2312" w:hAnsi="黑体" w:eastAsia="仿宋_GB2312" w:cs="宋体"/>
          <w:b w:val="0"/>
          <w:bCs/>
          <w:color w:val="000000"/>
          <w:kern w:val="0"/>
          <w:sz w:val="30"/>
          <w:szCs w:val="30"/>
          <w:lang w:val="en-US" w:eastAsia="zh-CN" w:bidi="ar-SA"/>
        </w:rPr>
        <w:t>77.96</w:t>
      </w:r>
      <w:r>
        <w:rPr>
          <w:rFonts w:hint="default" w:ascii="仿宋_GB2312" w:hAnsi="黑体" w:eastAsia="仿宋_GB2312" w:cs="宋体"/>
          <w:b w:val="0"/>
          <w:bCs/>
          <w:color w:val="000000"/>
          <w:kern w:val="0"/>
          <w:sz w:val="30"/>
          <w:szCs w:val="30"/>
          <w:lang w:val="en-US" w:eastAsia="zh-CN" w:bidi="ar-SA"/>
        </w:rPr>
        <w:t>%，日常公用经费</w:t>
      </w:r>
      <w:r>
        <w:rPr>
          <w:rFonts w:hint="eastAsia" w:ascii="仿宋_GB2312" w:hAnsi="黑体" w:eastAsia="仿宋_GB2312" w:cs="宋体"/>
          <w:b w:val="0"/>
          <w:bCs/>
          <w:color w:val="000000"/>
          <w:kern w:val="0"/>
          <w:sz w:val="30"/>
          <w:szCs w:val="30"/>
          <w:lang w:val="en-US" w:eastAsia="zh-CN" w:bidi="ar-SA"/>
        </w:rPr>
        <w:t>313.34</w:t>
      </w:r>
      <w:r>
        <w:rPr>
          <w:rFonts w:hint="default" w:ascii="仿宋_GB2312" w:hAnsi="黑体" w:eastAsia="仿宋_GB2312" w:cs="宋体"/>
          <w:b w:val="0"/>
          <w:bCs/>
          <w:color w:val="000000"/>
          <w:kern w:val="0"/>
          <w:sz w:val="30"/>
          <w:szCs w:val="30"/>
          <w:lang w:val="en-US" w:eastAsia="zh-CN" w:bidi="ar-SA"/>
        </w:rPr>
        <w:t>万元，占基本支出的</w:t>
      </w:r>
      <w:r>
        <w:rPr>
          <w:rFonts w:hint="eastAsia" w:ascii="仿宋_GB2312" w:hAnsi="黑体" w:eastAsia="仿宋_GB2312" w:cs="宋体"/>
          <w:b w:val="0"/>
          <w:bCs/>
          <w:color w:val="000000"/>
          <w:kern w:val="0"/>
          <w:sz w:val="30"/>
          <w:szCs w:val="30"/>
          <w:lang w:val="en-US" w:eastAsia="zh-CN" w:bidi="ar-SA"/>
        </w:rPr>
        <w:t>22.04</w:t>
      </w:r>
      <w:r>
        <w:rPr>
          <w:rFonts w:hint="default" w:ascii="仿宋_GB2312" w:hAnsi="黑体" w:eastAsia="仿宋_GB2312" w:cs="宋体"/>
          <w:b w:val="0"/>
          <w:bCs/>
          <w:color w:val="000000"/>
          <w:kern w:val="0"/>
          <w:sz w:val="30"/>
          <w:szCs w:val="30"/>
          <w:lang w:val="en-US" w:eastAsia="zh-CN" w:bidi="ar-SA"/>
        </w:rPr>
        <w:t>%</w:t>
      </w:r>
      <w:r>
        <w:rPr>
          <w:rFonts w:hint="eastAsia" w:ascii="仿宋_GB2312" w:hAnsi="黑体" w:eastAsia="仿宋_GB2312" w:cs="宋体"/>
          <w:b w:val="0"/>
          <w:bCs/>
          <w:color w:val="000000"/>
          <w:kern w:val="0"/>
          <w:sz w:val="30"/>
          <w:szCs w:val="30"/>
          <w:lang w:val="en-US" w:eastAsia="zh-CN" w:bidi="ar-SA"/>
        </w:rPr>
        <w:t>。</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0"/>
        <w:jc w:val="both"/>
        <w:rPr>
          <w:rFonts w:hint="default" w:ascii="仿宋_GB2312" w:hAnsi="黑体" w:eastAsia="仿宋_GB2312" w:cs="宋体"/>
          <w:b w:val="0"/>
          <w:bCs/>
          <w:color w:val="000000"/>
          <w:kern w:val="0"/>
          <w:sz w:val="30"/>
          <w:szCs w:val="30"/>
          <w:lang w:val="en-US" w:eastAsia="zh-CN" w:bidi="ar-SA"/>
        </w:rPr>
      </w:pPr>
      <w:r>
        <w:rPr>
          <w:rFonts w:hint="default" w:ascii="仿宋_GB2312" w:hAnsi="黑体" w:eastAsia="仿宋_GB2312" w:cs="宋体"/>
          <w:b w:val="0"/>
          <w:bCs/>
          <w:color w:val="000000"/>
          <w:kern w:val="0"/>
          <w:sz w:val="30"/>
          <w:szCs w:val="30"/>
          <w:lang w:val="en-US" w:eastAsia="zh-CN" w:bidi="ar-SA"/>
        </w:rPr>
        <w:t>2、项目支出 </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65"/>
        <w:jc w:val="both"/>
        <w:rPr>
          <w:rFonts w:hint="eastAsia" w:ascii="仿宋_GB2312" w:hAnsi="黑体" w:eastAsia="仿宋_GB2312" w:cs="宋体"/>
          <w:b w:val="0"/>
          <w:bCs/>
          <w:color w:val="000000"/>
          <w:kern w:val="0"/>
          <w:sz w:val="30"/>
          <w:szCs w:val="30"/>
          <w:lang w:val="en-US" w:eastAsia="zh-CN"/>
        </w:rPr>
      </w:pPr>
      <w:r>
        <w:rPr>
          <w:rFonts w:hint="default" w:ascii="仿宋_GB2312" w:hAnsi="黑体" w:eastAsia="仿宋_GB2312" w:cs="宋体"/>
          <w:b w:val="0"/>
          <w:bCs/>
          <w:color w:val="000000"/>
          <w:kern w:val="0"/>
          <w:sz w:val="30"/>
          <w:szCs w:val="30"/>
          <w:lang w:val="en-US" w:eastAsia="zh-CN" w:bidi="ar-SA"/>
        </w:rPr>
        <w:t>项目支出系我</w:t>
      </w:r>
      <w:r>
        <w:rPr>
          <w:rFonts w:hint="eastAsia" w:ascii="仿宋_GB2312" w:hAnsi="黑体" w:eastAsia="仿宋_GB2312" w:cs="宋体"/>
          <w:b w:val="0"/>
          <w:bCs/>
          <w:color w:val="000000"/>
          <w:kern w:val="0"/>
          <w:sz w:val="30"/>
          <w:szCs w:val="30"/>
          <w:lang w:val="en-US" w:eastAsia="zh-CN" w:bidi="ar-SA"/>
        </w:rPr>
        <w:t>局</w:t>
      </w:r>
      <w:r>
        <w:rPr>
          <w:rFonts w:hint="default" w:ascii="仿宋_GB2312" w:hAnsi="黑体" w:eastAsia="仿宋_GB2312" w:cs="宋体"/>
          <w:b w:val="0"/>
          <w:bCs/>
          <w:color w:val="000000"/>
          <w:kern w:val="0"/>
          <w:sz w:val="30"/>
          <w:szCs w:val="30"/>
          <w:lang w:val="en-US" w:eastAsia="zh-CN" w:bidi="ar-SA"/>
        </w:rPr>
        <w:t>为完成</w:t>
      </w:r>
      <w:r>
        <w:rPr>
          <w:rFonts w:hint="eastAsia" w:ascii="仿宋_GB2312" w:hAnsi="黑体" w:eastAsia="仿宋_GB2312" w:cs="宋体"/>
          <w:b w:val="0"/>
          <w:bCs/>
          <w:color w:val="000000"/>
          <w:kern w:val="0"/>
          <w:sz w:val="30"/>
          <w:szCs w:val="30"/>
          <w:lang w:val="en-US" w:eastAsia="zh-CN" w:bidi="ar-SA"/>
        </w:rPr>
        <w:t>各项业务</w:t>
      </w:r>
      <w:r>
        <w:rPr>
          <w:rFonts w:hint="default" w:ascii="仿宋_GB2312" w:hAnsi="黑体" w:eastAsia="仿宋_GB2312" w:cs="宋体"/>
          <w:b w:val="0"/>
          <w:bCs/>
          <w:color w:val="000000"/>
          <w:kern w:val="0"/>
          <w:sz w:val="30"/>
          <w:szCs w:val="30"/>
          <w:lang w:val="en-US" w:eastAsia="zh-CN" w:bidi="ar-SA"/>
        </w:rPr>
        <w:t>管理工作而发生的支出，包括</w:t>
      </w:r>
      <w:r>
        <w:rPr>
          <w:rFonts w:hint="eastAsia" w:ascii="仿宋_GB2312" w:hAnsi="黑体" w:eastAsia="仿宋_GB2312" w:cs="宋体"/>
          <w:b w:val="0"/>
          <w:bCs/>
          <w:color w:val="000000"/>
          <w:kern w:val="0"/>
          <w:sz w:val="30"/>
          <w:szCs w:val="30"/>
          <w:lang w:val="en-US" w:eastAsia="zh-CN" w:bidi="ar-SA"/>
        </w:rPr>
        <w:t>各类业务工作经费</w:t>
      </w:r>
      <w:r>
        <w:rPr>
          <w:rFonts w:hint="default" w:ascii="仿宋_GB2312" w:hAnsi="黑体" w:eastAsia="仿宋_GB2312" w:cs="宋体"/>
          <w:b w:val="0"/>
          <w:bCs/>
          <w:color w:val="000000"/>
          <w:kern w:val="0"/>
          <w:sz w:val="30"/>
          <w:szCs w:val="30"/>
          <w:lang w:val="en-US" w:eastAsia="zh-CN" w:bidi="ar-SA"/>
        </w:rPr>
        <w:t>。</w:t>
      </w:r>
      <w:r>
        <w:rPr>
          <w:rFonts w:hint="eastAsia" w:ascii="仿宋_GB2312" w:hAnsi="黑体" w:eastAsia="仿宋_GB2312" w:cs="宋体"/>
          <w:b w:val="0"/>
          <w:bCs/>
          <w:color w:val="000000"/>
          <w:kern w:val="0"/>
          <w:sz w:val="30"/>
          <w:szCs w:val="30"/>
          <w:lang w:val="en-US" w:eastAsia="zh-CN" w:bidi="ar-SA"/>
        </w:rPr>
        <w:t>项目</w:t>
      </w:r>
      <w:r>
        <w:rPr>
          <w:rFonts w:hint="default" w:ascii="仿宋_GB2312" w:hAnsi="黑体" w:eastAsia="仿宋_GB2312" w:cs="宋体"/>
          <w:b w:val="0"/>
          <w:bCs/>
          <w:color w:val="000000"/>
          <w:kern w:val="0"/>
          <w:sz w:val="30"/>
          <w:szCs w:val="30"/>
          <w:lang w:val="en-US" w:eastAsia="zh-CN" w:bidi="ar-SA"/>
        </w:rPr>
        <w:t>支出</w:t>
      </w:r>
      <w:r>
        <w:rPr>
          <w:rFonts w:hint="eastAsia" w:ascii="仿宋_GB2312" w:hAnsi="黑体" w:eastAsia="仿宋_GB2312" w:cs="宋体"/>
          <w:b w:val="0"/>
          <w:bCs/>
          <w:color w:val="000000"/>
          <w:kern w:val="0"/>
          <w:sz w:val="30"/>
          <w:szCs w:val="30"/>
          <w:lang w:val="en-US" w:eastAsia="zh-CN" w:bidi="ar-SA"/>
        </w:rPr>
        <w:t>主要包括前期项目管理、企业补助及招商</w:t>
      </w:r>
      <w:r>
        <w:rPr>
          <w:rFonts w:hint="default" w:ascii="仿宋_GB2312" w:hAnsi="黑体" w:eastAsia="仿宋_GB2312" w:cs="宋体"/>
          <w:b w:val="0"/>
          <w:bCs/>
          <w:color w:val="000000"/>
          <w:kern w:val="0"/>
          <w:sz w:val="30"/>
          <w:szCs w:val="30"/>
          <w:lang w:val="en-US" w:eastAsia="zh-CN" w:bidi="ar-SA"/>
        </w:rPr>
        <w:t>等方面</w:t>
      </w:r>
      <w:r>
        <w:rPr>
          <w:rFonts w:hint="eastAsia" w:ascii="仿宋_GB2312" w:hAnsi="黑体" w:eastAsia="仿宋_GB2312" w:cs="宋体"/>
          <w:b w:val="0"/>
          <w:bCs/>
          <w:color w:val="000000"/>
          <w:kern w:val="0"/>
          <w:sz w:val="30"/>
          <w:szCs w:val="30"/>
          <w:lang w:val="en-US" w:eastAsia="zh-CN" w:bidi="ar-SA"/>
        </w:rPr>
        <w:t>，</w:t>
      </w:r>
      <w:r>
        <w:rPr>
          <w:rFonts w:hint="default" w:ascii="仿宋_GB2312" w:hAnsi="黑体" w:eastAsia="仿宋_GB2312" w:cs="宋体"/>
          <w:b w:val="0"/>
          <w:bCs/>
          <w:color w:val="000000"/>
          <w:kern w:val="0"/>
          <w:sz w:val="30"/>
          <w:szCs w:val="30"/>
          <w:lang w:val="en-US" w:eastAsia="zh-CN" w:bidi="ar-SA"/>
        </w:rPr>
        <w:t>201</w:t>
      </w:r>
      <w:r>
        <w:rPr>
          <w:rFonts w:hint="eastAsia" w:ascii="仿宋_GB2312" w:hAnsi="黑体" w:eastAsia="仿宋_GB2312" w:cs="宋体"/>
          <w:b w:val="0"/>
          <w:bCs/>
          <w:color w:val="000000"/>
          <w:kern w:val="0"/>
          <w:sz w:val="30"/>
          <w:szCs w:val="30"/>
          <w:lang w:val="en-US" w:eastAsia="zh-CN" w:bidi="ar-SA"/>
        </w:rPr>
        <w:t>9</w:t>
      </w:r>
      <w:r>
        <w:rPr>
          <w:rFonts w:hint="default" w:ascii="仿宋_GB2312" w:hAnsi="黑体" w:eastAsia="仿宋_GB2312" w:cs="宋体"/>
          <w:b w:val="0"/>
          <w:bCs/>
          <w:color w:val="000000"/>
          <w:kern w:val="0"/>
          <w:sz w:val="30"/>
          <w:szCs w:val="30"/>
          <w:lang w:val="en-US" w:eastAsia="zh-CN" w:bidi="ar-SA"/>
        </w:rPr>
        <w:t>年项目支出</w:t>
      </w:r>
      <w:r>
        <w:rPr>
          <w:rFonts w:hint="eastAsia" w:ascii="仿宋_GB2312" w:hAnsi="黑体" w:eastAsia="仿宋_GB2312" w:cs="宋体"/>
          <w:b w:val="0"/>
          <w:bCs/>
          <w:color w:val="000000"/>
          <w:kern w:val="0"/>
          <w:sz w:val="30"/>
          <w:szCs w:val="30"/>
          <w:lang w:val="en-US" w:eastAsia="zh-CN" w:bidi="ar-SA"/>
        </w:rPr>
        <w:t>655.88</w:t>
      </w:r>
      <w:r>
        <w:rPr>
          <w:rFonts w:hint="default" w:ascii="仿宋_GB2312" w:hAnsi="黑体" w:eastAsia="仿宋_GB2312" w:cs="宋体"/>
          <w:b w:val="0"/>
          <w:bCs/>
          <w:color w:val="000000"/>
          <w:kern w:val="0"/>
          <w:sz w:val="30"/>
          <w:szCs w:val="30"/>
          <w:lang w:val="en-US" w:eastAsia="zh-CN" w:bidi="ar-SA"/>
        </w:rPr>
        <w:t>万元</w:t>
      </w:r>
      <w:r>
        <w:rPr>
          <w:rFonts w:hint="eastAsia" w:ascii="仿宋_GB2312" w:hAnsi="黑体" w:eastAsia="仿宋_GB2312" w:cs="宋体"/>
          <w:b w:val="0"/>
          <w:bCs/>
          <w:color w:val="000000"/>
          <w:kern w:val="0"/>
          <w:sz w:val="30"/>
          <w:szCs w:val="30"/>
          <w:lang w:val="en-US" w:eastAsia="zh-CN" w:bidi="ar-SA"/>
        </w:rPr>
        <w:t>。</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65"/>
        <w:jc w:val="both"/>
        <w:rPr>
          <w:rFonts w:hint="default" w:ascii="仿宋_GB2312" w:hAnsi="黑体" w:eastAsia="仿宋_GB2312" w:cs="宋体"/>
          <w:b w:val="0"/>
          <w:bCs/>
          <w:color w:val="000000"/>
          <w:kern w:val="0"/>
          <w:sz w:val="30"/>
          <w:szCs w:val="30"/>
          <w:lang w:val="en-US" w:eastAsia="zh-CN" w:bidi="ar-SA"/>
        </w:rPr>
      </w:pPr>
      <w:r>
        <w:rPr>
          <w:rFonts w:hint="default" w:ascii="仿宋_GB2312" w:hAnsi="黑体" w:eastAsia="仿宋_GB2312" w:cs="宋体"/>
          <w:b w:val="0"/>
          <w:bCs/>
          <w:color w:val="000000"/>
          <w:kern w:val="0"/>
          <w:sz w:val="30"/>
          <w:szCs w:val="30"/>
          <w:lang w:val="en-US" w:eastAsia="zh-CN" w:bidi="ar-SA"/>
        </w:rPr>
        <w:t>（四）“三公”经费情况 </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default" w:ascii="仿宋_GB2312" w:hAnsi="黑体" w:eastAsia="仿宋_GB2312" w:cs="宋体"/>
          <w:b w:val="0"/>
          <w:bCs/>
          <w:color w:val="000000"/>
          <w:kern w:val="0"/>
          <w:sz w:val="30"/>
          <w:szCs w:val="30"/>
          <w:lang w:val="en-US" w:eastAsia="zh-CN" w:bidi="ar-SA"/>
        </w:rPr>
      </w:pPr>
      <w:r>
        <w:rPr>
          <w:rFonts w:hint="default" w:ascii="仿宋_GB2312" w:hAnsi="黑体" w:eastAsia="仿宋_GB2312" w:cs="宋体"/>
          <w:b w:val="0"/>
          <w:bCs/>
          <w:color w:val="000000"/>
          <w:kern w:val="0"/>
          <w:sz w:val="30"/>
          <w:szCs w:val="30"/>
          <w:lang w:val="en-US" w:eastAsia="zh-CN" w:bidi="ar-SA"/>
        </w:rPr>
        <w:t>　　201</w:t>
      </w:r>
      <w:r>
        <w:rPr>
          <w:rFonts w:hint="eastAsia" w:ascii="仿宋_GB2312" w:hAnsi="黑体" w:eastAsia="仿宋_GB2312" w:cs="宋体"/>
          <w:b w:val="0"/>
          <w:bCs/>
          <w:color w:val="000000"/>
          <w:kern w:val="0"/>
          <w:sz w:val="30"/>
          <w:szCs w:val="30"/>
          <w:lang w:val="en-US" w:eastAsia="zh-CN" w:bidi="ar-SA"/>
        </w:rPr>
        <w:t>9</w:t>
      </w:r>
      <w:r>
        <w:rPr>
          <w:rFonts w:hint="default" w:ascii="仿宋_GB2312" w:hAnsi="黑体" w:eastAsia="仿宋_GB2312" w:cs="宋体"/>
          <w:b w:val="0"/>
          <w:bCs/>
          <w:color w:val="000000"/>
          <w:kern w:val="0"/>
          <w:sz w:val="30"/>
          <w:szCs w:val="30"/>
          <w:lang w:val="en-US" w:eastAsia="zh-CN" w:bidi="ar-SA"/>
        </w:rPr>
        <w:t>年三公经费支出</w:t>
      </w:r>
      <w:r>
        <w:rPr>
          <w:rFonts w:hint="eastAsia" w:ascii="仿宋_GB2312" w:hAnsi="黑体" w:eastAsia="仿宋_GB2312" w:cs="宋体"/>
          <w:b w:val="0"/>
          <w:bCs/>
          <w:color w:val="000000"/>
          <w:kern w:val="0"/>
          <w:sz w:val="30"/>
          <w:szCs w:val="30"/>
          <w:lang w:val="en-US" w:eastAsia="zh-CN" w:bidi="ar-SA"/>
        </w:rPr>
        <w:t>10.7</w:t>
      </w:r>
      <w:r>
        <w:rPr>
          <w:rFonts w:hint="default" w:ascii="仿宋_GB2312" w:hAnsi="黑体" w:eastAsia="仿宋_GB2312" w:cs="宋体"/>
          <w:b w:val="0"/>
          <w:bCs/>
          <w:color w:val="000000"/>
          <w:kern w:val="0"/>
          <w:sz w:val="30"/>
          <w:szCs w:val="30"/>
          <w:lang w:val="en-US" w:eastAsia="zh-CN" w:bidi="ar-SA"/>
        </w:rPr>
        <w:t>万元，为年初预算</w:t>
      </w:r>
      <w:r>
        <w:rPr>
          <w:rFonts w:hint="eastAsia" w:ascii="仿宋_GB2312" w:hAnsi="黑体" w:eastAsia="仿宋_GB2312" w:cs="宋体"/>
          <w:b w:val="0"/>
          <w:bCs/>
          <w:color w:val="000000"/>
          <w:kern w:val="0"/>
          <w:sz w:val="30"/>
          <w:szCs w:val="30"/>
          <w:lang w:val="en-US" w:eastAsia="zh-CN" w:bidi="ar-SA"/>
        </w:rPr>
        <w:t>11.8</w:t>
      </w:r>
      <w:r>
        <w:rPr>
          <w:rFonts w:hint="default" w:ascii="仿宋_GB2312" w:hAnsi="黑体" w:eastAsia="仿宋_GB2312" w:cs="宋体"/>
          <w:b w:val="0"/>
          <w:bCs/>
          <w:color w:val="000000"/>
          <w:kern w:val="0"/>
          <w:sz w:val="30"/>
          <w:szCs w:val="30"/>
          <w:lang w:val="en-US" w:eastAsia="zh-CN" w:bidi="ar-SA"/>
        </w:rPr>
        <w:t>万元的</w:t>
      </w:r>
      <w:r>
        <w:rPr>
          <w:rFonts w:hint="eastAsia" w:ascii="仿宋_GB2312" w:hAnsi="黑体" w:eastAsia="仿宋_GB2312" w:cs="宋体"/>
          <w:b w:val="0"/>
          <w:bCs/>
          <w:color w:val="000000"/>
          <w:kern w:val="0"/>
          <w:sz w:val="30"/>
          <w:szCs w:val="30"/>
          <w:lang w:val="en-US" w:eastAsia="zh-CN" w:bidi="ar-SA"/>
        </w:rPr>
        <w:t>90.67</w:t>
      </w:r>
      <w:r>
        <w:rPr>
          <w:rFonts w:hint="default" w:ascii="仿宋_GB2312" w:hAnsi="黑体" w:eastAsia="仿宋_GB2312" w:cs="宋体"/>
          <w:b w:val="0"/>
          <w:bCs/>
          <w:color w:val="000000"/>
          <w:kern w:val="0"/>
          <w:sz w:val="30"/>
          <w:szCs w:val="30"/>
          <w:lang w:val="en-US" w:eastAsia="zh-CN" w:bidi="ar-SA"/>
        </w:rPr>
        <w:t>%，比上年</w:t>
      </w:r>
      <w:r>
        <w:rPr>
          <w:rFonts w:hint="eastAsia" w:ascii="仿宋_GB2312" w:hAnsi="黑体" w:eastAsia="仿宋_GB2312" w:cs="宋体"/>
          <w:b w:val="0"/>
          <w:bCs/>
          <w:color w:val="000000"/>
          <w:kern w:val="0"/>
          <w:sz w:val="30"/>
          <w:szCs w:val="30"/>
          <w:lang w:val="en-US" w:eastAsia="zh-CN" w:bidi="ar-SA"/>
        </w:rPr>
        <w:t>10.8</w:t>
      </w:r>
      <w:r>
        <w:rPr>
          <w:rFonts w:hint="default" w:ascii="仿宋_GB2312" w:hAnsi="黑体" w:eastAsia="仿宋_GB2312" w:cs="宋体"/>
          <w:b w:val="0"/>
          <w:bCs/>
          <w:color w:val="000000"/>
          <w:kern w:val="0"/>
          <w:sz w:val="30"/>
          <w:szCs w:val="30"/>
          <w:lang w:val="en-US" w:eastAsia="zh-CN" w:bidi="ar-SA"/>
        </w:rPr>
        <w:t>万元减少</w:t>
      </w:r>
      <w:r>
        <w:rPr>
          <w:rFonts w:hint="eastAsia" w:ascii="仿宋_GB2312" w:hAnsi="黑体" w:eastAsia="仿宋_GB2312" w:cs="宋体"/>
          <w:b w:val="0"/>
          <w:bCs/>
          <w:color w:val="000000"/>
          <w:kern w:val="0"/>
          <w:sz w:val="30"/>
          <w:szCs w:val="30"/>
          <w:lang w:val="en-US" w:eastAsia="zh-CN" w:bidi="ar-SA"/>
        </w:rPr>
        <w:t>0.1万元，下降了0.92</w:t>
      </w:r>
      <w:r>
        <w:rPr>
          <w:rFonts w:hint="default" w:ascii="仿宋_GB2312" w:hAnsi="黑体" w:eastAsia="仿宋_GB2312" w:cs="宋体"/>
          <w:b w:val="0"/>
          <w:bCs/>
          <w:color w:val="000000"/>
          <w:kern w:val="0"/>
          <w:sz w:val="30"/>
          <w:szCs w:val="30"/>
          <w:lang w:val="en-US" w:eastAsia="zh-CN" w:bidi="ar-SA"/>
        </w:rPr>
        <w:t>%。其中： </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0"/>
        <w:jc w:val="both"/>
        <w:rPr>
          <w:rFonts w:hint="default" w:ascii="仿宋_GB2312" w:hAnsi="黑体" w:eastAsia="仿宋_GB2312" w:cs="宋体"/>
          <w:b w:val="0"/>
          <w:bCs/>
          <w:color w:val="000000"/>
          <w:kern w:val="0"/>
          <w:sz w:val="30"/>
          <w:szCs w:val="30"/>
          <w:lang w:val="en-US" w:eastAsia="zh-CN" w:bidi="ar-SA"/>
        </w:rPr>
      </w:pPr>
      <w:r>
        <w:rPr>
          <w:rFonts w:hint="default" w:ascii="仿宋_GB2312" w:hAnsi="黑体" w:eastAsia="仿宋_GB2312" w:cs="宋体"/>
          <w:b w:val="0"/>
          <w:bCs/>
          <w:color w:val="000000"/>
          <w:kern w:val="0"/>
          <w:sz w:val="30"/>
          <w:szCs w:val="30"/>
          <w:lang w:val="en-US" w:eastAsia="zh-CN" w:bidi="ar-SA"/>
        </w:rPr>
        <w:t>公务用车购置及运行维护费支出</w:t>
      </w:r>
      <w:r>
        <w:rPr>
          <w:rFonts w:hint="eastAsia" w:ascii="仿宋_GB2312" w:hAnsi="黑体" w:eastAsia="仿宋_GB2312" w:cs="宋体"/>
          <w:b w:val="0"/>
          <w:bCs/>
          <w:color w:val="000000"/>
          <w:kern w:val="0"/>
          <w:sz w:val="30"/>
          <w:szCs w:val="30"/>
          <w:lang w:val="en-US" w:eastAsia="zh-CN" w:bidi="ar-SA"/>
        </w:rPr>
        <w:t>0</w:t>
      </w:r>
      <w:r>
        <w:rPr>
          <w:rFonts w:hint="default" w:ascii="仿宋_GB2312" w:hAnsi="黑体" w:eastAsia="仿宋_GB2312" w:cs="宋体"/>
          <w:b w:val="0"/>
          <w:bCs/>
          <w:color w:val="000000"/>
          <w:kern w:val="0"/>
          <w:sz w:val="30"/>
          <w:szCs w:val="30"/>
          <w:lang w:val="en-US" w:eastAsia="zh-CN" w:bidi="ar-SA"/>
        </w:rPr>
        <w:t>万元</w:t>
      </w:r>
      <w:r>
        <w:rPr>
          <w:rFonts w:hint="eastAsia" w:ascii="仿宋_GB2312" w:hAnsi="黑体" w:eastAsia="仿宋_GB2312" w:cs="宋体"/>
          <w:b w:val="0"/>
          <w:bCs/>
          <w:color w:val="000000"/>
          <w:kern w:val="0"/>
          <w:sz w:val="30"/>
          <w:szCs w:val="30"/>
          <w:lang w:val="en-US" w:eastAsia="zh-CN" w:bidi="ar-SA"/>
        </w:rPr>
        <w:t>，与上年持平</w:t>
      </w:r>
      <w:r>
        <w:rPr>
          <w:rFonts w:hint="default" w:ascii="仿宋_GB2312" w:hAnsi="黑体" w:eastAsia="仿宋_GB2312" w:cs="宋体"/>
          <w:b w:val="0"/>
          <w:bCs/>
          <w:color w:val="000000"/>
          <w:kern w:val="0"/>
          <w:sz w:val="30"/>
          <w:szCs w:val="30"/>
          <w:lang w:val="en-US" w:eastAsia="zh-CN" w:bidi="ar-SA"/>
        </w:rPr>
        <w:t>。</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0"/>
        <w:jc w:val="both"/>
        <w:rPr>
          <w:rFonts w:hint="default" w:ascii="Times New Roman" w:hAnsi="Times New Roman" w:eastAsia="黑体" w:cs="Times New Roman"/>
          <w:kern w:val="2"/>
          <w:sz w:val="32"/>
          <w:szCs w:val="32"/>
          <w:lang w:val="en-US" w:eastAsia="zh-CN" w:bidi="ar-SA"/>
        </w:rPr>
      </w:pPr>
      <w:r>
        <w:rPr>
          <w:rFonts w:hint="eastAsia" w:ascii="仿宋_GB2312" w:hAnsi="黑体" w:eastAsia="仿宋_GB2312" w:cs="宋体"/>
          <w:b w:val="0"/>
          <w:bCs/>
          <w:color w:val="000000"/>
          <w:kern w:val="0"/>
          <w:sz w:val="30"/>
          <w:szCs w:val="30"/>
          <w:lang w:val="en-US" w:eastAsia="zh-CN" w:bidi="ar-SA"/>
        </w:rPr>
        <w:t>公务接待费10.7万元，均为国内公务接待费。比上年减少0.1万元，下降了0.92</w:t>
      </w:r>
      <w:r>
        <w:rPr>
          <w:rFonts w:hint="default" w:ascii="仿宋_GB2312" w:hAnsi="黑体" w:eastAsia="仿宋_GB2312" w:cs="宋体"/>
          <w:b w:val="0"/>
          <w:bCs/>
          <w:color w:val="000000"/>
          <w:kern w:val="0"/>
          <w:sz w:val="30"/>
          <w:szCs w:val="30"/>
          <w:lang w:val="en-US" w:eastAsia="zh-CN" w:bidi="ar-SA"/>
        </w:rPr>
        <w:t>%</w:t>
      </w:r>
      <w:r>
        <w:rPr>
          <w:rFonts w:hint="eastAsia" w:ascii="仿宋_GB2312" w:hAnsi="黑体" w:eastAsia="仿宋_GB2312" w:cs="宋体"/>
          <w:b w:val="0"/>
          <w:bCs/>
          <w:color w:val="000000"/>
          <w:kern w:val="0"/>
          <w:sz w:val="30"/>
          <w:szCs w:val="30"/>
          <w:lang w:val="en-US" w:eastAsia="zh-CN" w:bidi="ar-SA"/>
        </w:rPr>
        <w:t>。</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default" w:ascii="Times New Roman" w:hAnsi="Times New Roman" w:eastAsia="黑体" w:cs="Times New Roman"/>
          <w:kern w:val="2"/>
          <w:sz w:val="32"/>
          <w:szCs w:val="32"/>
          <w:lang w:val="en-US" w:eastAsia="zh-CN" w:bidi="ar-SA"/>
        </w:rPr>
      </w:pPr>
      <w:r>
        <w:rPr>
          <w:rFonts w:hint="default" w:ascii="Times New Roman" w:hAnsi="Times New Roman" w:eastAsia="黑体" w:cs="Times New Roman"/>
          <w:kern w:val="2"/>
          <w:sz w:val="32"/>
          <w:szCs w:val="32"/>
          <w:lang w:val="en-US" w:eastAsia="zh-CN" w:bidi="ar-SA"/>
        </w:rPr>
        <w:t>　　三、部门整体支出绩效指标评价情况 </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default" w:ascii="仿宋_GB2312" w:hAnsi="黑体" w:eastAsia="仿宋_GB2312" w:cs="宋体"/>
          <w:b w:val="0"/>
          <w:bCs/>
          <w:color w:val="000000"/>
          <w:kern w:val="0"/>
          <w:sz w:val="30"/>
          <w:szCs w:val="30"/>
          <w:lang w:val="en-US" w:eastAsia="zh-CN" w:bidi="ar-SA"/>
        </w:rPr>
      </w:pPr>
      <w:r>
        <w:rPr>
          <w:rFonts w:hint="default" w:ascii="Times New Roman" w:hAnsi="Times New Roman" w:eastAsia="黑体" w:cs="Times New Roman"/>
          <w:kern w:val="2"/>
          <w:sz w:val="32"/>
          <w:szCs w:val="32"/>
          <w:lang w:val="en-US" w:eastAsia="zh-CN" w:bidi="ar-SA"/>
        </w:rPr>
        <w:t>　　</w:t>
      </w:r>
      <w:r>
        <w:rPr>
          <w:rFonts w:hint="default" w:ascii="仿宋_GB2312" w:hAnsi="黑体" w:eastAsia="仿宋_GB2312" w:cs="宋体"/>
          <w:b w:val="0"/>
          <w:bCs/>
          <w:color w:val="000000"/>
          <w:kern w:val="0"/>
          <w:sz w:val="30"/>
          <w:szCs w:val="30"/>
          <w:lang w:val="en-US" w:eastAsia="zh-CN" w:bidi="ar-SA"/>
        </w:rPr>
        <w:t>对照</w:t>
      </w:r>
      <w:r>
        <w:rPr>
          <w:rFonts w:hint="eastAsia" w:ascii="仿宋_GB2312" w:hAnsi="黑体" w:eastAsia="仿宋_GB2312" w:cs="宋体"/>
          <w:b w:val="0"/>
          <w:bCs/>
          <w:color w:val="000000"/>
          <w:kern w:val="0"/>
          <w:sz w:val="30"/>
          <w:szCs w:val="30"/>
          <w:lang w:val="en-US" w:eastAsia="zh-CN" w:bidi="ar-SA"/>
        </w:rPr>
        <w:t>零财</w:t>
      </w:r>
      <w:r>
        <w:rPr>
          <w:rFonts w:hint="default" w:ascii="仿宋_GB2312" w:hAnsi="黑体" w:eastAsia="仿宋_GB2312" w:cs="宋体"/>
          <w:b w:val="0"/>
          <w:bCs/>
          <w:color w:val="000000"/>
          <w:kern w:val="0"/>
          <w:sz w:val="30"/>
          <w:szCs w:val="30"/>
          <w:lang w:val="en-US" w:eastAsia="zh-CN" w:bidi="ar-SA"/>
        </w:rPr>
        <w:t>绩〔20</w:t>
      </w:r>
      <w:r>
        <w:rPr>
          <w:rFonts w:hint="eastAsia" w:ascii="仿宋_GB2312" w:hAnsi="黑体" w:eastAsia="仿宋_GB2312" w:cs="宋体"/>
          <w:b w:val="0"/>
          <w:bCs/>
          <w:color w:val="000000"/>
          <w:kern w:val="0"/>
          <w:sz w:val="30"/>
          <w:szCs w:val="30"/>
          <w:lang w:val="en-US" w:eastAsia="zh-CN" w:bidi="ar-SA"/>
        </w:rPr>
        <w:t>20</w:t>
      </w:r>
      <w:r>
        <w:rPr>
          <w:rFonts w:hint="default" w:ascii="仿宋_GB2312" w:hAnsi="黑体" w:eastAsia="仿宋_GB2312" w:cs="宋体"/>
          <w:b w:val="0"/>
          <w:bCs/>
          <w:color w:val="000000"/>
          <w:kern w:val="0"/>
          <w:sz w:val="30"/>
          <w:szCs w:val="30"/>
          <w:lang w:val="en-US" w:eastAsia="zh-CN" w:bidi="ar-SA"/>
        </w:rPr>
        <w:t>〕</w:t>
      </w:r>
      <w:r>
        <w:rPr>
          <w:rFonts w:hint="eastAsia" w:ascii="仿宋_GB2312" w:hAnsi="黑体" w:eastAsia="仿宋_GB2312" w:cs="宋体"/>
          <w:b w:val="0"/>
          <w:bCs/>
          <w:color w:val="000000"/>
          <w:kern w:val="0"/>
          <w:sz w:val="30"/>
          <w:szCs w:val="30"/>
          <w:lang w:val="en-US" w:eastAsia="zh-CN" w:bidi="ar-SA"/>
        </w:rPr>
        <w:t>1</w:t>
      </w:r>
      <w:r>
        <w:rPr>
          <w:rFonts w:hint="default" w:ascii="仿宋_GB2312" w:hAnsi="黑体" w:eastAsia="仿宋_GB2312" w:cs="宋体"/>
          <w:b w:val="0"/>
          <w:bCs/>
          <w:color w:val="000000"/>
          <w:kern w:val="0"/>
          <w:sz w:val="30"/>
          <w:szCs w:val="30"/>
          <w:lang w:val="en-US" w:eastAsia="zh-CN" w:bidi="ar-SA"/>
        </w:rPr>
        <w:t>号文件规定的考核指标，我</w:t>
      </w:r>
      <w:r>
        <w:rPr>
          <w:rFonts w:hint="eastAsia" w:ascii="仿宋_GB2312" w:hAnsi="黑体" w:eastAsia="仿宋_GB2312" w:cs="宋体"/>
          <w:b w:val="0"/>
          <w:bCs/>
          <w:color w:val="000000"/>
          <w:kern w:val="0"/>
          <w:sz w:val="30"/>
          <w:szCs w:val="30"/>
          <w:lang w:val="en-US" w:eastAsia="zh-CN" w:bidi="ar-SA"/>
        </w:rPr>
        <w:t>局</w:t>
      </w:r>
      <w:r>
        <w:rPr>
          <w:rFonts w:hint="default" w:ascii="仿宋_GB2312" w:hAnsi="黑体" w:eastAsia="仿宋_GB2312" w:cs="宋体"/>
          <w:b w:val="0"/>
          <w:bCs/>
          <w:color w:val="000000"/>
          <w:kern w:val="0"/>
          <w:sz w:val="30"/>
          <w:szCs w:val="30"/>
          <w:lang w:val="en-US" w:eastAsia="zh-CN" w:bidi="ar-SA"/>
        </w:rPr>
        <w:t>从预算配置、预算执行、预算管理、履职效益等方面对201</w:t>
      </w:r>
      <w:r>
        <w:rPr>
          <w:rFonts w:hint="eastAsia" w:ascii="仿宋_GB2312" w:hAnsi="黑体" w:eastAsia="仿宋_GB2312" w:cs="宋体"/>
          <w:b w:val="0"/>
          <w:bCs/>
          <w:color w:val="000000"/>
          <w:kern w:val="0"/>
          <w:sz w:val="30"/>
          <w:szCs w:val="30"/>
          <w:lang w:val="en-US" w:eastAsia="zh-CN" w:bidi="ar-SA"/>
        </w:rPr>
        <w:t>9</w:t>
      </w:r>
      <w:r>
        <w:rPr>
          <w:rFonts w:hint="default" w:ascii="仿宋_GB2312" w:hAnsi="黑体" w:eastAsia="仿宋_GB2312" w:cs="宋体"/>
          <w:b w:val="0"/>
          <w:bCs/>
          <w:color w:val="000000"/>
          <w:kern w:val="0"/>
          <w:sz w:val="30"/>
          <w:szCs w:val="30"/>
          <w:lang w:val="en-US" w:eastAsia="zh-CN" w:bidi="ar-SA"/>
        </w:rPr>
        <w:t>年部门整体支出绩效开展了评价，自评得分9</w:t>
      </w:r>
      <w:r>
        <w:rPr>
          <w:rFonts w:hint="eastAsia" w:ascii="仿宋_GB2312" w:hAnsi="黑体" w:eastAsia="仿宋_GB2312" w:cs="宋体"/>
          <w:b w:val="0"/>
          <w:bCs/>
          <w:color w:val="000000"/>
          <w:kern w:val="0"/>
          <w:sz w:val="30"/>
          <w:szCs w:val="30"/>
          <w:lang w:val="en-US" w:eastAsia="zh-CN" w:bidi="ar-SA"/>
        </w:rPr>
        <w:t>5</w:t>
      </w:r>
      <w:r>
        <w:rPr>
          <w:rFonts w:hint="default" w:ascii="仿宋_GB2312" w:hAnsi="黑体" w:eastAsia="仿宋_GB2312" w:cs="宋体"/>
          <w:b w:val="0"/>
          <w:bCs/>
          <w:color w:val="000000"/>
          <w:kern w:val="0"/>
          <w:sz w:val="30"/>
          <w:szCs w:val="30"/>
          <w:lang w:val="en-US" w:eastAsia="zh-CN" w:bidi="ar-SA"/>
        </w:rPr>
        <w:t>分，具体情况如下： </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default" w:ascii="仿宋_GB2312" w:hAnsi="黑体" w:eastAsia="仿宋_GB2312" w:cs="宋体"/>
          <w:b w:val="0"/>
          <w:bCs/>
          <w:color w:val="000000"/>
          <w:kern w:val="0"/>
          <w:sz w:val="30"/>
          <w:szCs w:val="30"/>
          <w:lang w:val="en-US" w:eastAsia="zh-CN" w:bidi="ar-SA"/>
        </w:rPr>
      </w:pPr>
      <w:r>
        <w:rPr>
          <w:rFonts w:hint="default" w:ascii="仿宋_GB2312" w:hAnsi="黑体" w:eastAsia="仿宋_GB2312" w:cs="宋体"/>
          <w:b w:val="0"/>
          <w:bCs/>
          <w:color w:val="000000"/>
          <w:kern w:val="0"/>
          <w:sz w:val="30"/>
          <w:szCs w:val="30"/>
          <w:lang w:val="en-US" w:eastAsia="zh-CN" w:bidi="ar-SA"/>
        </w:rPr>
        <w:t>　　（一）预算配置方面 </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default" w:ascii="仿宋_GB2312" w:hAnsi="黑体" w:eastAsia="仿宋_GB2312" w:cs="宋体"/>
          <w:b w:val="0"/>
          <w:bCs/>
          <w:color w:val="000000"/>
          <w:kern w:val="0"/>
          <w:sz w:val="30"/>
          <w:szCs w:val="30"/>
          <w:lang w:val="en-US" w:eastAsia="zh-CN" w:bidi="ar-SA"/>
        </w:rPr>
      </w:pPr>
      <w:r>
        <w:rPr>
          <w:rFonts w:hint="default" w:ascii="仿宋_GB2312" w:hAnsi="黑体" w:eastAsia="仿宋_GB2312" w:cs="宋体"/>
          <w:b w:val="0"/>
          <w:bCs/>
          <w:color w:val="000000"/>
          <w:kern w:val="0"/>
          <w:sz w:val="30"/>
          <w:szCs w:val="30"/>
          <w:lang w:val="en-US" w:eastAsia="zh-CN" w:bidi="ar-SA"/>
        </w:rPr>
        <w:t>　　在职人员控制率：</w:t>
      </w:r>
      <w:r>
        <w:rPr>
          <w:rFonts w:hint="eastAsia" w:ascii="仿宋_GB2312" w:hAnsi="黑体" w:eastAsia="仿宋_GB2312" w:cs="宋体"/>
          <w:b w:val="0"/>
          <w:bCs/>
          <w:color w:val="000000"/>
          <w:kern w:val="0"/>
          <w:sz w:val="30"/>
          <w:szCs w:val="30"/>
          <w:lang w:val="en-US" w:eastAsia="zh-CN" w:bidi="ar-SA"/>
        </w:rPr>
        <w:t>财政预算50</w:t>
      </w:r>
      <w:r>
        <w:rPr>
          <w:rFonts w:hint="default" w:ascii="仿宋_GB2312" w:hAnsi="黑体" w:eastAsia="仿宋_GB2312" w:cs="宋体"/>
          <w:b w:val="0"/>
          <w:bCs/>
          <w:color w:val="000000"/>
          <w:kern w:val="0"/>
          <w:sz w:val="30"/>
          <w:szCs w:val="30"/>
          <w:lang w:val="en-US" w:eastAsia="zh-CN" w:bidi="ar-SA"/>
        </w:rPr>
        <w:t>人，在职人员</w:t>
      </w:r>
      <w:r>
        <w:rPr>
          <w:rFonts w:hint="eastAsia" w:ascii="仿宋_GB2312" w:hAnsi="黑体" w:eastAsia="仿宋_GB2312" w:cs="宋体"/>
          <w:b w:val="0"/>
          <w:bCs/>
          <w:color w:val="000000"/>
          <w:kern w:val="0"/>
          <w:sz w:val="30"/>
          <w:szCs w:val="30"/>
          <w:lang w:val="en-US" w:eastAsia="zh-CN" w:bidi="ar-SA"/>
        </w:rPr>
        <w:t>48</w:t>
      </w:r>
      <w:r>
        <w:rPr>
          <w:rFonts w:hint="default" w:ascii="仿宋_GB2312" w:hAnsi="黑体" w:eastAsia="仿宋_GB2312" w:cs="宋体"/>
          <w:b w:val="0"/>
          <w:bCs/>
          <w:color w:val="000000"/>
          <w:kern w:val="0"/>
          <w:sz w:val="30"/>
          <w:szCs w:val="30"/>
          <w:lang w:val="en-US" w:eastAsia="zh-CN" w:bidi="ar-SA"/>
        </w:rPr>
        <w:t>人，在</w:t>
      </w:r>
      <w:r>
        <w:rPr>
          <w:rFonts w:hint="eastAsia" w:ascii="仿宋_GB2312" w:hAnsi="黑体" w:eastAsia="仿宋_GB2312" w:cs="宋体"/>
          <w:b w:val="0"/>
          <w:bCs/>
          <w:color w:val="000000"/>
          <w:kern w:val="0"/>
          <w:sz w:val="30"/>
          <w:szCs w:val="30"/>
          <w:lang w:val="en-US" w:eastAsia="zh-CN" w:bidi="ar-SA"/>
        </w:rPr>
        <w:t>财政供养</w:t>
      </w:r>
      <w:r>
        <w:rPr>
          <w:rFonts w:hint="default" w:ascii="仿宋_GB2312" w:hAnsi="黑体" w:eastAsia="仿宋_GB2312" w:cs="宋体"/>
          <w:b w:val="0"/>
          <w:bCs/>
          <w:color w:val="000000"/>
          <w:kern w:val="0"/>
          <w:sz w:val="30"/>
          <w:szCs w:val="30"/>
          <w:lang w:val="en-US" w:eastAsia="zh-CN" w:bidi="ar-SA"/>
        </w:rPr>
        <w:t>控制范围内，在职人员控制率为</w:t>
      </w:r>
      <w:r>
        <w:rPr>
          <w:rFonts w:hint="eastAsia" w:ascii="仿宋_GB2312" w:hAnsi="黑体" w:eastAsia="仿宋_GB2312" w:cs="宋体"/>
          <w:b w:val="0"/>
          <w:bCs/>
          <w:color w:val="000000"/>
          <w:kern w:val="0"/>
          <w:sz w:val="30"/>
          <w:szCs w:val="30"/>
          <w:lang w:val="en-US" w:eastAsia="zh-CN" w:bidi="ar-SA"/>
        </w:rPr>
        <w:t>96</w:t>
      </w:r>
      <w:r>
        <w:rPr>
          <w:rFonts w:hint="default" w:ascii="仿宋_GB2312" w:hAnsi="黑体" w:eastAsia="仿宋_GB2312" w:cs="宋体"/>
          <w:b w:val="0"/>
          <w:bCs/>
          <w:color w:val="000000"/>
          <w:kern w:val="0"/>
          <w:sz w:val="30"/>
          <w:szCs w:val="30"/>
          <w:lang w:val="en-US" w:eastAsia="zh-CN" w:bidi="ar-SA"/>
        </w:rPr>
        <w:t>%。 </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default" w:ascii="仿宋_GB2312" w:hAnsi="黑体" w:eastAsia="仿宋_GB2312" w:cs="宋体"/>
          <w:b w:val="0"/>
          <w:bCs/>
          <w:color w:val="000000"/>
          <w:kern w:val="0"/>
          <w:sz w:val="30"/>
          <w:szCs w:val="30"/>
          <w:lang w:val="en-US" w:eastAsia="zh-CN" w:bidi="ar-SA"/>
        </w:rPr>
      </w:pPr>
      <w:r>
        <w:rPr>
          <w:rFonts w:hint="default" w:ascii="仿宋_GB2312" w:hAnsi="黑体" w:eastAsia="仿宋_GB2312" w:cs="宋体"/>
          <w:b w:val="0"/>
          <w:bCs/>
          <w:color w:val="000000"/>
          <w:kern w:val="0"/>
          <w:sz w:val="30"/>
          <w:szCs w:val="30"/>
          <w:lang w:val="en-US" w:eastAsia="zh-CN" w:bidi="ar-SA"/>
        </w:rPr>
        <w:t>　　“三公经费”变动率：三公经费本年</w:t>
      </w:r>
      <w:r>
        <w:rPr>
          <w:rFonts w:hint="eastAsia" w:ascii="仿宋_GB2312" w:hAnsi="黑体" w:eastAsia="仿宋_GB2312" w:cs="宋体"/>
          <w:b w:val="0"/>
          <w:bCs/>
          <w:color w:val="000000"/>
          <w:kern w:val="0"/>
          <w:sz w:val="30"/>
          <w:szCs w:val="30"/>
          <w:lang w:val="en-US" w:eastAsia="zh-CN" w:bidi="ar-SA"/>
        </w:rPr>
        <w:t>发生</w:t>
      </w:r>
      <w:r>
        <w:rPr>
          <w:rFonts w:hint="default" w:ascii="仿宋_GB2312" w:hAnsi="黑体" w:eastAsia="仿宋_GB2312" w:cs="宋体"/>
          <w:b w:val="0"/>
          <w:bCs/>
          <w:color w:val="000000"/>
          <w:kern w:val="0"/>
          <w:sz w:val="30"/>
          <w:szCs w:val="30"/>
          <w:lang w:val="en-US" w:eastAsia="zh-CN" w:bidi="ar-SA"/>
        </w:rPr>
        <w:t>数</w:t>
      </w:r>
      <w:r>
        <w:rPr>
          <w:rFonts w:hint="eastAsia" w:ascii="仿宋_GB2312" w:hAnsi="黑体" w:eastAsia="仿宋_GB2312" w:cs="宋体"/>
          <w:b w:val="0"/>
          <w:bCs/>
          <w:color w:val="000000"/>
          <w:kern w:val="0"/>
          <w:sz w:val="30"/>
          <w:szCs w:val="30"/>
          <w:lang w:val="en-US" w:eastAsia="zh-CN" w:bidi="ar-SA"/>
        </w:rPr>
        <w:t>10.7</w:t>
      </w:r>
      <w:r>
        <w:rPr>
          <w:rFonts w:hint="default" w:ascii="仿宋_GB2312" w:hAnsi="黑体" w:eastAsia="仿宋_GB2312" w:cs="宋体"/>
          <w:b w:val="0"/>
          <w:bCs/>
          <w:color w:val="000000"/>
          <w:kern w:val="0"/>
          <w:sz w:val="30"/>
          <w:szCs w:val="30"/>
          <w:lang w:val="en-US" w:eastAsia="zh-CN" w:bidi="ar-SA"/>
        </w:rPr>
        <w:t>万元</w:t>
      </w:r>
      <w:r>
        <w:rPr>
          <w:rFonts w:hint="eastAsia" w:ascii="仿宋_GB2312" w:hAnsi="黑体" w:eastAsia="仿宋_GB2312" w:cs="宋体"/>
          <w:b w:val="0"/>
          <w:bCs/>
          <w:color w:val="000000"/>
          <w:kern w:val="0"/>
          <w:sz w:val="30"/>
          <w:szCs w:val="30"/>
          <w:lang w:val="en-US" w:eastAsia="zh-CN" w:bidi="ar-SA"/>
        </w:rPr>
        <w:t>，</w:t>
      </w:r>
      <w:r>
        <w:rPr>
          <w:rFonts w:hint="default" w:ascii="仿宋_GB2312" w:hAnsi="黑体" w:eastAsia="仿宋_GB2312" w:cs="宋体"/>
          <w:b w:val="0"/>
          <w:bCs/>
          <w:color w:val="000000"/>
          <w:kern w:val="0"/>
          <w:sz w:val="30"/>
          <w:szCs w:val="30"/>
          <w:lang w:val="en-US" w:eastAsia="zh-CN" w:bidi="ar-SA"/>
        </w:rPr>
        <w:t>上年</w:t>
      </w:r>
      <w:r>
        <w:rPr>
          <w:rFonts w:hint="eastAsia" w:ascii="仿宋_GB2312" w:hAnsi="黑体" w:eastAsia="仿宋_GB2312" w:cs="宋体"/>
          <w:b w:val="0"/>
          <w:bCs/>
          <w:color w:val="000000"/>
          <w:kern w:val="0"/>
          <w:sz w:val="30"/>
          <w:szCs w:val="30"/>
          <w:lang w:val="en-US" w:eastAsia="zh-CN" w:bidi="ar-SA"/>
        </w:rPr>
        <w:t>发生</w:t>
      </w:r>
      <w:r>
        <w:rPr>
          <w:rFonts w:hint="default" w:ascii="仿宋_GB2312" w:hAnsi="黑体" w:eastAsia="仿宋_GB2312" w:cs="宋体"/>
          <w:b w:val="0"/>
          <w:bCs/>
          <w:color w:val="000000"/>
          <w:kern w:val="0"/>
          <w:sz w:val="30"/>
          <w:szCs w:val="30"/>
          <w:lang w:val="en-US" w:eastAsia="zh-CN" w:bidi="ar-SA"/>
        </w:rPr>
        <w:t>数</w:t>
      </w:r>
      <w:r>
        <w:rPr>
          <w:rFonts w:hint="eastAsia" w:ascii="仿宋_GB2312" w:hAnsi="黑体" w:eastAsia="仿宋_GB2312" w:cs="宋体"/>
          <w:b w:val="0"/>
          <w:bCs/>
          <w:color w:val="000000"/>
          <w:kern w:val="0"/>
          <w:sz w:val="30"/>
          <w:szCs w:val="30"/>
          <w:lang w:val="en-US" w:eastAsia="zh-CN" w:bidi="ar-SA"/>
        </w:rPr>
        <w:t>10.8</w:t>
      </w:r>
      <w:r>
        <w:rPr>
          <w:rFonts w:hint="default" w:ascii="仿宋_GB2312" w:hAnsi="黑体" w:eastAsia="仿宋_GB2312" w:cs="宋体"/>
          <w:b w:val="0"/>
          <w:bCs/>
          <w:color w:val="000000"/>
          <w:kern w:val="0"/>
          <w:sz w:val="30"/>
          <w:szCs w:val="30"/>
          <w:lang w:val="en-US" w:eastAsia="zh-CN" w:bidi="ar-SA"/>
        </w:rPr>
        <w:t>万元， “三公经费”</w:t>
      </w:r>
      <w:r>
        <w:rPr>
          <w:rFonts w:hint="eastAsia" w:ascii="仿宋_GB2312" w:hAnsi="黑体" w:eastAsia="仿宋_GB2312" w:cs="宋体"/>
          <w:b w:val="0"/>
          <w:bCs/>
          <w:color w:val="000000"/>
          <w:kern w:val="0"/>
          <w:sz w:val="30"/>
          <w:szCs w:val="30"/>
          <w:lang w:val="en-US" w:eastAsia="zh-CN" w:bidi="ar-SA"/>
        </w:rPr>
        <w:t>费用较低，变动率在-0.9%，</w:t>
      </w:r>
      <w:r>
        <w:rPr>
          <w:rFonts w:hint="default" w:ascii="仿宋_GB2312" w:hAnsi="黑体" w:eastAsia="仿宋_GB2312" w:cs="宋体"/>
          <w:b w:val="0"/>
          <w:bCs/>
          <w:color w:val="000000"/>
          <w:kern w:val="0"/>
          <w:sz w:val="30"/>
          <w:szCs w:val="30"/>
          <w:lang w:val="en-US" w:eastAsia="zh-CN" w:bidi="ar-SA"/>
        </w:rPr>
        <w:t>控制较好。 </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default" w:ascii="仿宋_GB2312" w:hAnsi="黑体" w:eastAsia="仿宋_GB2312" w:cs="宋体"/>
          <w:b w:val="0"/>
          <w:bCs/>
          <w:color w:val="000000"/>
          <w:kern w:val="0"/>
          <w:sz w:val="30"/>
          <w:szCs w:val="30"/>
          <w:lang w:val="en-US" w:eastAsia="zh-CN" w:bidi="ar-SA"/>
        </w:rPr>
      </w:pPr>
      <w:r>
        <w:rPr>
          <w:rFonts w:hint="default" w:ascii="仿宋_GB2312" w:hAnsi="黑体" w:eastAsia="仿宋_GB2312" w:cs="宋体"/>
          <w:b w:val="0"/>
          <w:bCs/>
          <w:color w:val="000000"/>
          <w:kern w:val="0"/>
          <w:sz w:val="30"/>
          <w:szCs w:val="30"/>
          <w:lang w:val="en-US" w:eastAsia="zh-CN" w:bidi="ar-SA"/>
        </w:rPr>
        <w:t>　　</w:t>
      </w:r>
      <w:r>
        <w:rPr>
          <w:rFonts w:hint="eastAsia" w:ascii="仿宋_GB2312" w:hAnsi="黑体" w:eastAsia="仿宋_GB2312" w:cs="宋体"/>
          <w:b w:val="0"/>
          <w:bCs/>
          <w:color w:val="000000"/>
          <w:kern w:val="0"/>
          <w:sz w:val="30"/>
          <w:szCs w:val="30"/>
          <w:lang w:val="en-US" w:eastAsia="zh-CN" w:bidi="ar-SA"/>
        </w:rPr>
        <w:t>（</w:t>
      </w:r>
      <w:r>
        <w:rPr>
          <w:rFonts w:hint="default" w:ascii="仿宋_GB2312" w:hAnsi="黑体" w:eastAsia="仿宋_GB2312" w:cs="宋体"/>
          <w:b w:val="0"/>
          <w:bCs/>
          <w:color w:val="000000"/>
          <w:kern w:val="0"/>
          <w:sz w:val="30"/>
          <w:szCs w:val="30"/>
          <w:lang w:val="en-US" w:eastAsia="zh-CN" w:bidi="ar-SA"/>
        </w:rPr>
        <w:t>二</w:t>
      </w:r>
      <w:r>
        <w:rPr>
          <w:rFonts w:hint="eastAsia" w:ascii="仿宋_GB2312" w:hAnsi="黑体" w:eastAsia="仿宋_GB2312" w:cs="宋体"/>
          <w:b w:val="0"/>
          <w:bCs/>
          <w:color w:val="000000"/>
          <w:kern w:val="0"/>
          <w:sz w:val="30"/>
          <w:szCs w:val="30"/>
          <w:lang w:val="en-US" w:eastAsia="zh-CN" w:bidi="ar-SA"/>
        </w:rPr>
        <w:t>）</w:t>
      </w:r>
      <w:r>
        <w:rPr>
          <w:rFonts w:hint="default" w:ascii="仿宋_GB2312" w:hAnsi="黑体" w:eastAsia="仿宋_GB2312" w:cs="宋体"/>
          <w:b w:val="0"/>
          <w:bCs/>
          <w:color w:val="000000"/>
          <w:kern w:val="0"/>
          <w:sz w:val="30"/>
          <w:szCs w:val="30"/>
          <w:lang w:val="en-US" w:eastAsia="zh-CN" w:bidi="ar-SA"/>
        </w:rPr>
        <w:t>预算执行方面 </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0"/>
        <w:jc w:val="both"/>
        <w:rPr>
          <w:rFonts w:hint="default" w:ascii="仿宋_GB2312" w:hAnsi="黑体" w:eastAsia="仿宋_GB2312" w:cs="宋体"/>
          <w:b w:val="0"/>
          <w:bCs/>
          <w:color w:val="000000"/>
          <w:kern w:val="0"/>
          <w:sz w:val="30"/>
          <w:szCs w:val="30"/>
          <w:lang w:val="en-US" w:eastAsia="zh-CN" w:bidi="ar-SA"/>
        </w:rPr>
      </w:pPr>
      <w:r>
        <w:rPr>
          <w:rFonts w:hint="default" w:ascii="仿宋_GB2312" w:hAnsi="黑体" w:eastAsia="仿宋_GB2312" w:cs="宋体"/>
          <w:b w:val="0"/>
          <w:bCs/>
          <w:color w:val="000000"/>
          <w:kern w:val="0"/>
          <w:sz w:val="30"/>
          <w:szCs w:val="30"/>
          <w:lang w:val="en-US" w:eastAsia="zh-CN" w:bidi="ar-SA"/>
        </w:rPr>
        <w:t>预算完成率：</w:t>
      </w:r>
      <w:r>
        <w:rPr>
          <w:rFonts w:hint="eastAsia" w:ascii="仿宋_GB2312" w:hAnsi="黑体" w:eastAsia="仿宋_GB2312" w:cs="宋体"/>
          <w:b w:val="0"/>
          <w:bCs/>
          <w:color w:val="000000"/>
          <w:kern w:val="0"/>
          <w:sz w:val="30"/>
          <w:szCs w:val="30"/>
          <w:lang w:val="en-US" w:eastAsia="zh-CN" w:bidi="ar-SA"/>
        </w:rPr>
        <w:t>2019年，响应上级政府号召，紧缩开支，所有经费下调10%，全年经费扣除10%后全部下达，下达率100%，当年无结余。</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0"/>
        <w:jc w:val="both"/>
        <w:rPr>
          <w:rFonts w:hint="eastAsia" w:ascii="仿宋_GB2312" w:hAnsi="黑体" w:eastAsia="仿宋_GB2312" w:cs="宋体"/>
          <w:b w:val="0"/>
          <w:bCs/>
          <w:color w:val="000000"/>
          <w:kern w:val="0"/>
          <w:sz w:val="30"/>
          <w:szCs w:val="30"/>
          <w:lang w:val="en-US" w:eastAsia="zh-CN" w:bidi="ar-SA"/>
        </w:rPr>
      </w:pPr>
      <w:r>
        <w:rPr>
          <w:rFonts w:hint="default" w:ascii="仿宋_GB2312" w:hAnsi="黑体" w:eastAsia="仿宋_GB2312" w:cs="宋体"/>
          <w:b w:val="0"/>
          <w:bCs/>
          <w:color w:val="000000"/>
          <w:kern w:val="0"/>
          <w:sz w:val="30"/>
          <w:szCs w:val="30"/>
          <w:lang w:val="en-US" w:eastAsia="zh-CN" w:bidi="ar-SA"/>
        </w:rPr>
        <w:t>预算</w:t>
      </w:r>
      <w:r>
        <w:rPr>
          <w:rFonts w:hint="eastAsia" w:ascii="仿宋_GB2312" w:hAnsi="黑体" w:eastAsia="仿宋_GB2312" w:cs="宋体"/>
          <w:b w:val="0"/>
          <w:bCs/>
          <w:color w:val="000000"/>
          <w:kern w:val="0"/>
          <w:sz w:val="30"/>
          <w:szCs w:val="30"/>
          <w:lang w:val="en-US" w:eastAsia="zh-CN" w:bidi="ar-SA"/>
        </w:rPr>
        <w:t>调整</w:t>
      </w:r>
      <w:r>
        <w:rPr>
          <w:rFonts w:hint="default" w:ascii="仿宋_GB2312" w:hAnsi="黑体" w:eastAsia="仿宋_GB2312" w:cs="宋体"/>
          <w:b w:val="0"/>
          <w:bCs/>
          <w:color w:val="000000"/>
          <w:kern w:val="0"/>
          <w:sz w:val="30"/>
          <w:szCs w:val="30"/>
          <w:lang w:val="en-US" w:eastAsia="zh-CN" w:bidi="ar-SA"/>
        </w:rPr>
        <w:t>率：201</w:t>
      </w:r>
      <w:r>
        <w:rPr>
          <w:rFonts w:hint="eastAsia" w:ascii="仿宋_GB2312" w:hAnsi="黑体" w:eastAsia="仿宋_GB2312" w:cs="宋体"/>
          <w:b w:val="0"/>
          <w:bCs/>
          <w:color w:val="000000"/>
          <w:kern w:val="0"/>
          <w:sz w:val="30"/>
          <w:szCs w:val="30"/>
          <w:lang w:val="en-US" w:eastAsia="zh-CN" w:bidi="ar-SA"/>
        </w:rPr>
        <w:t>9</w:t>
      </w:r>
      <w:r>
        <w:rPr>
          <w:rFonts w:hint="default" w:ascii="仿宋_GB2312" w:hAnsi="黑体" w:eastAsia="仿宋_GB2312" w:cs="宋体"/>
          <w:b w:val="0"/>
          <w:bCs/>
          <w:color w:val="000000"/>
          <w:kern w:val="0"/>
          <w:sz w:val="30"/>
          <w:szCs w:val="30"/>
          <w:lang w:val="en-US" w:eastAsia="zh-CN" w:bidi="ar-SA"/>
        </w:rPr>
        <w:t>年年初预算</w:t>
      </w:r>
      <w:r>
        <w:rPr>
          <w:rFonts w:hint="eastAsia" w:ascii="仿宋_GB2312" w:hAnsi="黑体" w:eastAsia="仿宋_GB2312" w:cs="宋体"/>
          <w:b w:val="0"/>
          <w:bCs/>
          <w:color w:val="000000"/>
          <w:kern w:val="0"/>
          <w:sz w:val="30"/>
          <w:szCs w:val="30"/>
          <w:lang w:val="en-US" w:eastAsia="zh-CN" w:bidi="ar-SA"/>
        </w:rPr>
        <w:t>653.53</w:t>
      </w:r>
      <w:r>
        <w:rPr>
          <w:rFonts w:hint="default" w:ascii="仿宋_GB2312" w:hAnsi="黑体" w:eastAsia="仿宋_GB2312" w:cs="宋体"/>
          <w:b w:val="0"/>
          <w:bCs/>
          <w:color w:val="000000"/>
          <w:kern w:val="0"/>
          <w:sz w:val="30"/>
          <w:szCs w:val="30"/>
          <w:lang w:val="en-US" w:eastAsia="zh-CN" w:bidi="ar-SA"/>
        </w:rPr>
        <w:t>万元，年中</w:t>
      </w:r>
      <w:r>
        <w:rPr>
          <w:rFonts w:hint="eastAsia" w:ascii="仿宋_GB2312" w:hAnsi="黑体" w:eastAsia="仿宋_GB2312" w:cs="宋体"/>
          <w:b w:val="0"/>
          <w:bCs/>
          <w:color w:val="000000"/>
          <w:kern w:val="0"/>
          <w:sz w:val="30"/>
          <w:szCs w:val="30"/>
          <w:lang w:val="en-US" w:eastAsia="zh-CN" w:bidi="ar-SA"/>
        </w:rPr>
        <w:t>调整</w:t>
      </w:r>
      <w:r>
        <w:rPr>
          <w:rFonts w:hint="default" w:ascii="仿宋_GB2312" w:hAnsi="黑体" w:eastAsia="仿宋_GB2312" w:cs="宋体"/>
          <w:b w:val="0"/>
          <w:bCs/>
          <w:color w:val="000000"/>
          <w:kern w:val="0"/>
          <w:sz w:val="30"/>
          <w:szCs w:val="30"/>
          <w:lang w:val="en-US" w:eastAsia="zh-CN" w:bidi="ar-SA"/>
        </w:rPr>
        <w:t>预算</w:t>
      </w:r>
      <w:r>
        <w:rPr>
          <w:rFonts w:hint="eastAsia" w:ascii="仿宋_GB2312" w:hAnsi="黑体" w:eastAsia="仿宋_GB2312" w:cs="宋体"/>
          <w:b w:val="0"/>
          <w:bCs/>
          <w:color w:val="000000"/>
          <w:kern w:val="0"/>
          <w:sz w:val="30"/>
          <w:szCs w:val="30"/>
          <w:lang w:val="en-US" w:eastAsia="zh-CN" w:bidi="ar-SA"/>
        </w:rPr>
        <w:t>2077.45</w:t>
      </w:r>
      <w:r>
        <w:rPr>
          <w:rFonts w:hint="default" w:ascii="仿宋_GB2312" w:hAnsi="黑体" w:eastAsia="仿宋_GB2312" w:cs="宋体"/>
          <w:b w:val="0"/>
          <w:bCs/>
          <w:color w:val="000000"/>
          <w:kern w:val="0"/>
          <w:sz w:val="30"/>
          <w:szCs w:val="30"/>
          <w:lang w:val="en-US" w:eastAsia="zh-CN" w:bidi="ar-SA"/>
        </w:rPr>
        <w:t>万元，</w:t>
      </w:r>
      <w:r>
        <w:rPr>
          <w:rFonts w:hint="eastAsia" w:ascii="仿宋_GB2312" w:hAnsi="黑体" w:eastAsia="仿宋_GB2312" w:cs="宋体"/>
          <w:b w:val="0"/>
          <w:bCs/>
          <w:color w:val="000000"/>
          <w:kern w:val="0"/>
          <w:sz w:val="30"/>
          <w:szCs w:val="30"/>
          <w:lang w:val="en-US" w:eastAsia="zh-CN" w:bidi="ar-SA"/>
        </w:rPr>
        <w:t>调整率为68.5%。主要是机构改革粮食及重点项目管理职能划入我局，对粮食企业的补助及重点项目奖励等转移支付资金增加。另外易地扶贫搬迁联席办的经费也列入我局开支，致使预算调整率较大。</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0"/>
        <w:jc w:val="both"/>
        <w:rPr>
          <w:rFonts w:hint="default" w:ascii="仿宋_GB2312" w:hAnsi="黑体" w:eastAsia="仿宋_GB2312" w:cs="宋体"/>
          <w:b w:val="0"/>
          <w:bCs/>
          <w:color w:val="000000"/>
          <w:kern w:val="0"/>
          <w:sz w:val="30"/>
          <w:szCs w:val="30"/>
          <w:lang w:val="en-US" w:eastAsia="zh-CN" w:bidi="ar-SA"/>
        </w:rPr>
      </w:pPr>
      <w:r>
        <w:rPr>
          <w:rFonts w:hint="eastAsia" w:ascii="仿宋_GB2312" w:hAnsi="黑体" w:eastAsia="仿宋_GB2312" w:cs="宋体"/>
          <w:b w:val="0"/>
          <w:bCs/>
          <w:color w:val="000000"/>
          <w:kern w:val="0"/>
          <w:sz w:val="30"/>
          <w:szCs w:val="30"/>
          <w:lang w:val="en-US" w:eastAsia="zh-CN" w:bidi="ar-SA"/>
        </w:rPr>
        <w:t>（</w:t>
      </w:r>
      <w:r>
        <w:rPr>
          <w:rFonts w:hint="default" w:ascii="仿宋_GB2312" w:hAnsi="黑体" w:eastAsia="仿宋_GB2312" w:cs="宋体"/>
          <w:b w:val="0"/>
          <w:bCs/>
          <w:color w:val="000000"/>
          <w:kern w:val="0"/>
          <w:sz w:val="30"/>
          <w:szCs w:val="30"/>
          <w:lang w:val="en-US" w:eastAsia="zh-CN" w:bidi="ar-SA"/>
        </w:rPr>
        <w:t>三</w:t>
      </w:r>
      <w:r>
        <w:rPr>
          <w:rFonts w:hint="eastAsia" w:ascii="仿宋_GB2312" w:hAnsi="黑体" w:eastAsia="仿宋_GB2312" w:cs="宋体"/>
          <w:b w:val="0"/>
          <w:bCs/>
          <w:color w:val="000000"/>
          <w:kern w:val="0"/>
          <w:sz w:val="30"/>
          <w:szCs w:val="30"/>
          <w:lang w:val="en-US" w:eastAsia="zh-CN" w:bidi="ar-SA"/>
        </w:rPr>
        <w:t>）</w:t>
      </w:r>
      <w:r>
        <w:rPr>
          <w:rFonts w:hint="default" w:ascii="仿宋_GB2312" w:hAnsi="黑体" w:eastAsia="仿宋_GB2312" w:cs="宋体"/>
          <w:b w:val="0"/>
          <w:bCs/>
          <w:color w:val="000000"/>
          <w:kern w:val="0"/>
          <w:sz w:val="30"/>
          <w:szCs w:val="30"/>
          <w:lang w:val="en-US" w:eastAsia="zh-CN" w:bidi="ar-SA"/>
        </w:rPr>
        <w:t>预算管理方面 </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default" w:ascii="仿宋_GB2312" w:hAnsi="黑体" w:eastAsia="仿宋_GB2312" w:cs="宋体"/>
          <w:b w:val="0"/>
          <w:bCs/>
          <w:color w:val="000000"/>
          <w:kern w:val="0"/>
          <w:sz w:val="30"/>
          <w:szCs w:val="30"/>
          <w:lang w:val="en-US" w:eastAsia="zh-CN" w:bidi="ar-SA"/>
        </w:rPr>
      </w:pPr>
      <w:r>
        <w:rPr>
          <w:rFonts w:hint="default" w:ascii="Arial" w:hAnsi="Arial" w:cs="Arial"/>
          <w:i w:val="0"/>
          <w:caps w:val="0"/>
          <w:color w:val="333333"/>
          <w:spacing w:val="0"/>
          <w:sz w:val="32"/>
          <w:szCs w:val="32"/>
          <w:shd w:val="clear" w:fill="FFFFFF"/>
        </w:rPr>
        <w:t>　　</w:t>
      </w:r>
      <w:r>
        <w:rPr>
          <w:rFonts w:hint="default" w:ascii="仿宋_GB2312" w:hAnsi="黑体" w:eastAsia="仿宋_GB2312" w:cs="宋体"/>
          <w:b w:val="0"/>
          <w:bCs/>
          <w:color w:val="000000"/>
          <w:kern w:val="0"/>
          <w:sz w:val="30"/>
          <w:szCs w:val="30"/>
          <w:lang w:val="en-US" w:eastAsia="zh-CN" w:bidi="ar-SA"/>
        </w:rPr>
        <w:t>公用经费控制率：201</w:t>
      </w:r>
      <w:r>
        <w:rPr>
          <w:rFonts w:hint="eastAsia" w:ascii="仿宋_GB2312" w:hAnsi="黑体" w:eastAsia="仿宋_GB2312" w:cs="宋体"/>
          <w:b w:val="0"/>
          <w:bCs/>
          <w:color w:val="000000"/>
          <w:kern w:val="0"/>
          <w:sz w:val="30"/>
          <w:szCs w:val="30"/>
          <w:lang w:val="en-US" w:eastAsia="zh-CN" w:bidi="ar-SA"/>
        </w:rPr>
        <w:t>9</w:t>
      </w:r>
      <w:r>
        <w:rPr>
          <w:rFonts w:hint="default" w:ascii="仿宋_GB2312" w:hAnsi="黑体" w:eastAsia="仿宋_GB2312" w:cs="宋体"/>
          <w:b w:val="0"/>
          <w:bCs/>
          <w:color w:val="000000"/>
          <w:kern w:val="0"/>
          <w:sz w:val="30"/>
          <w:szCs w:val="30"/>
          <w:lang w:val="en-US" w:eastAsia="zh-CN" w:bidi="ar-SA"/>
        </w:rPr>
        <w:t>年我</w:t>
      </w:r>
      <w:r>
        <w:rPr>
          <w:rFonts w:hint="eastAsia" w:ascii="仿宋_GB2312" w:hAnsi="黑体" w:eastAsia="仿宋_GB2312" w:cs="宋体"/>
          <w:b w:val="0"/>
          <w:bCs/>
          <w:color w:val="000000"/>
          <w:kern w:val="0"/>
          <w:sz w:val="30"/>
          <w:szCs w:val="30"/>
          <w:lang w:val="en-US" w:eastAsia="zh-CN" w:bidi="ar-SA"/>
        </w:rPr>
        <w:t>局</w:t>
      </w:r>
      <w:r>
        <w:rPr>
          <w:rFonts w:hint="default" w:ascii="仿宋_GB2312" w:hAnsi="黑体" w:eastAsia="仿宋_GB2312" w:cs="宋体"/>
          <w:b w:val="0"/>
          <w:bCs/>
          <w:color w:val="000000"/>
          <w:kern w:val="0"/>
          <w:sz w:val="30"/>
          <w:szCs w:val="30"/>
          <w:lang w:val="en-US" w:eastAsia="zh-CN" w:bidi="ar-SA"/>
        </w:rPr>
        <w:t>预算管理各项指标控制较好。实际支出公用经费总额</w:t>
      </w:r>
      <w:r>
        <w:rPr>
          <w:rFonts w:hint="eastAsia" w:ascii="仿宋_GB2312" w:hAnsi="黑体" w:eastAsia="仿宋_GB2312" w:cs="宋体"/>
          <w:b w:val="0"/>
          <w:bCs/>
          <w:color w:val="000000"/>
          <w:kern w:val="0"/>
          <w:sz w:val="30"/>
          <w:szCs w:val="30"/>
          <w:lang w:val="en-US" w:eastAsia="zh-CN" w:bidi="ar-SA"/>
        </w:rPr>
        <w:t>313.34</w:t>
      </w:r>
      <w:r>
        <w:rPr>
          <w:rFonts w:hint="default" w:ascii="仿宋_GB2312" w:hAnsi="黑体" w:eastAsia="仿宋_GB2312" w:cs="宋体"/>
          <w:b w:val="0"/>
          <w:bCs/>
          <w:color w:val="000000"/>
          <w:kern w:val="0"/>
          <w:sz w:val="30"/>
          <w:szCs w:val="30"/>
          <w:lang w:val="en-US" w:eastAsia="zh-CN" w:bidi="ar-SA"/>
        </w:rPr>
        <w:t>万元，预算安排公用经费总额</w:t>
      </w:r>
      <w:r>
        <w:rPr>
          <w:rFonts w:hint="eastAsia" w:ascii="仿宋_GB2312" w:hAnsi="黑体" w:eastAsia="仿宋_GB2312" w:cs="宋体"/>
          <w:b w:val="0"/>
          <w:bCs/>
          <w:color w:val="000000"/>
          <w:kern w:val="0"/>
          <w:sz w:val="30"/>
          <w:szCs w:val="30"/>
          <w:lang w:val="en-US" w:eastAsia="zh-CN" w:bidi="ar-SA"/>
        </w:rPr>
        <w:t>60</w:t>
      </w:r>
      <w:r>
        <w:rPr>
          <w:rFonts w:hint="default" w:ascii="仿宋_GB2312" w:hAnsi="黑体" w:eastAsia="仿宋_GB2312" w:cs="宋体"/>
          <w:b w:val="0"/>
          <w:bCs/>
          <w:color w:val="000000"/>
          <w:kern w:val="0"/>
          <w:sz w:val="30"/>
          <w:szCs w:val="30"/>
          <w:lang w:val="en-US" w:eastAsia="zh-CN" w:bidi="ar-SA"/>
        </w:rPr>
        <w:t>万元</w:t>
      </w:r>
      <w:r>
        <w:rPr>
          <w:rFonts w:hint="eastAsia" w:ascii="仿宋_GB2312" w:hAnsi="黑体" w:eastAsia="仿宋_GB2312" w:cs="宋体"/>
          <w:b w:val="0"/>
          <w:bCs/>
          <w:color w:val="000000"/>
          <w:kern w:val="0"/>
          <w:sz w:val="30"/>
          <w:szCs w:val="30"/>
          <w:lang w:val="en-US" w:eastAsia="zh-CN" w:bidi="ar-SA"/>
        </w:rPr>
        <w:t>，相差较大的主要原因是机构改革粮食及重点项目管理职能划入我局，相应经费也拨入我局，我局做的前期项目可研咨询费为预算追加，2019年项目较多，咨询费开支较大。另外易地扶贫搬迁联席办的经费也列入我局开支，致使公用经费较大。</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default" w:ascii="仿宋_GB2312" w:hAnsi="黑体" w:eastAsia="仿宋_GB2312" w:cs="宋体"/>
          <w:b w:val="0"/>
          <w:bCs/>
          <w:color w:val="000000"/>
          <w:kern w:val="0"/>
          <w:sz w:val="30"/>
          <w:szCs w:val="30"/>
          <w:lang w:val="en-US" w:eastAsia="zh-CN" w:bidi="ar-SA"/>
        </w:rPr>
      </w:pPr>
      <w:r>
        <w:rPr>
          <w:rFonts w:hint="default" w:ascii="仿宋_GB2312" w:hAnsi="黑体" w:eastAsia="仿宋_GB2312" w:cs="宋体"/>
          <w:b w:val="0"/>
          <w:bCs/>
          <w:color w:val="000000"/>
          <w:kern w:val="0"/>
          <w:sz w:val="30"/>
          <w:szCs w:val="30"/>
          <w:lang w:val="en-US" w:eastAsia="zh-CN" w:bidi="ar-SA"/>
        </w:rPr>
        <w:t>　　“三公经费”控制率：“三公”经费实际支出数为</w:t>
      </w:r>
      <w:r>
        <w:rPr>
          <w:rFonts w:hint="eastAsia" w:ascii="仿宋_GB2312" w:hAnsi="黑体" w:eastAsia="仿宋_GB2312" w:cs="宋体"/>
          <w:b w:val="0"/>
          <w:bCs/>
          <w:color w:val="000000"/>
          <w:kern w:val="0"/>
          <w:sz w:val="30"/>
          <w:szCs w:val="30"/>
          <w:lang w:val="en-US" w:eastAsia="zh-CN" w:bidi="ar-SA"/>
        </w:rPr>
        <w:t>10.7</w:t>
      </w:r>
      <w:r>
        <w:rPr>
          <w:rFonts w:hint="default" w:ascii="仿宋_GB2312" w:hAnsi="黑体" w:eastAsia="仿宋_GB2312" w:cs="宋体"/>
          <w:b w:val="0"/>
          <w:bCs/>
          <w:color w:val="000000"/>
          <w:kern w:val="0"/>
          <w:sz w:val="30"/>
          <w:szCs w:val="30"/>
          <w:lang w:val="en-US" w:eastAsia="zh-CN" w:bidi="ar-SA"/>
        </w:rPr>
        <w:t>万元，预算安排数</w:t>
      </w:r>
      <w:r>
        <w:rPr>
          <w:rFonts w:hint="eastAsia" w:ascii="仿宋_GB2312" w:hAnsi="黑体" w:eastAsia="仿宋_GB2312" w:cs="宋体"/>
          <w:b w:val="0"/>
          <w:bCs/>
          <w:color w:val="000000"/>
          <w:kern w:val="0"/>
          <w:sz w:val="30"/>
          <w:szCs w:val="30"/>
          <w:lang w:val="en-US" w:eastAsia="zh-CN" w:bidi="ar-SA"/>
        </w:rPr>
        <w:t>11.8</w:t>
      </w:r>
      <w:r>
        <w:rPr>
          <w:rFonts w:hint="default" w:ascii="仿宋_GB2312" w:hAnsi="黑体" w:eastAsia="仿宋_GB2312" w:cs="宋体"/>
          <w:b w:val="0"/>
          <w:bCs/>
          <w:color w:val="000000"/>
          <w:kern w:val="0"/>
          <w:sz w:val="30"/>
          <w:szCs w:val="30"/>
          <w:lang w:val="en-US" w:eastAsia="zh-CN" w:bidi="ar-SA"/>
        </w:rPr>
        <w:t>万元，“三公”经费控制率为</w:t>
      </w:r>
      <w:r>
        <w:rPr>
          <w:rFonts w:hint="eastAsia" w:ascii="仿宋_GB2312" w:hAnsi="黑体" w:eastAsia="仿宋_GB2312" w:cs="宋体"/>
          <w:b w:val="0"/>
          <w:bCs/>
          <w:color w:val="000000"/>
          <w:kern w:val="0"/>
          <w:sz w:val="30"/>
          <w:szCs w:val="30"/>
          <w:lang w:val="en-US" w:eastAsia="zh-CN" w:bidi="ar-SA"/>
        </w:rPr>
        <w:t>90.67</w:t>
      </w:r>
      <w:r>
        <w:rPr>
          <w:rFonts w:hint="default" w:ascii="仿宋_GB2312" w:hAnsi="黑体" w:eastAsia="仿宋_GB2312" w:cs="宋体"/>
          <w:b w:val="0"/>
          <w:bCs/>
          <w:color w:val="000000"/>
          <w:kern w:val="0"/>
          <w:sz w:val="30"/>
          <w:szCs w:val="30"/>
          <w:lang w:val="en-US" w:eastAsia="zh-CN" w:bidi="ar-SA"/>
        </w:rPr>
        <w:t>%。 </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eastAsia" w:ascii="仿宋_GB2312" w:hAnsi="黑体" w:eastAsia="仿宋_GB2312" w:cs="宋体"/>
          <w:b w:val="0"/>
          <w:bCs/>
          <w:color w:val="000000"/>
          <w:kern w:val="0"/>
          <w:sz w:val="30"/>
          <w:szCs w:val="30"/>
          <w:lang w:val="en-US" w:eastAsia="zh-CN" w:bidi="ar-SA"/>
        </w:rPr>
      </w:pPr>
      <w:r>
        <w:rPr>
          <w:rFonts w:hint="default" w:ascii="仿宋_GB2312" w:hAnsi="黑体" w:eastAsia="仿宋_GB2312" w:cs="宋体"/>
          <w:b w:val="0"/>
          <w:bCs/>
          <w:color w:val="000000"/>
          <w:kern w:val="0"/>
          <w:sz w:val="30"/>
          <w:szCs w:val="30"/>
          <w:lang w:val="en-US" w:eastAsia="zh-CN" w:bidi="ar-SA"/>
        </w:rPr>
        <w:t>　　管理制度健全性：</w:t>
      </w:r>
      <w:r>
        <w:rPr>
          <w:rFonts w:hint="eastAsia" w:ascii="仿宋_GB2312" w:hAnsi="黑体" w:eastAsia="仿宋_GB2312" w:cs="宋体"/>
          <w:b w:val="0"/>
          <w:bCs/>
          <w:color w:val="000000"/>
          <w:kern w:val="0"/>
          <w:sz w:val="30"/>
          <w:szCs w:val="30"/>
          <w:lang w:val="en-US" w:eastAsia="zh-CN" w:bidi="ar-SA"/>
        </w:rPr>
        <w:t>制定单位</w:t>
      </w:r>
      <w:r>
        <w:rPr>
          <w:rFonts w:hint="default" w:ascii="仿宋_GB2312" w:hAnsi="黑体" w:eastAsia="仿宋_GB2312" w:cs="宋体"/>
          <w:b w:val="0"/>
          <w:bCs/>
          <w:color w:val="000000"/>
          <w:kern w:val="0"/>
          <w:sz w:val="30"/>
          <w:szCs w:val="30"/>
          <w:lang w:val="en-US" w:eastAsia="zh-CN" w:bidi="ar-SA"/>
        </w:rPr>
        <w:t>财务管理办法</w:t>
      </w:r>
      <w:r>
        <w:rPr>
          <w:rFonts w:hint="eastAsia" w:ascii="仿宋_GB2312" w:hAnsi="黑体" w:eastAsia="仿宋_GB2312" w:cs="宋体"/>
          <w:b w:val="0"/>
          <w:bCs/>
          <w:color w:val="000000"/>
          <w:kern w:val="0"/>
          <w:sz w:val="30"/>
          <w:szCs w:val="30"/>
          <w:lang w:val="en-US" w:eastAsia="zh-CN" w:bidi="ar-SA"/>
        </w:rPr>
        <w:t>,各类专项资金使用办法</w:t>
      </w:r>
      <w:r>
        <w:rPr>
          <w:rFonts w:hint="default" w:ascii="仿宋_GB2312" w:hAnsi="黑体" w:eastAsia="仿宋_GB2312" w:cs="宋体"/>
          <w:b w:val="0"/>
          <w:bCs/>
          <w:color w:val="000000"/>
          <w:kern w:val="0"/>
          <w:sz w:val="30"/>
          <w:szCs w:val="30"/>
          <w:lang w:val="en-US" w:eastAsia="zh-CN" w:bidi="ar-SA"/>
        </w:rPr>
        <w:t>等有关管理制度，规范财务审批程序，严格差旅费和接待费支出标准、范围和程序的审核</w:t>
      </w:r>
      <w:r>
        <w:rPr>
          <w:rFonts w:hint="eastAsia" w:ascii="仿宋_GB2312" w:hAnsi="黑体" w:eastAsia="仿宋_GB2312" w:cs="宋体"/>
          <w:b w:val="0"/>
          <w:bCs/>
          <w:color w:val="000000"/>
          <w:kern w:val="0"/>
          <w:sz w:val="30"/>
          <w:szCs w:val="30"/>
          <w:lang w:val="en-US" w:eastAsia="zh-CN" w:bidi="ar-SA"/>
        </w:rPr>
        <w:t>，以相关管理制度指导财务管理。</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default" w:ascii="仿宋_GB2312" w:hAnsi="黑体" w:eastAsia="仿宋_GB2312" w:cs="宋体"/>
          <w:b w:val="0"/>
          <w:bCs/>
          <w:color w:val="000000"/>
          <w:kern w:val="0"/>
          <w:sz w:val="30"/>
          <w:szCs w:val="30"/>
          <w:lang w:val="en-US" w:eastAsia="zh-CN" w:bidi="ar-SA"/>
        </w:rPr>
      </w:pPr>
      <w:r>
        <w:rPr>
          <w:rFonts w:hint="default" w:ascii="仿宋_GB2312" w:hAnsi="黑体" w:eastAsia="仿宋_GB2312" w:cs="宋体"/>
          <w:b w:val="0"/>
          <w:bCs/>
          <w:color w:val="000000"/>
          <w:kern w:val="0"/>
          <w:sz w:val="30"/>
          <w:szCs w:val="30"/>
          <w:lang w:val="en-US" w:eastAsia="zh-CN" w:bidi="ar-SA"/>
        </w:rPr>
        <w:t>　　资金使用合规性：配合</w:t>
      </w:r>
      <w:r>
        <w:rPr>
          <w:rFonts w:hint="eastAsia" w:ascii="仿宋_GB2312" w:hAnsi="黑体" w:eastAsia="仿宋_GB2312" w:cs="宋体"/>
          <w:b w:val="0"/>
          <w:bCs/>
          <w:color w:val="000000"/>
          <w:kern w:val="0"/>
          <w:sz w:val="30"/>
          <w:szCs w:val="30"/>
          <w:lang w:val="en-US" w:eastAsia="zh-CN" w:bidi="ar-SA"/>
        </w:rPr>
        <w:t>区</w:t>
      </w:r>
      <w:r>
        <w:rPr>
          <w:rFonts w:hint="default" w:ascii="仿宋_GB2312" w:hAnsi="黑体" w:eastAsia="仿宋_GB2312" w:cs="宋体"/>
          <w:b w:val="0"/>
          <w:bCs/>
          <w:color w:val="000000"/>
          <w:kern w:val="0"/>
          <w:sz w:val="30"/>
          <w:szCs w:val="30"/>
          <w:lang w:val="en-US" w:eastAsia="zh-CN" w:bidi="ar-SA"/>
        </w:rPr>
        <w:t>纪委开展违反中央八项规定突出问题专项整治，严格落实中央八项规定和有关公务支出标准。加强经费合法合规性审核和预算控制，严格按制度政策办事，资金使用合法合规，支出手续齐全，程序到位。 </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default" w:ascii="仿宋_GB2312" w:hAnsi="黑体" w:eastAsia="仿宋_GB2312" w:cs="宋体"/>
          <w:b w:val="0"/>
          <w:bCs/>
          <w:color w:val="000000"/>
          <w:kern w:val="0"/>
          <w:sz w:val="30"/>
          <w:szCs w:val="30"/>
          <w:lang w:val="en-US" w:eastAsia="zh-CN" w:bidi="ar-SA"/>
        </w:rPr>
      </w:pPr>
      <w:r>
        <w:rPr>
          <w:rFonts w:hint="default" w:ascii="仿宋_GB2312" w:hAnsi="黑体" w:eastAsia="仿宋_GB2312" w:cs="宋体"/>
          <w:b w:val="0"/>
          <w:bCs/>
          <w:color w:val="000000"/>
          <w:kern w:val="0"/>
          <w:sz w:val="30"/>
          <w:szCs w:val="30"/>
          <w:lang w:val="en-US" w:eastAsia="zh-CN" w:bidi="ar-SA"/>
        </w:rPr>
        <w:t>　　预决算信息公开性：加快预算执行，盘活存量资金，减少追加资金。真实准确编制部门预算和决算，按时上报基础数据资料。对上年度部门整体支出进行了绩效评价，对标找差距。按规定时限和规定内容公开部门预算、部门决算以及绩效自评报告。各项应向社会公开的信息及时、完整、真实，更加细化，部门预决算信息透明度进一步提高。 </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default" w:ascii="仿宋_GB2312" w:hAnsi="黑体" w:eastAsia="仿宋_GB2312" w:cs="宋体"/>
          <w:b w:val="0"/>
          <w:bCs/>
          <w:color w:val="000000"/>
          <w:kern w:val="0"/>
          <w:sz w:val="30"/>
          <w:szCs w:val="30"/>
          <w:lang w:val="en-US" w:eastAsia="zh-CN" w:bidi="ar-SA"/>
        </w:rPr>
      </w:pPr>
      <w:r>
        <w:rPr>
          <w:rFonts w:hint="default" w:ascii="仿宋_GB2312" w:hAnsi="黑体" w:eastAsia="仿宋_GB2312" w:cs="宋体"/>
          <w:b w:val="0"/>
          <w:bCs/>
          <w:color w:val="000000"/>
          <w:kern w:val="0"/>
          <w:sz w:val="30"/>
          <w:szCs w:val="30"/>
          <w:lang w:val="en-US" w:eastAsia="zh-CN" w:bidi="ar-SA"/>
        </w:rPr>
        <w:t>　　（四）职责履行和履职效益方面 </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10"/>
        <w:jc w:val="both"/>
        <w:rPr>
          <w:rFonts w:hint="default" w:ascii="仿宋_GB2312" w:hAnsi="黑体" w:eastAsia="仿宋_GB2312" w:cs="宋体"/>
          <w:b w:val="0"/>
          <w:bCs/>
          <w:color w:val="000000"/>
          <w:kern w:val="0"/>
          <w:sz w:val="30"/>
          <w:szCs w:val="30"/>
          <w:lang w:val="en-US" w:eastAsia="zh-CN" w:bidi="ar-SA"/>
        </w:rPr>
      </w:pPr>
      <w:r>
        <w:rPr>
          <w:rFonts w:hint="default" w:ascii="仿宋_GB2312" w:hAnsi="黑体" w:eastAsia="仿宋_GB2312" w:cs="宋体"/>
          <w:b w:val="0"/>
          <w:bCs/>
          <w:color w:val="000000"/>
          <w:kern w:val="0"/>
          <w:sz w:val="30"/>
          <w:szCs w:val="30"/>
          <w:lang w:val="en-US" w:eastAsia="zh-CN" w:bidi="ar-SA"/>
        </w:rPr>
        <w:t>201</w:t>
      </w:r>
      <w:r>
        <w:rPr>
          <w:rFonts w:hint="eastAsia" w:ascii="仿宋_GB2312" w:hAnsi="黑体" w:eastAsia="仿宋_GB2312" w:cs="宋体"/>
          <w:b w:val="0"/>
          <w:bCs/>
          <w:color w:val="000000"/>
          <w:kern w:val="0"/>
          <w:sz w:val="30"/>
          <w:szCs w:val="30"/>
          <w:lang w:val="en-US" w:eastAsia="zh-CN" w:bidi="ar-SA"/>
        </w:rPr>
        <w:t>9</w:t>
      </w:r>
      <w:r>
        <w:rPr>
          <w:rFonts w:hint="default" w:ascii="仿宋_GB2312" w:hAnsi="黑体" w:eastAsia="仿宋_GB2312" w:cs="宋体"/>
          <w:b w:val="0"/>
          <w:bCs/>
          <w:color w:val="000000"/>
          <w:kern w:val="0"/>
          <w:sz w:val="30"/>
          <w:szCs w:val="30"/>
          <w:lang w:val="en-US" w:eastAsia="zh-CN" w:bidi="ar-SA"/>
        </w:rPr>
        <w:t>年，我们较好的完成了各项目标工作任务，取得了较好的社会效益，行政效能明显提高，社会公众满意度不断提升。 </w:t>
      </w:r>
    </w:p>
    <w:p>
      <w:pPr>
        <w:pStyle w:val="5"/>
        <w:keepNext w:val="0"/>
        <w:keepLines w:val="0"/>
        <w:widowControl/>
        <w:numPr>
          <w:ilvl w:val="0"/>
          <w:numId w:val="6"/>
        </w:numPr>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right="0" w:firstLine="600" w:firstLineChars="200"/>
        <w:jc w:val="both"/>
        <w:rPr>
          <w:rFonts w:hint="eastAsia" w:ascii="仿宋_GB2312" w:hAnsi="黑体" w:eastAsia="仿宋_GB2312" w:cs="宋体"/>
          <w:b w:val="0"/>
          <w:bCs/>
          <w:color w:val="000000"/>
          <w:kern w:val="0"/>
          <w:sz w:val="30"/>
          <w:szCs w:val="30"/>
          <w:lang w:val="en-US" w:eastAsia="zh-CN" w:bidi="ar-SA"/>
        </w:rPr>
      </w:pPr>
      <w:r>
        <w:rPr>
          <w:rFonts w:hint="eastAsia" w:ascii="仿宋_GB2312" w:hAnsi="黑体" w:eastAsia="仿宋_GB2312" w:cs="宋体"/>
          <w:b w:val="0"/>
          <w:bCs/>
          <w:color w:val="000000"/>
          <w:kern w:val="0"/>
          <w:sz w:val="30"/>
          <w:szCs w:val="30"/>
          <w:lang w:val="en-US" w:eastAsia="zh-CN" w:bidi="ar-SA"/>
        </w:rPr>
        <w:t>零陵区落实粮食安全责任制工作成效明显，获得省真抓实干成效明显地区通报表扬。</w:t>
      </w:r>
    </w:p>
    <w:p>
      <w:pPr>
        <w:pStyle w:val="5"/>
        <w:keepNext w:val="0"/>
        <w:keepLines w:val="0"/>
        <w:widowControl/>
        <w:numPr>
          <w:ilvl w:val="0"/>
          <w:numId w:val="6"/>
        </w:numPr>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right="0" w:firstLine="600" w:firstLineChars="200"/>
        <w:jc w:val="both"/>
        <w:rPr>
          <w:rFonts w:hint="default" w:ascii="仿宋_GB2312" w:hAnsi="黑体" w:eastAsia="仿宋_GB2312" w:cs="宋体"/>
          <w:b w:val="0"/>
          <w:bCs/>
          <w:color w:val="000000"/>
          <w:kern w:val="0"/>
          <w:sz w:val="30"/>
          <w:szCs w:val="30"/>
          <w:lang w:val="en-US" w:eastAsia="zh-CN" w:bidi="ar-SA"/>
        </w:rPr>
      </w:pPr>
      <w:r>
        <w:rPr>
          <w:rFonts w:hint="eastAsia" w:ascii="仿宋_GB2312" w:hAnsi="黑体" w:eastAsia="仿宋_GB2312" w:cs="宋体"/>
          <w:b w:val="0"/>
          <w:bCs/>
          <w:color w:val="000000"/>
          <w:kern w:val="0"/>
          <w:sz w:val="30"/>
          <w:szCs w:val="30"/>
          <w:lang w:val="en-US" w:eastAsia="zh-CN" w:bidi="ar-SA"/>
        </w:rPr>
        <w:t>固定资产投资，2019年度固定资产投资增幅10.7%，全市排名前三。</w:t>
      </w:r>
    </w:p>
    <w:p>
      <w:pPr>
        <w:pStyle w:val="5"/>
        <w:keepNext w:val="0"/>
        <w:keepLines w:val="0"/>
        <w:widowControl/>
        <w:numPr>
          <w:ilvl w:val="0"/>
          <w:numId w:val="6"/>
        </w:numPr>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right="0" w:firstLine="600" w:firstLineChars="200"/>
        <w:jc w:val="both"/>
        <w:rPr>
          <w:rFonts w:hint="default" w:ascii="仿宋_GB2312" w:hAnsi="黑体" w:eastAsia="仿宋_GB2312" w:cs="宋体"/>
          <w:b w:val="0"/>
          <w:bCs/>
          <w:color w:val="000000"/>
          <w:kern w:val="0"/>
          <w:sz w:val="30"/>
          <w:szCs w:val="30"/>
          <w:lang w:val="en-US" w:eastAsia="zh-CN" w:bidi="ar-SA"/>
        </w:rPr>
      </w:pPr>
      <w:r>
        <w:rPr>
          <w:rFonts w:hint="eastAsia" w:ascii="仿宋_GB2312" w:hAnsi="黑体" w:eastAsia="仿宋_GB2312" w:cs="宋体"/>
          <w:b w:val="0"/>
          <w:bCs/>
          <w:color w:val="000000"/>
          <w:kern w:val="0"/>
          <w:sz w:val="30"/>
          <w:szCs w:val="30"/>
          <w:lang w:val="en-US" w:eastAsia="zh-CN" w:bidi="ar-SA"/>
        </w:rPr>
        <w:t>向上争资工作，争取上级项目资金21.9亿元，同比增幅6%。</w:t>
      </w:r>
    </w:p>
    <w:p>
      <w:pPr>
        <w:pStyle w:val="5"/>
        <w:keepNext w:val="0"/>
        <w:keepLines w:val="0"/>
        <w:widowControl/>
        <w:numPr>
          <w:ilvl w:val="0"/>
          <w:numId w:val="6"/>
        </w:numPr>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right="0" w:firstLine="600" w:firstLineChars="200"/>
        <w:jc w:val="both"/>
        <w:rPr>
          <w:rFonts w:hint="default" w:ascii="仿宋_GB2312" w:hAnsi="黑体" w:eastAsia="仿宋_GB2312" w:cs="宋体"/>
          <w:b w:val="0"/>
          <w:bCs/>
          <w:color w:val="000000"/>
          <w:kern w:val="0"/>
          <w:sz w:val="30"/>
          <w:szCs w:val="30"/>
          <w:lang w:val="en-US" w:eastAsia="zh-CN" w:bidi="ar-SA"/>
        </w:rPr>
      </w:pPr>
      <w:r>
        <w:rPr>
          <w:rFonts w:hint="eastAsia" w:ascii="仿宋_GB2312" w:hAnsi="黑体" w:eastAsia="仿宋_GB2312" w:cs="宋体"/>
          <w:b w:val="0"/>
          <w:bCs/>
          <w:color w:val="000000"/>
          <w:kern w:val="0"/>
          <w:sz w:val="30"/>
          <w:szCs w:val="30"/>
          <w:lang w:val="en-US" w:eastAsia="zh-CN" w:bidi="ar-SA"/>
        </w:rPr>
        <w:t>重点项目建设取得明显成效，2019年全年共实施重点项目136个，年度投资175.6亿元，完成投资180亿元，完成年度计划投资的102.5%；其中市重点项目52个全部开工，新入统5000万元以上项目45个，同比增长32%。</w:t>
      </w:r>
    </w:p>
    <w:p>
      <w:pPr>
        <w:pStyle w:val="5"/>
        <w:keepNext w:val="0"/>
        <w:keepLines w:val="0"/>
        <w:widowControl/>
        <w:numPr>
          <w:ilvl w:val="0"/>
          <w:numId w:val="6"/>
        </w:numPr>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right="0" w:firstLine="600" w:firstLineChars="200"/>
        <w:jc w:val="both"/>
        <w:rPr>
          <w:rFonts w:hint="default" w:ascii="仿宋_GB2312" w:hAnsi="黑体" w:eastAsia="仿宋_GB2312" w:cs="宋体"/>
          <w:b w:val="0"/>
          <w:bCs/>
          <w:color w:val="000000"/>
          <w:kern w:val="0"/>
          <w:sz w:val="30"/>
          <w:szCs w:val="30"/>
          <w:lang w:val="en-US" w:eastAsia="zh-CN" w:bidi="ar-SA"/>
        </w:rPr>
      </w:pPr>
      <w:r>
        <w:rPr>
          <w:rFonts w:hint="eastAsia" w:ascii="仿宋_GB2312" w:hAnsi="黑体" w:eastAsia="仿宋_GB2312" w:cs="宋体"/>
          <w:b w:val="0"/>
          <w:bCs/>
          <w:color w:val="000000"/>
          <w:kern w:val="0"/>
          <w:sz w:val="30"/>
          <w:szCs w:val="30"/>
          <w:lang w:val="en-US" w:eastAsia="zh-CN" w:bidi="ar-SA"/>
        </w:rPr>
        <w:t>我局在农网改造，光伏扶贫，文化教育旅游，价格管理等方面的工作也取得了非常显著的成效，另外，</w:t>
      </w:r>
      <w:r>
        <w:rPr>
          <w:rFonts w:hint="default" w:ascii="仿宋_GB2312" w:hAnsi="黑体" w:eastAsia="仿宋_GB2312" w:cs="宋体"/>
          <w:b w:val="0"/>
          <w:bCs/>
          <w:color w:val="000000"/>
          <w:kern w:val="0"/>
          <w:sz w:val="30"/>
          <w:szCs w:val="30"/>
          <w:lang w:val="en-US" w:eastAsia="zh-CN" w:bidi="ar-SA"/>
        </w:rPr>
        <w:t>市级文明标兵单位创建成效显著</w:t>
      </w:r>
      <w:r>
        <w:rPr>
          <w:rFonts w:hint="eastAsia" w:ascii="仿宋_GB2312" w:hAnsi="黑体" w:eastAsia="仿宋_GB2312" w:cs="宋体"/>
          <w:b w:val="0"/>
          <w:bCs/>
          <w:color w:val="000000"/>
          <w:kern w:val="0"/>
          <w:sz w:val="30"/>
          <w:szCs w:val="30"/>
          <w:lang w:val="en-US" w:eastAsia="zh-CN" w:bidi="ar-SA"/>
        </w:rPr>
        <w:t>。</w:t>
      </w:r>
    </w:p>
    <w:p>
      <w:pPr>
        <w:keepNext w:val="0"/>
        <w:keepLines w:val="0"/>
        <w:pageBreakBefore w:val="0"/>
        <w:widowControl w:val="0"/>
        <w:numPr>
          <w:ilvl w:val="0"/>
          <w:numId w:val="0"/>
        </w:numPr>
        <w:kinsoku/>
        <w:wordWrap/>
        <w:overflowPunct/>
        <w:topLinePunct w:val="0"/>
        <w:autoSpaceDE/>
        <w:autoSpaceDN/>
        <w:bidi w:val="0"/>
        <w:adjustRightInd w:val="0"/>
        <w:snapToGrid w:val="0"/>
        <w:spacing w:line="600" w:lineRule="exact"/>
        <w:ind w:firstLine="640" w:firstLineChars="200"/>
        <w:textAlignment w:val="auto"/>
        <w:rPr>
          <w:rFonts w:hint="default" w:eastAsia="黑体"/>
          <w:sz w:val="32"/>
          <w:szCs w:val="32"/>
          <w:lang w:val="en-US" w:eastAsia="zh-CN"/>
        </w:rPr>
      </w:pPr>
      <w:r>
        <w:rPr>
          <w:rFonts w:hint="default" w:eastAsia="黑体"/>
          <w:sz w:val="32"/>
          <w:szCs w:val="32"/>
          <w:lang w:val="en-US" w:eastAsia="zh-CN"/>
        </w:rPr>
        <w:t>四、存在的主要问题 </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00"/>
        <w:jc w:val="both"/>
        <w:rPr>
          <w:rFonts w:hint="default" w:ascii="仿宋_GB2312" w:hAnsi="黑体" w:eastAsia="仿宋_GB2312" w:cs="宋体"/>
          <w:b w:val="0"/>
          <w:bCs/>
          <w:color w:val="000000"/>
          <w:kern w:val="0"/>
          <w:sz w:val="30"/>
          <w:szCs w:val="30"/>
          <w:lang w:val="en-US" w:eastAsia="zh-CN" w:bidi="ar-SA"/>
        </w:rPr>
      </w:pPr>
      <w:r>
        <w:rPr>
          <w:rFonts w:hint="default" w:ascii="仿宋_GB2312" w:hAnsi="黑体" w:eastAsia="仿宋_GB2312" w:cs="宋体"/>
          <w:b w:val="0"/>
          <w:bCs/>
          <w:color w:val="000000"/>
          <w:kern w:val="0"/>
          <w:sz w:val="30"/>
          <w:szCs w:val="30"/>
          <w:lang w:val="en-US" w:eastAsia="zh-CN" w:bidi="ar-SA"/>
        </w:rPr>
        <w:t>（一）预算</w:t>
      </w:r>
      <w:r>
        <w:rPr>
          <w:rFonts w:hint="eastAsia" w:ascii="仿宋_GB2312" w:hAnsi="黑体" w:eastAsia="仿宋_GB2312" w:cs="宋体"/>
          <w:b w:val="0"/>
          <w:bCs/>
          <w:color w:val="000000"/>
          <w:kern w:val="0"/>
          <w:sz w:val="30"/>
          <w:szCs w:val="30"/>
          <w:lang w:val="en-US" w:eastAsia="zh-CN" w:bidi="ar-SA"/>
        </w:rPr>
        <w:t>调整</w:t>
      </w:r>
      <w:r>
        <w:rPr>
          <w:rFonts w:hint="default" w:ascii="仿宋_GB2312" w:hAnsi="黑体" w:eastAsia="仿宋_GB2312" w:cs="宋体"/>
          <w:b w:val="0"/>
          <w:bCs/>
          <w:color w:val="000000"/>
          <w:kern w:val="0"/>
          <w:sz w:val="30"/>
          <w:szCs w:val="30"/>
          <w:lang w:val="en-US" w:eastAsia="zh-CN" w:bidi="ar-SA"/>
        </w:rPr>
        <w:t>率有待</w:t>
      </w:r>
      <w:r>
        <w:rPr>
          <w:rFonts w:hint="eastAsia" w:ascii="仿宋_GB2312" w:hAnsi="黑体" w:eastAsia="仿宋_GB2312" w:cs="宋体"/>
          <w:b w:val="0"/>
          <w:bCs/>
          <w:color w:val="000000"/>
          <w:kern w:val="0"/>
          <w:sz w:val="30"/>
          <w:szCs w:val="30"/>
          <w:lang w:val="en-US" w:eastAsia="zh-CN" w:bidi="ar-SA"/>
        </w:rPr>
        <w:t>控制</w:t>
      </w:r>
      <w:r>
        <w:rPr>
          <w:rFonts w:hint="default" w:ascii="仿宋_GB2312" w:hAnsi="黑体" w:eastAsia="仿宋_GB2312" w:cs="宋体"/>
          <w:b w:val="0"/>
          <w:bCs/>
          <w:color w:val="000000"/>
          <w:kern w:val="0"/>
          <w:sz w:val="30"/>
          <w:szCs w:val="30"/>
          <w:lang w:val="en-US" w:eastAsia="zh-CN" w:bidi="ar-SA"/>
        </w:rPr>
        <w:t> </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00" w:firstLineChars="200"/>
        <w:jc w:val="both"/>
        <w:textAlignment w:val="auto"/>
        <w:rPr>
          <w:rFonts w:hint="eastAsia" w:ascii="仿宋_GB2312" w:hAnsi="黑体" w:eastAsia="仿宋_GB2312" w:cs="宋体"/>
          <w:b w:val="0"/>
          <w:bCs/>
          <w:color w:val="000000"/>
          <w:kern w:val="0"/>
          <w:sz w:val="30"/>
          <w:szCs w:val="30"/>
          <w:lang w:val="en-US" w:eastAsia="zh-CN" w:bidi="ar-SA"/>
        </w:rPr>
      </w:pPr>
      <w:r>
        <w:rPr>
          <w:rFonts w:hint="eastAsia" w:ascii="仿宋_GB2312" w:hAnsi="黑体" w:eastAsia="仿宋_GB2312" w:cs="宋体"/>
          <w:b w:val="0"/>
          <w:bCs/>
          <w:color w:val="000000"/>
          <w:kern w:val="0"/>
          <w:sz w:val="30"/>
          <w:szCs w:val="30"/>
          <w:lang w:val="en-US" w:eastAsia="zh-CN" w:bidi="ar-SA"/>
        </w:rPr>
        <w:t>受年中追加经费影响，2019年预算调整率68.5%，超过30%，主要是人员费用以及对下属和招商企业的补助等一些上级转移支付资金的不可控。应在下年加以重视，尽量减少追加资金，逐步降低预算控制率。</w:t>
      </w:r>
    </w:p>
    <w:p>
      <w:pPr>
        <w:keepNext w:val="0"/>
        <w:keepLines w:val="0"/>
        <w:pageBreakBefore w:val="0"/>
        <w:widowControl w:val="0"/>
        <w:numPr>
          <w:ilvl w:val="0"/>
          <w:numId w:val="0"/>
        </w:numPr>
        <w:kinsoku/>
        <w:wordWrap/>
        <w:overflowPunct/>
        <w:topLinePunct w:val="0"/>
        <w:autoSpaceDE/>
        <w:autoSpaceDN/>
        <w:bidi w:val="0"/>
        <w:adjustRightInd w:val="0"/>
        <w:snapToGrid w:val="0"/>
        <w:spacing w:line="600" w:lineRule="exact"/>
        <w:ind w:firstLine="640" w:firstLineChars="200"/>
        <w:textAlignment w:val="auto"/>
        <w:rPr>
          <w:rFonts w:hint="eastAsia" w:eastAsia="黑体"/>
          <w:sz w:val="32"/>
          <w:szCs w:val="32"/>
          <w:lang w:val="en-US" w:eastAsia="zh-CN"/>
        </w:rPr>
      </w:pPr>
      <w:r>
        <w:rPr>
          <w:rFonts w:hint="eastAsia" w:eastAsia="黑体"/>
          <w:sz w:val="32"/>
          <w:szCs w:val="32"/>
          <w:lang w:val="en-US" w:eastAsia="zh-CN"/>
        </w:rPr>
        <w:t>五、结合《部门整体支出绩效评价指标表》（见附件）的评价结果95分</w:t>
      </w:r>
    </w:p>
    <w:p>
      <w:pPr>
        <w:keepNext w:val="0"/>
        <w:keepLines w:val="0"/>
        <w:pageBreakBefore w:val="0"/>
        <w:widowControl w:val="0"/>
        <w:numPr>
          <w:ilvl w:val="0"/>
          <w:numId w:val="0"/>
        </w:numPr>
        <w:kinsoku/>
        <w:wordWrap/>
        <w:overflowPunct/>
        <w:topLinePunct w:val="0"/>
        <w:autoSpaceDE/>
        <w:autoSpaceDN/>
        <w:bidi w:val="0"/>
        <w:adjustRightInd w:val="0"/>
        <w:snapToGrid w:val="0"/>
        <w:spacing w:line="600" w:lineRule="exact"/>
        <w:ind w:firstLine="640" w:firstLineChars="200"/>
        <w:textAlignment w:val="auto"/>
        <w:rPr>
          <w:rFonts w:hint="eastAsia" w:eastAsia="黑体"/>
          <w:sz w:val="32"/>
          <w:szCs w:val="32"/>
          <w:lang w:val="en-US" w:eastAsia="zh-CN"/>
        </w:rPr>
      </w:pPr>
      <w:r>
        <w:rPr>
          <w:rFonts w:hint="eastAsia" w:eastAsia="黑体"/>
          <w:sz w:val="32"/>
          <w:szCs w:val="32"/>
          <w:lang w:val="en-US" w:eastAsia="zh-CN"/>
        </w:rPr>
        <w:t>六、改进措施和有关建议</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00"/>
        <w:jc w:val="both"/>
        <w:rPr>
          <w:rFonts w:hint="eastAsia" w:ascii="仿宋_GB2312" w:hAnsi="黑体" w:eastAsia="仿宋_GB2312" w:cs="宋体"/>
          <w:b w:val="0"/>
          <w:bCs/>
          <w:color w:val="000000"/>
          <w:kern w:val="0"/>
          <w:sz w:val="30"/>
          <w:szCs w:val="30"/>
          <w:lang w:val="en-US" w:eastAsia="zh-CN" w:bidi="ar-SA"/>
        </w:rPr>
      </w:pPr>
      <w:r>
        <w:rPr>
          <w:rFonts w:hint="eastAsia" w:ascii="仿宋_GB2312" w:hAnsi="黑体" w:eastAsia="仿宋_GB2312" w:cs="宋体"/>
          <w:b w:val="0"/>
          <w:bCs/>
          <w:color w:val="000000"/>
          <w:kern w:val="0"/>
          <w:sz w:val="30"/>
          <w:szCs w:val="30"/>
          <w:lang w:val="en-US" w:eastAsia="zh-CN" w:bidi="ar-SA"/>
        </w:rPr>
        <w:t>（一）整改措施：</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00" w:firstLineChars="200"/>
        <w:jc w:val="both"/>
        <w:textAlignment w:val="auto"/>
        <w:rPr>
          <w:rFonts w:hint="default" w:ascii="仿宋_GB2312" w:hAnsi="黑体" w:eastAsia="仿宋_GB2312" w:cs="宋体"/>
          <w:b w:val="0"/>
          <w:bCs/>
          <w:color w:val="000000"/>
          <w:kern w:val="0"/>
          <w:sz w:val="30"/>
          <w:szCs w:val="30"/>
          <w:lang w:val="en-US" w:eastAsia="zh-CN" w:bidi="ar-SA"/>
        </w:rPr>
      </w:pPr>
      <w:r>
        <w:rPr>
          <w:rFonts w:hint="default" w:ascii="仿宋_GB2312" w:hAnsi="黑体" w:eastAsia="仿宋_GB2312" w:cs="宋体"/>
          <w:b w:val="0"/>
          <w:bCs/>
          <w:color w:val="000000"/>
          <w:kern w:val="0"/>
          <w:sz w:val="30"/>
          <w:szCs w:val="30"/>
          <w:lang w:val="en-US" w:eastAsia="zh-CN" w:bidi="ar-SA"/>
        </w:rPr>
        <w:t>针对上述存在的问题，拟采取以下改进措施： </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00" w:firstLineChars="200"/>
        <w:jc w:val="both"/>
        <w:textAlignment w:val="auto"/>
        <w:rPr>
          <w:rFonts w:hint="default" w:ascii="仿宋_GB2312" w:hAnsi="黑体" w:eastAsia="仿宋_GB2312" w:cs="宋体"/>
          <w:b w:val="0"/>
          <w:bCs/>
          <w:color w:val="000000"/>
          <w:kern w:val="0"/>
          <w:sz w:val="30"/>
          <w:szCs w:val="30"/>
          <w:lang w:val="en-US" w:eastAsia="zh-CN" w:bidi="ar-SA"/>
        </w:rPr>
      </w:pPr>
      <w:r>
        <w:rPr>
          <w:rFonts w:hint="eastAsia" w:ascii="仿宋_GB2312" w:hAnsi="黑体" w:eastAsia="仿宋_GB2312" w:cs="宋体"/>
          <w:b w:val="0"/>
          <w:bCs/>
          <w:color w:val="000000"/>
          <w:kern w:val="0"/>
          <w:sz w:val="30"/>
          <w:szCs w:val="30"/>
          <w:lang w:val="en-US" w:eastAsia="zh-CN" w:bidi="ar-SA"/>
        </w:rPr>
        <w:t>1、</w:t>
      </w:r>
      <w:r>
        <w:rPr>
          <w:rFonts w:hint="default" w:ascii="仿宋_GB2312" w:hAnsi="黑体" w:eastAsia="仿宋_GB2312" w:cs="宋体"/>
          <w:b w:val="0"/>
          <w:bCs/>
          <w:color w:val="000000"/>
          <w:kern w:val="0"/>
          <w:sz w:val="30"/>
          <w:szCs w:val="30"/>
          <w:lang w:val="en-US" w:eastAsia="zh-CN" w:bidi="ar-SA"/>
        </w:rPr>
        <w:t>硬化预算执行的约束性 </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00" w:firstLineChars="200"/>
        <w:jc w:val="both"/>
        <w:textAlignment w:val="auto"/>
        <w:rPr>
          <w:rFonts w:hint="default" w:ascii="仿宋_GB2312" w:hAnsi="黑体" w:eastAsia="仿宋_GB2312" w:cs="宋体"/>
          <w:b w:val="0"/>
          <w:bCs/>
          <w:color w:val="000000"/>
          <w:kern w:val="0"/>
          <w:sz w:val="30"/>
          <w:szCs w:val="30"/>
          <w:lang w:val="en-US" w:eastAsia="zh-CN" w:bidi="ar-SA"/>
        </w:rPr>
      </w:pPr>
      <w:r>
        <w:rPr>
          <w:rFonts w:hint="default" w:ascii="仿宋_GB2312" w:hAnsi="黑体" w:eastAsia="仿宋_GB2312" w:cs="宋体"/>
          <w:b w:val="0"/>
          <w:bCs/>
          <w:color w:val="000000"/>
          <w:kern w:val="0"/>
          <w:sz w:val="30"/>
          <w:szCs w:val="30"/>
          <w:lang w:val="en-US" w:eastAsia="zh-CN" w:bidi="ar-SA"/>
        </w:rPr>
        <w:t>增强预算编制的全面性、准确性，强化预算执行的严肃性。对年初没有预算安排的支出原则上不安排支出，不申请新增追加资金。严格按预算批复的用途使用资金，减少预算调整事项。 </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00"/>
        <w:jc w:val="both"/>
        <w:rPr>
          <w:rFonts w:hint="eastAsia" w:ascii="仿宋_GB2312" w:hAnsi="黑体" w:eastAsia="仿宋_GB2312" w:cs="宋体"/>
          <w:b w:val="0"/>
          <w:bCs/>
          <w:color w:val="000000"/>
          <w:kern w:val="0"/>
          <w:sz w:val="30"/>
          <w:szCs w:val="30"/>
          <w:lang w:val="en-US" w:eastAsia="zh-CN" w:bidi="ar-SA"/>
        </w:rPr>
      </w:pPr>
      <w:r>
        <w:rPr>
          <w:rFonts w:hint="eastAsia" w:ascii="仿宋_GB2312" w:hAnsi="黑体" w:eastAsia="仿宋_GB2312" w:cs="宋体"/>
          <w:b w:val="0"/>
          <w:bCs/>
          <w:color w:val="000000"/>
          <w:kern w:val="0"/>
          <w:sz w:val="30"/>
          <w:szCs w:val="30"/>
          <w:lang w:val="en-US" w:eastAsia="zh-CN" w:bidi="ar-SA"/>
        </w:rPr>
        <w:t>（二）、下一步建议：</w:t>
      </w:r>
    </w:p>
    <w:p>
      <w:pPr>
        <w:spacing w:line="580" w:lineRule="exact"/>
        <w:ind w:firstLine="560" w:firstLineChars="200"/>
        <w:rPr>
          <w:rFonts w:hint="eastAsia" w:ascii="仿宋_GB2312" w:eastAsia="仿宋_GB2312" w:cs="仿宋_GB2312"/>
          <w:sz w:val="28"/>
          <w:szCs w:val="28"/>
        </w:rPr>
      </w:pPr>
      <w:r>
        <w:rPr>
          <w:rFonts w:hint="eastAsia" w:ascii="仿宋_GB2312" w:eastAsia="仿宋_GB2312" w:cs="仿宋_GB2312"/>
          <w:sz w:val="28"/>
          <w:szCs w:val="28"/>
        </w:rPr>
        <w:t>为了进一步提高本部门整体绩效水平，在预算编制和预算执行过程中，我们提出如下建议：</w:t>
      </w:r>
    </w:p>
    <w:p>
      <w:pPr>
        <w:spacing w:line="580" w:lineRule="exact"/>
        <w:ind w:firstLine="560" w:firstLineChars="200"/>
        <w:rPr>
          <w:rFonts w:hint="eastAsia" w:ascii="仿宋_GB2312" w:eastAsia="仿宋_GB2312" w:cs="仿宋_GB2312"/>
          <w:sz w:val="28"/>
          <w:szCs w:val="28"/>
        </w:rPr>
      </w:pPr>
      <w:r>
        <w:rPr>
          <w:rFonts w:hint="eastAsia" w:ascii="仿宋_GB2312" w:eastAsia="仿宋_GB2312"/>
          <w:sz w:val="28"/>
          <w:szCs w:val="28"/>
          <w:lang w:val="en-US" w:eastAsia="zh-CN"/>
        </w:rPr>
        <w:t>1、</w:t>
      </w:r>
      <w:r>
        <w:rPr>
          <w:rFonts w:hint="eastAsia" w:ascii="仿宋_GB2312" w:eastAsia="仿宋_GB2312" w:cs="仿宋_GB2312"/>
          <w:sz w:val="28"/>
          <w:szCs w:val="28"/>
        </w:rPr>
        <w:t>继续加强队伍建设。要抓好绩效评价的队伍建设和业务学习，加强业务培训。</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560" w:firstLineChars="200"/>
        <w:jc w:val="both"/>
        <w:textAlignment w:val="auto"/>
        <w:rPr>
          <w:rFonts w:hint="default" w:ascii="仿宋_GB2312" w:hAnsi="黑体" w:eastAsia="仿宋_GB2312" w:cs="宋体"/>
          <w:b w:val="0"/>
          <w:bCs/>
          <w:color w:val="000000"/>
          <w:kern w:val="0"/>
          <w:sz w:val="30"/>
          <w:szCs w:val="30"/>
          <w:lang w:val="en-US" w:eastAsia="zh-CN" w:bidi="ar-SA"/>
        </w:rPr>
      </w:pPr>
      <w:r>
        <w:rPr>
          <w:rFonts w:hint="eastAsia" w:ascii="仿宋_GB2312" w:eastAsia="仿宋_GB2312"/>
          <w:sz w:val="28"/>
          <w:szCs w:val="28"/>
          <w:lang w:val="en-US" w:eastAsia="zh-CN"/>
        </w:rPr>
        <w:t>2、</w:t>
      </w:r>
      <w:r>
        <w:rPr>
          <w:rFonts w:hint="eastAsia" w:ascii="仿宋_GB2312" w:eastAsia="仿宋_GB2312" w:cs="仿宋_GB2312"/>
          <w:sz w:val="28"/>
          <w:szCs w:val="28"/>
        </w:rPr>
        <w:t>建立和完善长效机制。把绩效评价作为部门的日常性工作，建立绩效评价管理工作考核的长效机制。</w:t>
      </w:r>
    </w:p>
    <w:p>
      <w:pPr>
        <w:rPr>
          <w:color w:val="auto"/>
          <w:u w:val="none"/>
        </w:rPr>
      </w:pPr>
      <w:r>
        <w:rPr>
          <w:rFonts w:hint="default" w:ascii="仿宋_GB2312" w:hAnsi="黑体" w:eastAsia="仿宋_GB2312" w:cs="宋体"/>
          <w:b w:val="0"/>
          <w:bCs/>
          <w:color w:val="000000"/>
          <w:kern w:val="0"/>
          <w:sz w:val="30"/>
          <w:szCs w:val="30"/>
          <w:lang w:val="en-US" w:eastAsia="zh-CN" w:bidi="ar-SA"/>
        </w:rPr>
        <w:t>　</w:t>
      </w:r>
      <w:r>
        <w:rPr>
          <w:rFonts w:hint="eastAsia" w:ascii="仿宋" w:hAnsi="仿宋" w:eastAsia="仿宋"/>
          <w:color w:val="auto"/>
          <w:sz w:val="32"/>
          <w:szCs w:val="32"/>
          <w:u w:val="none"/>
        </w:rPr>
        <w:t>附件：</w:t>
      </w:r>
      <w:r>
        <w:rPr>
          <w:color w:val="auto"/>
          <w:u w:val="none"/>
        </w:rPr>
        <w:fldChar w:fldCharType="begin"/>
      </w:r>
      <w:r>
        <w:rPr>
          <w:color w:val="auto"/>
          <w:u w:val="none"/>
        </w:rPr>
        <w:instrText xml:space="preserve">HYPERLINK "file:///C:\\Users\\Administrator\\Desktop\\10.18\\</w:instrText>
      </w:r>
      <w:r>
        <w:rPr>
          <w:rFonts w:hint="eastAsia"/>
          <w:color w:val="auto"/>
          <w:u w:val="none"/>
        </w:rPr>
        <w:instrText xml:space="preserve">绩效自评模板</w:instrText>
      </w:r>
      <w:r>
        <w:rPr>
          <w:color w:val="auto"/>
          <w:u w:val="none"/>
        </w:rPr>
        <w:instrText xml:space="preserve">\\2016</w:instrText>
      </w:r>
      <w:r>
        <w:rPr>
          <w:rFonts w:hint="eastAsia"/>
          <w:color w:val="auto"/>
          <w:u w:val="none"/>
        </w:rPr>
        <w:instrText xml:space="preserve">年永州市直部门整体支出绩效评价指标表</w:instrText>
      </w:r>
      <w:r>
        <w:rPr>
          <w:color w:val="auto"/>
          <w:u w:val="none"/>
        </w:rPr>
        <w:instrText xml:space="preserve">.doc"</w:instrText>
      </w:r>
      <w:r>
        <w:rPr>
          <w:color w:val="auto"/>
          <w:u w:val="none"/>
        </w:rPr>
        <w:fldChar w:fldCharType="separate"/>
      </w:r>
      <w:r>
        <w:rPr>
          <w:rStyle w:val="8"/>
          <w:rFonts w:hint="eastAsia" w:ascii="仿宋" w:hAnsi="仿宋" w:eastAsia="仿宋"/>
          <w:color w:val="auto"/>
          <w:sz w:val="32"/>
          <w:szCs w:val="32"/>
          <w:u w:val="none"/>
        </w:rPr>
        <w:t>部门整体支出绩效评价指标表</w:t>
      </w:r>
      <w:r>
        <w:rPr>
          <w:color w:val="auto"/>
          <w:u w:val="none"/>
        </w:rPr>
        <w:fldChar w:fldCharType="end"/>
      </w:r>
    </w:p>
    <w:p>
      <w:pPr>
        <w:spacing w:line="360" w:lineRule="auto"/>
        <w:ind w:right="480" w:firstLine="360" w:firstLineChars="100"/>
        <w:rPr>
          <w:rFonts w:hint="eastAsia" w:ascii="方正小标宋简体" w:hAnsi="宋体" w:eastAsia="方正小标宋简体"/>
          <w:bCs/>
          <w:sz w:val="36"/>
          <w:szCs w:val="36"/>
        </w:rPr>
      </w:pPr>
      <w:r>
        <w:rPr>
          <w:rFonts w:hint="eastAsia" w:ascii="方正小标宋简体" w:hAnsi="宋体" w:eastAsia="方正小标宋简体"/>
          <w:bCs/>
          <w:sz w:val="36"/>
          <w:szCs w:val="36"/>
        </w:rPr>
        <w:t>201</w:t>
      </w:r>
      <w:r>
        <w:rPr>
          <w:rFonts w:hint="eastAsia" w:ascii="方正小标宋简体" w:hAnsi="宋体" w:eastAsia="方正小标宋简体"/>
          <w:bCs/>
          <w:sz w:val="36"/>
          <w:szCs w:val="36"/>
          <w:lang w:val="en-US" w:eastAsia="zh-CN"/>
        </w:rPr>
        <w:t>9</w:t>
      </w:r>
      <w:r>
        <w:rPr>
          <w:rFonts w:hint="eastAsia" w:ascii="方正小标宋简体" w:hAnsi="宋体" w:eastAsia="方正小标宋简体"/>
          <w:bCs/>
          <w:sz w:val="36"/>
          <w:szCs w:val="36"/>
        </w:rPr>
        <w:t>年零陵区</w:t>
      </w:r>
      <w:r>
        <w:rPr>
          <w:rFonts w:hint="eastAsia" w:ascii="方正小标宋简体" w:hAnsi="宋体" w:eastAsia="方正小标宋简体"/>
          <w:bCs/>
          <w:sz w:val="36"/>
          <w:szCs w:val="36"/>
          <w:lang w:eastAsia="zh-CN"/>
        </w:rPr>
        <w:t>发改</w:t>
      </w:r>
      <w:r>
        <w:rPr>
          <w:rFonts w:hint="eastAsia" w:ascii="方正小标宋简体" w:hAnsi="宋体" w:eastAsia="方正小标宋简体"/>
          <w:bCs/>
          <w:sz w:val="36"/>
          <w:szCs w:val="36"/>
        </w:rPr>
        <w:t>局整体支出绩效评价指标表</w:t>
      </w:r>
    </w:p>
    <w:p>
      <w:pPr>
        <w:spacing w:line="360" w:lineRule="auto"/>
        <w:ind w:right="480" w:firstLine="480" w:firstLineChars="200"/>
        <w:jc w:val="center"/>
        <w:rPr>
          <w:rFonts w:ascii="宋体" w:hAnsi="宋体" w:cs="Arial"/>
          <w:sz w:val="24"/>
        </w:rPr>
      </w:pPr>
    </w:p>
    <w:tbl>
      <w:tblPr>
        <w:tblStyle w:val="6"/>
        <w:tblW w:w="9321" w:type="dxa"/>
        <w:tblInd w:w="0" w:type="dxa"/>
        <w:tblLayout w:type="fixed"/>
        <w:tblCellMar>
          <w:top w:w="0" w:type="dxa"/>
          <w:left w:w="108" w:type="dxa"/>
          <w:bottom w:w="0" w:type="dxa"/>
          <w:right w:w="108" w:type="dxa"/>
        </w:tblCellMar>
      </w:tblPr>
      <w:tblGrid>
        <w:gridCol w:w="660"/>
        <w:gridCol w:w="725"/>
        <w:gridCol w:w="712"/>
        <w:gridCol w:w="3682"/>
        <w:gridCol w:w="2888"/>
        <w:gridCol w:w="654"/>
      </w:tblGrid>
      <w:tr>
        <w:tblPrEx>
          <w:tblCellMar>
            <w:top w:w="0" w:type="dxa"/>
            <w:left w:w="108" w:type="dxa"/>
            <w:bottom w:w="0" w:type="dxa"/>
            <w:right w:w="108" w:type="dxa"/>
          </w:tblCellMar>
        </w:tblPrEx>
        <w:trPr>
          <w:trHeight w:val="270" w:hRule="atLeast"/>
        </w:trPr>
        <w:tc>
          <w:tcPr>
            <w:tcW w:w="660" w:type="dxa"/>
            <w:tcBorders>
              <w:top w:val="single" w:color="auto" w:sz="4" w:space="0"/>
              <w:left w:val="single" w:color="auto" w:sz="4" w:space="0"/>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r>
              <w:rPr>
                <w:rFonts w:hint="eastAsia" w:ascii="宋体" w:hAnsi="宋体" w:cs="宋体"/>
                <w:kern w:val="0"/>
                <w:szCs w:val="21"/>
              </w:rPr>
              <w:t>一级指标</w:t>
            </w:r>
          </w:p>
        </w:tc>
        <w:tc>
          <w:tcPr>
            <w:tcW w:w="725" w:type="dxa"/>
            <w:tcBorders>
              <w:top w:val="single" w:color="auto" w:sz="4" w:space="0"/>
              <w:left w:val="nil"/>
              <w:bottom w:val="single" w:color="auto" w:sz="4" w:space="0"/>
              <w:right w:val="single" w:color="auto" w:sz="4" w:space="0"/>
            </w:tcBorders>
            <w:noWrap w:val="0"/>
            <w:vAlign w:val="center"/>
          </w:tcPr>
          <w:p>
            <w:pPr>
              <w:widowControl/>
              <w:spacing w:line="400" w:lineRule="exact"/>
              <w:jc w:val="center"/>
              <w:rPr>
                <w:rFonts w:ascii="宋体" w:hAnsi="宋体" w:cs="宋体"/>
                <w:kern w:val="0"/>
                <w:szCs w:val="21"/>
              </w:rPr>
            </w:pPr>
            <w:r>
              <w:rPr>
                <w:rFonts w:hint="eastAsia" w:ascii="宋体" w:hAnsi="宋体" w:cs="宋体"/>
                <w:kern w:val="0"/>
                <w:szCs w:val="21"/>
              </w:rPr>
              <w:t>二级指标</w:t>
            </w:r>
          </w:p>
        </w:tc>
        <w:tc>
          <w:tcPr>
            <w:tcW w:w="712" w:type="dxa"/>
            <w:tcBorders>
              <w:top w:val="single" w:color="auto" w:sz="4" w:space="0"/>
              <w:left w:val="nil"/>
              <w:bottom w:val="single" w:color="auto" w:sz="4" w:space="0"/>
              <w:right w:val="single" w:color="auto" w:sz="4" w:space="0"/>
            </w:tcBorders>
            <w:noWrap w:val="0"/>
            <w:vAlign w:val="center"/>
          </w:tcPr>
          <w:p>
            <w:pPr>
              <w:widowControl/>
              <w:spacing w:line="400" w:lineRule="exact"/>
              <w:jc w:val="center"/>
              <w:rPr>
                <w:rFonts w:ascii="宋体" w:hAnsi="宋体" w:cs="宋体"/>
                <w:kern w:val="0"/>
                <w:szCs w:val="21"/>
              </w:rPr>
            </w:pPr>
            <w:r>
              <w:rPr>
                <w:rFonts w:hint="eastAsia" w:ascii="宋体" w:hAnsi="宋体" w:cs="宋体"/>
                <w:kern w:val="0"/>
                <w:szCs w:val="21"/>
              </w:rPr>
              <w:t>三级指标</w:t>
            </w:r>
          </w:p>
        </w:tc>
        <w:tc>
          <w:tcPr>
            <w:tcW w:w="3682" w:type="dxa"/>
            <w:tcBorders>
              <w:top w:val="single" w:color="auto" w:sz="4" w:space="0"/>
              <w:left w:val="nil"/>
              <w:bottom w:val="single" w:color="auto" w:sz="4" w:space="0"/>
              <w:right w:val="single" w:color="auto" w:sz="4" w:space="0"/>
            </w:tcBorders>
            <w:noWrap w:val="0"/>
            <w:vAlign w:val="center"/>
          </w:tcPr>
          <w:p>
            <w:pPr>
              <w:widowControl/>
              <w:spacing w:line="400" w:lineRule="exact"/>
              <w:jc w:val="center"/>
              <w:rPr>
                <w:rFonts w:ascii="宋体" w:hAnsi="宋体" w:cs="宋体"/>
                <w:kern w:val="0"/>
                <w:szCs w:val="21"/>
              </w:rPr>
            </w:pPr>
            <w:r>
              <w:rPr>
                <w:rFonts w:hint="eastAsia" w:ascii="宋体" w:hAnsi="宋体" w:cs="宋体"/>
                <w:kern w:val="0"/>
                <w:szCs w:val="21"/>
              </w:rPr>
              <w:t>评价标准</w:t>
            </w:r>
          </w:p>
        </w:tc>
        <w:tc>
          <w:tcPr>
            <w:tcW w:w="2888" w:type="dxa"/>
            <w:tcBorders>
              <w:top w:val="single" w:color="auto" w:sz="4" w:space="0"/>
              <w:left w:val="nil"/>
              <w:bottom w:val="single" w:color="auto" w:sz="4" w:space="0"/>
              <w:right w:val="single" w:color="auto" w:sz="4" w:space="0"/>
            </w:tcBorders>
            <w:noWrap w:val="0"/>
            <w:vAlign w:val="center"/>
          </w:tcPr>
          <w:p>
            <w:pPr>
              <w:widowControl/>
              <w:spacing w:line="400" w:lineRule="exact"/>
              <w:jc w:val="center"/>
              <w:rPr>
                <w:rFonts w:ascii="宋体" w:hAnsi="宋体" w:cs="宋体"/>
                <w:kern w:val="0"/>
                <w:szCs w:val="21"/>
              </w:rPr>
            </w:pPr>
            <w:r>
              <w:rPr>
                <w:rFonts w:hint="eastAsia" w:ascii="宋体" w:hAnsi="宋体" w:cs="宋体"/>
                <w:kern w:val="0"/>
                <w:szCs w:val="21"/>
              </w:rPr>
              <w:t>备注</w:t>
            </w:r>
          </w:p>
        </w:tc>
        <w:tc>
          <w:tcPr>
            <w:tcW w:w="654" w:type="dxa"/>
            <w:tcBorders>
              <w:top w:val="single" w:color="auto" w:sz="4" w:space="0"/>
              <w:left w:val="nil"/>
              <w:bottom w:val="single" w:color="auto" w:sz="4" w:space="0"/>
              <w:right w:val="single" w:color="auto" w:sz="4" w:space="0"/>
            </w:tcBorders>
            <w:noWrap w:val="0"/>
            <w:vAlign w:val="center"/>
          </w:tcPr>
          <w:p>
            <w:pPr>
              <w:widowControl/>
              <w:spacing w:line="400" w:lineRule="exact"/>
              <w:jc w:val="center"/>
              <w:rPr>
                <w:rFonts w:ascii="宋体" w:hAnsi="宋体" w:cs="宋体"/>
                <w:kern w:val="0"/>
                <w:szCs w:val="21"/>
              </w:rPr>
            </w:pPr>
            <w:r>
              <w:rPr>
                <w:rFonts w:hint="eastAsia" w:ascii="宋体" w:hAnsi="宋体" w:cs="宋体"/>
                <w:kern w:val="0"/>
                <w:szCs w:val="21"/>
              </w:rPr>
              <w:t>得分</w:t>
            </w:r>
          </w:p>
        </w:tc>
      </w:tr>
      <w:tr>
        <w:tblPrEx>
          <w:tblCellMar>
            <w:top w:w="0" w:type="dxa"/>
            <w:left w:w="108" w:type="dxa"/>
            <w:bottom w:w="0" w:type="dxa"/>
            <w:right w:w="108" w:type="dxa"/>
          </w:tblCellMar>
        </w:tblPrEx>
        <w:trPr>
          <w:trHeight w:val="1520" w:hRule="atLeast"/>
        </w:trPr>
        <w:tc>
          <w:tcPr>
            <w:tcW w:w="660" w:type="dxa"/>
            <w:vMerge w:val="restart"/>
            <w:tcBorders>
              <w:top w:val="nil"/>
              <w:left w:val="single" w:color="auto" w:sz="4" w:space="0"/>
              <w:right w:val="single" w:color="auto" w:sz="4" w:space="0"/>
            </w:tcBorders>
            <w:noWrap w:val="0"/>
            <w:textDirection w:val="tbRlV"/>
            <w:vAlign w:val="center"/>
          </w:tcPr>
          <w:p>
            <w:pPr>
              <w:spacing w:line="400" w:lineRule="exact"/>
              <w:jc w:val="center"/>
              <w:rPr>
                <w:rFonts w:ascii="宋体" w:hAnsi="宋体" w:cs="宋体"/>
                <w:kern w:val="0"/>
                <w:szCs w:val="21"/>
              </w:rPr>
            </w:pPr>
            <w:r>
              <w:rPr>
                <w:rFonts w:hint="eastAsia" w:ascii="宋体" w:hAnsi="宋体" w:cs="宋体"/>
                <w:kern w:val="0"/>
                <w:szCs w:val="21"/>
              </w:rPr>
              <w:t>投    入</w:t>
            </w:r>
          </w:p>
        </w:tc>
        <w:tc>
          <w:tcPr>
            <w:tcW w:w="725" w:type="dxa"/>
            <w:tcBorders>
              <w:top w:val="nil"/>
              <w:left w:val="single" w:color="auto" w:sz="4" w:space="0"/>
              <w:bottom w:val="single" w:color="auto" w:sz="4" w:space="0"/>
              <w:right w:val="single" w:color="auto" w:sz="4" w:space="0"/>
            </w:tcBorders>
            <w:noWrap w:val="0"/>
            <w:vAlign w:val="center"/>
          </w:tcPr>
          <w:p>
            <w:pPr>
              <w:widowControl/>
              <w:spacing w:line="400" w:lineRule="exact"/>
              <w:rPr>
                <w:rFonts w:ascii="宋体" w:hAnsi="宋体" w:cs="宋体"/>
                <w:kern w:val="0"/>
                <w:szCs w:val="21"/>
              </w:rPr>
            </w:pPr>
            <w:r>
              <w:rPr>
                <w:rFonts w:hint="eastAsia" w:ascii="宋体" w:hAnsi="宋体" w:cs="宋体"/>
                <w:kern w:val="0"/>
                <w:szCs w:val="21"/>
              </w:rPr>
              <w:t>目标设定（8分）</w:t>
            </w:r>
          </w:p>
        </w:tc>
        <w:tc>
          <w:tcPr>
            <w:tcW w:w="712" w:type="dxa"/>
            <w:tcBorders>
              <w:top w:val="nil"/>
              <w:left w:val="nil"/>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r>
              <w:rPr>
                <w:rFonts w:hint="eastAsia" w:ascii="宋体" w:hAnsi="宋体" w:cs="宋体"/>
                <w:kern w:val="0"/>
                <w:szCs w:val="21"/>
              </w:rPr>
              <w:t>绩效目标设定（8分）</w:t>
            </w:r>
          </w:p>
        </w:tc>
        <w:tc>
          <w:tcPr>
            <w:tcW w:w="3682" w:type="dxa"/>
            <w:tcBorders>
              <w:top w:val="nil"/>
              <w:left w:val="nil"/>
              <w:bottom w:val="single" w:color="auto" w:sz="4" w:space="0"/>
              <w:right w:val="single" w:color="auto" w:sz="4" w:space="0"/>
            </w:tcBorders>
            <w:noWrap w:val="0"/>
            <w:vAlign w:val="center"/>
          </w:tcPr>
          <w:p>
            <w:pPr>
              <w:widowControl/>
              <w:spacing w:line="400" w:lineRule="exact"/>
              <w:ind w:left="-531" w:leftChars="-253" w:firstLine="558" w:firstLineChars="266"/>
              <w:jc w:val="center"/>
              <w:rPr>
                <w:rFonts w:ascii="宋体" w:hAnsi="宋体" w:cs="宋体"/>
                <w:kern w:val="0"/>
                <w:szCs w:val="21"/>
              </w:rPr>
            </w:pPr>
            <w:r>
              <w:rPr>
                <w:rFonts w:hint="eastAsia" w:ascii="宋体" w:hAnsi="宋体" w:cs="宋体"/>
                <w:kern w:val="0"/>
                <w:szCs w:val="21"/>
              </w:rPr>
              <w:t>整体支出绩效目标设立是否符合国家法律法规和社会发展总的规划计4分；与部门“三定方案”和中远期发展相符计4分。</w:t>
            </w:r>
          </w:p>
        </w:tc>
        <w:tc>
          <w:tcPr>
            <w:tcW w:w="2888" w:type="dxa"/>
            <w:tcBorders>
              <w:top w:val="nil"/>
              <w:left w:val="nil"/>
              <w:bottom w:val="single" w:color="auto" w:sz="4" w:space="0"/>
              <w:right w:val="single" w:color="auto" w:sz="4" w:space="0"/>
            </w:tcBorders>
            <w:noWrap w:val="0"/>
            <w:vAlign w:val="center"/>
          </w:tcPr>
          <w:p>
            <w:pPr>
              <w:widowControl/>
              <w:numPr>
                <w:ilvl w:val="0"/>
                <w:numId w:val="7"/>
              </w:numPr>
              <w:spacing w:line="400" w:lineRule="exact"/>
              <w:ind w:right="-107" w:rightChars="-51"/>
              <w:jc w:val="left"/>
              <w:rPr>
                <w:rFonts w:ascii="宋体" w:hAnsi="宋体" w:cs="宋体"/>
                <w:kern w:val="0"/>
                <w:szCs w:val="21"/>
              </w:rPr>
            </w:pPr>
            <w:r>
              <w:rPr>
                <w:rFonts w:hint="eastAsia" w:ascii="宋体" w:hAnsi="宋体" w:cs="宋体"/>
                <w:kern w:val="0"/>
                <w:szCs w:val="21"/>
              </w:rPr>
              <w:t>按要求进行了绩效目标编制；</w:t>
            </w:r>
          </w:p>
          <w:p>
            <w:pPr>
              <w:widowControl/>
              <w:numPr>
                <w:ilvl w:val="0"/>
                <w:numId w:val="7"/>
              </w:numPr>
              <w:spacing w:line="400" w:lineRule="exact"/>
              <w:ind w:right="-107" w:rightChars="-51"/>
              <w:jc w:val="left"/>
              <w:rPr>
                <w:rFonts w:ascii="宋体" w:hAnsi="宋体" w:cs="宋体"/>
                <w:kern w:val="0"/>
                <w:szCs w:val="21"/>
              </w:rPr>
            </w:pPr>
            <w:r>
              <w:rPr>
                <w:rFonts w:hint="eastAsia" w:ascii="宋体" w:hAnsi="宋体" w:cs="宋体"/>
                <w:kern w:val="0"/>
                <w:szCs w:val="21"/>
              </w:rPr>
              <w:t>按“三定”方案确定职责；</w:t>
            </w:r>
          </w:p>
          <w:p>
            <w:pPr>
              <w:widowControl/>
              <w:numPr>
                <w:ilvl w:val="0"/>
                <w:numId w:val="7"/>
              </w:numPr>
              <w:spacing w:line="400" w:lineRule="exact"/>
              <w:ind w:right="-107" w:rightChars="-51"/>
              <w:jc w:val="left"/>
              <w:rPr>
                <w:rFonts w:ascii="宋体" w:hAnsi="宋体" w:cs="宋体"/>
                <w:kern w:val="0"/>
                <w:szCs w:val="21"/>
              </w:rPr>
            </w:pPr>
            <w:r>
              <w:rPr>
                <w:rFonts w:hint="eastAsia" w:ascii="宋体" w:hAnsi="宋体" w:cs="宋体"/>
                <w:kern w:val="0"/>
                <w:szCs w:val="21"/>
              </w:rPr>
              <w:t>制定了部门中远期发展规划。</w:t>
            </w:r>
          </w:p>
        </w:tc>
        <w:tc>
          <w:tcPr>
            <w:tcW w:w="654" w:type="dxa"/>
            <w:tcBorders>
              <w:top w:val="nil"/>
              <w:left w:val="nil"/>
              <w:bottom w:val="single" w:color="auto" w:sz="4" w:space="0"/>
              <w:right w:val="single" w:color="auto" w:sz="4" w:space="0"/>
            </w:tcBorders>
            <w:noWrap w:val="0"/>
            <w:vAlign w:val="center"/>
          </w:tcPr>
          <w:p>
            <w:pPr>
              <w:widowControl/>
              <w:spacing w:line="400" w:lineRule="exact"/>
              <w:jc w:val="center"/>
              <w:rPr>
                <w:rFonts w:hint="eastAsia" w:ascii="宋体" w:hAnsi="宋体" w:cs="宋体"/>
                <w:kern w:val="0"/>
                <w:szCs w:val="21"/>
              </w:rPr>
            </w:pPr>
            <w:r>
              <w:rPr>
                <w:rFonts w:hint="eastAsia" w:ascii="宋体" w:hAnsi="宋体" w:cs="宋体"/>
                <w:kern w:val="0"/>
                <w:szCs w:val="21"/>
              </w:rPr>
              <w:t>8</w:t>
            </w:r>
          </w:p>
        </w:tc>
      </w:tr>
      <w:tr>
        <w:tblPrEx>
          <w:tblCellMar>
            <w:top w:w="0" w:type="dxa"/>
            <w:left w:w="108" w:type="dxa"/>
            <w:bottom w:w="0" w:type="dxa"/>
            <w:right w:w="108" w:type="dxa"/>
          </w:tblCellMar>
        </w:tblPrEx>
        <w:trPr>
          <w:trHeight w:val="1520" w:hRule="atLeast"/>
        </w:trPr>
        <w:tc>
          <w:tcPr>
            <w:tcW w:w="660" w:type="dxa"/>
            <w:vMerge w:val="continue"/>
            <w:tcBorders>
              <w:left w:val="single" w:color="auto" w:sz="4" w:space="0"/>
              <w:right w:val="single" w:color="auto" w:sz="4" w:space="0"/>
            </w:tcBorders>
            <w:noWrap w:val="0"/>
            <w:textDirection w:val="tbRlV"/>
            <w:vAlign w:val="center"/>
          </w:tcPr>
          <w:p>
            <w:pPr>
              <w:widowControl/>
              <w:spacing w:line="400" w:lineRule="exact"/>
              <w:jc w:val="center"/>
              <w:rPr>
                <w:rFonts w:ascii="宋体" w:hAnsi="宋体" w:cs="宋体"/>
                <w:kern w:val="0"/>
                <w:szCs w:val="21"/>
              </w:rPr>
            </w:pPr>
          </w:p>
        </w:tc>
        <w:tc>
          <w:tcPr>
            <w:tcW w:w="725" w:type="dxa"/>
            <w:vMerge w:val="restart"/>
            <w:tcBorders>
              <w:top w:val="nil"/>
              <w:left w:val="single" w:color="auto" w:sz="4" w:space="0"/>
              <w:bottom w:val="single" w:color="auto" w:sz="4" w:space="0"/>
              <w:right w:val="single" w:color="auto" w:sz="4" w:space="0"/>
            </w:tcBorders>
            <w:noWrap w:val="0"/>
            <w:vAlign w:val="center"/>
          </w:tcPr>
          <w:p>
            <w:pPr>
              <w:widowControl/>
              <w:spacing w:line="400" w:lineRule="exact"/>
              <w:jc w:val="center"/>
              <w:rPr>
                <w:rFonts w:ascii="宋体" w:hAnsi="宋体" w:cs="宋体"/>
                <w:kern w:val="0"/>
                <w:szCs w:val="21"/>
              </w:rPr>
            </w:pPr>
            <w:r>
              <w:rPr>
                <w:rFonts w:hint="eastAsia" w:ascii="宋体" w:hAnsi="宋体" w:cs="宋体"/>
                <w:kern w:val="0"/>
                <w:szCs w:val="21"/>
              </w:rPr>
              <w:t>预算配置(12分)</w:t>
            </w:r>
          </w:p>
        </w:tc>
        <w:tc>
          <w:tcPr>
            <w:tcW w:w="712" w:type="dxa"/>
            <w:tcBorders>
              <w:top w:val="nil"/>
              <w:left w:val="nil"/>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r>
              <w:rPr>
                <w:rFonts w:hint="eastAsia" w:ascii="宋体" w:hAnsi="宋体" w:cs="宋体"/>
                <w:kern w:val="0"/>
                <w:szCs w:val="21"/>
              </w:rPr>
              <w:t>财政供养人员控制率（3分）</w:t>
            </w:r>
          </w:p>
        </w:tc>
        <w:tc>
          <w:tcPr>
            <w:tcW w:w="3682" w:type="dxa"/>
            <w:tcBorders>
              <w:top w:val="nil"/>
              <w:left w:val="nil"/>
              <w:bottom w:val="single" w:color="auto" w:sz="4" w:space="0"/>
              <w:right w:val="single" w:color="auto" w:sz="4" w:space="0"/>
            </w:tcBorders>
            <w:noWrap w:val="0"/>
            <w:vAlign w:val="center"/>
          </w:tcPr>
          <w:p>
            <w:pPr>
              <w:widowControl/>
              <w:spacing w:line="400" w:lineRule="exact"/>
              <w:ind w:left="-531" w:leftChars="-253" w:firstLine="558" w:firstLineChars="266"/>
              <w:rPr>
                <w:rFonts w:ascii="宋体" w:hAnsi="宋体" w:cs="宋体"/>
                <w:kern w:val="0"/>
                <w:szCs w:val="21"/>
              </w:rPr>
            </w:pPr>
            <w:r>
              <w:rPr>
                <w:rFonts w:hint="eastAsia" w:ascii="宋体" w:hAnsi="宋体" w:cs="宋体"/>
                <w:kern w:val="0"/>
                <w:szCs w:val="21"/>
              </w:rPr>
              <w:t>以100%为标准。</w:t>
            </w:r>
          </w:p>
          <w:p>
            <w:pPr>
              <w:widowControl/>
              <w:spacing w:line="400" w:lineRule="exact"/>
              <w:ind w:left="-531" w:leftChars="-253" w:firstLine="558" w:firstLineChars="266"/>
              <w:rPr>
                <w:rFonts w:ascii="宋体" w:hAnsi="宋体" w:cs="宋体"/>
                <w:kern w:val="0"/>
                <w:szCs w:val="21"/>
              </w:rPr>
            </w:pPr>
            <w:r>
              <w:rPr>
                <w:rFonts w:hint="eastAsia" w:ascii="宋体" w:hAnsi="宋体" w:cs="宋体"/>
                <w:kern w:val="0"/>
                <w:szCs w:val="21"/>
              </w:rPr>
              <w:t>在职人员控制率≦  100%，计3分；</w:t>
            </w:r>
          </w:p>
          <w:p>
            <w:pPr>
              <w:widowControl/>
              <w:spacing w:line="400" w:lineRule="exact"/>
              <w:ind w:left="-531" w:leftChars="-253" w:firstLine="558" w:firstLineChars="266"/>
              <w:jc w:val="center"/>
              <w:rPr>
                <w:rFonts w:ascii="宋体" w:hAnsi="宋体" w:cs="宋体"/>
                <w:kern w:val="0"/>
                <w:szCs w:val="21"/>
              </w:rPr>
            </w:pPr>
            <w:r>
              <w:rPr>
                <w:rFonts w:hint="eastAsia" w:ascii="宋体" w:hAnsi="宋体" w:cs="宋体"/>
                <w:kern w:val="0"/>
                <w:szCs w:val="21"/>
              </w:rPr>
              <w:t>每超过一个百分点扣0.5分，扣完为止。</w:t>
            </w:r>
          </w:p>
        </w:tc>
        <w:tc>
          <w:tcPr>
            <w:tcW w:w="2888" w:type="dxa"/>
            <w:tcBorders>
              <w:top w:val="nil"/>
              <w:left w:val="nil"/>
              <w:bottom w:val="single" w:color="auto" w:sz="4" w:space="0"/>
              <w:right w:val="single" w:color="auto" w:sz="4" w:space="0"/>
            </w:tcBorders>
            <w:noWrap w:val="0"/>
            <w:vAlign w:val="center"/>
          </w:tcPr>
          <w:p>
            <w:pPr>
              <w:widowControl/>
              <w:spacing w:line="400" w:lineRule="exact"/>
              <w:ind w:left="210" w:right="-107" w:rightChars="-51" w:hanging="210" w:hangingChars="100"/>
              <w:jc w:val="left"/>
              <w:rPr>
                <w:rFonts w:ascii="宋体" w:hAnsi="宋体" w:cs="宋体"/>
                <w:kern w:val="0"/>
                <w:szCs w:val="21"/>
              </w:rPr>
            </w:pPr>
            <w:r>
              <w:rPr>
                <w:rFonts w:hint="eastAsia" w:ascii="宋体" w:hAnsi="宋体" w:cs="宋体"/>
                <w:kern w:val="0"/>
                <w:szCs w:val="21"/>
              </w:rPr>
              <w:t>财政预算</w:t>
            </w:r>
            <w:r>
              <w:rPr>
                <w:rFonts w:hint="eastAsia" w:ascii="宋体" w:hAnsi="宋体" w:cs="宋体"/>
                <w:kern w:val="0"/>
                <w:szCs w:val="21"/>
                <w:lang w:val="en-US" w:eastAsia="zh-CN"/>
              </w:rPr>
              <w:t>50</w:t>
            </w:r>
            <w:r>
              <w:rPr>
                <w:rFonts w:hint="eastAsia" w:ascii="宋体" w:hAnsi="宋体" w:cs="宋体"/>
                <w:kern w:val="0"/>
                <w:szCs w:val="21"/>
              </w:rPr>
              <w:t>人，实际在职</w:t>
            </w:r>
            <w:r>
              <w:rPr>
                <w:rFonts w:hint="eastAsia" w:ascii="宋体" w:hAnsi="宋体" w:cs="宋体"/>
                <w:kern w:val="0"/>
                <w:szCs w:val="21"/>
                <w:lang w:val="en-US" w:eastAsia="zh-CN"/>
              </w:rPr>
              <w:t>48</w:t>
            </w:r>
            <w:r>
              <w:rPr>
                <w:rFonts w:hint="eastAsia" w:ascii="宋体" w:hAnsi="宋体" w:cs="宋体"/>
                <w:kern w:val="0"/>
                <w:szCs w:val="21"/>
              </w:rPr>
              <w:t>人，在职控制率=  /   *100%=   %</w:t>
            </w:r>
          </w:p>
        </w:tc>
        <w:tc>
          <w:tcPr>
            <w:tcW w:w="654" w:type="dxa"/>
            <w:tcBorders>
              <w:top w:val="nil"/>
              <w:left w:val="nil"/>
              <w:bottom w:val="single" w:color="auto" w:sz="4" w:space="0"/>
              <w:right w:val="single" w:color="auto" w:sz="4" w:space="0"/>
            </w:tcBorders>
            <w:noWrap w:val="0"/>
            <w:vAlign w:val="center"/>
          </w:tcPr>
          <w:p>
            <w:pPr>
              <w:widowControl/>
              <w:spacing w:line="400" w:lineRule="exact"/>
              <w:jc w:val="center"/>
              <w:rPr>
                <w:rFonts w:hint="eastAsia" w:ascii="宋体" w:hAnsi="宋体" w:cs="宋体"/>
                <w:kern w:val="0"/>
                <w:szCs w:val="21"/>
              </w:rPr>
            </w:pPr>
            <w:r>
              <w:rPr>
                <w:rFonts w:hint="eastAsia" w:ascii="宋体" w:hAnsi="宋体" w:cs="宋体"/>
                <w:kern w:val="0"/>
                <w:szCs w:val="21"/>
              </w:rPr>
              <w:t>3</w:t>
            </w:r>
          </w:p>
        </w:tc>
      </w:tr>
      <w:tr>
        <w:tblPrEx>
          <w:tblCellMar>
            <w:top w:w="0" w:type="dxa"/>
            <w:left w:w="108" w:type="dxa"/>
            <w:bottom w:w="0" w:type="dxa"/>
            <w:right w:w="108" w:type="dxa"/>
          </w:tblCellMar>
        </w:tblPrEx>
        <w:trPr>
          <w:trHeight w:val="960" w:hRule="atLeast"/>
        </w:trPr>
        <w:tc>
          <w:tcPr>
            <w:tcW w:w="660" w:type="dxa"/>
            <w:vMerge w:val="continue"/>
            <w:tcBorders>
              <w:left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p>
        </w:tc>
        <w:tc>
          <w:tcPr>
            <w:tcW w:w="725" w:type="dxa"/>
            <w:vMerge w:val="continue"/>
            <w:tcBorders>
              <w:top w:val="nil"/>
              <w:left w:val="single" w:color="auto" w:sz="4" w:space="0"/>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p>
        </w:tc>
        <w:tc>
          <w:tcPr>
            <w:tcW w:w="712" w:type="dxa"/>
            <w:tcBorders>
              <w:top w:val="nil"/>
              <w:left w:val="nil"/>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r>
              <w:rPr>
                <w:rFonts w:hint="eastAsia" w:ascii="宋体" w:hAnsi="宋体" w:cs="宋体"/>
                <w:kern w:val="0"/>
                <w:szCs w:val="21"/>
              </w:rPr>
              <w:t>“三公经费”变动率（4分）</w:t>
            </w:r>
          </w:p>
        </w:tc>
        <w:tc>
          <w:tcPr>
            <w:tcW w:w="3682" w:type="dxa"/>
            <w:tcBorders>
              <w:top w:val="nil"/>
              <w:left w:val="nil"/>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r>
              <w:rPr>
                <w:rFonts w:hint="eastAsia" w:ascii="宋体" w:hAnsi="宋体" w:cs="宋体"/>
                <w:kern w:val="0"/>
                <w:szCs w:val="21"/>
              </w:rPr>
              <w:t>“三公经费”变动率≦0 ，计4分；“三公经费”＞0，每超过一个百分点扣0.6分，扣完为止。</w:t>
            </w:r>
          </w:p>
        </w:tc>
        <w:tc>
          <w:tcPr>
            <w:tcW w:w="2888" w:type="dxa"/>
            <w:tcBorders>
              <w:top w:val="nil"/>
              <w:left w:val="nil"/>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r>
              <w:rPr>
                <w:rFonts w:hint="eastAsia" w:ascii="宋体" w:hAnsi="宋体" w:cs="宋体"/>
                <w:kern w:val="0"/>
                <w:szCs w:val="21"/>
              </w:rPr>
              <w:t>上年度三公经费支出公务用车运行维护费</w:t>
            </w:r>
            <w:r>
              <w:rPr>
                <w:rFonts w:hint="eastAsia" w:ascii="宋体" w:hAnsi="宋体" w:cs="宋体"/>
                <w:kern w:val="0"/>
                <w:szCs w:val="21"/>
                <w:lang w:val="en-US" w:eastAsia="zh-CN"/>
              </w:rPr>
              <w:t>0</w:t>
            </w:r>
            <w:r>
              <w:rPr>
                <w:rFonts w:hint="eastAsia" w:ascii="宋体" w:hAnsi="宋体" w:cs="宋体"/>
                <w:kern w:val="0"/>
                <w:szCs w:val="21"/>
              </w:rPr>
              <w:t xml:space="preserve">万元，接待费 </w:t>
            </w:r>
            <w:r>
              <w:rPr>
                <w:rFonts w:hint="eastAsia" w:ascii="宋体" w:hAnsi="宋体" w:cs="宋体"/>
                <w:kern w:val="0"/>
                <w:szCs w:val="21"/>
                <w:lang w:val="en-US" w:eastAsia="zh-CN"/>
              </w:rPr>
              <w:t>10.8</w:t>
            </w:r>
            <w:r>
              <w:rPr>
                <w:rFonts w:hint="eastAsia" w:ascii="宋体" w:hAnsi="宋体" w:cs="宋体"/>
                <w:kern w:val="0"/>
                <w:szCs w:val="21"/>
              </w:rPr>
              <w:t>万元，出国出境费 0 万元，共计</w:t>
            </w:r>
            <w:r>
              <w:rPr>
                <w:rFonts w:hint="eastAsia" w:ascii="宋体" w:hAnsi="宋体" w:cs="宋体"/>
                <w:kern w:val="0"/>
                <w:szCs w:val="21"/>
                <w:lang w:val="en-US" w:eastAsia="zh-CN"/>
              </w:rPr>
              <w:t>10.8</w:t>
            </w:r>
            <w:r>
              <w:rPr>
                <w:rFonts w:hint="eastAsia" w:ascii="宋体" w:hAnsi="宋体" w:cs="宋体"/>
                <w:kern w:val="0"/>
                <w:szCs w:val="21"/>
              </w:rPr>
              <w:t xml:space="preserve"> 万元。本年公车运行维护费</w:t>
            </w:r>
            <w:r>
              <w:rPr>
                <w:rFonts w:hint="eastAsia" w:ascii="宋体" w:hAnsi="宋体" w:cs="宋体"/>
                <w:kern w:val="0"/>
                <w:szCs w:val="21"/>
                <w:lang w:val="en-US" w:eastAsia="zh-CN"/>
              </w:rPr>
              <w:t>0</w:t>
            </w:r>
            <w:r>
              <w:rPr>
                <w:rFonts w:hint="eastAsia" w:ascii="宋体" w:hAnsi="宋体" w:cs="宋体"/>
                <w:kern w:val="0"/>
                <w:szCs w:val="21"/>
              </w:rPr>
              <w:t xml:space="preserve">万元，招待费  </w:t>
            </w:r>
            <w:r>
              <w:rPr>
                <w:rFonts w:hint="eastAsia" w:ascii="宋体" w:hAnsi="宋体" w:cs="宋体"/>
                <w:kern w:val="0"/>
                <w:szCs w:val="21"/>
                <w:lang w:val="en-US" w:eastAsia="zh-CN"/>
              </w:rPr>
              <w:t>10.7</w:t>
            </w:r>
            <w:r>
              <w:rPr>
                <w:rFonts w:hint="eastAsia" w:ascii="宋体" w:hAnsi="宋体" w:cs="宋体"/>
                <w:kern w:val="0"/>
                <w:szCs w:val="21"/>
              </w:rPr>
              <w:t xml:space="preserve"> 万元，共计</w:t>
            </w:r>
            <w:r>
              <w:rPr>
                <w:rFonts w:hint="eastAsia" w:ascii="宋体" w:hAnsi="宋体" w:cs="宋体"/>
                <w:kern w:val="0"/>
                <w:szCs w:val="21"/>
                <w:lang w:val="en-US" w:eastAsia="zh-CN"/>
              </w:rPr>
              <w:t>10.7</w:t>
            </w:r>
            <w:r>
              <w:rPr>
                <w:rFonts w:hint="eastAsia" w:ascii="宋体" w:hAnsi="宋体" w:cs="宋体"/>
                <w:kern w:val="0"/>
                <w:szCs w:val="21"/>
              </w:rPr>
              <w:t>万元。三公经费变动率=（本年-上年度）/上年度=</w:t>
            </w:r>
            <w:r>
              <w:rPr>
                <w:rFonts w:hint="eastAsia" w:ascii="宋体" w:hAnsi="宋体" w:cs="宋体"/>
                <w:kern w:val="0"/>
                <w:szCs w:val="21"/>
                <w:lang w:val="en-US" w:eastAsia="zh-CN"/>
              </w:rPr>
              <w:t>0.9</w:t>
            </w:r>
            <w:r>
              <w:rPr>
                <w:rFonts w:hint="eastAsia" w:ascii="宋体" w:hAnsi="宋体" w:cs="宋体"/>
                <w:kern w:val="0"/>
                <w:szCs w:val="21"/>
              </w:rPr>
              <w:t xml:space="preserve"> %</w:t>
            </w:r>
          </w:p>
        </w:tc>
        <w:tc>
          <w:tcPr>
            <w:tcW w:w="654" w:type="dxa"/>
            <w:tcBorders>
              <w:top w:val="nil"/>
              <w:left w:val="nil"/>
              <w:bottom w:val="single" w:color="auto" w:sz="4" w:space="0"/>
              <w:right w:val="single" w:color="auto" w:sz="4" w:space="0"/>
            </w:tcBorders>
            <w:noWrap w:val="0"/>
            <w:vAlign w:val="center"/>
          </w:tcPr>
          <w:p>
            <w:pPr>
              <w:widowControl/>
              <w:spacing w:line="400" w:lineRule="exact"/>
              <w:jc w:val="center"/>
              <w:rPr>
                <w:rFonts w:hint="eastAsia" w:ascii="宋体" w:hAnsi="宋体" w:cs="宋体"/>
                <w:kern w:val="0"/>
                <w:szCs w:val="21"/>
              </w:rPr>
            </w:pPr>
            <w:r>
              <w:rPr>
                <w:rFonts w:hint="eastAsia" w:ascii="宋体" w:hAnsi="宋体" w:cs="宋体"/>
                <w:kern w:val="0"/>
                <w:szCs w:val="21"/>
              </w:rPr>
              <w:t>4</w:t>
            </w:r>
          </w:p>
        </w:tc>
      </w:tr>
      <w:tr>
        <w:tblPrEx>
          <w:tblCellMar>
            <w:top w:w="0" w:type="dxa"/>
            <w:left w:w="108" w:type="dxa"/>
            <w:bottom w:w="0" w:type="dxa"/>
            <w:right w:w="108" w:type="dxa"/>
          </w:tblCellMar>
        </w:tblPrEx>
        <w:trPr>
          <w:trHeight w:val="2160" w:hRule="atLeast"/>
        </w:trPr>
        <w:tc>
          <w:tcPr>
            <w:tcW w:w="660" w:type="dxa"/>
            <w:vMerge w:val="continue"/>
            <w:tcBorders>
              <w:left w:val="single" w:color="auto" w:sz="4" w:space="0"/>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p>
        </w:tc>
        <w:tc>
          <w:tcPr>
            <w:tcW w:w="725" w:type="dxa"/>
            <w:vMerge w:val="continue"/>
            <w:tcBorders>
              <w:top w:val="nil"/>
              <w:left w:val="single" w:color="auto" w:sz="4" w:space="0"/>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p>
        </w:tc>
        <w:tc>
          <w:tcPr>
            <w:tcW w:w="712" w:type="dxa"/>
            <w:tcBorders>
              <w:top w:val="nil"/>
              <w:left w:val="nil"/>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r>
              <w:rPr>
                <w:rFonts w:hint="eastAsia" w:ascii="宋体" w:hAnsi="宋体" w:cs="宋体"/>
                <w:kern w:val="0"/>
                <w:szCs w:val="21"/>
              </w:rPr>
              <w:t>重点支出安排率（5分）</w:t>
            </w:r>
          </w:p>
        </w:tc>
        <w:tc>
          <w:tcPr>
            <w:tcW w:w="3682" w:type="dxa"/>
            <w:tcBorders>
              <w:top w:val="nil"/>
              <w:left w:val="nil"/>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r>
              <w:rPr>
                <w:rFonts w:hint="eastAsia" w:ascii="宋体" w:hAnsi="宋体" w:cs="宋体"/>
                <w:kern w:val="0"/>
                <w:szCs w:val="21"/>
              </w:rPr>
              <w:t>重点支出安排率≥90%，计5分；</w:t>
            </w:r>
          </w:p>
          <w:p>
            <w:pPr>
              <w:widowControl/>
              <w:spacing w:line="400" w:lineRule="exact"/>
              <w:jc w:val="left"/>
              <w:rPr>
                <w:rFonts w:ascii="宋体" w:hAnsi="宋体" w:cs="宋体"/>
                <w:kern w:val="0"/>
                <w:szCs w:val="21"/>
              </w:rPr>
            </w:pPr>
            <w:r>
              <w:rPr>
                <w:rFonts w:hint="eastAsia" w:ascii="宋体" w:hAnsi="宋体" w:cs="宋体"/>
                <w:kern w:val="0"/>
                <w:szCs w:val="21"/>
              </w:rPr>
              <w:t>80%（含）-90%，计4分；                           70%（含）-80%，计3分；                           60%（含）-70%，计2分；                            低于60%不得分。</w:t>
            </w:r>
          </w:p>
        </w:tc>
        <w:tc>
          <w:tcPr>
            <w:tcW w:w="2888" w:type="dxa"/>
            <w:tcBorders>
              <w:top w:val="nil"/>
              <w:left w:val="nil"/>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p>
        </w:tc>
        <w:tc>
          <w:tcPr>
            <w:tcW w:w="654" w:type="dxa"/>
            <w:tcBorders>
              <w:top w:val="nil"/>
              <w:left w:val="nil"/>
              <w:bottom w:val="single" w:color="auto" w:sz="4" w:space="0"/>
              <w:right w:val="single" w:color="auto" w:sz="4" w:space="0"/>
            </w:tcBorders>
            <w:noWrap w:val="0"/>
            <w:vAlign w:val="center"/>
          </w:tcPr>
          <w:p>
            <w:pPr>
              <w:widowControl/>
              <w:spacing w:line="400" w:lineRule="exact"/>
              <w:jc w:val="center"/>
              <w:rPr>
                <w:rFonts w:hint="eastAsia" w:ascii="宋体" w:hAnsi="宋体" w:cs="宋体"/>
                <w:kern w:val="0"/>
                <w:szCs w:val="21"/>
              </w:rPr>
            </w:pPr>
            <w:r>
              <w:rPr>
                <w:rFonts w:hint="eastAsia" w:ascii="宋体" w:hAnsi="宋体" w:cs="宋体"/>
                <w:kern w:val="0"/>
                <w:szCs w:val="21"/>
              </w:rPr>
              <w:t>5</w:t>
            </w:r>
          </w:p>
        </w:tc>
      </w:tr>
      <w:tr>
        <w:tblPrEx>
          <w:tblCellMar>
            <w:top w:w="0" w:type="dxa"/>
            <w:left w:w="108" w:type="dxa"/>
            <w:bottom w:w="0" w:type="dxa"/>
            <w:right w:w="108" w:type="dxa"/>
          </w:tblCellMar>
        </w:tblPrEx>
        <w:trPr>
          <w:trHeight w:val="841" w:hRule="atLeast"/>
        </w:trPr>
        <w:tc>
          <w:tcPr>
            <w:tcW w:w="660" w:type="dxa"/>
            <w:vMerge w:val="restart"/>
            <w:tcBorders>
              <w:top w:val="nil"/>
              <w:left w:val="single" w:color="auto" w:sz="4" w:space="0"/>
              <w:bottom w:val="single" w:color="auto" w:sz="4" w:space="0"/>
              <w:right w:val="single" w:color="auto" w:sz="4" w:space="0"/>
            </w:tcBorders>
            <w:noWrap w:val="0"/>
            <w:textDirection w:val="tbRlV"/>
            <w:vAlign w:val="center"/>
          </w:tcPr>
          <w:p>
            <w:pPr>
              <w:widowControl/>
              <w:spacing w:line="400" w:lineRule="exact"/>
              <w:jc w:val="center"/>
              <w:rPr>
                <w:rFonts w:ascii="宋体" w:hAnsi="宋体" w:cs="宋体"/>
                <w:kern w:val="0"/>
                <w:szCs w:val="21"/>
              </w:rPr>
            </w:pPr>
            <w:r>
              <w:rPr>
                <w:rFonts w:hint="eastAsia" w:ascii="宋体" w:hAnsi="宋体" w:cs="宋体"/>
                <w:kern w:val="0"/>
                <w:szCs w:val="21"/>
              </w:rPr>
              <w:t>过    程</w:t>
            </w:r>
          </w:p>
        </w:tc>
        <w:tc>
          <w:tcPr>
            <w:tcW w:w="725" w:type="dxa"/>
            <w:vMerge w:val="restart"/>
            <w:tcBorders>
              <w:top w:val="nil"/>
              <w:left w:val="single" w:color="auto" w:sz="4" w:space="0"/>
              <w:bottom w:val="single" w:color="auto" w:sz="4" w:space="0"/>
              <w:right w:val="single" w:color="auto" w:sz="4" w:space="0"/>
            </w:tcBorders>
            <w:noWrap w:val="0"/>
            <w:vAlign w:val="center"/>
          </w:tcPr>
          <w:p>
            <w:pPr>
              <w:widowControl/>
              <w:spacing w:line="400" w:lineRule="exact"/>
              <w:jc w:val="center"/>
              <w:rPr>
                <w:rFonts w:ascii="宋体" w:hAnsi="宋体" w:cs="宋体"/>
                <w:kern w:val="0"/>
                <w:szCs w:val="21"/>
              </w:rPr>
            </w:pPr>
            <w:r>
              <w:rPr>
                <w:rFonts w:hint="eastAsia" w:ascii="宋体" w:hAnsi="宋体" w:cs="宋体"/>
                <w:kern w:val="0"/>
                <w:szCs w:val="21"/>
              </w:rPr>
              <w:t>预算执行（20分）</w:t>
            </w:r>
          </w:p>
        </w:tc>
        <w:tc>
          <w:tcPr>
            <w:tcW w:w="712" w:type="dxa"/>
            <w:tcBorders>
              <w:top w:val="nil"/>
              <w:left w:val="nil"/>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r>
              <w:rPr>
                <w:rFonts w:hint="eastAsia" w:ascii="宋体" w:hAnsi="宋体" w:cs="宋体"/>
                <w:kern w:val="0"/>
                <w:szCs w:val="21"/>
              </w:rPr>
              <w:t>预算调整率（5分）</w:t>
            </w:r>
          </w:p>
        </w:tc>
        <w:tc>
          <w:tcPr>
            <w:tcW w:w="3682" w:type="dxa"/>
            <w:tcBorders>
              <w:top w:val="nil"/>
              <w:left w:val="nil"/>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r>
              <w:rPr>
                <w:rFonts w:hint="eastAsia" w:ascii="宋体" w:hAnsi="宋体" w:cs="宋体"/>
                <w:kern w:val="0"/>
                <w:szCs w:val="21"/>
              </w:rPr>
              <w:t>预算调整率=0，计5分；                       0-10%（含），计4分；                          10-20%（含），计3分；                                     20-30%（含），计2分；                             大于30%不得分。</w:t>
            </w:r>
          </w:p>
        </w:tc>
        <w:tc>
          <w:tcPr>
            <w:tcW w:w="2888" w:type="dxa"/>
            <w:tcBorders>
              <w:top w:val="nil"/>
              <w:left w:val="nil"/>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r>
              <w:rPr>
                <w:rFonts w:hint="eastAsia" w:ascii="宋体" w:hAnsi="宋体" w:cs="宋体"/>
                <w:kern w:val="0"/>
                <w:szCs w:val="21"/>
              </w:rPr>
              <w:t>预算调整率为=调整数/201</w:t>
            </w:r>
            <w:r>
              <w:rPr>
                <w:rFonts w:hint="eastAsia" w:ascii="宋体" w:hAnsi="宋体" w:cs="宋体"/>
                <w:kern w:val="0"/>
                <w:szCs w:val="21"/>
                <w:lang w:val="en-US" w:eastAsia="zh-CN"/>
              </w:rPr>
              <w:t>9</w:t>
            </w:r>
            <w:r>
              <w:rPr>
                <w:rFonts w:hint="eastAsia" w:ascii="宋体" w:hAnsi="宋体" w:cs="宋体"/>
                <w:kern w:val="0"/>
                <w:szCs w:val="21"/>
              </w:rPr>
              <w:t xml:space="preserve">年预算执行数*100%= </w:t>
            </w:r>
            <w:r>
              <w:rPr>
                <w:rFonts w:hint="eastAsia" w:ascii="宋体" w:hAnsi="宋体" w:cs="宋体"/>
                <w:kern w:val="0"/>
                <w:szCs w:val="21"/>
                <w:lang w:val="en-US" w:eastAsia="zh-CN"/>
              </w:rPr>
              <w:t>68.5</w:t>
            </w:r>
            <w:r>
              <w:rPr>
                <w:rFonts w:hint="eastAsia" w:ascii="宋体" w:hAnsi="宋体" w:cs="宋体"/>
                <w:kern w:val="0"/>
                <w:szCs w:val="21"/>
              </w:rPr>
              <w:t xml:space="preserve">   %</w:t>
            </w:r>
          </w:p>
        </w:tc>
        <w:tc>
          <w:tcPr>
            <w:tcW w:w="654" w:type="dxa"/>
            <w:tcBorders>
              <w:top w:val="nil"/>
              <w:left w:val="nil"/>
              <w:bottom w:val="single" w:color="auto" w:sz="4" w:space="0"/>
              <w:right w:val="single" w:color="auto" w:sz="4" w:space="0"/>
            </w:tcBorders>
            <w:noWrap w:val="0"/>
            <w:vAlign w:val="center"/>
          </w:tcPr>
          <w:p>
            <w:pPr>
              <w:widowControl/>
              <w:spacing w:line="400" w:lineRule="exact"/>
              <w:jc w:val="center"/>
              <w:rPr>
                <w:rFonts w:hint="eastAsia" w:ascii="宋体" w:hAnsi="宋体" w:eastAsia="宋体" w:cs="宋体"/>
                <w:kern w:val="0"/>
                <w:szCs w:val="21"/>
                <w:lang w:eastAsia="zh-CN"/>
              </w:rPr>
            </w:pPr>
            <w:r>
              <w:rPr>
                <w:rFonts w:hint="eastAsia" w:ascii="宋体" w:hAnsi="宋体" w:cs="宋体"/>
                <w:kern w:val="0"/>
                <w:szCs w:val="21"/>
                <w:lang w:val="en-US" w:eastAsia="zh-CN"/>
              </w:rPr>
              <w:t>0</w:t>
            </w:r>
          </w:p>
        </w:tc>
      </w:tr>
      <w:tr>
        <w:tblPrEx>
          <w:tblCellMar>
            <w:top w:w="0" w:type="dxa"/>
            <w:left w:w="108" w:type="dxa"/>
            <w:bottom w:w="0" w:type="dxa"/>
            <w:right w:w="108" w:type="dxa"/>
          </w:tblCellMar>
        </w:tblPrEx>
        <w:trPr>
          <w:trHeight w:val="1680" w:hRule="atLeast"/>
        </w:trPr>
        <w:tc>
          <w:tcPr>
            <w:tcW w:w="660" w:type="dxa"/>
            <w:vMerge w:val="continue"/>
            <w:tcBorders>
              <w:top w:val="nil"/>
              <w:left w:val="single" w:color="auto" w:sz="4" w:space="0"/>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p>
        </w:tc>
        <w:tc>
          <w:tcPr>
            <w:tcW w:w="725" w:type="dxa"/>
            <w:vMerge w:val="continue"/>
            <w:tcBorders>
              <w:top w:val="nil"/>
              <w:left w:val="single" w:color="auto" w:sz="4" w:space="0"/>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p>
        </w:tc>
        <w:tc>
          <w:tcPr>
            <w:tcW w:w="712" w:type="dxa"/>
            <w:tcBorders>
              <w:top w:val="single" w:color="auto" w:sz="4" w:space="0"/>
              <w:left w:val="single" w:color="auto" w:sz="4" w:space="0"/>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r>
              <w:rPr>
                <w:rFonts w:hint="eastAsia" w:ascii="宋体" w:hAnsi="宋体" w:cs="宋体"/>
                <w:kern w:val="0"/>
                <w:szCs w:val="21"/>
              </w:rPr>
              <w:t>支出进度（4分）</w:t>
            </w:r>
          </w:p>
        </w:tc>
        <w:tc>
          <w:tcPr>
            <w:tcW w:w="3682" w:type="dxa"/>
            <w:tcBorders>
              <w:top w:val="single" w:color="auto" w:sz="4" w:space="0"/>
              <w:left w:val="single" w:color="auto" w:sz="4" w:space="0"/>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r>
              <w:rPr>
                <w:rFonts w:hint="eastAsia" w:ascii="宋体" w:hAnsi="宋体" w:cs="宋体"/>
                <w:kern w:val="0"/>
                <w:szCs w:val="21"/>
              </w:rPr>
              <w:t>每年春节前下达全部专项资金的50%；9月底前所有专项资金指标全部下达完。 每出现一个专项未按进度完成资金下达扣0.5分，扣完为止。</w:t>
            </w:r>
          </w:p>
        </w:tc>
        <w:tc>
          <w:tcPr>
            <w:tcW w:w="2888" w:type="dxa"/>
            <w:tcBorders>
              <w:top w:val="single" w:color="auto" w:sz="4" w:space="0"/>
              <w:left w:val="single" w:color="auto" w:sz="4" w:space="0"/>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p>
        </w:tc>
        <w:tc>
          <w:tcPr>
            <w:tcW w:w="654" w:type="dxa"/>
            <w:tcBorders>
              <w:top w:val="single" w:color="auto" w:sz="4" w:space="0"/>
              <w:left w:val="single" w:color="auto" w:sz="4" w:space="0"/>
              <w:bottom w:val="single" w:color="auto" w:sz="4" w:space="0"/>
              <w:right w:val="single" w:color="auto" w:sz="4" w:space="0"/>
            </w:tcBorders>
            <w:noWrap w:val="0"/>
            <w:vAlign w:val="center"/>
          </w:tcPr>
          <w:p>
            <w:pPr>
              <w:widowControl/>
              <w:spacing w:line="400" w:lineRule="exact"/>
              <w:jc w:val="center"/>
              <w:rPr>
                <w:rFonts w:hint="eastAsia" w:ascii="宋体" w:hAnsi="宋体" w:cs="宋体"/>
                <w:kern w:val="0"/>
                <w:szCs w:val="21"/>
              </w:rPr>
            </w:pPr>
            <w:r>
              <w:rPr>
                <w:rFonts w:hint="eastAsia" w:ascii="宋体" w:hAnsi="宋体" w:cs="宋体"/>
                <w:kern w:val="0"/>
                <w:szCs w:val="21"/>
              </w:rPr>
              <w:t>4</w:t>
            </w:r>
          </w:p>
        </w:tc>
      </w:tr>
      <w:tr>
        <w:tblPrEx>
          <w:tblCellMar>
            <w:top w:w="0" w:type="dxa"/>
            <w:left w:w="108" w:type="dxa"/>
            <w:bottom w:w="0" w:type="dxa"/>
            <w:right w:w="108" w:type="dxa"/>
          </w:tblCellMar>
        </w:tblPrEx>
        <w:trPr>
          <w:trHeight w:val="416" w:hRule="atLeast"/>
        </w:trPr>
        <w:tc>
          <w:tcPr>
            <w:tcW w:w="660" w:type="dxa"/>
            <w:vMerge w:val="continue"/>
            <w:tcBorders>
              <w:top w:val="nil"/>
              <w:left w:val="single" w:color="auto" w:sz="4" w:space="0"/>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p>
        </w:tc>
        <w:tc>
          <w:tcPr>
            <w:tcW w:w="725" w:type="dxa"/>
            <w:vMerge w:val="continue"/>
            <w:tcBorders>
              <w:top w:val="nil"/>
              <w:left w:val="single" w:color="auto" w:sz="4" w:space="0"/>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p>
        </w:tc>
        <w:tc>
          <w:tcPr>
            <w:tcW w:w="712" w:type="dxa"/>
            <w:tcBorders>
              <w:top w:val="single" w:color="auto" w:sz="4" w:space="0"/>
              <w:left w:val="nil"/>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r>
              <w:rPr>
                <w:rFonts w:hint="eastAsia" w:ascii="宋体" w:hAnsi="宋体" w:cs="宋体"/>
                <w:kern w:val="0"/>
                <w:szCs w:val="21"/>
              </w:rPr>
              <w:t>资金结余（5分）</w:t>
            </w:r>
          </w:p>
        </w:tc>
        <w:tc>
          <w:tcPr>
            <w:tcW w:w="3682" w:type="dxa"/>
            <w:tcBorders>
              <w:top w:val="single" w:color="auto" w:sz="4" w:space="0"/>
              <w:left w:val="nil"/>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r>
              <w:rPr>
                <w:rFonts w:hint="eastAsia" w:ascii="宋体" w:hAnsi="宋体" w:cs="宋体"/>
                <w:kern w:val="0"/>
                <w:szCs w:val="21"/>
              </w:rPr>
              <w:t xml:space="preserve">无结余，5分；              </w:t>
            </w:r>
          </w:p>
          <w:p>
            <w:pPr>
              <w:widowControl/>
              <w:spacing w:line="400" w:lineRule="exact"/>
              <w:jc w:val="left"/>
              <w:rPr>
                <w:rFonts w:ascii="宋体" w:hAnsi="宋体" w:cs="宋体"/>
                <w:kern w:val="0"/>
                <w:szCs w:val="21"/>
              </w:rPr>
            </w:pPr>
            <w:r>
              <w:rPr>
                <w:rFonts w:hint="eastAsia" w:ascii="宋体" w:hAnsi="宋体" w:cs="宋体"/>
                <w:kern w:val="0"/>
                <w:szCs w:val="21"/>
              </w:rPr>
              <w:t>有结余，但不超过上年结转，4分；                       结余超过上年结转，不得分。</w:t>
            </w:r>
          </w:p>
        </w:tc>
        <w:tc>
          <w:tcPr>
            <w:tcW w:w="2888" w:type="dxa"/>
            <w:tcBorders>
              <w:top w:val="single" w:color="auto" w:sz="4" w:space="0"/>
              <w:left w:val="nil"/>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p>
        </w:tc>
        <w:tc>
          <w:tcPr>
            <w:tcW w:w="654" w:type="dxa"/>
            <w:tcBorders>
              <w:top w:val="single" w:color="auto" w:sz="4" w:space="0"/>
              <w:left w:val="nil"/>
              <w:bottom w:val="single" w:color="auto" w:sz="4" w:space="0"/>
              <w:right w:val="single" w:color="auto" w:sz="4" w:space="0"/>
            </w:tcBorders>
            <w:noWrap w:val="0"/>
            <w:vAlign w:val="center"/>
          </w:tcPr>
          <w:p>
            <w:pPr>
              <w:widowControl/>
              <w:spacing w:line="400" w:lineRule="exact"/>
              <w:jc w:val="center"/>
              <w:rPr>
                <w:rFonts w:hint="eastAsia" w:ascii="宋体" w:hAnsi="宋体" w:cs="宋体"/>
                <w:kern w:val="0"/>
                <w:szCs w:val="21"/>
              </w:rPr>
            </w:pPr>
            <w:r>
              <w:rPr>
                <w:rFonts w:hint="eastAsia" w:ascii="宋体" w:hAnsi="宋体" w:cs="宋体"/>
                <w:kern w:val="0"/>
                <w:szCs w:val="21"/>
              </w:rPr>
              <w:t>5</w:t>
            </w:r>
          </w:p>
        </w:tc>
      </w:tr>
      <w:tr>
        <w:tblPrEx>
          <w:tblCellMar>
            <w:top w:w="0" w:type="dxa"/>
            <w:left w:w="108" w:type="dxa"/>
            <w:bottom w:w="0" w:type="dxa"/>
            <w:right w:w="108" w:type="dxa"/>
          </w:tblCellMar>
        </w:tblPrEx>
        <w:trPr>
          <w:trHeight w:val="960" w:hRule="atLeast"/>
        </w:trPr>
        <w:tc>
          <w:tcPr>
            <w:tcW w:w="660" w:type="dxa"/>
            <w:vMerge w:val="continue"/>
            <w:tcBorders>
              <w:top w:val="nil"/>
              <w:left w:val="single" w:color="auto" w:sz="4" w:space="0"/>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p>
        </w:tc>
        <w:tc>
          <w:tcPr>
            <w:tcW w:w="725" w:type="dxa"/>
            <w:vMerge w:val="continue"/>
            <w:tcBorders>
              <w:top w:val="nil"/>
              <w:left w:val="single" w:color="auto" w:sz="4" w:space="0"/>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p>
        </w:tc>
        <w:tc>
          <w:tcPr>
            <w:tcW w:w="712" w:type="dxa"/>
            <w:tcBorders>
              <w:top w:val="single" w:color="auto" w:sz="4" w:space="0"/>
              <w:left w:val="single" w:color="auto" w:sz="4" w:space="0"/>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r>
              <w:rPr>
                <w:rFonts w:hint="eastAsia" w:ascii="宋体" w:hAnsi="宋体" w:cs="宋体"/>
                <w:kern w:val="0"/>
                <w:szCs w:val="21"/>
              </w:rPr>
              <w:t>“三公经费”控制率（6分）</w:t>
            </w:r>
          </w:p>
        </w:tc>
        <w:tc>
          <w:tcPr>
            <w:tcW w:w="3682" w:type="dxa"/>
            <w:tcBorders>
              <w:top w:val="single" w:color="auto" w:sz="4" w:space="0"/>
              <w:left w:val="single" w:color="auto" w:sz="4" w:space="0"/>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r>
              <w:rPr>
                <w:rFonts w:hint="eastAsia" w:ascii="宋体" w:hAnsi="宋体" w:cs="宋体"/>
                <w:kern w:val="0"/>
                <w:szCs w:val="21"/>
              </w:rPr>
              <w:t>以100%为标准。三公经费控制率≦100%，计6分；每超过一个百分点扣1分，扣完为止。</w:t>
            </w:r>
          </w:p>
        </w:tc>
        <w:tc>
          <w:tcPr>
            <w:tcW w:w="2888" w:type="dxa"/>
            <w:tcBorders>
              <w:top w:val="single" w:color="auto" w:sz="4" w:space="0"/>
              <w:left w:val="single" w:color="auto" w:sz="4" w:space="0"/>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p>
        </w:tc>
        <w:tc>
          <w:tcPr>
            <w:tcW w:w="654" w:type="dxa"/>
            <w:tcBorders>
              <w:top w:val="nil"/>
              <w:left w:val="single" w:color="auto" w:sz="4" w:space="0"/>
              <w:bottom w:val="single" w:color="auto" w:sz="4" w:space="0"/>
              <w:right w:val="single" w:color="auto" w:sz="4" w:space="0"/>
            </w:tcBorders>
            <w:noWrap w:val="0"/>
            <w:vAlign w:val="center"/>
          </w:tcPr>
          <w:p>
            <w:pPr>
              <w:widowControl/>
              <w:spacing w:line="400" w:lineRule="exact"/>
              <w:jc w:val="center"/>
              <w:rPr>
                <w:rFonts w:hint="eastAsia" w:ascii="宋体" w:hAnsi="宋体" w:cs="宋体"/>
                <w:kern w:val="0"/>
                <w:szCs w:val="21"/>
              </w:rPr>
            </w:pPr>
            <w:r>
              <w:rPr>
                <w:rFonts w:hint="eastAsia" w:ascii="宋体" w:hAnsi="宋体" w:cs="宋体"/>
                <w:kern w:val="0"/>
                <w:szCs w:val="21"/>
              </w:rPr>
              <w:t>6</w:t>
            </w:r>
          </w:p>
        </w:tc>
      </w:tr>
      <w:tr>
        <w:tblPrEx>
          <w:tblCellMar>
            <w:top w:w="0" w:type="dxa"/>
            <w:left w:w="108" w:type="dxa"/>
            <w:bottom w:w="0" w:type="dxa"/>
            <w:right w:w="108" w:type="dxa"/>
          </w:tblCellMar>
        </w:tblPrEx>
        <w:trPr>
          <w:trHeight w:val="1920" w:hRule="atLeast"/>
        </w:trPr>
        <w:tc>
          <w:tcPr>
            <w:tcW w:w="660" w:type="dxa"/>
            <w:vMerge w:val="restart"/>
            <w:tcBorders>
              <w:top w:val="nil"/>
              <w:left w:val="single" w:color="auto" w:sz="4" w:space="0"/>
              <w:bottom w:val="single" w:color="auto" w:sz="4" w:space="0"/>
              <w:right w:val="single" w:color="auto" w:sz="4" w:space="0"/>
            </w:tcBorders>
            <w:noWrap w:val="0"/>
            <w:textDirection w:val="tbRlV"/>
            <w:vAlign w:val="center"/>
          </w:tcPr>
          <w:p>
            <w:pPr>
              <w:widowControl/>
              <w:spacing w:line="400" w:lineRule="exact"/>
              <w:jc w:val="center"/>
              <w:rPr>
                <w:rFonts w:ascii="宋体" w:hAnsi="宋体" w:cs="宋体"/>
                <w:kern w:val="0"/>
                <w:szCs w:val="21"/>
              </w:rPr>
            </w:pPr>
            <w:r>
              <w:rPr>
                <w:rFonts w:hint="eastAsia" w:ascii="宋体" w:hAnsi="宋体" w:cs="宋体"/>
                <w:kern w:val="0"/>
                <w:szCs w:val="21"/>
              </w:rPr>
              <w:t>过      程</w:t>
            </w:r>
          </w:p>
        </w:tc>
        <w:tc>
          <w:tcPr>
            <w:tcW w:w="725" w:type="dxa"/>
            <w:vMerge w:val="restart"/>
            <w:tcBorders>
              <w:top w:val="nil"/>
              <w:left w:val="single" w:color="auto" w:sz="4" w:space="0"/>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r>
              <w:rPr>
                <w:rFonts w:hint="eastAsia" w:ascii="宋体" w:hAnsi="宋体" w:cs="宋体"/>
                <w:kern w:val="0"/>
                <w:szCs w:val="21"/>
              </w:rPr>
              <w:t>预算管理（21分）</w:t>
            </w:r>
          </w:p>
        </w:tc>
        <w:tc>
          <w:tcPr>
            <w:tcW w:w="712" w:type="dxa"/>
            <w:tcBorders>
              <w:top w:val="single" w:color="auto" w:sz="4" w:space="0"/>
              <w:left w:val="nil"/>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r>
              <w:rPr>
                <w:rFonts w:hint="eastAsia" w:ascii="宋体" w:hAnsi="宋体" w:cs="宋体"/>
                <w:kern w:val="0"/>
                <w:szCs w:val="21"/>
              </w:rPr>
              <w:t>管理制度健全性（6分）</w:t>
            </w:r>
          </w:p>
        </w:tc>
        <w:tc>
          <w:tcPr>
            <w:tcW w:w="3682" w:type="dxa"/>
            <w:tcBorders>
              <w:top w:val="single" w:color="auto" w:sz="4" w:space="0"/>
              <w:left w:val="nil"/>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r>
              <w:rPr>
                <w:rFonts w:hint="eastAsia" w:ascii="宋体" w:hAnsi="宋体" w:cs="宋体"/>
                <w:kern w:val="0"/>
                <w:szCs w:val="21"/>
              </w:rPr>
              <w:t>1、制定或具有预算资金管理办法，内部财务管理制度、会计核算制度等管理制度，2分； 2、相关管理制度合法、合规、完整，2分； 3、相关管理制度得到有效执行，2分。</w:t>
            </w:r>
          </w:p>
        </w:tc>
        <w:tc>
          <w:tcPr>
            <w:tcW w:w="2888" w:type="dxa"/>
            <w:tcBorders>
              <w:top w:val="single" w:color="auto" w:sz="4" w:space="0"/>
              <w:left w:val="nil"/>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p>
        </w:tc>
        <w:tc>
          <w:tcPr>
            <w:tcW w:w="654" w:type="dxa"/>
            <w:tcBorders>
              <w:top w:val="nil"/>
              <w:left w:val="nil"/>
              <w:bottom w:val="single" w:color="auto" w:sz="4" w:space="0"/>
              <w:right w:val="single" w:color="auto" w:sz="4" w:space="0"/>
            </w:tcBorders>
            <w:noWrap w:val="0"/>
            <w:vAlign w:val="center"/>
          </w:tcPr>
          <w:p>
            <w:pPr>
              <w:widowControl/>
              <w:spacing w:line="400" w:lineRule="exact"/>
              <w:jc w:val="center"/>
              <w:rPr>
                <w:rFonts w:hint="eastAsia" w:ascii="宋体" w:hAnsi="宋体" w:cs="宋体"/>
                <w:kern w:val="0"/>
                <w:szCs w:val="21"/>
              </w:rPr>
            </w:pPr>
            <w:r>
              <w:rPr>
                <w:rFonts w:hint="eastAsia" w:ascii="宋体" w:hAnsi="宋体" w:cs="宋体"/>
                <w:kern w:val="0"/>
                <w:szCs w:val="21"/>
              </w:rPr>
              <w:t>6</w:t>
            </w:r>
          </w:p>
        </w:tc>
      </w:tr>
      <w:tr>
        <w:tblPrEx>
          <w:tblCellMar>
            <w:top w:w="0" w:type="dxa"/>
            <w:left w:w="108" w:type="dxa"/>
            <w:bottom w:w="0" w:type="dxa"/>
            <w:right w:w="108" w:type="dxa"/>
          </w:tblCellMar>
        </w:tblPrEx>
        <w:trPr>
          <w:trHeight w:val="416" w:hRule="atLeast"/>
        </w:trPr>
        <w:tc>
          <w:tcPr>
            <w:tcW w:w="660" w:type="dxa"/>
            <w:vMerge w:val="continue"/>
            <w:tcBorders>
              <w:top w:val="nil"/>
              <w:left w:val="single" w:color="auto" w:sz="4" w:space="0"/>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p>
        </w:tc>
        <w:tc>
          <w:tcPr>
            <w:tcW w:w="725" w:type="dxa"/>
            <w:vMerge w:val="continue"/>
            <w:tcBorders>
              <w:top w:val="nil"/>
              <w:left w:val="single" w:color="auto" w:sz="4" w:space="0"/>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p>
        </w:tc>
        <w:tc>
          <w:tcPr>
            <w:tcW w:w="712" w:type="dxa"/>
            <w:tcBorders>
              <w:top w:val="single" w:color="auto" w:sz="4" w:space="0"/>
              <w:left w:val="single" w:color="auto" w:sz="4" w:space="0"/>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r>
              <w:rPr>
                <w:rFonts w:hint="eastAsia" w:ascii="宋体" w:hAnsi="宋体" w:cs="宋体"/>
                <w:kern w:val="0"/>
                <w:szCs w:val="21"/>
              </w:rPr>
              <w:t>资金使用合规性（10分）</w:t>
            </w:r>
          </w:p>
        </w:tc>
        <w:tc>
          <w:tcPr>
            <w:tcW w:w="3682" w:type="dxa"/>
            <w:tcBorders>
              <w:top w:val="single" w:color="auto" w:sz="4" w:space="0"/>
              <w:left w:val="single" w:color="auto" w:sz="4" w:space="0"/>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r>
              <w:rPr>
                <w:rFonts w:hint="eastAsia" w:ascii="宋体" w:hAnsi="宋体" w:cs="宋体"/>
                <w:kern w:val="0"/>
                <w:szCs w:val="21"/>
              </w:rPr>
              <w:t xml:space="preserve">1、支出符合国家财经法规和财务管理制度规定以及有关专项资金管理办法的规定； </w:t>
            </w:r>
          </w:p>
          <w:p>
            <w:pPr>
              <w:widowControl/>
              <w:spacing w:line="400" w:lineRule="exact"/>
              <w:jc w:val="left"/>
              <w:rPr>
                <w:rFonts w:ascii="宋体" w:hAnsi="宋体" w:cs="宋体"/>
                <w:kern w:val="0"/>
                <w:szCs w:val="21"/>
              </w:rPr>
            </w:pPr>
            <w:r>
              <w:rPr>
                <w:rFonts w:hint="eastAsia" w:ascii="宋体" w:hAnsi="宋体" w:cs="宋体"/>
                <w:kern w:val="0"/>
                <w:szCs w:val="21"/>
              </w:rPr>
              <w:t xml:space="preserve">2、资金拨付有完整的审批程序和手续；               </w:t>
            </w:r>
          </w:p>
          <w:p>
            <w:pPr>
              <w:widowControl/>
              <w:spacing w:line="400" w:lineRule="exact"/>
              <w:jc w:val="left"/>
              <w:rPr>
                <w:rFonts w:ascii="宋体" w:hAnsi="宋体" w:cs="宋体"/>
                <w:kern w:val="0"/>
                <w:szCs w:val="21"/>
              </w:rPr>
            </w:pPr>
            <w:r>
              <w:rPr>
                <w:rFonts w:hint="eastAsia" w:ascii="宋体" w:hAnsi="宋体" w:cs="宋体"/>
                <w:kern w:val="0"/>
                <w:szCs w:val="21"/>
              </w:rPr>
              <w:t xml:space="preserve">3、项目支出按规定经过评估论证；                      4、支出按照部门预算批复的用途使用；                      5、资金使用无截留、挤占、挪用、虚列支出等情况。 </w:t>
            </w:r>
          </w:p>
          <w:p>
            <w:pPr>
              <w:widowControl/>
              <w:spacing w:line="400" w:lineRule="exact"/>
              <w:jc w:val="left"/>
              <w:rPr>
                <w:rFonts w:ascii="宋体" w:hAnsi="宋体" w:cs="宋体"/>
                <w:kern w:val="0"/>
                <w:szCs w:val="21"/>
              </w:rPr>
            </w:pPr>
            <w:r>
              <w:rPr>
                <w:rFonts w:hint="eastAsia" w:ascii="宋体" w:hAnsi="宋体" w:cs="宋体"/>
                <w:kern w:val="0"/>
                <w:szCs w:val="21"/>
              </w:rPr>
              <w:t xml:space="preserve">6、按《采购法》实行政府采购； </w:t>
            </w:r>
          </w:p>
          <w:p>
            <w:pPr>
              <w:widowControl/>
              <w:spacing w:line="400" w:lineRule="exact"/>
              <w:jc w:val="left"/>
              <w:rPr>
                <w:rFonts w:ascii="宋体" w:hAnsi="宋体" w:cs="宋体"/>
                <w:kern w:val="0"/>
                <w:szCs w:val="21"/>
              </w:rPr>
            </w:pPr>
            <w:r>
              <w:rPr>
                <w:rFonts w:hint="eastAsia" w:ascii="宋体" w:hAnsi="宋体" w:cs="宋体"/>
                <w:kern w:val="0"/>
                <w:szCs w:val="21"/>
              </w:rPr>
              <w:t>7、按照《湖南省非税收入管理条例》规范收费的。 以上情况每出现一例不符合要求的扣1分，扣完为止。</w:t>
            </w:r>
          </w:p>
        </w:tc>
        <w:tc>
          <w:tcPr>
            <w:tcW w:w="2888" w:type="dxa"/>
            <w:tcBorders>
              <w:top w:val="single" w:color="auto" w:sz="4" w:space="0"/>
              <w:left w:val="single" w:color="auto" w:sz="4" w:space="0"/>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p>
        </w:tc>
        <w:tc>
          <w:tcPr>
            <w:tcW w:w="654" w:type="dxa"/>
            <w:tcBorders>
              <w:top w:val="single" w:color="auto" w:sz="4" w:space="0"/>
              <w:left w:val="single" w:color="auto" w:sz="4" w:space="0"/>
              <w:bottom w:val="single" w:color="auto" w:sz="4" w:space="0"/>
              <w:right w:val="single" w:color="auto" w:sz="4" w:space="0"/>
            </w:tcBorders>
            <w:noWrap w:val="0"/>
            <w:vAlign w:val="center"/>
          </w:tcPr>
          <w:p>
            <w:pPr>
              <w:widowControl/>
              <w:spacing w:line="400" w:lineRule="exact"/>
              <w:jc w:val="center"/>
              <w:rPr>
                <w:rFonts w:hint="eastAsia" w:ascii="宋体" w:hAnsi="宋体" w:cs="宋体"/>
                <w:kern w:val="0"/>
                <w:szCs w:val="21"/>
              </w:rPr>
            </w:pPr>
            <w:r>
              <w:rPr>
                <w:rFonts w:hint="eastAsia" w:ascii="宋体" w:hAnsi="宋体" w:cs="宋体"/>
                <w:kern w:val="0"/>
                <w:szCs w:val="21"/>
              </w:rPr>
              <w:t>10</w:t>
            </w:r>
          </w:p>
        </w:tc>
      </w:tr>
      <w:tr>
        <w:tblPrEx>
          <w:tblCellMar>
            <w:top w:w="0" w:type="dxa"/>
            <w:left w:w="108" w:type="dxa"/>
            <w:bottom w:w="0" w:type="dxa"/>
            <w:right w:w="108" w:type="dxa"/>
          </w:tblCellMar>
        </w:tblPrEx>
        <w:trPr>
          <w:trHeight w:val="2400" w:hRule="atLeast"/>
        </w:trPr>
        <w:tc>
          <w:tcPr>
            <w:tcW w:w="660" w:type="dxa"/>
            <w:vMerge w:val="continue"/>
            <w:tcBorders>
              <w:top w:val="nil"/>
              <w:left w:val="single" w:color="auto" w:sz="4" w:space="0"/>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p>
        </w:tc>
        <w:tc>
          <w:tcPr>
            <w:tcW w:w="725" w:type="dxa"/>
            <w:vMerge w:val="continue"/>
            <w:tcBorders>
              <w:top w:val="nil"/>
              <w:left w:val="single" w:color="auto" w:sz="4" w:space="0"/>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p>
        </w:tc>
        <w:tc>
          <w:tcPr>
            <w:tcW w:w="712" w:type="dxa"/>
            <w:tcBorders>
              <w:top w:val="single" w:color="auto" w:sz="4" w:space="0"/>
              <w:left w:val="nil"/>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r>
              <w:rPr>
                <w:rFonts w:hint="eastAsia" w:ascii="宋体" w:hAnsi="宋体" w:cs="宋体"/>
                <w:kern w:val="0"/>
                <w:szCs w:val="21"/>
              </w:rPr>
              <w:t>预决算信息公开性和完善性（5分）</w:t>
            </w:r>
          </w:p>
        </w:tc>
        <w:tc>
          <w:tcPr>
            <w:tcW w:w="3682" w:type="dxa"/>
            <w:tcBorders>
              <w:top w:val="single" w:color="auto" w:sz="4" w:space="0"/>
              <w:left w:val="nil"/>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r>
              <w:rPr>
                <w:rFonts w:hint="eastAsia" w:ascii="宋体" w:hAnsi="宋体" w:cs="宋体"/>
                <w:kern w:val="0"/>
                <w:szCs w:val="21"/>
              </w:rPr>
              <w:t xml:space="preserve">1、按规定内容公开预决算信息，1分； 2、按规定时限公开预决算信息，1分；3、基础数据信息和会计信息资料真实，1分；                        </w:t>
            </w:r>
          </w:p>
          <w:p>
            <w:pPr>
              <w:widowControl/>
              <w:spacing w:line="400" w:lineRule="exact"/>
              <w:jc w:val="left"/>
              <w:rPr>
                <w:rFonts w:ascii="宋体" w:hAnsi="宋体" w:cs="宋体"/>
                <w:kern w:val="0"/>
                <w:szCs w:val="21"/>
              </w:rPr>
            </w:pPr>
            <w:r>
              <w:rPr>
                <w:rFonts w:hint="eastAsia" w:ascii="宋体" w:hAnsi="宋体" w:cs="宋体"/>
                <w:kern w:val="0"/>
                <w:szCs w:val="21"/>
              </w:rPr>
              <w:t xml:space="preserve">4、基础数据信息和会计信息资料完整，1分；                            5、基础数据信息和汇集信息资料准确，1分。      </w:t>
            </w:r>
          </w:p>
          <w:p>
            <w:pPr>
              <w:widowControl/>
              <w:spacing w:line="400" w:lineRule="exact"/>
              <w:jc w:val="left"/>
              <w:rPr>
                <w:rFonts w:ascii="宋体" w:hAnsi="宋体" w:cs="宋体"/>
                <w:kern w:val="0"/>
                <w:szCs w:val="21"/>
              </w:rPr>
            </w:pPr>
          </w:p>
        </w:tc>
        <w:tc>
          <w:tcPr>
            <w:tcW w:w="2888" w:type="dxa"/>
            <w:tcBorders>
              <w:top w:val="single" w:color="auto" w:sz="4" w:space="0"/>
              <w:left w:val="nil"/>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p>
        </w:tc>
        <w:tc>
          <w:tcPr>
            <w:tcW w:w="654" w:type="dxa"/>
            <w:tcBorders>
              <w:top w:val="single" w:color="auto" w:sz="4" w:space="0"/>
              <w:left w:val="nil"/>
              <w:bottom w:val="single" w:color="auto" w:sz="4" w:space="0"/>
              <w:right w:val="single" w:color="auto" w:sz="4" w:space="0"/>
            </w:tcBorders>
            <w:noWrap w:val="0"/>
            <w:vAlign w:val="center"/>
          </w:tcPr>
          <w:p>
            <w:pPr>
              <w:widowControl/>
              <w:spacing w:line="400" w:lineRule="exact"/>
              <w:jc w:val="center"/>
              <w:rPr>
                <w:rFonts w:hint="eastAsia" w:ascii="宋体" w:hAnsi="宋体" w:cs="宋体"/>
                <w:kern w:val="0"/>
                <w:szCs w:val="21"/>
              </w:rPr>
            </w:pPr>
            <w:r>
              <w:rPr>
                <w:rFonts w:hint="eastAsia" w:ascii="宋体" w:hAnsi="宋体" w:cs="宋体"/>
                <w:kern w:val="0"/>
                <w:szCs w:val="21"/>
              </w:rPr>
              <w:t>5</w:t>
            </w:r>
          </w:p>
        </w:tc>
      </w:tr>
      <w:tr>
        <w:tblPrEx>
          <w:tblCellMar>
            <w:top w:w="0" w:type="dxa"/>
            <w:left w:w="108" w:type="dxa"/>
            <w:bottom w:w="0" w:type="dxa"/>
            <w:right w:w="108" w:type="dxa"/>
          </w:tblCellMar>
        </w:tblPrEx>
        <w:trPr>
          <w:trHeight w:val="1905" w:hRule="atLeast"/>
        </w:trPr>
        <w:tc>
          <w:tcPr>
            <w:tcW w:w="660" w:type="dxa"/>
            <w:vMerge w:val="continue"/>
            <w:tcBorders>
              <w:top w:val="nil"/>
              <w:left w:val="single" w:color="auto" w:sz="4" w:space="0"/>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p>
        </w:tc>
        <w:tc>
          <w:tcPr>
            <w:tcW w:w="725" w:type="dxa"/>
            <w:vMerge w:val="restart"/>
            <w:tcBorders>
              <w:top w:val="nil"/>
              <w:left w:val="single" w:color="auto" w:sz="4" w:space="0"/>
              <w:bottom w:val="single" w:color="auto" w:sz="4" w:space="0"/>
              <w:right w:val="single" w:color="auto" w:sz="4" w:space="0"/>
            </w:tcBorders>
            <w:noWrap w:val="0"/>
            <w:vAlign w:val="center"/>
          </w:tcPr>
          <w:p>
            <w:pPr>
              <w:widowControl/>
              <w:spacing w:line="400" w:lineRule="exact"/>
              <w:jc w:val="center"/>
              <w:rPr>
                <w:rFonts w:ascii="宋体" w:hAnsi="宋体" w:cs="宋体"/>
                <w:kern w:val="0"/>
                <w:szCs w:val="21"/>
              </w:rPr>
            </w:pPr>
            <w:r>
              <w:rPr>
                <w:rFonts w:hint="eastAsia" w:ascii="宋体" w:hAnsi="宋体" w:cs="宋体"/>
                <w:kern w:val="0"/>
                <w:szCs w:val="21"/>
              </w:rPr>
              <w:t>资产管理（10分）</w:t>
            </w:r>
          </w:p>
        </w:tc>
        <w:tc>
          <w:tcPr>
            <w:tcW w:w="712" w:type="dxa"/>
            <w:tcBorders>
              <w:top w:val="nil"/>
              <w:left w:val="nil"/>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r>
              <w:rPr>
                <w:rFonts w:hint="eastAsia" w:ascii="宋体" w:hAnsi="宋体" w:cs="宋体"/>
                <w:kern w:val="0"/>
                <w:szCs w:val="21"/>
              </w:rPr>
              <w:t>管理制度健全性（3分）</w:t>
            </w:r>
          </w:p>
        </w:tc>
        <w:tc>
          <w:tcPr>
            <w:tcW w:w="3682" w:type="dxa"/>
            <w:tcBorders>
              <w:top w:val="nil"/>
              <w:left w:val="nil"/>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r>
              <w:rPr>
                <w:rFonts w:hint="eastAsia" w:ascii="宋体" w:hAnsi="宋体" w:cs="宋体"/>
                <w:kern w:val="0"/>
                <w:szCs w:val="21"/>
              </w:rPr>
              <w:t>1、已制定资产管理制度1分；</w:t>
            </w:r>
          </w:p>
          <w:p>
            <w:pPr>
              <w:widowControl/>
              <w:spacing w:line="400" w:lineRule="exact"/>
              <w:jc w:val="left"/>
              <w:rPr>
                <w:rFonts w:ascii="宋体" w:hAnsi="宋体" w:cs="宋体"/>
                <w:kern w:val="0"/>
                <w:szCs w:val="21"/>
              </w:rPr>
            </w:pPr>
            <w:r>
              <w:rPr>
                <w:rFonts w:hint="eastAsia" w:ascii="宋体" w:hAnsi="宋体" w:cs="宋体"/>
                <w:kern w:val="0"/>
                <w:szCs w:val="21"/>
              </w:rPr>
              <w:t>2、相关资产管理制度合法、合规、完整，1分；                        3、相关资产管理制度得到有效执行，1分。</w:t>
            </w:r>
          </w:p>
        </w:tc>
        <w:tc>
          <w:tcPr>
            <w:tcW w:w="2888" w:type="dxa"/>
            <w:tcBorders>
              <w:top w:val="nil"/>
              <w:left w:val="nil"/>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p>
        </w:tc>
        <w:tc>
          <w:tcPr>
            <w:tcW w:w="654" w:type="dxa"/>
            <w:tcBorders>
              <w:top w:val="nil"/>
              <w:left w:val="nil"/>
              <w:bottom w:val="single" w:color="auto" w:sz="4" w:space="0"/>
              <w:right w:val="single" w:color="auto" w:sz="4" w:space="0"/>
            </w:tcBorders>
            <w:noWrap w:val="0"/>
            <w:vAlign w:val="center"/>
          </w:tcPr>
          <w:p>
            <w:pPr>
              <w:widowControl/>
              <w:spacing w:line="400" w:lineRule="exact"/>
              <w:jc w:val="center"/>
              <w:rPr>
                <w:rFonts w:hint="eastAsia" w:ascii="宋体" w:hAnsi="宋体" w:cs="宋体"/>
                <w:kern w:val="0"/>
                <w:szCs w:val="21"/>
              </w:rPr>
            </w:pPr>
            <w:r>
              <w:rPr>
                <w:rFonts w:hint="eastAsia" w:ascii="宋体" w:hAnsi="宋体" w:cs="宋体"/>
                <w:kern w:val="0"/>
                <w:szCs w:val="21"/>
              </w:rPr>
              <w:t>3</w:t>
            </w:r>
          </w:p>
        </w:tc>
      </w:tr>
      <w:tr>
        <w:tblPrEx>
          <w:tblCellMar>
            <w:top w:w="0" w:type="dxa"/>
            <w:left w:w="108" w:type="dxa"/>
            <w:bottom w:w="0" w:type="dxa"/>
            <w:right w:w="108" w:type="dxa"/>
          </w:tblCellMar>
        </w:tblPrEx>
        <w:trPr>
          <w:trHeight w:val="1833" w:hRule="atLeast"/>
        </w:trPr>
        <w:tc>
          <w:tcPr>
            <w:tcW w:w="660" w:type="dxa"/>
            <w:vMerge w:val="continue"/>
            <w:tcBorders>
              <w:top w:val="nil"/>
              <w:left w:val="single" w:color="auto" w:sz="4" w:space="0"/>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p>
        </w:tc>
        <w:tc>
          <w:tcPr>
            <w:tcW w:w="725" w:type="dxa"/>
            <w:vMerge w:val="continue"/>
            <w:tcBorders>
              <w:top w:val="nil"/>
              <w:left w:val="single" w:color="auto" w:sz="4" w:space="0"/>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p>
        </w:tc>
        <w:tc>
          <w:tcPr>
            <w:tcW w:w="712" w:type="dxa"/>
            <w:tcBorders>
              <w:top w:val="single" w:color="auto" w:sz="4" w:space="0"/>
              <w:left w:val="single" w:color="auto" w:sz="4" w:space="0"/>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r>
              <w:rPr>
                <w:rFonts w:hint="eastAsia" w:ascii="宋体" w:hAnsi="宋体" w:cs="宋体"/>
                <w:kern w:val="0"/>
                <w:szCs w:val="21"/>
              </w:rPr>
              <w:t>资产管理安全性（5分）</w:t>
            </w:r>
          </w:p>
        </w:tc>
        <w:tc>
          <w:tcPr>
            <w:tcW w:w="3682" w:type="dxa"/>
            <w:tcBorders>
              <w:top w:val="single" w:color="auto" w:sz="4" w:space="0"/>
              <w:left w:val="single" w:color="auto" w:sz="4" w:space="0"/>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r>
              <w:rPr>
                <w:rFonts w:hint="eastAsia" w:ascii="宋体" w:hAnsi="宋体" w:cs="宋体"/>
                <w:kern w:val="0"/>
                <w:szCs w:val="21"/>
              </w:rPr>
              <w:t>1、资产保存完整和资产信息系统建立、运用；</w:t>
            </w:r>
          </w:p>
          <w:p>
            <w:pPr>
              <w:widowControl/>
              <w:spacing w:line="400" w:lineRule="exact"/>
              <w:jc w:val="left"/>
              <w:rPr>
                <w:rFonts w:ascii="宋体" w:hAnsi="宋体" w:cs="宋体"/>
                <w:kern w:val="0"/>
                <w:szCs w:val="21"/>
              </w:rPr>
            </w:pPr>
            <w:r>
              <w:rPr>
                <w:rFonts w:hint="eastAsia" w:ascii="宋体" w:hAnsi="宋体" w:cs="宋体"/>
                <w:kern w:val="0"/>
                <w:szCs w:val="21"/>
              </w:rPr>
              <w:t xml:space="preserve">2、资产配置合理；         </w:t>
            </w:r>
          </w:p>
          <w:p>
            <w:pPr>
              <w:widowControl/>
              <w:spacing w:line="400" w:lineRule="exact"/>
              <w:jc w:val="left"/>
              <w:rPr>
                <w:rFonts w:ascii="宋体" w:hAnsi="宋体" w:cs="宋体"/>
                <w:kern w:val="0"/>
                <w:szCs w:val="21"/>
              </w:rPr>
            </w:pPr>
            <w:r>
              <w:rPr>
                <w:rFonts w:hint="eastAsia" w:ascii="宋体" w:hAnsi="宋体" w:cs="宋体"/>
                <w:kern w:val="0"/>
                <w:szCs w:val="21"/>
              </w:rPr>
              <w:t>3、资产处置规范；</w:t>
            </w:r>
          </w:p>
          <w:p>
            <w:pPr>
              <w:widowControl/>
              <w:spacing w:line="400" w:lineRule="exact"/>
              <w:jc w:val="left"/>
              <w:rPr>
                <w:rFonts w:ascii="宋体" w:hAnsi="宋体" w:cs="宋体"/>
                <w:kern w:val="0"/>
                <w:szCs w:val="21"/>
              </w:rPr>
            </w:pPr>
            <w:r>
              <w:rPr>
                <w:rFonts w:hint="eastAsia" w:ascii="宋体" w:hAnsi="宋体" w:cs="宋体"/>
                <w:kern w:val="0"/>
                <w:szCs w:val="21"/>
              </w:rPr>
              <w:t xml:space="preserve">4、资产账务管理合规，帐实相符；                      5、国有资产有偿使用收入和处置收入及时足额上缴；                   </w:t>
            </w:r>
          </w:p>
          <w:p>
            <w:pPr>
              <w:widowControl/>
              <w:spacing w:line="400" w:lineRule="exact"/>
              <w:jc w:val="left"/>
              <w:rPr>
                <w:rFonts w:ascii="宋体" w:hAnsi="宋体" w:cs="宋体"/>
                <w:kern w:val="0"/>
                <w:szCs w:val="21"/>
              </w:rPr>
            </w:pPr>
            <w:r>
              <w:rPr>
                <w:rFonts w:hint="eastAsia" w:ascii="宋体" w:hAnsi="宋体" w:cs="宋体"/>
                <w:kern w:val="0"/>
                <w:szCs w:val="21"/>
              </w:rPr>
              <w:t>以上情况每出现一例不符合有关要求的扣1分，扣完为止。</w:t>
            </w:r>
          </w:p>
        </w:tc>
        <w:tc>
          <w:tcPr>
            <w:tcW w:w="2888" w:type="dxa"/>
            <w:tcBorders>
              <w:top w:val="single" w:color="auto" w:sz="4" w:space="0"/>
              <w:left w:val="single" w:color="auto" w:sz="4" w:space="0"/>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p>
        </w:tc>
        <w:tc>
          <w:tcPr>
            <w:tcW w:w="654" w:type="dxa"/>
            <w:tcBorders>
              <w:top w:val="single" w:color="auto" w:sz="4" w:space="0"/>
              <w:left w:val="single" w:color="auto" w:sz="4" w:space="0"/>
              <w:bottom w:val="single" w:color="auto" w:sz="4" w:space="0"/>
              <w:right w:val="single" w:color="auto" w:sz="4" w:space="0"/>
            </w:tcBorders>
            <w:noWrap w:val="0"/>
            <w:vAlign w:val="center"/>
          </w:tcPr>
          <w:p>
            <w:pPr>
              <w:widowControl/>
              <w:spacing w:line="400" w:lineRule="exact"/>
              <w:jc w:val="center"/>
              <w:rPr>
                <w:rFonts w:hint="eastAsia" w:ascii="宋体" w:hAnsi="宋体" w:cs="宋体"/>
                <w:kern w:val="0"/>
                <w:szCs w:val="21"/>
              </w:rPr>
            </w:pPr>
            <w:r>
              <w:rPr>
                <w:rFonts w:hint="eastAsia" w:ascii="宋体" w:hAnsi="宋体" w:cs="宋体"/>
                <w:kern w:val="0"/>
                <w:szCs w:val="21"/>
              </w:rPr>
              <w:t>5</w:t>
            </w:r>
          </w:p>
        </w:tc>
      </w:tr>
      <w:tr>
        <w:tblPrEx>
          <w:tblCellMar>
            <w:top w:w="0" w:type="dxa"/>
            <w:left w:w="108" w:type="dxa"/>
            <w:bottom w:w="0" w:type="dxa"/>
            <w:right w:w="108" w:type="dxa"/>
          </w:tblCellMar>
        </w:tblPrEx>
        <w:trPr>
          <w:trHeight w:val="1395" w:hRule="atLeast"/>
        </w:trPr>
        <w:tc>
          <w:tcPr>
            <w:tcW w:w="660" w:type="dxa"/>
            <w:vMerge w:val="continue"/>
            <w:tcBorders>
              <w:top w:val="nil"/>
              <w:left w:val="single" w:color="auto" w:sz="4" w:space="0"/>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p>
        </w:tc>
        <w:tc>
          <w:tcPr>
            <w:tcW w:w="725" w:type="dxa"/>
            <w:vMerge w:val="continue"/>
            <w:tcBorders>
              <w:top w:val="nil"/>
              <w:left w:val="single" w:color="auto" w:sz="4" w:space="0"/>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p>
        </w:tc>
        <w:tc>
          <w:tcPr>
            <w:tcW w:w="712" w:type="dxa"/>
            <w:tcBorders>
              <w:top w:val="single" w:color="auto" w:sz="4" w:space="0"/>
              <w:left w:val="nil"/>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r>
              <w:rPr>
                <w:rFonts w:hint="eastAsia" w:ascii="宋体" w:hAnsi="宋体" w:cs="宋体"/>
                <w:kern w:val="0"/>
                <w:szCs w:val="21"/>
              </w:rPr>
              <w:t>固定资产利用率（2分）</w:t>
            </w:r>
          </w:p>
        </w:tc>
        <w:tc>
          <w:tcPr>
            <w:tcW w:w="3682" w:type="dxa"/>
            <w:tcBorders>
              <w:top w:val="single" w:color="auto" w:sz="4" w:space="0"/>
              <w:left w:val="nil"/>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r>
              <w:rPr>
                <w:rFonts w:hint="eastAsia" w:ascii="宋体" w:hAnsi="宋体" w:cs="宋体"/>
                <w:kern w:val="0"/>
                <w:szCs w:val="21"/>
              </w:rPr>
              <w:t>每低于100%一个百分点扣0.2分，扣完为止。</w:t>
            </w:r>
          </w:p>
        </w:tc>
        <w:tc>
          <w:tcPr>
            <w:tcW w:w="2888" w:type="dxa"/>
            <w:tcBorders>
              <w:top w:val="single" w:color="auto" w:sz="4" w:space="0"/>
              <w:left w:val="nil"/>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p>
        </w:tc>
        <w:tc>
          <w:tcPr>
            <w:tcW w:w="654" w:type="dxa"/>
            <w:tcBorders>
              <w:top w:val="single" w:color="auto" w:sz="4" w:space="0"/>
              <w:left w:val="nil"/>
              <w:bottom w:val="single" w:color="auto" w:sz="4" w:space="0"/>
              <w:right w:val="single" w:color="auto" w:sz="4" w:space="0"/>
            </w:tcBorders>
            <w:noWrap w:val="0"/>
            <w:vAlign w:val="center"/>
          </w:tcPr>
          <w:p>
            <w:pPr>
              <w:widowControl/>
              <w:spacing w:line="400" w:lineRule="exact"/>
              <w:jc w:val="center"/>
              <w:rPr>
                <w:rFonts w:hint="eastAsia" w:ascii="宋体" w:hAnsi="宋体" w:cs="宋体"/>
                <w:kern w:val="0"/>
                <w:szCs w:val="21"/>
              </w:rPr>
            </w:pPr>
            <w:r>
              <w:rPr>
                <w:rFonts w:hint="eastAsia" w:ascii="宋体" w:hAnsi="宋体" w:cs="宋体"/>
                <w:kern w:val="0"/>
                <w:szCs w:val="21"/>
              </w:rPr>
              <w:t>2</w:t>
            </w:r>
          </w:p>
        </w:tc>
      </w:tr>
      <w:tr>
        <w:tblPrEx>
          <w:tblCellMar>
            <w:top w:w="0" w:type="dxa"/>
            <w:left w:w="108" w:type="dxa"/>
            <w:bottom w:w="0" w:type="dxa"/>
            <w:right w:w="108" w:type="dxa"/>
          </w:tblCellMar>
        </w:tblPrEx>
        <w:trPr>
          <w:trHeight w:val="416" w:hRule="atLeast"/>
        </w:trPr>
        <w:tc>
          <w:tcPr>
            <w:tcW w:w="660" w:type="dxa"/>
            <w:vMerge w:val="restart"/>
            <w:tcBorders>
              <w:top w:val="nil"/>
              <w:left w:val="single" w:color="auto" w:sz="4" w:space="0"/>
              <w:bottom w:val="single" w:color="auto" w:sz="4" w:space="0"/>
              <w:right w:val="single" w:color="auto" w:sz="4" w:space="0"/>
            </w:tcBorders>
            <w:noWrap w:val="0"/>
            <w:textDirection w:val="tbRlV"/>
            <w:vAlign w:val="center"/>
          </w:tcPr>
          <w:p>
            <w:pPr>
              <w:widowControl/>
              <w:spacing w:line="400" w:lineRule="exact"/>
              <w:jc w:val="center"/>
              <w:rPr>
                <w:rFonts w:ascii="宋体" w:hAnsi="宋体" w:cs="宋体"/>
                <w:kern w:val="0"/>
                <w:szCs w:val="21"/>
              </w:rPr>
            </w:pPr>
            <w:r>
              <w:rPr>
                <w:rFonts w:hint="eastAsia" w:ascii="宋体" w:hAnsi="宋体" w:cs="宋体"/>
                <w:kern w:val="0"/>
                <w:szCs w:val="21"/>
              </w:rPr>
              <w:t>产   出</w:t>
            </w:r>
          </w:p>
        </w:tc>
        <w:tc>
          <w:tcPr>
            <w:tcW w:w="725" w:type="dxa"/>
            <w:vMerge w:val="restart"/>
            <w:tcBorders>
              <w:top w:val="nil"/>
              <w:left w:val="single" w:color="auto" w:sz="4" w:space="0"/>
              <w:bottom w:val="single" w:color="auto" w:sz="4" w:space="0"/>
              <w:right w:val="single" w:color="auto" w:sz="4" w:space="0"/>
            </w:tcBorders>
            <w:noWrap w:val="0"/>
            <w:vAlign w:val="center"/>
          </w:tcPr>
          <w:p>
            <w:pPr>
              <w:widowControl/>
              <w:spacing w:line="400" w:lineRule="exact"/>
              <w:jc w:val="center"/>
              <w:rPr>
                <w:rFonts w:ascii="宋体" w:hAnsi="宋体" w:cs="宋体"/>
                <w:kern w:val="0"/>
                <w:szCs w:val="21"/>
              </w:rPr>
            </w:pPr>
            <w:r>
              <w:rPr>
                <w:rFonts w:hint="eastAsia" w:ascii="宋体" w:hAnsi="宋体" w:cs="宋体"/>
                <w:kern w:val="0"/>
                <w:szCs w:val="21"/>
              </w:rPr>
              <w:t>职责履行（12分）</w:t>
            </w:r>
          </w:p>
        </w:tc>
        <w:tc>
          <w:tcPr>
            <w:tcW w:w="712" w:type="dxa"/>
            <w:tcBorders>
              <w:top w:val="nil"/>
              <w:left w:val="nil"/>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r>
              <w:rPr>
                <w:rFonts w:hint="eastAsia" w:ascii="宋体" w:hAnsi="宋体" w:cs="宋体"/>
                <w:kern w:val="0"/>
                <w:szCs w:val="21"/>
              </w:rPr>
              <w:t>工作实际完成率（6分）</w:t>
            </w:r>
          </w:p>
        </w:tc>
        <w:tc>
          <w:tcPr>
            <w:tcW w:w="3682" w:type="dxa"/>
            <w:tcBorders>
              <w:top w:val="nil"/>
              <w:left w:val="nil"/>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r>
              <w:rPr>
                <w:rFonts w:hint="eastAsia" w:ascii="宋体" w:hAnsi="宋体" w:cs="宋体"/>
                <w:kern w:val="0"/>
                <w:szCs w:val="21"/>
              </w:rPr>
              <w:t>根据评价部门制定的计划工作任务及内容考核实际完成情况及质量。该项得分=（实际完成情况/计划工作内容）*6</w:t>
            </w:r>
          </w:p>
        </w:tc>
        <w:tc>
          <w:tcPr>
            <w:tcW w:w="2888" w:type="dxa"/>
            <w:tcBorders>
              <w:top w:val="nil"/>
              <w:left w:val="nil"/>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p>
        </w:tc>
        <w:tc>
          <w:tcPr>
            <w:tcW w:w="654" w:type="dxa"/>
            <w:tcBorders>
              <w:top w:val="nil"/>
              <w:left w:val="nil"/>
              <w:bottom w:val="single" w:color="auto" w:sz="4" w:space="0"/>
              <w:right w:val="single" w:color="auto" w:sz="4" w:space="0"/>
            </w:tcBorders>
            <w:noWrap w:val="0"/>
            <w:vAlign w:val="center"/>
          </w:tcPr>
          <w:p>
            <w:pPr>
              <w:widowControl/>
              <w:spacing w:line="400" w:lineRule="exact"/>
              <w:jc w:val="center"/>
              <w:rPr>
                <w:rFonts w:hint="eastAsia" w:ascii="宋体" w:hAnsi="宋体" w:cs="宋体"/>
                <w:kern w:val="0"/>
                <w:szCs w:val="21"/>
              </w:rPr>
            </w:pPr>
            <w:r>
              <w:rPr>
                <w:rFonts w:hint="eastAsia" w:ascii="宋体" w:hAnsi="宋体" w:cs="宋体"/>
                <w:kern w:val="0"/>
                <w:szCs w:val="21"/>
              </w:rPr>
              <w:t>6</w:t>
            </w:r>
          </w:p>
        </w:tc>
      </w:tr>
      <w:tr>
        <w:tblPrEx>
          <w:tblCellMar>
            <w:top w:w="0" w:type="dxa"/>
            <w:left w:w="108" w:type="dxa"/>
            <w:bottom w:w="0" w:type="dxa"/>
            <w:right w:w="108" w:type="dxa"/>
          </w:tblCellMar>
        </w:tblPrEx>
        <w:trPr>
          <w:trHeight w:val="1680" w:hRule="atLeast"/>
        </w:trPr>
        <w:tc>
          <w:tcPr>
            <w:tcW w:w="660" w:type="dxa"/>
            <w:vMerge w:val="continue"/>
            <w:tcBorders>
              <w:top w:val="nil"/>
              <w:left w:val="single" w:color="auto" w:sz="4" w:space="0"/>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p>
        </w:tc>
        <w:tc>
          <w:tcPr>
            <w:tcW w:w="725" w:type="dxa"/>
            <w:vMerge w:val="continue"/>
            <w:tcBorders>
              <w:top w:val="nil"/>
              <w:left w:val="single" w:color="auto" w:sz="4" w:space="0"/>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p>
        </w:tc>
        <w:tc>
          <w:tcPr>
            <w:tcW w:w="712" w:type="dxa"/>
            <w:tcBorders>
              <w:top w:val="single" w:color="auto" w:sz="4" w:space="0"/>
              <w:left w:val="nil"/>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r>
              <w:rPr>
                <w:rFonts w:hint="eastAsia" w:ascii="宋体" w:hAnsi="宋体" w:cs="宋体"/>
                <w:kern w:val="0"/>
                <w:szCs w:val="21"/>
              </w:rPr>
              <w:t>重点工作质量达标率（6分）</w:t>
            </w:r>
          </w:p>
        </w:tc>
        <w:tc>
          <w:tcPr>
            <w:tcW w:w="3682" w:type="dxa"/>
            <w:tcBorders>
              <w:top w:val="single" w:color="auto" w:sz="4" w:space="0"/>
              <w:left w:val="nil"/>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r>
              <w:rPr>
                <w:rFonts w:hint="eastAsia" w:ascii="宋体" w:hAnsi="宋体" w:cs="宋体"/>
                <w:kern w:val="0"/>
                <w:szCs w:val="21"/>
              </w:rPr>
              <w:t>质量达标率达到100%，计6分；每低于100%一个百分点扣0.5分，扣完为止。</w:t>
            </w:r>
          </w:p>
        </w:tc>
        <w:tc>
          <w:tcPr>
            <w:tcW w:w="2888" w:type="dxa"/>
            <w:tcBorders>
              <w:top w:val="single" w:color="auto" w:sz="4" w:space="0"/>
              <w:left w:val="nil"/>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p>
        </w:tc>
        <w:tc>
          <w:tcPr>
            <w:tcW w:w="654" w:type="dxa"/>
            <w:tcBorders>
              <w:top w:val="single" w:color="auto" w:sz="4" w:space="0"/>
              <w:left w:val="nil"/>
              <w:bottom w:val="single" w:color="auto" w:sz="4" w:space="0"/>
              <w:right w:val="single" w:color="auto" w:sz="4" w:space="0"/>
            </w:tcBorders>
            <w:noWrap w:val="0"/>
            <w:vAlign w:val="center"/>
          </w:tcPr>
          <w:p>
            <w:pPr>
              <w:widowControl/>
              <w:spacing w:line="400" w:lineRule="exact"/>
              <w:jc w:val="center"/>
              <w:rPr>
                <w:rFonts w:hint="eastAsia" w:ascii="宋体" w:hAnsi="宋体" w:eastAsia="宋体" w:cs="宋体"/>
                <w:kern w:val="0"/>
                <w:szCs w:val="21"/>
                <w:lang w:val="en-US" w:eastAsia="zh-CN"/>
              </w:rPr>
            </w:pPr>
            <w:r>
              <w:rPr>
                <w:rFonts w:hint="eastAsia" w:ascii="宋体" w:hAnsi="宋体" w:cs="宋体"/>
                <w:kern w:val="0"/>
                <w:szCs w:val="21"/>
                <w:lang w:val="en-US" w:eastAsia="zh-CN"/>
              </w:rPr>
              <w:t>6</w:t>
            </w:r>
          </w:p>
        </w:tc>
      </w:tr>
      <w:tr>
        <w:tblPrEx>
          <w:tblCellMar>
            <w:top w:w="0" w:type="dxa"/>
            <w:left w:w="108" w:type="dxa"/>
            <w:bottom w:w="0" w:type="dxa"/>
            <w:right w:w="108" w:type="dxa"/>
          </w:tblCellMar>
        </w:tblPrEx>
        <w:trPr>
          <w:trHeight w:val="1191" w:hRule="atLeast"/>
        </w:trPr>
        <w:tc>
          <w:tcPr>
            <w:tcW w:w="660" w:type="dxa"/>
            <w:vMerge w:val="restart"/>
            <w:tcBorders>
              <w:top w:val="nil"/>
              <w:left w:val="single" w:color="auto" w:sz="4" w:space="0"/>
              <w:bottom w:val="single" w:color="auto" w:sz="4" w:space="0"/>
              <w:right w:val="single" w:color="auto" w:sz="4" w:space="0"/>
            </w:tcBorders>
            <w:noWrap w:val="0"/>
            <w:textDirection w:val="tbRlV"/>
            <w:vAlign w:val="center"/>
          </w:tcPr>
          <w:p>
            <w:pPr>
              <w:widowControl/>
              <w:spacing w:line="400" w:lineRule="exact"/>
              <w:jc w:val="center"/>
              <w:rPr>
                <w:rFonts w:ascii="宋体" w:hAnsi="宋体" w:cs="宋体"/>
                <w:kern w:val="0"/>
                <w:szCs w:val="21"/>
              </w:rPr>
            </w:pPr>
            <w:r>
              <w:rPr>
                <w:rFonts w:hint="eastAsia" w:ascii="宋体" w:hAnsi="宋体" w:cs="宋体"/>
                <w:kern w:val="0"/>
                <w:szCs w:val="21"/>
              </w:rPr>
              <w:t>效  果</w:t>
            </w:r>
          </w:p>
        </w:tc>
        <w:tc>
          <w:tcPr>
            <w:tcW w:w="725" w:type="dxa"/>
            <w:vMerge w:val="restart"/>
            <w:tcBorders>
              <w:top w:val="nil"/>
              <w:left w:val="single" w:color="auto" w:sz="4" w:space="0"/>
              <w:bottom w:val="single" w:color="auto" w:sz="4" w:space="0"/>
              <w:right w:val="single" w:color="auto" w:sz="4" w:space="0"/>
            </w:tcBorders>
            <w:noWrap w:val="0"/>
            <w:vAlign w:val="center"/>
          </w:tcPr>
          <w:p>
            <w:pPr>
              <w:widowControl/>
              <w:spacing w:line="400" w:lineRule="exact"/>
              <w:jc w:val="center"/>
              <w:rPr>
                <w:rFonts w:ascii="宋体" w:hAnsi="宋体" w:cs="宋体"/>
                <w:kern w:val="0"/>
                <w:szCs w:val="21"/>
              </w:rPr>
            </w:pPr>
            <w:r>
              <w:rPr>
                <w:rFonts w:hint="eastAsia" w:ascii="宋体" w:hAnsi="宋体" w:cs="宋体"/>
                <w:kern w:val="0"/>
                <w:szCs w:val="21"/>
              </w:rPr>
              <w:t>履职效益（17分）</w:t>
            </w:r>
          </w:p>
        </w:tc>
        <w:tc>
          <w:tcPr>
            <w:tcW w:w="712" w:type="dxa"/>
            <w:tcBorders>
              <w:top w:val="nil"/>
              <w:left w:val="nil"/>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r>
              <w:rPr>
                <w:rFonts w:hint="eastAsia" w:ascii="宋体" w:hAnsi="宋体" w:cs="宋体"/>
                <w:kern w:val="0"/>
                <w:szCs w:val="21"/>
              </w:rPr>
              <w:t>经济效益（4分）</w:t>
            </w:r>
          </w:p>
        </w:tc>
        <w:tc>
          <w:tcPr>
            <w:tcW w:w="3682" w:type="dxa"/>
            <w:vMerge w:val="restart"/>
            <w:tcBorders>
              <w:top w:val="single" w:color="auto" w:sz="4" w:space="0"/>
              <w:left w:val="single" w:color="auto" w:sz="4" w:space="0"/>
              <w:bottom w:val="single" w:color="auto" w:sz="4" w:space="0"/>
              <w:right w:val="single" w:color="auto" w:sz="4" w:space="0"/>
            </w:tcBorders>
            <w:noWrap w:val="0"/>
            <w:vAlign w:val="center"/>
          </w:tcPr>
          <w:p>
            <w:pPr>
              <w:widowControl/>
              <w:spacing w:line="400" w:lineRule="exact"/>
              <w:ind w:left="360"/>
              <w:jc w:val="left"/>
              <w:rPr>
                <w:rFonts w:ascii="宋体" w:hAnsi="宋体" w:cs="宋体"/>
                <w:kern w:val="0"/>
                <w:szCs w:val="21"/>
              </w:rPr>
            </w:pPr>
            <w:r>
              <w:rPr>
                <w:rFonts w:hint="eastAsia" w:ascii="宋体" w:hAnsi="宋体" w:cs="宋体"/>
                <w:kern w:val="0"/>
                <w:szCs w:val="21"/>
              </w:rPr>
              <w:t>此条单位若没产生“经济效益”和“生态效益” ,社会效益从以下5个方面评价:1.在中央、省、政府考核中评为良以上；2.在部门考核中被评良以上；3.在市政府绩效评估中考核为优秀的；4.全年无违反党的“八项规定”的；5.无违反财政法规等行为的；</w:t>
            </w:r>
          </w:p>
        </w:tc>
        <w:tc>
          <w:tcPr>
            <w:tcW w:w="2888" w:type="dxa"/>
            <w:tcBorders>
              <w:top w:val="single" w:color="auto" w:sz="4" w:space="0"/>
              <w:left w:val="single" w:color="auto" w:sz="4" w:space="0"/>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p>
        </w:tc>
        <w:tc>
          <w:tcPr>
            <w:tcW w:w="654" w:type="dxa"/>
            <w:tcBorders>
              <w:top w:val="nil"/>
              <w:left w:val="single" w:color="auto" w:sz="4" w:space="0"/>
              <w:bottom w:val="single" w:color="auto" w:sz="4" w:space="0"/>
              <w:right w:val="single" w:color="auto" w:sz="4" w:space="0"/>
            </w:tcBorders>
            <w:noWrap w:val="0"/>
            <w:vAlign w:val="center"/>
          </w:tcPr>
          <w:p>
            <w:pPr>
              <w:widowControl/>
              <w:spacing w:line="400" w:lineRule="exact"/>
              <w:jc w:val="center"/>
              <w:rPr>
                <w:rFonts w:hint="eastAsia" w:ascii="宋体" w:hAnsi="宋体" w:cs="宋体"/>
                <w:kern w:val="0"/>
                <w:szCs w:val="21"/>
              </w:rPr>
            </w:pPr>
            <w:r>
              <w:rPr>
                <w:rFonts w:hint="eastAsia" w:ascii="宋体" w:hAnsi="宋体" w:cs="宋体"/>
                <w:kern w:val="0"/>
                <w:szCs w:val="21"/>
              </w:rPr>
              <w:t>4</w:t>
            </w:r>
          </w:p>
        </w:tc>
      </w:tr>
      <w:tr>
        <w:tblPrEx>
          <w:tblCellMar>
            <w:top w:w="0" w:type="dxa"/>
            <w:left w:w="108" w:type="dxa"/>
            <w:bottom w:w="0" w:type="dxa"/>
            <w:right w:w="108" w:type="dxa"/>
          </w:tblCellMar>
        </w:tblPrEx>
        <w:trPr>
          <w:trHeight w:val="1407" w:hRule="atLeast"/>
        </w:trPr>
        <w:tc>
          <w:tcPr>
            <w:tcW w:w="660" w:type="dxa"/>
            <w:vMerge w:val="continue"/>
            <w:tcBorders>
              <w:top w:val="nil"/>
              <w:left w:val="single" w:color="auto" w:sz="4" w:space="0"/>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p>
        </w:tc>
        <w:tc>
          <w:tcPr>
            <w:tcW w:w="725" w:type="dxa"/>
            <w:vMerge w:val="continue"/>
            <w:tcBorders>
              <w:top w:val="nil"/>
              <w:left w:val="single" w:color="auto" w:sz="4" w:space="0"/>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p>
        </w:tc>
        <w:tc>
          <w:tcPr>
            <w:tcW w:w="712" w:type="dxa"/>
            <w:tcBorders>
              <w:top w:val="nil"/>
              <w:left w:val="nil"/>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r>
              <w:rPr>
                <w:rFonts w:hint="eastAsia" w:ascii="宋体" w:hAnsi="宋体" w:cs="宋体"/>
                <w:kern w:val="0"/>
                <w:szCs w:val="21"/>
              </w:rPr>
              <w:t>社会效益（4分)</w:t>
            </w:r>
          </w:p>
        </w:tc>
        <w:tc>
          <w:tcPr>
            <w:tcW w:w="3682" w:type="dxa"/>
            <w:vMerge w:val="continue"/>
            <w:tcBorders>
              <w:top w:val="nil"/>
              <w:left w:val="nil"/>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p>
        </w:tc>
        <w:tc>
          <w:tcPr>
            <w:tcW w:w="2888" w:type="dxa"/>
            <w:tcBorders>
              <w:top w:val="nil"/>
              <w:left w:val="nil"/>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p>
        </w:tc>
        <w:tc>
          <w:tcPr>
            <w:tcW w:w="654" w:type="dxa"/>
            <w:tcBorders>
              <w:top w:val="nil"/>
              <w:left w:val="single" w:color="auto" w:sz="4" w:space="0"/>
              <w:bottom w:val="single" w:color="auto" w:sz="4" w:space="0"/>
              <w:right w:val="single" w:color="auto" w:sz="4" w:space="0"/>
            </w:tcBorders>
            <w:noWrap w:val="0"/>
            <w:vAlign w:val="center"/>
          </w:tcPr>
          <w:p>
            <w:pPr>
              <w:widowControl/>
              <w:spacing w:line="400" w:lineRule="exact"/>
              <w:jc w:val="center"/>
              <w:rPr>
                <w:rFonts w:hint="eastAsia" w:ascii="宋体" w:hAnsi="宋体" w:cs="宋体"/>
                <w:kern w:val="0"/>
                <w:szCs w:val="21"/>
              </w:rPr>
            </w:pPr>
            <w:r>
              <w:rPr>
                <w:rFonts w:hint="eastAsia" w:ascii="宋体" w:hAnsi="宋体" w:cs="宋体"/>
                <w:kern w:val="0"/>
                <w:szCs w:val="21"/>
              </w:rPr>
              <w:t>4</w:t>
            </w:r>
          </w:p>
        </w:tc>
      </w:tr>
      <w:tr>
        <w:tblPrEx>
          <w:tblCellMar>
            <w:top w:w="0" w:type="dxa"/>
            <w:left w:w="108" w:type="dxa"/>
            <w:bottom w:w="0" w:type="dxa"/>
            <w:right w:w="108" w:type="dxa"/>
          </w:tblCellMar>
        </w:tblPrEx>
        <w:trPr>
          <w:trHeight w:val="840" w:hRule="atLeast"/>
        </w:trPr>
        <w:tc>
          <w:tcPr>
            <w:tcW w:w="660" w:type="dxa"/>
            <w:vMerge w:val="continue"/>
            <w:tcBorders>
              <w:top w:val="nil"/>
              <w:left w:val="single" w:color="auto" w:sz="4" w:space="0"/>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p>
        </w:tc>
        <w:tc>
          <w:tcPr>
            <w:tcW w:w="725" w:type="dxa"/>
            <w:vMerge w:val="continue"/>
            <w:tcBorders>
              <w:top w:val="nil"/>
              <w:left w:val="single" w:color="auto" w:sz="4" w:space="0"/>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p>
        </w:tc>
        <w:tc>
          <w:tcPr>
            <w:tcW w:w="712" w:type="dxa"/>
            <w:tcBorders>
              <w:top w:val="nil"/>
              <w:left w:val="nil"/>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r>
              <w:rPr>
                <w:rFonts w:hint="eastAsia" w:ascii="宋体" w:hAnsi="宋体" w:cs="宋体"/>
                <w:kern w:val="0"/>
                <w:szCs w:val="21"/>
              </w:rPr>
              <w:t>生态效益(4分)</w:t>
            </w:r>
          </w:p>
        </w:tc>
        <w:tc>
          <w:tcPr>
            <w:tcW w:w="3682" w:type="dxa"/>
            <w:vMerge w:val="continue"/>
            <w:tcBorders>
              <w:top w:val="nil"/>
              <w:left w:val="nil"/>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p>
        </w:tc>
        <w:tc>
          <w:tcPr>
            <w:tcW w:w="2888" w:type="dxa"/>
            <w:tcBorders>
              <w:top w:val="nil"/>
              <w:left w:val="nil"/>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p>
        </w:tc>
        <w:tc>
          <w:tcPr>
            <w:tcW w:w="654" w:type="dxa"/>
            <w:tcBorders>
              <w:top w:val="nil"/>
              <w:left w:val="single" w:color="auto" w:sz="4" w:space="0"/>
              <w:bottom w:val="single" w:color="auto" w:sz="4" w:space="0"/>
              <w:right w:val="single" w:color="auto" w:sz="4" w:space="0"/>
            </w:tcBorders>
            <w:noWrap w:val="0"/>
            <w:vAlign w:val="center"/>
          </w:tcPr>
          <w:p>
            <w:pPr>
              <w:widowControl/>
              <w:spacing w:line="400" w:lineRule="exact"/>
              <w:jc w:val="center"/>
              <w:rPr>
                <w:rFonts w:hint="eastAsia" w:ascii="宋体" w:hAnsi="宋体" w:cs="宋体"/>
                <w:kern w:val="0"/>
                <w:szCs w:val="21"/>
              </w:rPr>
            </w:pPr>
            <w:r>
              <w:rPr>
                <w:rFonts w:hint="eastAsia" w:ascii="宋体" w:hAnsi="宋体" w:cs="宋体"/>
                <w:kern w:val="0"/>
                <w:szCs w:val="21"/>
              </w:rPr>
              <w:t>4</w:t>
            </w:r>
          </w:p>
        </w:tc>
      </w:tr>
      <w:tr>
        <w:tblPrEx>
          <w:tblCellMar>
            <w:top w:w="0" w:type="dxa"/>
            <w:left w:w="108" w:type="dxa"/>
            <w:bottom w:w="0" w:type="dxa"/>
            <w:right w:w="108" w:type="dxa"/>
          </w:tblCellMar>
        </w:tblPrEx>
        <w:trPr>
          <w:trHeight w:val="1200" w:hRule="atLeast"/>
        </w:trPr>
        <w:tc>
          <w:tcPr>
            <w:tcW w:w="660" w:type="dxa"/>
            <w:vMerge w:val="continue"/>
            <w:tcBorders>
              <w:top w:val="nil"/>
              <w:left w:val="single" w:color="auto" w:sz="4" w:space="0"/>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p>
        </w:tc>
        <w:tc>
          <w:tcPr>
            <w:tcW w:w="725" w:type="dxa"/>
            <w:vMerge w:val="continue"/>
            <w:tcBorders>
              <w:top w:val="nil"/>
              <w:left w:val="single" w:color="auto" w:sz="4" w:space="0"/>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p>
        </w:tc>
        <w:tc>
          <w:tcPr>
            <w:tcW w:w="712" w:type="dxa"/>
            <w:tcBorders>
              <w:top w:val="single" w:color="auto" w:sz="4" w:space="0"/>
              <w:left w:val="single" w:color="auto" w:sz="4" w:space="0"/>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r>
              <w:rPr>
                <w:rFonts w:hint="eastAsia" w:ascii="宋体" w:hAnsi="宋体" w:cs="宋体"/>
                <w:kern w:val="0"/>
                <w:szCs w:val="21"/>
              </w:rPr>
              <w:t>社会公众或服务对象满意度（5分）</w:t>
            </w:r>
          </w:p>
        </w:tc>
        <w:tc>
          <w:tcPr>
            <w:tcW w:w="3682" w:type="dxa"/>
            <w:tcBorders>
              <w:top w:val="single" w:color="auto" w:sz="4" w:space="0"/>
              <w:left w:val="single" w:color="auto" w:sz="4" w:space="0"/>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r>
              <w:rPr>
                <w:rFonts w:hint="eastAsia" w:ascii="宋体" w:hAnsi="宋体" w:cs="宋体"/>
                <w:kern w:val="0"/>
                <w:szCs w:val="21"/>
              </w:rPr>
              <w:t>90%（含）以上计5分；80%（含）-90%，计3分；70%（含）-80%，计1分；低于70%计0分。</w:t>
            </w:r>
          </w:p>
        </w:tc>
        <w:tc>
          <w:tcPr>
            <w:tcW w:w="2888" w:type="dxa"/>
            <w:tcBorders>
              <w:top w:val="single" w:color="auto" w:sz="4" w:space="0"/>
              <w:left w:val="single" w:color="auto" w:sz="4" w:space="0"/>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p>
        </w:tc>
        <w:tc>
          <w:tcPr>
            <w:tcW w:w="654" w:type="dxa"/>
            <w:tcBorders>
              <w:top w:val="single" w:color="auto" w:sz="4" w:space="0"/>
              <w:left w:val="single" w:color="auto" w:sz="4" w:space="0"/>
              <w:bottom w:val="single" w:color="auto" w:sz="4" w:space="0"/>
              <w:right w:val="single" w:color="auto" w:sz="4" w:space="0"/>
            </w:tcBorders>
            <w:noWrap w:val="0"/>
            <w:vAlign w:val="center"/>
          </w:tcPr>
          <w:p>
            <w:pPr>
              <w:widowControl/>
              <w:spacing w:line="400" w:lineRule="exact"/>
              <w:jc w:val="center"/>
              <w:rPr>
                <w:rFonts w:hint="eastAsia" w:ascii="宋体" w:hAnsi="宋体" w:cs="宋体"/>
                <w:kern w:val="0"/>
                <w:szCs w:val="21"/>
              </w:rPr>
            </w:pPr>
            <w:r>
              <w:rPr>
                <w:rFonts w:hint="eastAsia" w:ascii="宋体" w:hAnsi="宋体" w:cs="宋体"/>
                <w:kern w:val="0"/>
                <w:szCs w:val="21"/>
              </w:rPr>
              <w:t>5</w:t>
            </w:r>
          </w:p>
        </w:tc>
      </w:tr>
      <w:tr>
        <w:tblPrEx>
          <w:tblCellMar>
            <w:top w:w="0" w:type="dxa"/>
            <w:left w:w="108" w:type="dxa"/>
            <w:bottom w:w="0" w:type="dxa"/>
            <w:right w:w="108" w:type="dxa"/>
          </w:tblCellMar>
        </w:tblPrEx>
        <w:trPr>
          <w:trHeight w:val="780" w:hRule="atLeast"/>
        </w:trPr>
        <w:tc>
          <w:tcPr>
            <w:tcW w:w="660" w:type="dxa"/>
            <w:tcBorders>
              <w:top w:val="single" w:color="auto" w:sz="4" w:space="0"/>
              <w:left w:val="single" w:color="auto" w:sz="4" w:space="0"/>
              <w:bottom w:val="single" w:color="auto" w:sz="4" w:space="0"/>
              <w:right w:val="single" w:color="auto" w:sz="4" w:space="0"/>
            </w:tcBorders>
            <w:noWrap w:val="0"/>
            <w:vAlign w:val="center"/>
          </w:tcPr>
          <w:p>
            <w:pPr>
              <w:widowControl/>
              <w:spacing w:line="400" w:lineRule="exact"/>
              <w:jc w:val="center"/>
              <w:rPr>
                <w:rFonts w:ascii="宋体" w:hAnsi="宋体" w:cs="宋体"/>
                <w:kern w:val="0"/>
                <w:szCs w:val="21"/>
              </w:rPr>
            </w:pPr>
            <w:r>
              <w:rPr>
                <w:rFonts w:hint="eastAsia" w:ascii="宋体" w:hAnsi="宋体" w:cs="宋体"/>
                <w:kern w:val="0"/>
                <w:szCs w:val="21"/>
              </w:rPr>
              <w:t>合计</w:t>
            </w:r>
          </w:p>
        </w:tc>
        <w:tc>
          <w:tcPr>
            <w:tcW w:w="1437" w:type="dxa"/>
            <w:gridSpan w:val="2"/>
            <w:tcBorders>
              <w:top w:val="single" w:color="auto" w:sz="4" w:space="0"/>
              <w:left w:val="single" w:color="auto" w:sz="4" w:space="0"/>
              <w:bottom w:val="single" w:color="auto" w:sz="4" w:space="0"/>
              <w:right w:val="single" w:color="auto" w:sz="4" w:space="0"/>
            </w:tcBorders>
            <w:noWrap w:val="0"/>
            <w:vAlign w:val="center"/>
          </w:tcPr>
          <w:p>
            <w:pPr>
              <w:widowControl/>
              <w:spacing w:line="400" w:lineRule="exact"/>
              <w:jc w:val="center"/>
              <w:rPr>
                <w:rFonts w:ascii="宋体" w:hAnsi="宋体" w:cs="宋体"/>
                <w:kern w:val="0"/>
                <w:szCs w:val="21"/>
              </w:rPr>
            </w:pPr>
            <w:r>
              <w:rPr>
                <w:rFonts w:hint="eastAsia" w:ascii="宋体" w:hAnsi="宋体" w:cs="宋体"/>
                <w:kern w:val="0"/>
                <w:szCs w:val="21"/>
              </w:rPr>
              <w:t>100</w:t>
            </w:r>
          </w:p>
        </w:tc>
        <w:tc>
          <w:tcPr>
            <w:tcW w:w="3682" w:type="dxa"/>
            <w:tcBorders>
              <w:top w:val="single" w:color="auto" w:sz="4" w:space="0"/>
              <w:left w:val="nil"/>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r>
              <w:rPr>
                <w:rFonts w:hint="eastAsia" w:ascii="宋体" w:hAnsi="宋体" w:cs="宋体"/>
                <w:kern w:val="0"/>
                <w:szCs w:val="21"/>
              </w:rPr>
              <w:t>　</w:t>
            </w:r>
          </w:p>
        </w:tc>
        <w:tc>
          <w:tcPr>
            <w:tcW w:w="2888" w:type="dxa"/>
            <w:tcBorders>
              <w:top w:val="single" w:color="auto" w:sz="4" w:space="0"/>
              <w:left w:val="nil"/>
              <w:bottom w:val="single" w:color="auto" w:sz="4" w:space="0"/>
              <w:right w:val="single" w:color="auto" w:sz="4" w:space="0"/>
            </w:tcBorders>
            <w:noWrap w:val="0"/>
            <w:vAlign w:val="center"/>
          </w:tcPr>
          <w:p>
            <w:pPr>
              <w:widowControl/>
              <w:spacing w:line="400" w:lineRule="exact"/>
              <w:jc w:val="left"/>
              <w:rPr>
                <w:rFonts w:ascii="宋体" w:hAnsi="宋体" w:cs="宋体"/>
                <w:kern w:val="0"/>
                <w:szCs w:val="21"/>
              </w:rPr>
            </w:pPr>
          </w:p>
        </w:tc>
        <w:tc>
          <w:tcPr>
            <w:tcW w:w="654" w:type="dxa"/>
            <w:tcBorders>
              <w:top w:val="single" w:color="auto" w:sz="4" w:space="0"/>
              <w:left w:val="nil"/>
              <w:bottom w:val="single" w:color="auto" w:sz="4" w:space="0"/>
              <w:right w:val="single" w:color="auto" w:sz="4" w:space="0"/>
            </w:tcBorders>
            <w:noWrap w:val="0"/>
            <w:vAlign w:val="center"/>
          </w:tcPr>
          <w:p>
            <w:pPr>
              <w:widowControl/>
              <w:spacing w:line="400" w:lineRule="exact"/>
              <w:jc w:val="center"/>
              <w:rPr>
                <w:rFonts w:hint="eastAsia" w:ascii="宋体" w:hAnsi="宋体" w:eastAsia="宋体" w:cs="宋体"/>
                <w:kern w:val="0"/>
                <w:szCs w:val="21"/>
                <w:lang w:val="en-US" w:eastAsia="zh-CN"/>
              </w:rPr>
            </w:pPr>
            <w:r>
              <w:rPr>
                <w:rFonts w:hint="eastAsia" w:ascii="宋体" w:hAnsi="宋体" w:cs="宋体"/>
                <w:kern w:val="0"/>
                <w:szCs w:val="21"/>
              </w:rPr>
              <w:t>9</w:t>
            </w:r>
            <w:r>
              <w:rPr>
                <w:rFonts w:hint="eastAsia" w:ascii="宋体" w:hAnsi="宋体" w:cs="宋体"/>
                <w:kern w:val="0"/>
                <w:szCs w:val="21"/>
                <w:lang w:val="en-US" w:eastAsia="zh-CN"/>
              </w:rPr>
              <w:t>5</w:t>
            </w:r>
          </w:p>
        </w:tc>
      </w:tr>
    </w:tbl>
    <w:p/>
    <w:p>
      <w:pPr>
        <w:ind w:firstLine="640" w:firstLineChars="200"/>
        <w:jc w:val="left"/>
        <w:rPr>
          <w:rFonts w:cs="黑体" w:asciiTheme="minorEastAsia" w:hAnsiTheme="minorEastAsia"/>
          <w:color w:val="000000"/>
          <w:kern w:val="0"/>
          <w:sz w:val="32"/>
          <w:szCs w:val="32"/>
        </w:rPr>
      </w:pPr>
    </w:p>
    <w:sectPr>
      <w:pgSz w:w="11906" w:h="16838"/>
      <w:pgMar w:top="720" w:right="720" w:bottom="720" w:left="720" w:header="851" w:footer="992" w:gutter="0"/>
      <w:cols w:space="425" w:num="1"/>
      <w:docGrid w:type="linesAndChar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方正小标宋_GBK">
    <w:altName w:val="微软雅黑"/>
    <w:panose1 w:val="00000000000000000000"/>
    <w:charset w:val="86"/>
    <w:family w:val="script"/>
    <w:pitch w:val="default"/>
    <w:sig w:usb0="00000000" w:usb1="00000000" w:usb2="00000010" w:usb3="00000000" w:csb0="00040000" w:csb1="00000000"/>
  </w:font>
  <w:font w:name="??">
    <w:altName w:val="Times New Roman"/>
    <w:panose1 w:val="00000000000000000000"/>
    <w:charset w:val="00"/>
    <w:family w:val="roman"/>
    <w:pitch w:val="default"/>
    <w:sig w:usb0="00000000" w:usb1="00000000" w:usb2="00000000" w:usb3="00000000" w:csb0="00000001" w:csb1="00000000"/>
  </w:font>
  <w:font w:name="华文楷体">
    <w:altName w:val="宋体"/>
    <w:panose1 w:val="02010600040101010101"/>
    <w:charset w:val="86"/>
    <w:family w:val="auto"/>
    <w:pitch w:val="default"/>
    <w:sig w:usb0="00000000" w:usb1="00000000" w:usb2="00000000" w:usb3="00000000" w:csb0="0004009F" w:csb1="DFD70000"/>
  </w:font>
  <w:font w:name="??_GB2312">
    <w:altName w:val="Times New Roman"/>
    <w:panose1 w:val="00000000000000000000"/>
    <w:charset w:val="00"/>
    <w:family w:val="auto"/>
    <w:pitch w:val="default"/>
    <w:sig w:usb0="00000000" w:usb1="00000000" w:usb2="00000000" w:usb3="00000000" w:csb0="00000001" w:csb1="00000000"/>
  </w:font>
  <w:font w:name="方正小标宋简体">
    <w:altName w:val="微软雅黑"/>
    <w:panose1 w:val="03000509000000000000"/>
    <w:charset w:val="86"/>
    <w:family w:val="script"/>
    <w:pitch w:val="default"/>
    <w:sig w:usb0="00000000" w:usb1="00000000" w:usb2="00000010" w:usb3="00000000" w:csb0="00040000" w:csb1="00000000"/>
  </w:font>
  <w:font w:name="微软雅黑">
    <w:panose1 w:val="020B0503020204020204"/>
    <w:charset w:val="86"/>
    <w:family w:val="auto"/>
    <w:pitch w:val="default"/>
    <w:sig w:usb0="80000287" w:usb1="280F3C52"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D2D571D4"/>
    <w:multiLevelType w:val="singleLevel"/>
    <w:tmpl w:val="D2D571D4"/>
    <w:lvl w:ilvl="0" w:tentative="0">
      <w:start w:val="1"/>
      <w:numFmt w:val="decimal"/>
      <w:suff w:val="nothing"/>
      <w:lvlText w:val="%1、"/>
      <w:lvlJc w:val="left"/>
    </w:lvl>
  </w:abstractNum>
  <w:abstractNum w:abstractNumId="1">
    <w:nsid w:val="E0BACEC5"/>
    <w:multiLevelType w:val="singleLevel"/>
    <w:tmpl w:val="E0BACEC5"/>
    <w:lvl w:ilvl="0" w:tentative="0">
      <w:start w:val="7"/>
      <w:numFmt w:val="decimal"/>
      <w:suff w:val="nothing"/>
      <w:lvlText w:val="%1、"/>
      <w:lvlJc w:val="left"/>
    </w:lvl>
  </w:abstractNum>
  <w:abstractNum w:abstractNumId="2">
    <w:nsid w:val="286B5710"/>
    <w:multiLevelType w:val="multilevel"/>
    <w:tmpl w:val="286B5710"/>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
    <w:nsid w:val="373518C1"/>
    <w:multiLevelType w:val="multilevel"/>
    <w:tmpl w:val="373518C1"/>
    <w:lvl w:ilvl="0" w:tentative="0">
      <w:start w:val="1"/>
      <w:numFmt w:val="none"/>
      <w:lvlText w:val="一、"/>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4">
    <w:nsid w:val="47A8F4E8"/>
    <w:multiLevelType w:val="singleLevel"/>
    <w:tmpl w:val="47A8F4E8"/>
    <w:lvl w:ilvl="0" w:tentative="0">
      <w:start w:val="3"/>
      <w:numFmt w:val="decimal"/>
      <w:suff w:val="nothing"/>
      <w:lvlText w:val="%1、"/>
      <w:lvlJc w:val="left"/>
    </w:lvl>
  </w:abstractNum>
  <w:abstractNum w:abstractNumId="5">
    <w:nsid w:val="58575151"/>
    <w:multiLevelType w:val="singleLevel"/>
    <w:tmpl w:val="58575151"/>
    <w:lvl w:ilvl="0" w:tentative="0">
      <w:start w:val="1"/>
      <w:numFmt w:val="chineseCounting"/>
      <w:suff w:val="nothing"/>
      <w:lvlText w:val="（%1）"/>
      <w:lvlJc w:val="left"/>
    </w:lvl>
  </w:abstractNum>
  <w:abstractNum w:abstractNumId="6">
    <w:nsid w:val="5A407433"/>
    <w:multiLevelType w:val="singleLevel"/>
    <w:tmpl w:val="5A407433"/>
    <w:lvl w:ilvl="0" w:tentative="0">
      <w:start w:val="1"/>
      <w:numFmt w:val="chineseCounting"/>
      <w:suff w:val="nothing"/>
      <w:lvlText w:val="%1、"/>
      <w:lvlJc w:val="left"/>
    </w:lvl>
  </w:abstractNum>
  <w:num w:numId="1">
    <w:abstractNumId w:val="3"/>
  </w:num>
  <w:num w:numId="2">
    <w:abstractNumId w:val="4"/>
  </w:num>
  <w:num w:numId="3">
    <w:abstractNumId w:val="1"/>
  </w:num>
  <w:num w:numId="4">
    <w:abstractNumId w:val="6"/>
  </w:num>
  <w:num w:numId="5">
    <w:abstractNumId w:val="5"/>
  </w:num>
  <w:num w:numId="6">
    <w:abstractNumId w:val="0"/>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0002229B"/>
    <w:rsid w:val="000273BD"/>
    <w:rsid w:val="000415B7"/>
    <w:rsid w:val="000658A3"/>
    <w:rsid w:val="00074155"/>
    <w:rsid w:val="000A3F69"/>
    <w:rsid w:val="00152C6D"/>
    <w:rsid w:val="00162D39"/>
    <w:rsid w:val="001A67DB"/>
    <w:rsid w:val="001D51E5"/>
    <w:rsid w:val="001F0C3B"/>
    <w:rsid w:val="00214427"/>
    <w:rsid w:val="00265724"/>
    <w:rsid w:val="0027426B"/>
    <w:rsid w:val="003479BD"/>
    <w:rsid w:val="003768D5"/>
    <w:rsid w:val="004506F9"/>
    <w:rsid w:val="004717A2"/>
    <w:rsid w:val="00491741"/>
    <w:rsid w:val="00500E5F"/>
    <w:rsid w:val="005122EF"/>
    <w:rsid w:val="00517C33"/>
    <w:rsid w:val="00523644"/>
    <w:rsid w:val="0054069E"/>
    <w:rsid w:val="005767CC"/>
    <w:rsid w:val="00590D9F"/>
    <w:rsid w:val="00595D26"/>
    <w:rsid w:val="005A74E6"/>
    <w:rsid w:val="005D4D55"/>
    <w:rsid w:val="005E2CFB"/>
    <w:rsid w:val="0062378F"/>
    <w:rsid w:val="00651EEC"/>
    <w:rsid w:val="006A351B"/>
    <w:rsid w:val="006B0422"/>
    <w:rsid w:val="006C1B53"/>
    <w:rsid w:val="006D7730"/>
    <w:rsid w:val="006E5284"/>
    <w:rsid w:val="006F3EB5"/>
    <w:rsid w:val="00702E34"/>
    <w:rsid w:val="00704395"/>
    <w:rsid w:val="00720FF1"/>
    <w:rsid w:val="00812ED5"/>
    <w:rsid w:val="008277D9"/>
    <w:rsid w:val="008A3E8D"/>
    <w:rsid w:val="009237C4"/>
    <w:rsid w:val="00950252"/>
    <w:rsid w:val="00967F5D"/>
    <w:rsid w:val="009A0F95"/>
    <w:rsid w:val="009B3ADF"/>
    <w:rsid w:val="009C3B52"/>
    <w:rsid w:val="00A42218"/>
    <w:rsid w:val="00A70249"/>
    <w:rsid w:val="00B33BEA"/>
    <w:rsid w:val="00B57C9F"/>
    <w:rsid w:val="00B845B3"/>
    <w:rsid w:val="00B85D8B"/>
    <w:rsid w:val="00BE3674"/>
    <w:rsid w:val="00C3049A"/>
    <w:rsid w:val="00C31B1E"/>
    <w:rsid w:val="00C77645"/>
    <w:rsid w:val="00CE04C3"/>
    <w:rsid w:val="00CE76A0"/>
    <w:rsid w:val="00D148C6"/>
    <w:rsid w:val="00DD06FF"/>
    <w:rsid w:val="00DD5FE9"/>
    <w:rsid w:val="00E00C7A"/>
    <w:rsid w:val="00E55B68"/>
    <w:rsid w:val="00F74360"/>
    <w:rsid w:val="00FB462F"/>
    <w:rsid w:val="00FE16FA"/>
    <w:rsid w:val="00FE328A"/>
    <w:rsid w:val="0103226C"/>
    <w:rsid w:val="025938CD"/>
    <w:rsid w:val="02785142"/>
    <w:rsid w:val="030C22BD"/>
    <w:rsid w:val="04C36C6F"/>
    <w:rsid w:val="069F283E"/>
    <w:rsid w:val="0CB73D30"/>
    <w:rsid w:val="13C1494C"/>
    <w:rsid w:val="146B11E1"/>
    <w:rsid w:val="1ACF5021"/>
    <w:rsid w:val="1DF01006"/>
    <w:rsid w:val="1EA62C6A"/>
    <w:rsid w:val="1F776EE9"/>
    <w:rsid w:val="220B2154"/>
    <w:rsid w:val="22441C81"/>
    <w:rsid w:val="22E64EA4"/>
    <w:rsid w:val="234E08BF"/>
    <w:rsid w:val="24C249B6"/>
    <w:rsid w:val="28482E3B"/>
    <w:rsid w:val="2ABE59AD"/>
    <w:rsid w:val="2BA05B41"/>
    <w:rsid w:val="2D981FFA"/>
    <w:rsid w:val="2FA24959"/>
    <w:rsid w:val="30390281"/>
    <w:rsid w:val="323955C4"/>
    <w:rsid w:val="34E053CE"/>
    <w:rsid w:val="379F35AD"/>
    <w:rsid w:val="39464883"/>
    <w:rsid w:val="39D53394"/>
    <w:rsid w:val="3C677DAF"/>
    <w:rsid w:val="3D113DC0"/>
    <w:rsid w:val="3DEE5E84"/>
    <w:rsid w:val="42E54051"/>
    <w:rsid w:val="46792311"/>
    <w:rsid w:val="4A7E4FFD"/>
    <w:rsid w:val="4BC155DD"/>
    <w:rsid w:val="4FCE735C"/>
    <w:rsid w:val="53C62DE4"/>
    <w:rsid w:val="59CF06F6"/>
    <w:rsid w:val="5B180C54"/>
    <w:rsid w:val="5F1E2A8F"/>
    <w:rsid w:val="5F7631AB"/>
    <w:rsid w:val="60A71FB4"/>
    <w:rsid w:val="611C30F3"/>
    <w:rsid w:val="61F4368B"/>
    <w:rsid w:val="64197B7D"/>
    <w:rsid w:val="64B71621"/>
    <w:rsid w:val="66636D61"/>
    <w:rsid w:val="66FE16CF"/>
    <w:rsid w:val="69A12C0E"/>
    <w:rsid w:val="6F251372"/>
    <w:rsid w:val="71261BF1"/>
    <w:rsid w:val="77991BFF"/>
    <w:rsid w:val="798402FF"/>
    <w:rsid w:val="7BDF1556"/>
    <w:rsid w:val="7E83116D"/>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nhideWhenUsed="0"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7">
    <w:name w:val="Default Paragraph Font"/>
    <w:unhideWhenUsed/>
    <w:qFormat/>
    <w:uiPriority w:val="1"/>
  </w:style>
  <w:style w:type="table" w:default="1" w:styleId="6">
    <w:name w:val="Normal Table"/>
    <w:unhideWhenUsed/>
    <w:uiPriority w:val="99"/>
    <w:tblPr>
      <w:tblCellMar>
        <w:top w:w="0" w:type="dxa"/>
        <w:left w:w="108" w:type="dxa"/>
        <w:bottom w:w="0" w:type="dxa"/>
        <w:right w:w="108" w:type="dxa"/>
      </w:tblCellMar>
    </w:tblPr>
  </w:style>
  <w:style w:type="paragraph" w:styleId="2">
    <w:name w:val="Balloon Text"/>
    <w:basedOn w:val="1"/>
    <w:link w:val="13"/>
    <w:unhideWhenUsed/>
    <w:qFormat/>
    <w:uiPriority w:val="99"/>
    <w:rPr>
      <w:sz w:val="18"/>
      <w:szCs w:val="18"/>
    </w:rPr>
  </w:style>
  <w:style w:type="paragraph" w:styleId="3">
    <w:name w:val="footer"/>
    <w:basedOn w:val="1"/>
    <w:link w:val="10"/>
    <w:unhideWhenUsed/>
    <w:qFormat/>
    <w:uiPriority w:val="99"/>
    <w:pPr>
      <w:tabs>
        <w:tab w:val="center" w:pos="4153"/>
        <w:tab w:val="right" w:pos="8306"/>
      </w:tabs>
      <w:snapToGrid w:val="0"/>
      <w:jc w:val="left"/>
    </w:pPr>
    <w:rPr>
      <w:sz w:val="18"/>
      <w:szCs w:val="18"/>
    </w:rPr>
  </w:style>
  <w:style w:type="paragraph" w:styleId="4">
    <w:name w:val="header"/>
    <w:basedOn w:val="1"/>
    <w:link w:val="9"/>
    <w:unhideWhenUsed/>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qFormat/>
    <w:uiPriority w:val="0"/>
    <w:pPr>
      <w:spacing w:before="0" w:beforeAutospacing="1" w:after="0" w:afterAutospacing="1"/>
      <w:ind w:left="0" w:right="0"/>
      <w:jc w:val="left"/>
    </w:pPr>
    <w:rPr>
      <w:kern w:val="0"/>
      <w:sz w:val="24"/>
      <w:lang w:val="en-US" w:eastAsia="zh-CN" w:bidi="ar"/>
    </w:rPr>
  </w:style>
  <w:style w:type="character" w:styleId="8">
    <w:name w:val="Hyperlink"/>
    <w:basedOn w:val="7"/>
    <w:qFormat/>
    <w:uiPriority w:val="99"/>
    <w:rPr>
      <w:rFonts w:cs="Times New Roman"/>
      <w:color w:val="0000FF"/>
      <w:u w:val="single"/>
    </w:rPr>
  </w:style>
  <w:style w:type="character" w:customStyle="1" w:styleId="9">
    <w:name w:val="页眉 Char"/>
    <w:basedOn w:val="7"/>
    <w:link w:val="4"/>
    <w:qFormat/>
    <w:uiPriority w:val="99"/>
    <w:rPr>
      <w:sz w:val="18"/>
      <w:szCs w:val="18"/>
    </w:rPr>
  </w:style>
  <w:style w:type="character" w:customStyle="1" w:styleId="10">
    <w:name w:val="页脚 Char"/>
    <w:basedOn w:val="7"/>
    <w:link w:val="3"/>
    <w:qFormat/>
    <w:uiPriority w:val="99"/>
    <w:rPr>
      <w:sz w:val="18"/>
      <w:szCs w:val="18"/>
    </w:rPr>
  </w:style>
  <w:style w:type="paragraph" w:customStyle="1" w:styleId="11">
    <w:name w:val="Default"/>
    <w:qFormat/>
    <w:uiPriority w:val="0"/>
    <w:pPr>
      <w:widowControl w:val="0"/>
      <w:autoSpaceDE w:val="0"/>
      <w:autoSpaceDN w:val="0"/>
      <w:adjustRightInd w:val="0"/>
    </w:pPr>
    <w:rPr>
      <w:rFonts w:ascii="黑体" w:eastAsia="黑体" w:cs="黑体" w:hAnsiTheme="minorHAnsi"/>
      <w:color w:val="000000"/>
      <w:kern w:val="0"/>
      <w:sz w:val="24"/>
      <w:szCs w:val="24"/>
      <w:lang w:val="en-US" w:eastAsia="zh-CN" w:bidi="ar-SA"/>
    </w:rPr>
  </w:style>
  <w:style w:type="paragraph" w:customStyle="1" w:styleId="12">
    <w:name w:val="List Paragraph"/>
    <w:basedOn w:val="1"/>
    <w:qFormat/>
    <w:uiPriority w:val="34"/>
    <w:pPr>
      <w:ind w:firstLine="420" w:firstLineChars="200"/>
    </w:pPr>
  </w:style>
  <w:style w:type="character" w:customStyle="1" w:styleId="13">
    <w:name w:val="批注框文本 Char"/>
    <w:basedOn w:val="7"/>
    <w:link w:val="2"/>
    <w:semiHidden/>
    <w:qFormat/>
    <w:uiPriority w:val="99"/>
    <w:rPr>
      <w:sz w:val="18"/>
      <w:szCs w:val="18"/>
    </w:rPr>
  </w:style>
  <w:style w:type="paragraph" w:customStyle="1" w:styleId="14">
    <w:name w:val="列出段落"/>
    <w:basedOn w:val="1"/>
    <w:qFormat/>
    <w:uiPriority w:val="99"/>
    <w:pPr>
      <w:ind w:firstLine="420" w:firstLineChars="200"/>
    </w:p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2.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7ECA967F-99A7-44AE-8CB3-A0222E97AF6E}">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23</Pages>
  <Words>1258</Words>
  <Characters>7176</Characters>
  <Lines>59</Lines>
  <Paragraphs>16</Paragraphs>
  <TotalTime>3</TotalTime>
  <ScaleCrop>false</ScaleCrop>
  <LinksUpToDate>false</LinksUpToDate>
  <CharactersWithSpaces>8418</CharactersWithSpaces>
  <Application>WPS Office_11.1.0.9999_F1E327BC-269C-435d-A152-05C5408002CA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2020-07-02T02:32:00Z</dcterms:created>
  <dc:creator>李航 null</dc:creator>
  <cp:lastModifiedBy>云儿爱了</cp:lastModifiedBy>
  <cp:lastPrinted>2020-07-15T07:25:00Z</cp:lastPrinted>
  <dcterms:modified xsi:type="dcterms:W3CDTF">2020-10-20T02:04:04Z</dcterms:modified>
  <cp:revision>26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2052-11.1.0.9999</vt:lpwstr>
  </property>
</Properties>
</file>